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11" w:lineRule="exact"/>
        <w:rPr>
          <w:sz w:val="24"/>
          <w:szCs w:val="24"/>
          <w:color w:val="auto"/>
        </w:rPr>
      </w:pPr>
    </w:p>
    <w:p>
      <w:pPr>
        <w:ind w:left="4020" w:right="2300" w:hanging="4012"/>
        <w:spacing w:after="0" w:line="282" w:lineRule="auto"/>
        <w:tabs>
          <w:tab w:leader="none" w:pos="336"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2018</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1-36132</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PLAINS GP HOLDINGS, L.P.</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69" w:lineRule="exact"/>
        <w:rPr>
          <w:sz w:val="24"/>
          <w:szCs w:val="24"/>
          <w:color w:val="auto"/>
        </w:rPr>
      </w:pPr>
    </w:p>
    <w:tbl>
      <w:tblPr>
        <w:tblLayout w:type="fixed"/>
        <w:tblInd w:w="880" w:type="dxa"/>
        <w:tblCellMar>
          <w:top w:w="0" w:type="dxa"/>
          <w:left w:w="0" w:type="dxa"/>
          <w:bottom w:w="0" w:type="dxa"/>
          <w:right w:w="0" w:type="dxa"/>
        </w:tblCellMar>
      </w:tblPr>
      <w:tr>
        <w:trPr>
          <w:trHeight w:val="186"/>
        </w:trPr>
        <w:tc>
          <w:tcPr>
            <w:tcW w:w="4880" w:type="dxa"/>
            <w:vAlign w:val="bottom"/>
          </w:tcPr>
          <w:p>
            <w:pPr>
              <w:jc w:val="center"/>
              <w:ind w:right="1348"/>
              <w:spacing w:after="0"/>
              <w:rPr>
                <w:sz w:val="20"/>
                <w:szCs w:val="20"/>
                <w:color w:val="auto"/>
              </w:rPr>
            </w:pPr>
            <w:r>
              <w:rPr>
                <w:rFonts w:ascii="Arial" w:cs="Arial" w:eastAsia="Arial" w:hAnsi="Arial"/>
                <w:sz w:val="14"/>
                <w:szCs w:val="14"/>
                <w:b w:val="1"/>
                <w:bCs w:val="1"/>
                <w:color w:val="auto"/>
                <w:w w:val="94"/>
              </w:rPr>
              <w:t>Delaware</w:t>
            </w:r>
          </w:p>
        </w:tc>
        <w:tc>
          <w:tcPr>
            <w:tcW w:w="3540" w:type="dxa"/>
            <w:vAlign w:val="bottom"/>
          </w:tcPr>
          <w:p>
            <w:pPr>
              <w:jc w:val="right"/>
              <w:ind w:right="628"/>
              <w:spacing w:after="0"/>
              <w:rPr>
                <w:sz w:val="20"/>
                <w:szCs w:val="20"/>
                <w:color w:val="auto"/>
              </w:rPr>
            </w:pPr>
            <w:r>
              <w:rPr>
                <w:rFonts w:ascii="Arial" w:cs="Arial" w:eastAsia="Arial" w:hAnsi="Arial"/>
                <w:sz w:val="14"/>
                <w:szCs w:val="14"/>
                <w:b w:val="1"/>
                <w:bCs w:val="1"/>
                <w:color w:val="auto"/>
              </w:rPr>
              <w:t>90-1005472</w:t>
            </w:r>
          </w:p>
        </w:tc>
      </w:tr>
      <w:tr>
        <w:trPr>
          <w:trHeight w:val="270"/>
        </w:trPr>
        <w:tc>
          <w:tcPr>
            <w:tcW w:w="4880" w:type="dxa"/>
            <w:vAlign w:val="bottom"/>
          </w:tcPr>
          <w:p>
            <w:pPr>
              <w:jc w:val="center"/>
              <w:ind w:right="136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540" w:type="dxa"/>
            <w:vAlign w:val="bottom"/>
          </w:tcPr>
          <w:p>
            <w:pPr>
              <w:jc w:val="center"/>
              <w:ind w:left="1368"/>
              <w:spacing w:after="0"/>
              <w:rPr>
                <w:sz w:val="20"/>
                <w:szCs w:val="20"/>
                <w:color w:val="auto"/>
              </w:rPr>
            </w:pPr>
            <w:r>
              <w:rPr>
                <w:rFonts w:ascii="Arial" w:cs="Arial" w:eastAsia="Arial" w:hAnsi="Arial"/>
                <w:sz w:val="14"/>
                <w:szCs w:val="14"/>
                <w:color w:val="auto"/>
                <w:w w:val="97"/>
              </w:rPr>
              <w:t>(I.R.S. Employer Identification No.)</w:t>
            </w:r>
          </w:p>
        </w:tc>
      </w:tr>
      <w:tr>
        <w:trPr>
          <w:trHeight w:val="405"/>
        </w:trPr>
        <w:tc>
          <w:tcPr>
            <w:tcW w:w="4880" w:type="dxa"/>
            <w:vAlign w:val="bottom"/>
          </w:tcPr>
          <w:p>
            <w:pPr>
              <w:jc w:val="center"/>
              <w:ind w:right="1348"/>
              <w:spacing w:after="0"/>
              <w:rPr>
                <w:sz w:val="20"/>
                <w:szCs w:val="20"/>
                <w:color w:val="auto"/>
              </w:rPr>
            </w:pPr>
            <w:r>
              <w:rPr>
                <w:rFonts w:ascii="Arial" w:cs="Arial" w:eastAsia="Arial" w:hAnsi="Arial"/>
                <w:sz w:val="14"/>
                <w:szCs w:val="14"/>
                <w:b w:val="1"/>
                <w:bCs w:val="1"/>
                <w:color w:val="auto"/>
                <w:w w:val="91"/>
              </w:rPr>
              <w:t>333 Clay Street, Suite 1600, Houston, Texas</w:t>
            </w:r>
          </w:p>
        </w:tc>
        <w:tc>
          <w:tcPr>
            <w:tcW w:w="3540" w:type="dxa"/>
            <w:vAlign w:val="bottom"/>
          </w:tcPr>
          <w:p>
            <w:pPr>
              <w:jc w:val="right"/>
              <w:ind w:right="808"/>
              <w:spacing w:after="0"/>
              <w:rPr>
                <w:sz w:val="20"/>
                <w:szCs w:val="20"/>
                <w:color w:val="auto"/>
              </w:rPr>
            </w:pPr>
            <w:r>
              <w:rPr>
                <w:rFonts w:ascii="Arial" w:cs="Arial" w:eastAsia="Arial" w:hAnsi="Arial"/>
                <w:sz w:val="14"/>
                <w:szCs w:val="14"/>
                <w:b w:val="1"/>
                <w:bCs w:val="1"/>
                <w:color w:val="auto"/>
              </w:rPr>
              <w:t>77002</w:t>
            </w:r>
          </w:p>
        </w:tc>
      </w:tr>
      <w:tr>
        <w:trPr>
          <w:trHeight w:val="270"/>
        </w:trPr>
        <w:tc>
          <w:tcPr>
            <w:tcW w:w="4880" w:type="dxa"/>
            <w:vAlign w:val="bottom"/>
          </w:tcPr>
          <w:p>
            <w:pPr>
              <w:jc w:val="center"/>
              <w:ind w:right="1368"/>
              <w:spacing w:after="0"/>
              <w:rPr>
                <w:sz w:val="20"/>
                <w:szCs w:val="20"/>
                <w:color w:val="auto"/>
              </w:rPr>
            </w:pPr>
            <w:r>
              <w:rPr>
                <w:rFonts w:ascii="Arial" w:cs="Arial" w:eastAsia="Arial" w:hAnsi="Arial"/>
                <w:sz w:val="14"/>
                <w:szCs w:val="14"/>
                <w:color w:val="auto"/>
                <w:w w:val="95"/>
              </w:rPr>
              <w:t>(Address of principal executive offices)</w:t>
            </w:r>
          </w:p>
        </w:tc>
        <w:tc>
          <w:tcPr>
            <w:tcW w:w="3540" w:type="dxa"/>
            <w:vAlign w:val="bottom"/>
          </w:tcPr>
          <w:p>
            <w:pPr>
              <w:jc w:val="center"/>
              <w:ind w:left="1348"/>
              <w:spacing w:after="0"/>
              <w:rPr>
                <w:sz w:val="20"/>
                <w:szCs w:val="20"/>
                <w:color w:val="auto"/>
              </w:rPr>
            </w:pPr>
            <w:r>
              <w:rPr>
                <w:rFonts w:ascii="Arial" w:cs="Arial" w:eastAsia="Arial" w:hAnsi="Arial"/>
                <w:sz w:val="14"/>
                <w:szCs w:val="14"/>
                <w:color w:val="auto"/>
                <w:w w:val="96"/>
              </w:rPr>
              <w:t>(Zip Code)</w:t>
            </w:r>
          </w:p>
        </w:tc>
      </w:tr>
    </w:tbl>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400" w:type="dxa"/>
            <w:vAlign w:val="bottom"/>
          </w:tcPr>
          <w:p>
            <w:pPr>
              <w:spacing w:after="0"/>
              <w:rPr>
                <w:sz w:val="16"/>
                <w:szCs w:val="16"/>
                <w:color w:val="auto"/>
              </w:rPr>
            </w:pPr>
          </w:p>
        </w:tc>
        <w:tc>
          <w:tcPr>
            <w:tcW w:w="7420" w:type="dxa"/>
            <w:vAlign w:val="bottom"/>
            <w:gridSpan w:val="4"/>
          </w:tcPr>
          <w:p>
            <w:pPr>
              <w:ind w:left="36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(713) 646-4100</w:t>
            </w:r>
          </w:p>
        </w:tc>
        <w:tc>
          <w:tcPr>
            <w:tcW w:w="0" w:type="dxa"/>
            <w:vAlign w:val="bottom"/>
          </w:tcPr>
          <w:p>
            <w:pPr>
              <w:spacing w:after="0"/>
              <w:rPr>
                <w:sz w:val="1"/>
                <w:szCs w:val="1"/>
                <w:color w:val="auto"/>
              </w:rPr>
            </w:pPr>
          </w:p>
        </w:tc>
      </w:tr>
      <w:tr>
        <w:trPr>
          <w:trHeight w:val="284"/>
        </w:trPr>
        <w:tc>
          <w:tcPr>
            <w:tcW w:w="3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0" w:type="dxa"/>
            <w:vAlign w:val="bottom"/>
          </w:tcPr>
          <w:p>
            <w:pPr>
              <w:spacing w:after="0"/>
              <w:rPr>
                <w:sz w:val="1"/>
                <w:szCs w:val="1"/>
                <w:color w:val="auto"/>
              </w:rPr>
            </w:pPr>
          </w:p>
        </w:tc>
      </w:tr>
      <w:tr>
        <w:trPr>
          <w:trHeight w:val="382"/>
        </w:trPr>
        <w:tc>
          <w:tcPr>
            <w:tcW w:w="3400" w:type="dxa"/>
            <w:vAlign w:val="bottom"/>
          </w:tcPr>
          <w:p>
            <w:pPr>
              <w:jc w:val="center"/>
              <w:ind w:left="1757"/>
              <w:spacing w:after="0"/>
              <w:rPr>
                <w:sz w:val="20"/>
                <w:szCs w:val="20"/>
                <w:color w:val="auto"/>
              </w:rPr>
            </w:pPr>
            <w:r>
              <w:rPr>
                <w:rFonts w:ascii="Arial" w:cs="Arial" w:eastAsia="Arial" w:hAnsi="Arial"/>
                <w:sz w:val="11"/>
                <w:szCs w:val="11"/>
                <w:b w:val="1"/>
                <w:bCs w:val="1"/>
                <w:color w:val="auto"/>
                <w:w w:val="87"/>
              </w:rPr>
              <w:t>Title of Each Class</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Arial" w:cs="Arial" w:eastAsia="Arial" w:hAnsi="Arial"/>
                <w:sz w:val="11"/>
                <w:szCs w:val="11"/>
                <w:b w:val="1"/>
                <w:bCs w:val="1"/>
                <w:color w:val="auto"/>
                <w:w w:val="88"/>
              </w:rPr>
              <w:t>Name of Each Exchange on Which Registered</w:t>
            </w:r>
          </w:p>
        </w:tc>
        <w:tc>
          <w:tcPr>
            <w:tcW w:w="0" w:type="dxa"/>
            <w:vAlign w:val="bottom"/>
          </w:tcPr>
          <w:p>
            <w:pPr>
              <w:spacing w:after="0"/>
              <w:rPr>
                <w:sz w:val="1"/>
                <w:szCs w:val="1"/>
                <w:color w:val="auto"/>
              </w:rPr>
            </w:pPr>
          </w:p>
        </w:tc>
      </w:tr>
      <w:tr>
        <w:trPr>
          <w:trHeight w:val="22"/>
        </w:trPr>
        <w:tc>
          <w:tcPr>
            <w:tcW w:w="3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200" w:type="dxa"/>
            <w:vAlign w:val="bottom"/>
            <w:gridSpan w:val="2"/>
            <w:vMerge w:val="restart"/>
          </w:tcPr>
          <w:p>
            <w:pPr>
              <w:jc w:val="center"/>
              <w:ind w:left="937"/>
              <w:spacing w:after="0"/>
              <w:rPr>
                <w:sz w:val="20"/>
                <w:szCs w:val="20"/>
                <w:color w:val="auto"/>
              </w:rPr>
            </w:pPr>
            <w:r>
              <w:rPr>
                <w:rFonts w:ascii="Arial" w:cs="Arial" w:eastAsia="Arial" w:hAnsi="Arial"/>
                <w:sz w:val="14"/>
                <w:szCs w:val="14"/>
                <w:color w:val="auto"/>
                <w:w w:val="91"/>
              </w:rPr>
              <w:t>Class A Shares, Representing Limited Partner Interests</w:t>
            </w: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18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54"/>
        </w:trPr>
        <w:tc>
          <w:tcPr>
            <w:tcW w:w="4200" w:type="dxa"/>
            <w:vAlign w:val="bottom"/>
            <w:gridSpan w:val="2"/>
            <w:vMerge w:val="continue"/>
          </w:tcPr>
          <w:p>
            <w:pPr>
              <w:spacing w:after="0"/>
              <w:rPr>
                <w:sz w:val="4"/>
                <w:szCs w:val="4"/>
                <w:color w:val="auto"/>
              </w:rPr>
            </w:pPr>
          </w:p>
        </w:tc>
        <w:tc>
          <w:tcPr>
            <w:tcW w:w="10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1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11" w:lineRule="exact"/>
        <w:rPr>
          <w:sz w:val="24"/>
          <w:szCs w:val="24"/>
          <w:color w:val="auto"/>
        </w:rPr>
      </w:pPr>
    </w:p>
    <w:p>
      <w:pPr>
        <w:jc w:val="center"/>
        <w:ind w:left="30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137" w:lineRule="exact"/>
        <w:rPr>
          <w:sz w:val="24"/>
          <w:szCs w:val="24"/>
          <w:color w:val="auto"/>
        </w:rPr>
      </w:pPr>
    </w:p>
    <w:p>
      <w:pPr>
        <w:ind w:left="300" w:right="3520"/>
        <w:spacing w:after="0" w:line="371" w:lineRule="auto"/>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 Yes x No o Indicate by check mark if the registrant is not required to file reports pursuant to Section 13 or Section 15(d) of the Act. Yes o No x</w:t>
      </w:r>
    </w:p>
    <w:p>
      <w:pPr>
        <w:ind w:right="100" w:firstLine="284"/>
        <w:spacing w:after="0" w:line="296"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8" w:lineRule="exact"/>
        <w:rPr>
          <w:sz w:val="24"/>
          <w:szCs w:val="24"/>
          <w:color w:val="auto"/>
        </w:rPr>
      </w:pPr>
    </w:p>
    <w:p>
      <w:pPr>
        <w:ind w:right="100" w:firstLine="284"/>
        <w:spacing w:after="0" w:line="296"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o</w:t>
      </w:r>
    </w:p>
    <w:p>
      <w:pPr>
        <w:spacing w:after="0" w:line="8" w:lineRule="exact"/>
        <w:rPr>
          <w:sz w:val="24"/>
          <w:szCs w:val="24"/>
          <w:color w:val="auto"/>
        </w:rPr>
      </w:pPr>
    </w:p>
    <w:p>
      <w:pPr>
        <w:ind w:right="360" w:firstLine="284"/>
        <w:spacing w:after="0" w:line="291"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 w:lineRule="exact"/>
        <w:rPr>
          <w:sz w:val="24"/>
          <w:szCs w:val="24"/>
          <w:color w:val="auto"/>
        </w:rPr>
      </w:pPr>
    </w:p>
    <w:p>
      <w:pPr>
        <w:ind w:right="320" w:firstLine="284"/>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33" w:right="239" w:bottom="1440" w:gutter="0" w:footer="0" w:header="0"/>
        </w:sectPr>
      </w:pPr>
    </w:p>
    <w:p>
      <w:pPr>
        <w:spacing w:after="0" w:line="219" w:lineRule="exact"/>
        <w:rPr>
          <w:sz w:val="24"/>
          <w:szCs w:val="24"/>
          <w:color w:val="auto"/>
        </w:rPr>
      </w:pPr>
    </w:p>
    <w:p>
      <w:pPr>
        <w:ind w:left="1900"/>
        <w:spacing w:after="0"/>
        <w:rPr>
          <w:sz w:val="20"/>
          <w:szCs w:val="20"/>
          <w:color w:val="auto"/>
        </w:rPr>
      </w:pPr>
      <w:r>
        <w:rPr>
          <w:rFonts w:ascii="Arial" w:cs="Arial" w:eastAsia="Arial" w:hAnsi="Arial"/>
          <w:sz w:val="13"/>
          <w:szCs w:val="13"/>
          <w:color w:val="auto"/>
        </w:rPr>
        <w:t>Large accelerated filer x</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 o</w:t>
      </w:r>
    </w:p>
    <w:p>
      <w:pPr>
        <w:spacing w:after="0" w:line="200" w:lineRule="exact"/>
        <w:rPr>
          <w:sz w:val="24"/>
          <w:szCs w:val="24"/>
          <w:color w:val="auto"/>
        </w:rPr>
      </w:pPr>
    </w:p>
    <w:p>
      <w:pPr>
        <w:sectPr>
          <w:pgSz w:w="11900" w:h="16838" w:orient="portrait"/>
          <w:cols w:equalWidth="0" w:num="2">
            <w:col w:w="6980" w:space="720"/>
            <w:col w:w="3720"/>
          </w:cols>
          <w:pgMar w:left="240" w:top="233" w:right="239" w:bottom="1440" w:gutter="0" w:footer="0" w:header="0"/>
          <w:type w:val="continuous"/>
        </w:sectPr>
      </w:pPr>
    </w:p>
    <w:p>
      <w:pPr>
        <w:spacing w:after="0" w:line="42" w:lineRule="exact"/>
        <w:rPr>
          <w:sz w:val="24"/>
          <w:szCs w:val="24"/>
          <w:color w:val="auto"/>
        </w:rPr>
      </w:pPr>
    </w:p>
    <w:p>
      <w:pPr>
        <w:ind w:left="1940"/>
        <w:spacing w:after="0"/>
        <w:rPr>
          <w:sz w:val="20"/>
          <w:szCs w:val="20"/>
          <w:color w:val="auto"/>
        </w:rPr>
      </w:pPr>
      <w:r>
        <w:rPr>
          <w:rFonts w:ascii="Arial" w:cs="Arial" w:eastAsia="Arial" w:hAnsi="Arial"/>
          <w:sz w:val="13"/>
          <w:szCs w:val="13"/>
          <w:color w:val="auto"/>
        </w:rPr>
        <w:t>Non-accelerated filer o</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 o</w:t>
      </w:r>
    </w:p>
    <w:p>
      <w:pPr>
        <w:spacing w:after="0" w:line="175" w:lineRule="exact"/>
        <w:rPr>
          <w:sz w:val="24"/>
          <w:szCs w:val="24"/>
          <w:color w:val="auto"/>
        </w:rPr>
      </w:pPr>
    </w:p>
    <w:p>
      <w:pPr>
        <w:sectPr>
          <w:pgSz w:w="11900" w:h="16838" w:orient="portrait"/>
          <w:cols w:equalWidth="0" w:num="2">
            <w:col w:w="6680" w:space="720"/>
            <w:col w:w="4020"/>
          </w:cols>
          <w:pgMar w:left="240" w:top="233" w:right="239" w:bottom="1440" w:gutter="0" w:footer="0" w:header="0"/>
          <w:type w:val="continuous"/>
        </w:sectPr>
      </w:pPr>
    </w:p>
    <w:p>
      <w:pPr>
        <w:ind w:left="7400"/>
        <w:spacing w:after="0"/>
        <w:rPr>
          <w:sz w:val="20"/>
          <w:szCs w:val="20"/>
          <w:color w:val="auto"/>
        </w:rPr>
      </w:pPr>
      <w:r>
        <w:rPr>
          <w:rFonts w:ascii="Arial" w:cs="Arial" w:eastAsia="Arial" w:hAnsi="Arial"/>
          <w:sz w:val="13"/>
          <w:szCs w:val="13"/>
          <w:color w:val="auto"/>
        </w:rPr>
        <w:t>Emerging growth company o</w:t>
      </w:r>
    </w:p>
    <w:p>
      <w:pPr>
        <w:sectPr>
          <w:pgSz w:w="11900" w:h="16838" w:orient="portrait"/>
          <w:cols w:equalWidth="0" w:num="1">
            <w:col w:w="11420"/>
          </w:cols>
          <w:pgMar w:left="240" w:top="233" w:right="239" w:bottom="1440" w:gutter="0" w:footer="0" w:header="0"/>
          <w:type w:val="continuous"/>
        </w:sectPr>
      </w:pPr>
    </w:p>
    <w:p>
      <w:pPr>
        <w:spacing w:after="0" w:line="225" w:lineRule="exact"/>
        <w:rPr>
          <w:sz w:val="24"/>
          <w:szCs w:val="24"/>
          <w:color w:val="auto"/>
        </w:rPr>
      </w:pPr>
    </w:p>
    <w:p>
      <w:pPr>
        <w:ind w:right="160" w:firstLine="324"/>
        <w:spacing w:after="0" w:line="265"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4"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o No x</w:t>
      </w:r>
    </w:p>
    <w:p>
      <w:pPr>
        <w:spacing w:after="0" w:line="55" w:lineRule="exact"/>
        <w:rPr>
          <w:sz w:val="24"/>
          <w:szCs w:val="24"/>
          <w:color w:val="auto"/>
        </w:rPr>
      </w:pPr>
    </w:p>
    <w:p>
      <w:pPr>
        <w:jc w:val="both"/>
        <w:ind w:firstLine="324"/>
        <w:spacing w:after="0" w:line="257" w:lineRule="auto"/>
        <w:rPr>
          <w:sz w:val="20"/>
          <w:szCs w:val="20"/>
          <w:color w:val="auto"/>
        </w:rPr>
      </w:pPr>
      <w:r>
        <w:rPr>
          <w:rFonts w:ascii="Arial" w:cs="Arial" w:eastAsia="Arial" w:hAnsi="Arial"/>
          <w:sz w:val="14"/>
          <w:szCs w:val="14"/>
          <w:color w:val="auto"/>
        </w:rPr>
        <w:t>The aggregate market value of the Class A shares held by non-affiliates of the registrant (treating all executive officers and directors of the registrant and holders of 10% or more of the Class A shares outstanding, for this purpose, as if they may be affiliates of the registrant) was approximately $3.7 billion on June 29, 2018, based on a closing price of $23.91 per Class A share as reported on the New York Stock Exchange on such date. As of February 12, 2019 there were 159,485,588 Class A shares outstanding.</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74" w:lineRule="exact"/>
        <w:rPr>
          <w:sz w:val="24"/>
          <w:szCs w:val="24"/>
          <w:color w:val="auto"/>
        </w:rPr>
      </w:pPr>
    </w:p>
    <w:p>
      <w:pPr>
        <w:jc w:val="center"/>
        <w:ind w:left="260" w:right="120"/>
        <w:spacing w:after="0" w:line="244" w:lineRule="auto"/>
        <w:rPr>
          <w:sz w:val="20"/>
          <w:szCs w:val="20"/>
          <w:color w:val="auto"/>
        </w:rPr>
      </w:pPr>
      <w:r>
        <w:rPr>
          <w:rFonts w:ascii="Arial" w:cs="Arial" w:eastAsia="Arial" w:hAnsi="Arial"/>
          <w:sz w:val="15"/>
          <w:szCs w:val="15"/>
          <w:color w:val="auto"/>
        </w:rPr>
        <w:t>Portions of the registrant’s definitive Proxy Statement to be filed pursuant to Regulation 14A pertaining to the 2019 Annual Meeting of Shareholders are incorporated by reference into Part III hereof. The registrant intends to file such Proxy Statement no later than 120 days after the end of the fiscal year covered by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10-K—2018 ANNUAL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00" w:type="dxa"/>
            <w:vAlign w:val="bottom"/>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gridSpan w:val="2"/>
            <w:vMerge w:val="restart"/>
          </w:tcPr>
          <w:p>
            <w:pPr>
              <w:jc w:val="center"/>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4220" w:type="dxa"/>
            <w:vAlign w:val="bottom"/>
            <w:gridSpan w:val="10"/>
            <w:vMerge w:val="restart"/>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Borders>
              <w:bottom w:val="single" w:sz="8" w:color="0000EE"/>
            </w:tcBorders>
            <w:gridSpan w:val="2"/>
            <w:vMerge w:val="continue"/>
          </w:tcPr>
          <w:p>
            <w:pPr>
              <w:spacing w:after="0"/>
              <w:rPr>
                <w:sz w:val="15"/>
                <w:szCs w:val="15"/>
                <w:color w:val="auto"/>
              </w:rPr>
            </w:pPr>
          </w:p>
        </w:tc>
        <w:tc>
          <w:tcPr>
            <w:tcW w:w="4220" w:type="dxa"/>
            <w:vAlign w:val="bottom"/>
            <w:gridSpan w:val="10"/>
            <w:vMerge w:val="continue"/>
          </w:tcPr>
          <w:p>
            <w:pPr>
              <w:spacing w:after="0"/>
              <w:rPr>
                <w:sz w:val="15"/>
                <w:szCs w:val="15"/>
                <w:color w:val="auto"/>
              </w:rPr>
            </w:pPr>
          </w:p>
        </w:tc>
        <w:tc>
          <w:tcPr>
            <w:tcW w:w="900" w:type="dxa"/>
            <w:vAlign w:val="bottom"/>
          </w:tcPr>
          <w:p>
            <w:pPr>
              <w:jc w:val="right"/>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588"/>
        </w:trPr>
        <w:tc>
          <w:tcPr>
            <w:tcW w:w="1020" w:type="dxa"/>
            <w:vAlign w:val="bottom"/>
            <w:gridSpan w:val="5"/>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Items 1 and 2.</w:t>
              </w:r>
            </w:hyperlink>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0" w:type="dxa"/>
            <w:vAlign w:val="bottom"/>
            <w:gridSpan w:val="2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 and Properties</w:t>
              </w:r>
            </w:hyperlink>
          </w:p>
        </w:tc>
        <w:tc>
          <w:tcPr>
            <w:tcW w:w="90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50"/>
        </w:trPr>
        <w:tc>
          <w:tcPr>
            <w:tcW w:w="640" w:type="dxa"/>
            <w:vAlign w:val="bottom"/>
            <w:tcBorders>
              <w:top w:val="single" w:sz="8" w:color="0000EE"/>
            </w:tcBorders>
            <w:gridSpan w:val="4"/>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Item 1A.</w:t>
              </w:r>
            </w:hyperlink>
          </w:p>
        </w:tc>
        <w:tc>
          <w:tcPr>
            <w:tcW w:w="38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Borders>
              <w:top w:val="single" w:sz="8" w:color="0000EE"/>
            </w:tcBorders>
            <w:gridSpan w:val="5"/>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Risk Factors</w:t>
              </w:r>
            </w:hyperlink>
          </w:p>
        </w:tc>
        <w:tc>
          <w:tcPr>
            <w:tcW w:w="7280" w:type="dxa"/>
            <w:vAlign w:val="bottom"/>
            <w:gridSpan w:val="22"/>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4"/>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Item 1B.</w:t>
              </w:r>
            </w:hyperlink>
          </w:p>
        </w:tc>
        <w:tc>
          <w:tcPr>
            <w:tcW w:w="6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9000" w:type="dxa"/>
            <w:vAlign w:val="bottom"/>
            <w:gridSpan w:val="27"/>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Unresolved Staff Comments</w:t>
              </w:r>
            </w:hyperlink>
          </w:p>
        </w:tc>
        <w:tc>
          <w:tcPr>
            <w:tcW w:w="900" w:type="dxa"/>
            <w:vAlign w:val="bottom"/>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73</w:t>
              </w:r>
            </w:hyperlink>
          </w:p>
        </w:tc>
        <w:tc>
          <w:tcPr>
            <w:tcW w:w="0" w:type="dxa"/>
            <w:vAlign w:val="bottom"/>
          </w:tcPr>
          <w:p>
            <w:pPr>
              <w:spacing w:after="0"/>
              <w:rPr>
                <w:sz w:val="1"/>
                <w:szCs w:val="1"/>
                <w:color w:val="auto"/>
              </w:rPr>
            </w:pPr>
          </w:p>
        </w:tc>
      </w:tr>
      <w:tr>
        <w:trPr>
          <w:trHeight w:val="250"/>
        </w:trPr>
        <w:tc>
          <w:tcPr>
            <w:tcW w:w="640" w:type="dxa"/>
            <w:vAlign w:val="bottom"/>
            <w:tcBorders>
              <w:top w:val="single" w:sz="8" w:color="0000EE"/>
            </w:tcBorders>
            <w:gridSpan w:val="4"/>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3.</w:t>
              </w:r>
            </w:hyperlink>
          </w:p>
        </w:tc>
        <w:tc>
          <w:tcPr>
            <w:tcW w:w="6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Borders>
              <w:top w:val="single" w:sz="8" w:color="0000EE"/>
            </w:tcBorders>
            <w:gridSpan w:val="8"/>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Legal Proceedings</w:t>
              </w:r>
            </w:hyperlink>
          </w:p>
        </w:tc>
        <w:tc>
          <w:tcPr>
            <w:tcW w:w="6960" w:type="dxa"/>
            <w:vAlign w:val="bottom"/>
            <w:gridSpan w:val="19"/>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4.</w:t>
              </w:r>
            </w:hyperlink>
          </w:p>
        </w:tc>
        <w:tc>
          <w:tcPr>
            <w:tcW w:w="9240" w:type="dxa"/>
            <w:vAlign w:val="bottom"/>
            <w:gridSpan w:val="28"/>
          </w:tcPr>
          <w:p>
            <w:pPr>
              <w:ind w:left="240"/>
              <w:spacing w:after="0"/>
              <w:rPr>
                <w:rFonts w:ascii="Arial" w:cs="Arial" w:eastAsia="Arial" w:hAnsi="Arial"/>
                <w:sz w:val="18"/>
                <w:szCs w:val="18"/>
                <w:color w:val="0000EE"/>
              </w:rPr>
            </w:pPr>
            <w:hyperlink w:anchor="page73">
              <w:r>
                <w:rPr>
                  <w:rFonts w:ascii="Arial" w:cs="Arial" w:eastAsia="Arial" w:hAnsi="Arial"/>
                  <w:sz w:val="18"/>
                  <w:szCs w:val="18"/>
                  <w:color w:val="0000EE"/>
                </w:rPr>
                <w:t>Mine Safety Disclosures</w:t>
              </w:r>
            </w:hyperlink>
          </w:p>
        </w:tc>
        <w:tc>
          <w:tcPr>
            <w:tcW w:w="900" w:type="dxa"/>
            <w:vAlign w:val="bottom"/>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73</w:t>
              </w:r>
            </w:hyperlink>
          </w:p>
        </w:tc>
        <w:tc>
          <w:tcPr>
            <w:tcW w:w="0" w:type="dxa"/>
            <w:vAlign w:val="bottom"/>
          </w:tcPr>
          <w:p>
            <w:pPr>
              <w:spacing w:after="0"/>
              <w:rPr>
                <w:sz w:val="1"/>
                <w:szCs w:val="1"/>
                <w:color w:val="auto"/>
              </w:rPr>
            </w:pPr>
          </w:p>
        </w:tc>
      </w:tr>
      <w:tr>
        <w:trPr>
          <w:trHeight w:val="547"/>
        </w:trPr>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PART II</w:t>
              </w:r>
            </w:hyperlink>
          </w:p>
        </w:tc>
        <w:tc>
          <w:tcPr>
            <w:tcW w:w="4180" w:type="dxa"/>
            <w:vAlign w:val="bottom"/>
            <w:gridSpan w:val="9"/>
          </w:tcPr>
          <w:p>
            <w:pPr>
              <w:spacing w:after="0"/>
              <w:rPr>
                <w:sz w:val="24"/>
                <w:szCs w:val="24"/>
                <w:color w:val="auto"/>
              </w:rPr>
            </w:pPr>
          </w:p>
        </w:tc>
        <w:tc>
          <w:tcPr>
            <w:tcW w:w="900" w:type="dxa"/>
            <w:vAlign w:val="bottom"/>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74</w:t>
              </w:r>
            </w:hyperlink>
          </w:p>
        </w:tc>
        <w:tc>
          <w:tcPr>
            <w:tcW w:w="0" w:type="dxa"/>
            <w:vAlign w:val="bottom"/>
          </w:tcPr>
          <w:p>
            <w:pPr>
              <w:spacing w:after="0"/>
              <w:rPr>
                <w:sz w:val="1"/>
                <w:szCs w:val="1"/>
                <w:color w:val="auto"/>
              </w:rPr>
            </w:pPr>
          </w:p>
        </w:tc>
      </w:tr>
      <w:tr>
        <w:trPr>
          <w:trHeight w:val="750"/>
        </w:trPr>
        <w:tc>
          <w:tcPr>
            <w:tcW w:w="1240" w:type="dxa"/>
            <w:vAlign w:val="bottom"/>
            <w:gridSpan w:val="6"/>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5.</w:t>
              </w:r>
            </w:hyperlink>
          </w:p>
        </w:tc>
        <w:tc>
          <w:tcPr>
            <w:tcW w:w="9240" w:type="dxa"/>
            <w:vAlign w:val="bottom"/>
            <w:gridSpan w:val="28"/>
          </w:tcPr>
          <w:p>
            <w:pPr>
              <w:ind w:left="240"/>
              <w:spacing w:after="0"/>
              <w:rPr>
                <w:rFonts w:ascii="Arial" w:cs="Arial" w:eastAsia="Arial" w:hAnsi="Arial"/>
                <w:sz w:val="18"/>
                <w:szCs w:val="18"/>
                <w:color w:val="0000EE"/>
              </w:rPr>
            </w:pPr>
            <w:hyperlink w:anchor="page74">
              <w:r>
                <w:rPr>
                  <w:rFonts w:ascii="Arial" w:cs="Arial" w:eastAsia="Arial" w:hAnsi="Arial"/>
                  <w:sz w:val="18"/>
                  <w:szCs w:val="18"/>
                  <w:color w:val="0000EE"/>
                </w:rPr>
                <w:t>Market for Registrant’s Shares, Related Shareholder Matters and Issuer Purchases of Equity Securities</w:t>
              </w:r>
            </w:hyperlink>
          </w:p>
        </w:tc>
        <w:tc>
          <w:tcPr>
            <w:tcW w:w="900" w:type="dxa"/>
            <w:vAlign w:val="bottom"/>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74</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6.</w:t>
              </w:r>
            </w:hyperlink>
          </w:p>
        </w:tc>
        <w:tc>
          <w:tcPr>
            <w:tcW w:w="9240" w:type="dxa"/>
            <w:vAlign w:val="bottom"/>
            <w:gridSpan w:val="28"/>
          </w:tcPr>
          <w:p>
            <w:pPr>
              <w:ind w:left="240"/>
              <w:spacing w:after="0"/>
              <w:rPr>
                <w:rFonts w:ascii="Arial" w:cs="Arial" w:eastAsia="Arial" w:hAnsi="Arial"/>
                <w:sz w:val="18"/>
                <w:szCs w:val="18"/>
                <w:color w:val="0000EE"/>
              </w:rPr>
            </w:pPr>
            <w:hyperlink w:anchor="page76">
              <w:r>
                <w:rPr>
                  <w:rFonts w:ascii="Arial" w:cs="Arial" w:eastAsia="Arial" w:hAnsi="Arial"/>
                  <w:sz w:val="18"/>
                  <w:szCs w:val="18"/>
                  <w:color w:val="0000EE"/>
                </w:rPr>
                <w:t>Selected Financial Data</w:t>
              </w:r>
            </w:hyperlink>
          </w:p>
        </w:tc>
        <w:tc>
          <w:tcPr>
            <w:tcW w:w="900" w:type="dxa"/>
            <w:vAlign w:val="bottom"/>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76</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Item 7.</w:t>
              </w:r>
            </w:hyperlink>
          </w:p>
        </w:tc>
        <w:tc>
          <w:tcPr>
            <w:tcW w:w="9240" w:type="dxa"/>
            <w:vAlign w:val="bottom"/>
            <w:gridSpan w:val="28"/>
          </w:tcPr>
          <w:p>
            <w:pPr>
              <w:ind w:left="240"/>
              <w:spacing w:after="0"/>
              <w:rPr>
                <w:rFonts w:ascii="Arial" w:cs="Arial" w:eastAsia="Arial" w:hAnsi="Arial"/>
                <w:sz w:val="18"/>
                <w:szCs w:val="18"/>
                <w:color w:val="0000EE"/>
              </w:rPr>
            </w:pPr>
            <w:hyperlink w:anchor="page78">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11">
              <w:r>
                <w:rPr>
                  <w:rFonts w:ascii="Arial" w:cs="Arial" w:eastAsia="Arial" w:hAnsi="Arial"/>
                  <w:sz w:val="18"/>
                  <w:szCs w:val="18"/>
                  <w:color w:val="0000EE"/>
                  <w:w w:val="89"/>
                </w:rPr>
                <w:t>Item 7A.</w:t>
              </w:r>
            </w:hyperlink>
          </w:p>
        </w:tc>
        <w:tc>
          <w:tcPr>
            <w:tcW w:w="6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436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111">
              <w:r>
                <w:rPr>
                  <w:rFonts w:ascii="Arial" w:cs="Arial" w:eastAsia="Arial" w:hAnsi="Arial"/>
                  <w:sz w:val="18"/>
                  <w:szCs w:val="18"/>
                  <w:color w:val="0000EE"/>
                  <w:w w:val="92"/>
                </w:rPr>
                <w:t>Quantitative and Qualitative Disclosures About Market Risk</w:t>
              </w:r>
            </w:hyperlink>
          </w:p>
        </w:tc>
        <w:tc>
          <w:tcPr>
            <w:tcW w:w="4640" w:type="dxa"/>
            <w:vAlign w:val="bottom"/>
            <w:gridSpan w:val="11"/>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111">
              <w:r>
                <w:rPr>
                  <w:rFonts w:ascii="Arial" w:cs="Arial" w:eastAsia="Arial" w:hAnsi="Arial"/>
                  <w:sz w:val="18"/>
                  <w:szCs w:val="18"/>
                  <w:color w:val="0000EE"/>
                </w:rPr>
                <w:t>111</w:t>
              </w:r>
            </w:hyperlink>
          </w:p>
        </w:tc>
        <w:tc>
          <w:tcPr>
            <w:tcW w:w="0" w:type="dxa"/>
            <w:vAlign w:val="bottom"/>
          </w:tcPr>
          <w:p>
            <w:pPr>
              <w:spacing w:after="0"/>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Item 8.</w:t>
              </w:r>
            </w:hyperlink>
          </w:p>
        </w:tc>
        <w:tc>
          <w:tcPr>
            <w:tcW w:w="9240" w:type="dxa"/>
            <w:vAlign w:val="bottom"/>
            <w:gridSpan w:val="28"/>
          </w:tcPr>
          <w:p>
            <w:pPr>
              <w:ind w:left="240"/>
              <w:spacing w:after="0"/>
              <w:rPr>
                <w:rFonts w:ascii="Arial" w:cs="Arial" w:eastAsia="Arial" w:hAnsi="Arial"/>
                <w:sz w:val="18"/>
                <w:szCs w:val="18"/>
                <w:color w:val="0000EE"/>
              </w:rPr>
            </w:pPr>
            <w:hyperlink w:anchor="page112">
              <w:r>
                <w:rPr>
                  <w:rFonts w:ascii="Arial" w:cs="Arial" w:eastAsia="Arial" w:hAnsi="Arial"/>
                  <w:sz w:val="18"/>
                  <w:szCs w:val="18"/>
                  <w:color w:val="0000EE"/>
                </w:rPr>
                <w:t>Financial Statements and Supplementary Data</w:t>
              </w:r>
            </w:hyperlink>
          </w:p>
        </w:tc>
        <w:tc>
          <w:tcPr>
            <w:tcW w:w="900" w:type="dxa"/>
            <w:vAlign w:val="bottom"/>
          </w:tcPr>
          <w:p>
            <w:pPr>
              <w:jc w:val="right"/>
              <w:spacing w:after="0"/>
              <w:rPr>
                <w:rFonts w:ascii="Arial" w:cs="Arial" w:eastAsia="Arial" w:hAnsi="Arial"/>
                <w:sz w:val="18"/>
                <w:szCs w:val="18"/>
                <w:color w:val="0000EE"/>
              </w:rPr>
            </w:pPr>
            <w:hyperlink w:anchor="page112">
              <w:r>
                <w:rPr>
                  <w:rFonts w:ascii="Arial" w:cs="Arial" w:eastAsia="Arial" w:hAnsi="Arial"/>
                  <w:sz w:val="18"/>
                  <w:szCs w:val="18"/>
                  <w:color w:val="0000EE"/>
                </w:rPr>
                <w:t>112</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Item 9.</w:t>
              </w:r>
            </w:hyperlink>
          </w:p>
        </w:tc>
        <w:tc>
          <w:tcPr>
            <w:tcW w:w="9240" w:type="dxa"/>
            <w:vAlign w:val="bottom"/>
            <w:gridSpan w:val="28"/>
          </w:tcPr>
          <w:p>
            <w:pPr>
              <w:ind w:left="240"/>
              <w:spacing w:after="0"/>
              <w:rPr>
                <w:rFonts w:ascii="Arial" w:cs="Arial" w:eastAsia="Arial" w:hAnsi="Arial"/>
                <w:sz w:val="18"/>
                <w:szCs w:val="18"/>
                <w:color w:val="0000EE"/>
              </w:rPr>
            </w:pPr>
            <w:hyperlink w:anchor="page112">
              <w:r>
                <w:rPr>
                  <w:rFonts w:ascii="Arial" w:cs="Arial" w:eastAsia="Arial" w:hAnsi="Arial"/>
                  <w:sz w:val="18"/>
                  <w:szCs w:val="18"/>
                  <w:color w:val="0000EE"/>
                </w:rPr>
                <w:t>Changes in and Disagreements With Accountants on Accounting and Financial Disclosure</w:t>
              </w:r>
            </w:hyperlink>
          </w:p>
        </w:tc>
        <w:tc>
          <w:tcPr>
            <w:tcW w:w="900" w:type="dxa"/>
            <w:vAlign w:val="bottom"/>
          </w:tcPr>
          <w:p>
            <w:pPr>
              <w:jc w:val="right"/>
              <w:spacing w:after="0"/>
              <w:rPr>
                <w:rFonts w:ascii="Arial" w:cs="Arial" w:eastAsia="Arial" w:hAnsi="Arial"/>
                <w:sz w:val="18"/>
                <w:szCs w:val="18"/>
                <w:color w:val="0000EE"/>
              </w:rPr>
            </w:pPr>
            <w:hyperlink w:anchor="page112">
              <w:r>
                <w:rPr>
                  <w:rFonts w:ascii="Arial" w:cs="Arial" w:eastAsia="Arial" w:hAnsi="Arial"/>
                  <w:sz w:val="18"/>
                  <w:szCs w:val="18"/>
                  <w:color w:val="0000EE"/>
                </w:rPr>
                <w:t>112</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12">
              <w:r>
                <w:rPr>
                  <w:rFonts w:ascii="Arial" w:cs="Arial" w:eastAsia="Arial" w:hAnsi="Arial"/>
                  <w:sz w:val="18"/>
                  <w:szCs w:val="18"/>
                  <w:color w:val="0000EE"/>
                  <w:w w:val="89"/>
                </w:rPr>
                <w:t>Item 9A.</w:t>
              </w:r>
            </w:hyperlink>
          </w:p>
        </w:tc>
        <w:tc>
          <w:tcPr>
            <w:tcW w:w="6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112">
              <w:r>
                <w:rPr>
                  <w:rFonts w:ascii="Arial" w:cs="Arial" w:eastAsia="Arial" w:hAnsi="Arial"/>
                  <w:sz w:val="18"/>
                  <w:szCs w:val="18"/>
                  <w:color w:val="0000EE"/>
                  <w:w w:val="88"/>
                </w:rPr>
                <w:t>Controls and Procedures</w:t>
              </w:r>
            </w:hyperlink>
          </w:p>
        </w:tc>
        <w:tc>
          <w:tcPr>
            <w:tcW w:w="7220" w:type="dxa"/>
            <w:vAlign w:val="bottom"/>
            <w:gridSpan w:val="21"/>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112">
              <w:r>
                <w:rPr>
                  <w:rFonts w:ascii="Arial" w:cs="Arial" w:eastAsia="Arial" w:hAnsi="Arial"/>
                  <w:sz w:val="18"/>
                  <w:szCs w:val="18"/>
                  <w:color w:val="0000EE"/>
                </w:rPr>
                <w:t>112</w:t>
              </w:r>
            </w:hyperlink>
          </w:p>
        </w:tc>
        <w:tc>
          <w:tcPr>
            <w:tcW w:w="0" w:type="dxa"/>
            <w:vAlign w:val="bottom"/>
          </w:tcPr>
          <w:p>
            <w:pPr>
              <w:spacing w:after="0"/>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Item 9B.</w:t>
              </w:r>
            </w:hyperlink>
          </w:p>
        </w:tc>
        <w:tc>
          <w:tcPr>
            <w:tcW w:w="9240" w:type="dxa"/>
            <w:vAlign w:val="bottom"/>
            <w:gridSpan w:val="28"/>
          </w:tcPr>
          <w:p>
            <w:pPr>
              <w:ind w:left="240"/>
              <w:spacing w:after="0"/>
              <w:rPr>
                <w:rFonts w:ascii="Arial" w:cs="Arial" w:eastAsia="Arial" w:hAnsi="Arial"/>
                <w:sz w:val="18"/>
                <w:szCs w:val="18"/>
                <w:color w:val="0000EE"/>
              </w:rPr>
            </w:pPr>
            <w:hyperlink w:anchor="page113">
              <w:r>
                <w:rPr>
                  <w:rFonts w:ascii="Arial" w:cs="Arial" w:eastAsia="Arial" w:hAnsi="Arial"/>
                  <w:sz w:val="18"/>
                  <w:szCs w:val="18"/>
                  <w:color w:val="0000EE"/>
                </w:rPr>
                <w:t>Other Information</w:t>
              </w:r>
            </w:hyperlink>
          </w:p>
        </w:tc>
        <w:tc>
          <w:tcPr>
            <w:tcW w:w="900" w:type="dxa"/>
            <w:vAlign w:val="bottom"/>
          </w:tcPr>
          <w:p>
            <w:pPr>
              <w:jc w:val="right"/>
              <w:spacing w:after="0"/>
              <w:rPr>
                <w:rFonts w:ascii="Arial" w:cs="Arial" w:eastAsia="Arial" w:hAnsi="Arial"/>
                <w:sz w:val="18"/>
                <w:szCs w:val="18"/>
                <w:color w:val="0000EE"/>
              </w:rPr>
            </w:pPr>
            <w:hyperlink w:anchor="page113">
              <w:r>
                <w:rPr>
                  <w:rFonts w:ascii="Arial" w:cs="Arial" w:eastAsia="Arial" w:hAnsi="Arial"/>
                  <w:sz w:val="18"/>
                  <w:szCs w:val="18"/>
                  <w:color w:val="0000EE"/>
                </w:rPr>
                <w:t>113</w:t>
              </w:r>
            </w:hyperlink>
          </w:p>
        </w:tc>
        <w:tc>
          <w:tcPr>
            <w:tcW w:w="0" w:type="dxa"/>
            <w:vAlign w:val="bottom"/>
          </w:tcPr>
          <w:p>
            <w:pPr>
              <w:spacing w:after="0"/>
              <w:rPr>
                <w:sz w:val="1"/>
                <w:szCs w:val="1"/>
                <w:color w:val="auto"/>
              </w:rPr>
            </w:pPr>
          </w:p>
        </w:tc>
      </w:tr>
      <w:tr>
        <w:trPr>
          <w:trHeight w:val="547"/>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114">
              <w:r>
                <w:rPr>
                  <w:rFonts w:ascii="Arial" w:cs="Arial" w:eastAsia="Arial" w:hAnsi="Arial"/>
                  <w:sz w:val="18"/>
                  <w:szCs w:val="18"/>
                  <w:b w:val="1"/>
                  <w:bCs w:val="1"/>
                  <w:color w:val="0000EE"/>
                </w:rPr>
                <w:t>PART III</w:t>
              </w:r>
            </w:hyperlink>
          </w:p>
        </w:tc>
        <w:tc>
          <w:tcPr>
            <w:tcW w:w="4140" w:type="dxa"/>
            <w:vAlign w:val="bottom"/>
            <w:gridSpan w:val="7"/>
          </w:tcPr>
          <w:p>
            <w:pPr>
              <w:spacing w:after="0"/>
              <w:rPr>
                <w:sz w:val="24"/>
                <w:szCs w:val="24"/>
                <w:color w:val="auto"/>
              </w:rPr>
            </w:pPr>
          </w:p>
        </w:tc>
        <w:tc>
          <w:tcPr>
            <w:tcW w:w="900" w:type="dxa"/>
            <w:vAlign w:val="bottom"/>
          </w:tcPr>
          <w:p>
            <w:pPr>
              <w:jc w:val="right"/>
              <w:spacing w:after="0"/>
              <w:rPr>
                <w:rFonts w:ascii="Arial" w:cs="Arial" w:eastAsia="Arial" w:hAnsi="Arial"/>
                <w:sz w:val="18"/>
                <w:szCs w:val="18"/>
                <w:color w:val="0000EE"/>
              </w:rPr>
            </w:pPr>
            <w:hyperlink w:anchor="page114">
              <w:r>
                <w:rPr>
                  <w:rFonts w:ascii="Arial" w:cs="Arial" w:eastAsia="Arial" w:hAnsi="Arial"/>
                  <w:sz w:val="18"/>
                  <w:szCs w:val="18"/>
                  <w:color w:val="0000EE"/>
                </w:rPr>
                <w:t>114</w:t>
              </w:r>
            </w:hyperlink>
          </w:p>
        </w:tc>
        <w:tc>
          <w:tcPr>
            <w:tcW w:w="0" w:type="dxa"/>
            <w:vAlign w:val="bottom"/>
          </w:tcPr>
          <w:p>
            <w:pPr>
              <w:spacing w:after="0"/>
              <w:rPr>
                <w:sz w:val="1"/>
                <w:szCs w:val="1"/>
                <w:color w:val="auto"/>
              </w:rPr>
            </w:pPr>
          </w:p>
        </w:tc>
      </w:tr>
      <w:tr>
        <w:trPr>
          <w:trHeight w:val="574"/>
        </w:trPr>
        <w:tc>
          <w:tcPr>
            <w:tcW w:w="6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14">
              <w:r>
                <w:rPr>
                  <w:rFonts w:ascii="Arial" w:cs="Arial" w:eastAsia="Arial" w:hAnsi="Arial"/>
                  <w:sz w:val="18"/>
                  <w:szCs w:val="18"/>
                  <w:color w:val="0000EE"/>
                  <w:w w:val="89"/>
                </w:rPr>
                <w:t>Item 10.</w:t>
              </w:r>
            </w:hyperlink>
          </w:p>
        </w:tc>
        <w:tc>
          <w:tcPr>
            <w:tcW w:w="64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606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114">
              <w:r>
                <w:rPr>
                  <w:rFonts w:ascii="Arial" w:cs="Arial" w:eastAsia="Arial" w:hAnsi="Arial"/>
                  <w:sz w:val="18"/>
                  <w:szCs w:val="18"/>
                  <w:color w:val="0000EE"/>
                  <w:w w:val="90"/>
                </w:rPr>
                <w:t>Directors and Executive Officers of Our General Partner and Corporate Governance</w:t>
              </w:r>
            </w:hyperlink>
          </w:p>
        </w:tc>
        <w:tc>
          <w:tcPr>
            <w:tcW w:w="2940" w:type="dxa"/>
            <w:vAlign w:val="bottom"/>
            <w:gridSpan w:val="5"/>
          </w:tcPr>
          <w:p>
            <w:pPr>
              <w:spacing w:after="0"/>
              <w:rPr>
                <w:sz w:val="24"/>
                <w:szCs w:val="24"/>
                <w:color w:val="auto"/>
              </w:rPr>
            </w:pPr>
          </w:p>
        </w:tc>
        <w:tc>
          <w:tcPr>
            <w:tcW w:w="900" w:type="dxa"/>
            <w:vAlign w:val="bottom"/>
          </w:tcPr>
          <w:p>
            <w:pPr>
              <w:jc w:val="right"/>
              <w:spacing w:after="0"/>
              <w:rPr>
                <w:rFonts w:ascii="Arial" w:cs="Arial" w:eastAsia="Arial" w:hAnsi="Arial"/>
                <w:sz w:val="18"/>
                <w:szCs w:val="18"/>
                <w:color w:val="0000EE"/>
              </w:rPr>
            </w:pPr>
            <w:hyperlink w:anchor="page114">
              <w:r>
                <w:rPr>
                  <w:rFonts w:ascii="Arial" w:cs="Arial" w:eastAsia="Arial" w:hAnsi="Arial"/>
                  <w:sz w:val="18"/>
                  <w:szCs w:val="18"/>
                  <w:color w:val="0000EE"/>
                </w:rPr>
                <w:t>114</w:t>
              </w:r>
            </w:hyperlink>
          </w:p>
        </w:tc>
        <w:tc>
          <w:tcPr>
            <w:tcW w:w="0" w:type="dxa"/>
            <w:vAlign w:val="bottom"/>
          </w:tcPr>
          <w:p>
            <w:pPr>
              <w:spacing w:after="0"/>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Item 11.</w:t>
              </w:r>
            </w:hyperlink>
          </w:p>
        </w:tc>
        <w:tc>
          <w:tcPr>
            <w:tcW w:w="9240" w:type="dxa"/>
            <w:vAlign w:val="bottom"/>
            <w:gridSpan w:val="28"/>
          </w:tcPr>
          <w:p>
            <w:pPr>
              <w:ind w:left="240"/>
              <w:spacing w:after="0"/>
              <w:rPr>
                <w:rFonts w:ascii="Arial" w:cs="Arial" w:eastAsia="Arial" w:hAnsi="Arial"/>
                <w:sz w:val="18"/>
                <w:szCs w:val="18"/>
                <w:color w:val="0000EE"/>
              </w:rPr>
            </w:pPr>
            <w:hyperlink w:anchor="page114">
              <w:r>
                <w:rPr>
                  <w:rFonts w:ascii="Arial" w:cs="Arial" w:eastAsia="Arial" w:hAnsi="Arial"/>
                  <w:sz w:val="18"/>
                  <w:szCs w:val="18"/>
                  <w:color w:val="0000EE"/>
                </w:rPr>
                <w:t>Executive Compensation</w:t>
              </w:r>
            </w:hyperlink>
          </w:p>
        </w:tc>
        <w:tc>
          <w:tcPr>
            <w:tcW w:w="900" w:type="dxa"/>
            <w:vAlign w:val="bottom"/>
          </w:tcPr>
          <w:p>
            <w:pPr>
              <w:jc w:val="right"/>
              <w:spacing w:after="0"/>
              <w:rPr>
                <w:rFonts w:ascii="Arial" w:cs="Arial" w:eastAsia="Arial" w:hAnsi="Arial"/>
                <w:sz w:val="18"/>
                <w:szCs w:val="18"/>
                <w:color w:val="0000EE"/>
              </w:rPr>
            </w:pPr>
            <w:hyperlink w:anchor="page114">
              <w:r>
                <w:rPr>
                  <w:rFonts w:ascii="Arial" w:cs="Arial" w:eastAsia="Arial" w:hAnsi="Arial"/>
                  <w:sz w:val="18"/>
                  <w:szCs w:val="18"/>
                  <w:color w:val="0000EE"/>
                </w:rPr>
                <w:t>114</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14">
              <w:r>
                <w:rPr>
                  <w:rFonts w:ascii="Arial" w:cs="Arial" w:eastAsia="Arial" w:hAnsi="Arial"/>
                  <w:sz w:val="18"/>
                  <w:szCs w:val="18"/>
                  <w:color w:val="0000EE"/>
                  <w:w w:val="89"/>
                </w:rPr>
                <w:t>Item 12.</w:t>
              </w:r>
            </w:hyperlink>
          </w:p>
        </w:tc>
        <w:tc>
          <w:tcPr>
            <w:tcW w:w="64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730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114">
              <w:r>
                <w:rPr>
                  <w:rFonts w:ascii="Arial" w:cs="Arial" w:eastAsia="Arial" w:hAnsi="Arial"/>
                  <w:sz w:val="18"/>
                  <w:szCs w:val="18"/>
                  <w:color w:val="0000EE"/>
                  <w:w w:val="90"/>
                </w:rPr>
                <w:t>Security Ownership of Certain Beneficial Owners and Management and Related Shareholder Matters</w:t>
              </w:r>
            </w:hyperlink>
          </w:p>
        </w:tc>
        <w:tc>
          <w:tcPr>
            <w:tcW w:w="1700" w:type="dxa"/>
            <w:vAlign w:val="bottom"/>
            <w:gridSpan w:val="2"/>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114">
              <w:r>
                <w:rPr>
                  <w:rFonts w:ascii="Arial" w:cs="Arial" w:eastAsia="Arial" w:hAnsi="Arial"/>
                  <w:sz w:val="18"/>
                  <w:szCs w:val="18"/>
                  <w:color w:val="0000EE"/>
                </w:rPr>
                <w:t>114</w:t>
              </w:r>
            </w:hyperlink>
          </w:p>
        </w:tc>
        <w:tc>
          <w:tcPr>
            <w:tcW w:w="0" w:type="dxa"/>
            <w:vAlign w:val="bottom"/>
          </w:tcPr>
          <w:p>
            <w:pPr>
              <w:spacing w:after="0"/>
              <w:rPr>
                <w:sz w:val="1"/>
                <w:szCs w:val="1"/>
                <w:color w:val="auto"/>
              </w:rPr>
            </w:pPr>
          </w:p>
        </w:tc>
      </w:tr>
      <w:tr>
        <w:trPr>
          <w:trHeight w:val="250"/>
        </w:trPr>
        <w:tc>
          <w:tcPr>
            <w:tcW w:w="6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15">
              <w:r>
                <w:rPr>
                  <w:rFonts w:ascii="Arial" w:cs="Arial" w:eastAsia="Arial" w:hAnsi="Arial"/>
                  <w:sz w:val="18"/>
                  <w:szCs w:val="18"/>
                  <w:color w:val="0000EE"/>
                  <w:w w:val="89"/>
                </w:rPr>
                <w:t>Item 13.</w:t>
              </w:r>
            </w:hyperlink>
          </w:p>
        </w:tc>
        <w:tc>
          <w:tcPr>
            <w:tcW w:w="64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546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115">
              <w:r>
                <w:rPr>
                  <w:rFonts w:ascii="Arial" w:cs="Arial" w:eastAsia="Arial" w:hAnsi="Arial"/>
                  <w:sz w:val="18"/>
                  <w:szCs w:val="18"/>
                  <w:color w:val="0000EE"/>
                  <w:w w:val="89"/>
                </w:rPr>
                <w:t>Certain Relationships and Related Transactions, and Director Independence</w:t>
              </w:r>
            </w:hyperlink>
          </w:p>
        </w:tc>
        <w:tc>
          <w:tcPr>
            <w:tcW w:w="3540" w:type="dxa"/>
            <w:vAlign w:val="bottom"/>
            <w:gridSpan w:val="6"/>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115">
              <w:r>
                <w:rPr>
                  <w:rFonts w:ascii="Arial" w:cs="Arial" w:eastAsia="Arial" w:hAnsi="Arial"/>
                  <w:sz w:val="18"/>
                  <w:szCs w:val="18"/>
                  <w:color w:val="0000EE"/>
                </w:rPr>
                <w:t>115</w:t>
              </w:r>
            </w:hyperlink>
          </w:p>
        </w:tc>
        <w:tc>
          <w:tcPr>
            <w:tcW w:w="0" w:type="dxa"/>
            <w:vAlign w:val="bottom"/>
          </w:tcPr>
          <w:p>
            <w:pPr>
              <w:spacing w:after="0"/>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Item 14.</w:t>
              </w:r>
            </w:hyperlink>
          </w:p>
        </w:tc>
        <w:tc>
          <w:tcPr>
            <w:tcW w:w="9240" w:type="dxa"/>
            <w:vAlign w:val="bottom"/>
            <w:gridSpan w:val="28"/>
          </w:tcPr>
          <w:p>
            <w:pPr>
              <w:ind w:left="240"/>
              <w:spacing w:after="0"/>
              <w:rPr>
                <w:rFonts w:ascii="Arial" w:cs="Arial" w:eastAsia="Arial" w:hAnsi="Arial"/>
                <w:sz w:val="18"/>
                <w:szCs w:val="18"/>
                <w:color w:val="0000EE"/>
              </w:rPr>
            </w:pPr>
            <w:hyperlink w:anchor="page115">
              <w:r>
                <w:rPr>
                  <w:rFonts w:ascii="Arial" w:cs="Arial" w:eastAsia="Arial" w:hAnsi="Arial"/>
                  <w:sz w:val="18"/>
                  <w:szCs w:val="18"/>
                  <w:color w:val="0000EE"/>
                </w:rPr>
                <w:t>Principal Accountant Fees and Services</w:t>
              </w:r>
            </w:hyperlink>
          </w:p>
        </w:tc>
        <w:tc>
          <w:tcPr>
            <w:tcW w:w="900" w:type="dxa"/>
            <w:vAlign w:val="bottom"/>
          </w:tcPr>
          <w:p>
            <w:pPr>
              <w:jc w:val="right"/>
              <w:spacing w:after="0"/>
              <w:rPr>
                <w:rFonts w:ascii="Arial" w:cs="Arial" w:eastAsia="Arial" w:hAnsi="Arial"/>
                <w:sz w:val="18"/>
                <w:szCs w:val="18"/>
                <w:color w:val="0000EE"/>
              </w:rPr>
            </w:pPr>
            <w:hyperlink w:anchor="page115">
              <w:r>
                <w:rPr>
                  <w:rFonts w:ascii="Arial" w:cs="Arial" w:eastAsia="Arial" w:hAnsi="Arial"/>
                  <w:sz w:val="18"/>
                  <w:szCs w:val="18"/>
                  <w:color w:val="0000EE"/>
                </w:rPr>
                <w:t>115</w:t>
              </w:r>
            </w:hyperlink>
          </w:p>
        </w:tc>
        <w:tc>
          <w:tcPr>
            <w:tcW w:w="0" w:type="dxa"/>
            <w:vAlign w:val="bottom"/>
          </w:tcPr>
          <w:p>
            <w:pPr>
              <w:spacing w:after="0"/>
              <w:rPr>
                <w:sz w:val="1"/>
                <w:szCs w:val="1"/>
                <w:color w:val="auto"/>
              </w:rPr>
            </w:pPr>
          </w:p>
        </w:tc>
      </w:tr>
      <w:tr>
        <w:trPr>
          <w:trHeight w:val="547"/>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60" w:type="dxa"/>
            <w:vAlign w:val="bottom"/>
            <w:gridSpan w:val="14"/>
          </w:tcPr>
          <w:p>
            <w:pPr>
              <w:jc w:val="center"/>
              <w:ind w:right="4160"/>
              <w:spacing w:after="0"/>
              <w:rPr>
                <w:rFonts w:ascii="Arial" w:cs="Arial" w:eastAsia="Arial" w:hAnsi="Arial"/>
                <w:sz w:val="18"/>
                <w:szCs w:val="18"/>
                <w:b w:val="1"/>
                <w:bCs w:val="1"/>
                <w:color w:val="0000EE"/>
                <w:w w:val="98"/>
              </w:rPr>
            </w:pPr>
            <w:hyperlink w:anchor="page116">
              <w:r>
                <w:rPr>
                  <w:rFonts w:ascii="Arial" w:cs="Arial" w:eastAsia="Arial" w:hAnsi="Arial"/>
                  <w:sz w:val="18"/>
                  <w:szCs w:val="18"/>
                  <w:b w:val="1"/>
                  <w:bCs w:val="1"/>
                  <w:color w:val="0000EE"/>
                  <w:w w:val="98"/>
                </w:rPr>
                <w:t>PART IV</w:t>
              </w:r>
            </w:hyperlink>
          </w:p>
        </w:tc>
        <w:tc>
          <w:tcPr>
            <w:tcW w:w="900" w:type="dxa"/>
            <w:vAlign w:val="bottom"/>
          </w:tcPr>
          <w:p>
            <w:pPr>
              <w:jc w:val="right"/>
              <w:spacing w:after="0"/>
              <w:rPr>
                <w:rFonts w:ascii="Arial" w:cs="Arial" w:eastAsia="Arial" w:hAnsi="Arial"/>
                <w:sz w:val="18"/>
                <w:szCs w:val="18"/>
                <w:color w:val="0000EE"/>
              </w:rPr>
            </w:pPr>
            <w:hyperlink w:anchor="page116">
              <w:r>
                <w:rPr>
                  <w:rFonts w:ascii="Arial" w:cs="Arial" w:eastAsia="Arial" w:hAnsi="Arial"/>
                  <w:sz w:val="18"/>
                  <w:szCs w:val="18"/>
                  <w:color w:val="0000EE"/>
                </w:rPr>
                <w:t>116</w:t>
              </w:r>
            </w:hyperlink>
          </w:p>
        </w:tc>
        <w:tc>
          <w:tcPr>
            <w:tcW w:w="0" w:type="dxa"/>
            <w:vAlign w:val="bottom"/>
          </w:tcPr>
          <w:p>
            <w:pPr>
              <w:spacing w:after="0"/>
              <w:rPr>
                <w:sz w:val="1"/>
                <w:szCs w:val="1"/>
                <w:color w:val="auto"/>
              </w:rPr>
            </w:pPr>
          </w:p>
        </w:tc>
      </w:tr>
      <w:tr>
        <w:trPr>
          <w:trHeight w:val="574"/>
        </w:trPr>
        <w:tc>
          <w:tcPr>
            <w:tcW w:w="6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16">
              <w:r>
                <w:rPr>
                  <w:rFonts w:ascii="Arial" w:cs="Arial" w:eastAsia="Arial" w:hAnsi="Arial"/>
                  <w:sz w:val="18"/>
                  <w:szCs w:val="18"/>
                  <w:color w:val="0000EE"/>
                  <w:w w:val="89"/>
                </w:rPr>
                <w:t>Item 15.</w:t>
              </w:r>
            </w:hyperlink>
          </w:p>
        </w:tc>
        <w:tc>
          <w:tcPr>
            <w:tcW w:w="64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16">
              <w:r>
                <w:rPr>
                  <w:rFonts w:ascii="Arial" w:cs="Arial" w:eastAsia="Arial" w:hAnsi="Arial"/>
                  <w:sz w:val="18"/>
                  <w:szCs w:val="18"/>
                  <w:color w:val="0000EE"/>
                  <w:w w:val="89"/>
                </w:rPr>
                <w:t>Exhibits and Financial Statement Schedules</w:t>
              </w:r>
            </w:hyperlink>
          </w:p>
        </w:tc>
        <w:tc>
          <w:tcPr>
            <w:tcW w:w="980" w:type="dxa"/>
            <w:vAlign w:val="bottom"/>
            <w:gridSpan w:val="3"/>
          </w:tcPr>
          <w:p>
            <w:pPr>
              <w:spacing w:after="0"/>
              <w:rPr>
                <w:sz w:val="24"/>
                <w:szCs w:val="24"/>
                <w:color w:val="auto"/>
              </w:rPr>
            </w:pPr>
          </w:p>
        </w:tc>
        <w:tc>
          <w:tcPr>
            <w:tcW w:w="700" w:type="dxa"/>
            <w:vAlign w:val="bottom"/>
            <w:tcBorders>
              <w:top w:val="single" w:sz="8" w:color="0000EE"/>
            </w:tcBorders>
            <w:gridSpan w:val="6"/>
          </w:tcPr>
          <w:p>
            <w:pPr>
              <w:spacing w:after="0"/>
              <w:rPr>
                <w:sz w:val="24"/>
                <w:szCs w:val="24"/>
                <w:color w:val="auto"/>
              </w:rPr>
            </w:pPr>
          </w:p>
        </w:tc>
        <w:tc>
          <w:tcPr>
            <w:tcW w:w="4160" w:type="dxa"/>
            <w:vAlign w:val="bottom"/>
            <w:gridSpan w:val="8"/>
          </w:tcPr>
          <w:p>
            <w:pPr>
              <w:spacing w:after="0"/>
              <w:rPr>
                <w:sz w:val="24"/>
                <w:szCs w:val="24"/>
                <w:color w:val="auto"/>
              </w:rPr>
            </w:pPr>
          </w:p>
        </w:tc>
        <w:tc>
          <w:tcPr>
            <w:tcW w:w="900" w:type="dxa"/>
            <w:vAlign w:val="bottom"/>
          </w:tcPr>
          <w:p>
            <w:pPr>
              <w:jc w:val="right"/>
              <w:spacing w:after="0"/>
              <w:rPr>
                <w:rFonts w:ascii="Arial" w:cs="Arial" w:eastAsia="Arial" w:hAnsi="Arial"/>
                <w:sz w:val="18"/>
                <w:szCs w:val="18"/>
                <w:color w:val="0000EE"/>
              </w:rPr>
            </w:pPr>
            <w:hyperlink w:anchor="page116">
              <w:r>
                <w:rPr>
                  <w:rFonts w:ascii="Arial" w:cs="Arial" w:eastAsia="Arial" w:hAnsi="Arial"/>
                  <w:sz w:val="18"/>
                  <w:szCs w:val="18"/>
                  <w:color w:val="0000EE"/>
                </w:rPr>
                <w:t>116</w:t>
              </w:r>
            </w:hyperlink>
          </w:p>
        </w:tc>
        <w:tc>
          <w:tcPr>
            <w:tcW w:w="0" w:type="dxa"/>
            <w:vAlign w:val="bottom"/>
          </w:tcPr>
          <w:p>
            <w:pPr>
              <w:spacing w:after="0"/>
              <w:rPr>
                <w:sz w:val="1"/>
                <w:szCs w:val="1"/>
                <w:color w:val="auto"/>
              </w:rPr>
            </w:pPr>
          </w:p>
        </w:tc>
      </w:tr>
      <w:tr>
        <w:trPr>
          <w:trHeight w:val="250"/>
        </w:trPr>
        <w:tc>
          <w:tcPr>
            <w:tcW w:w="6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23">
              <w:r>
                <w:rPr>
                  <w:rFonts w:ascii="Arial" w:cs="Arial" w:eastAsia="Arial" w:hAnsi="Arial"/>
                  <w:sz w:val="18"/>
                  <w:szCs w:val="18"/>
                  <w:color w:val="0000EE"/>
                  <w:w w:val="89"/>
                </w:rPr>
                <w:t>Item 16.</w:t>
              </w:r>
            </w:hyperlink>
          </w:p>
        </w:tc>
        <w:tc>
          <w:tcPr>
            <w:tcW w:w="64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123">
              <w:r>
                <w:rPr>
                  <w:rFonts w:ascii="Arial" w:cs="Arial" w:eastAsia="Arial" w:hAnsi="Arial"/>
                  <w:sz w:val="18"/>
                  <w:szCs w:val="18"/>
                  <w:color w:val="0000EE"/>
                  <w:w w:val="92"/>
                </w:rPr>
                <w:t>Form 10-K Summary</w:t>
              </w:r>
            </w:hyperlink>
          </w:p>
        </w:tc>
        <w:tc>
          <w:tcPr>
            <w:tcW w:w="7440" w:type="dxa"/>
            <w:vAlign w:val="bottom"/>
            <w:gridSpan w:val="24"/>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123">
              <w:r>
                <w:rPr>
                  <w:rFonts w:ascii="Arial" w:cs="Arial" w:eastAsia="Arial" w:hAnsi="Arial"/>
                  <w:sz w:val="18"/>
                  <w:szCs w:val="18"/>
                  <w:color w:val="0000EE"/>
                </w:rPr>
                <w:t>123</w:t>
              </w:r>
            </w:hyperlink>
          </w:p>
        </w:tc>
        <w:tc>
          <w:tcPr>
            <w:tcW w:w="0" w:type="dxa"/>
            <w:vAlign w:val="bottom"/>
          </w:tcPr>
          <w:p>
            <w:pPr>
              <w:spacing w:after="0"/>
              <w:rPr>
                <w:sz w:val="1"/>
                <w:szCs w:val="1"/>
                <w:color w:val="auto"/>
              </w:rPr>
            </w:pPr>
          </w:p>
        </w:tc>
      </w:tr>
      <w:tr>
        <w:trPr>
          <w:trHeight w:val="723"/>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0" w:type="dxa"/>
            <w:vAlign w:val="bottom"/>
            <w:gridSpan w:val="17"/>
          </w:tcPr>
          <w:p>
            <w:pPr>
              <w:jc w:val="right"/>
              <w:ind w:right="3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33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w:t>
      </w:r>
    </w:p>
    <w:p>
      <w:pPr>
        <w:spacing w:after="0" w:line="225" w:lineRule="exact"/>
        <w:rPr>
          <w:rFonts w:ascii="Arial" w:cs="Arial" w:eastAsia="Arial" w:hAnsi="Arial"/>
          <w:sz w:val="18"/>
          <w:szCs w:val="18"/>
          <w:color w:val="auto"/>
        </w:rPr>
      </w:pPr>
    </w:p>
    <w:p>
      <w:pPr>
        <w:ind w:left="980" w:hanging="324"/>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 including the effects of capacity overbuild in areas where we operate;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market distortions caused by over-commitments to infrastructure projects, which impacts volumes, margins, returns and overall earnings;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suppliers and trade counterparties;</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cyber or other attacks on our electronic and computer systems;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236" w:lineRule="exact"/>
        <w:rPr>
          <w:rFonts w:ascii="Arial" w:cs="Arial" w:eastAsia="Arial" w:hAnsi="Arial"/>
          <w:sz w:val="17"/>
          <w:szCs w:val="17"/>
          <w:color w:val="auto"/>
        </w:rPr>
      </w:pPr>
    </w:p>
    <w:p>
      <w:pPr>
        <w:ind w:left="980" w:right="260" w:hanging="324"/>
        <w:spacing w:after="0" w:line="34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historical operations;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ectPr>
          <w:pgSz w:w="11900" w:h="16838" w:orient="portrait"/>
          <w:cols w:equalWidth="0" w:num="1">
            <w:col w:w="11400"/>
          </w:cols>
          <w:pgMar w:left="240" w:top="125" w:right="259"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5" w:right="25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PAA’s units at the time of vesting under its long-term incentive plans;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related to the development and operation of our assets, including our ability to satisfy our contractual obligations to our customers;</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62"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natural gas liquids.</w:t>
      </w:r>
    </w:p>
    <w:p>
      <w:pPr>
        <w:spacing w:after="0" w:line="62"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Item 1A. “Risk Factors.” Except as required by applicable securities laws, we do not intend to update these forward-looking statements and information.</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Items 1 and 2. </w:t>
      </w:r>
      <w:r>
        <w:rPr>
          <w:rFonts w:ascii="Arial" w:cs="Arial" w:eastAsia="Arial" w:hAnsi="Arial"/>
          <w:sz w:val="18"/>
          <w:szCs w:val="18"/>
          <w:b w:val="1"/>
          <w:bCs w:val="1"/>
          <w:i w:val="1"/>
          <w:iCs w:val="1"/>
          <w:color w:val="auto"/>
        </w:rPr>
        <w:t>Business and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Plains GP Holdings, L.P. (“PAGP”) is a Delaware limited partnership formed in July 2013 that has elected to be taxed as a corporation for United States federal income tax purposes. PAGP does not directly own any operating assets; as of December 31, 2018, its principal sources of cash flow are derived from an indirect investment in Plains All American Pipeline, L.P (“PAA”), a publicly traded Delaware limited partnership. As used in this Form 10-K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History</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completed our initial public offering (“IPO”) in October 2013, and our Class A shares are publicly traded on the New York Stock Exchange under the ticker symbol “PAGP”. Immediately prior to completion of our IPO, certain owners of Plains AAP, L.P. (“AAP”) transferred a portion of their interests in AAP to us, resulting in our ownership of a limited partnership interest in AAP. As of December 31, 2018, we owned (i) a 100% managing member interest in Plains All American GP LLC (“GP LLC”), which has also elected to be taxed as a corporation for United States federal income tax purposes, and</w:t>
      </w:r>
    </w:p>
    <w:p>
      <w:pPr>
        <w:spacing w:after="0" w:line="2" w:lineRule="exact"/>
        <w:rPr>
          <w:sz w:val="20"/>
          <w:szCs w:val="20"/>
          <w:color w:val="auto"/>
        </w:rPr>
      </w:pPr>
    </w:p>
    <w:p>
      <w:pPr>
        <w:ind w:right="200" w:firstLine="8"/>
        <w:spacing w:after="0" w:line="254" w:lineRule="auto"/>
        <w:tabs>
          <w:tab w:leader="none" w:pos="265"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approximate 57% limited partner interest in AAP through our direct ownership of approximately 158.5 million Class A units of AAP (“AAP units”) and indirect ownership of approximately 1.0 million AAP units through GP LLC. As of such date, the remaining limited partner interests in AAP were held by a group of owners that included many of the owners of AAP immediately prior to our IPO and various current and former members of management (collectively, the “Legacy Owners”).</w:t>
      </w:r>
    </w:p>
    <w:p>
      <w:pPr>
        <w:spacing w:after="0" w:line="190"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GP LLC is a Delaware limited liability company that also holds the non-economic general partner interest in AAP. AAP is a Delaware limited partnership that, as of December 31, 2018, directly owned a limited partner interest in PAA through its ownership of approximately 280.5 million PAA common units (approximately 35% of PAA’s total outstanding common units and Series A preferred units combined (together, “PAA Common Unit Equivalents”)). AAP is the sole member of PAA GP LLC (“PAA GP”), a Delaware limited liability company that directly holds the non-economic general partner interest in PAA. Our non-economic general partner interest is held by PAA GP Holdings LLC (“PAGP GP”), a Delaware limited liability company.</w:t>
      </w:r>
    </w:p>
    <w:p>
      <w:pPr>
        <w:spacing w:after="0" w:line="158"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PAA is a publicly traded master limited partnership that owns and operates midstream energy infrastructure and provides logistics services primarily for crude oil, natural gas liquids (“NGL”) and natural gas. PAA owns an extensive network of pipeline transportation, terminalling, storage and gathering assets in key crude oil and NGL producing basins and transportation corridors and at major market hubs in the United States and Canada.</w:t>
      </w:r>
    </w:p>
    <w:p>
      <w:pPr>
        <w:spacing w:after="0" w:line="16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References to the “PAGP Entities” include PAGP GP, PAGP, GP LLC, AAP and PAA GP. References to the “Plains Entities” include the PAGP Entities and PAA and its subsidiaries.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Structure and Management</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general partner manages our operations and activities and is responsible for exercising on our behalf any rights we have as the sole and managing member of GP LLC. The board of directors of our general partner (the “Board”) has ultimate responsibility for managing the business and affairs of AAP, PAA and us. GP LLC employs all domestic officers and personnel involved in the operation and management of PAA. PAA’s Canadian officers and personnel are employed by Plains Midstream Canada ULC (“PMC”). Our general partner does not receive a management fee or other compensation in connection with its management of our business.</w:t>
      </w:r>
    </w:p>
    <w:p>
      <w:pPr>
        <w:spacing w:after="0" w:line="18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two diagrams below show our organizational structure and ownership as of December 31, 2018 in both a summarized and more detailed format. The first diagram depicts our legal structure in summary format, while the second diagram depicts a more comprehensive view of such structure, including ownership and economic interests and shares and units outstanding: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Summarized Partnership Structure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6551930" cy="4442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51930" cy="4442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60" w:right="220" w:hanging="652"/>
        <w:spacing w:after="0" w:line="216"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Through a “pass-through” voting right as a result of PAA’s ownership of our Class C shares, PAA’s common unitholders have the effective right to vote, pro rata with the holders of our Class A and Class B shares, for the election of eligible directors.</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Represents percentage ownership of PAA Common Unit Equivalents.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Detailed Partnership Structure</w:t>
      </w:r>
    </w:p>
    <w:p>
      <w:pPr>
        <w:spacing w:after="0" w:line="5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142875</wp:posOffset>
            </wp:positionV>
            <wp:extent cx="5848985" cy="7040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125" w:right="1440"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2332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60" w:right="220" w:hanging="652"/>
        <w:spacing w:after="0" w:line="227" w:lineRule="auto"/>
        <w:tabs>
          <w:tab w:leader="none" w:pos="660"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Represents the number of AAP units for which the outstanding Class B units of AAP (referred to herein as the “AAP Management Units”) will be exchangeable, assuming the conversion of all such units at a rate of approximately 0.941 AAP units for each AAP Management Unit.</w:t>
      </w:r>
    </w:p>
    <w:p>
      <w:pPr>
        <w:spacing w:after="0" w:line="37"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Assumes conversion of all outstanding AAP Management Units into AAP units.</w:t>
      </w:r>
    </w:p>
    <w:p>
      <w:pPr>
        <w:spacing w:after="0" w:line="98" w:lineRule="exact"/>
        <w:rPr>
          <w:rFonts w:ascii="Arial" w:cs="Arial" w:eastAsia="Arial" w:hAnsi="Arial"/>
          <w:sz w:val="25"/>
          <w:szCs w:val="25"/>
          <w:color w:val="auto"/>
          <w:vertAlign w:val="superscript"/>
        </w:rPr>
      </w:pPr>
    </w:p>
    <w:p>
      <w:pPr>
        <w:ind w:left="660" w:right="20" w:hanging="652"/>
        <w:spacing w:after="0" w:line="225"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Each Class C share represents a non-economic limited partner interest in us. Through a “pass-through” voting right as a result of PAA’s ownership of our Class C shares, PAA’s common unitholders have the effective right to vote, pro rata with the holders of our Class A and Class B shares, for the election of eligible directors.</w:t>
      </w:r>
    </w:p>
    <w:p>
      <w:pPr>
        <w:spacing w:after="0" w:line="94" w:lineRule="exact"/>
        <w:rPr>
          <w:rFonts w:ascii="Arial" w:cs="Arial" w:eastAsia="Arial" w:hAnsi="Arial"/>
          <w:sz w:val="25"/>
          <w:szCs w:val="25"/>
          <w:color w:val="auto"/>
          <w:vertAlign w:val="superscript"/>
        </w:rPr>
      </w:pPr>
    </w:p>
    <w:p>
      <w:pPr>
        <w:ind w:left="660" w:hanging="652"/>
        <w:spacing w:after="0" w:line="226"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Amount does not include (i) 48,606 PAA common units that will become issuable to AAP that relate to AAP Management Units that were outstanding but not earned as of December 31, 2018 and (ii) 183,819 PAA common units that were issued to AAP in January 2019 in respect of AAP Management units that became earned effective December 31, 2018.</w:t>
      </w:r>
    </w:p>
    <w:p>
      <w:pPr>
        <w:spacing w:after="0" w:line="95" w:lineRule="exact"/>
        <w:rPr>
          <w:rFonts w:ascii="Arial" w:cs="Arial" w:eastAsia="Arial" w:hAnsi="Arial"/>
          <w:sz w:val="25"/>
          <w:szCs w:val="25"/>
          <w:color w:val="auto"/>
          <w:vertAlign w:val="superscript"/>
        </w:rPr>
      </w:pPr>
    </w:p>
    <w:p>
      <w:pPr>
        <w:ind w:left="660" w:right="140" w:hanging="652"/>
        <w:spacing w:after="0" w:line="216"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Represents percentage ownership of PAA Common Unit Equivalents. PAA’s Series B preferred units are not convertible into common units and are not included in PAA Common Unit Equivalents.</w:t>
      </w:r>
    </w:p>
    <w:p>
      <w:pPr>
        <w:spacing w:after="0" w:line="203" w:lineRule="exact"/>
        <w:rPr>
          <w:rFonts w:ascii="Arial" w:cs="Arial" w:eastAsia="Arial" w:hAnsi="Arial"/>
          <w:sz w:val="25"/>
          <w:szCs w:val="25"/>
          <w:color w:val="auto"/>
          <w:vertAlign w:val="superscript"/>
        </w:rPr>
      </w:pPr>
    </w:p>
    <w:p>
      <w:pPr>
        <w:ind w:left="660" w:right="120" w:hanging="652"/>
        <w:spacing w:after="0" w:line="216"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PAA holds direct and indirect ownership interests in consolidated operating subsidiaries including, but not limited to, Plains Marketing, L.P., Plains Pipeline, L.P. and PMC.</w:t>
      </w:r>
    </w:p>
    <w:p>
      <w:pPr>
        <w:spacing w:after="0" w:line="95" w:lineRule="exact"/>
        <w:rPr>
          <w:rFonts w:ascii="Arial" w:cs="Arial" w:eastAsia="Arial" w:hAnsi="Arial"/>
          <w:sz w:val="25"/>
          <w:szCs w:val="25"/>
          <w:color w:val="auto"/>
          <w:vertAlign w:val="superscript"/>
        </w:rPr>
      </w:pPr>
    </w:p>
    <w:p>
      <w:pPr>
        <w:ind w:left="660" w:right="60" w:hanging="652"/>
        <w:spacing w:after="0" w:line="235"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PAA holds indirect equity interests in unconsolidated entities including Advantage Pipeline, L.L.C. (“Advantage”), BridgeTex Pipeline Company, LLC (“BridgeTex”), Cactus II Pipeline LLC (“Cactus II”), Caddo Pipeline LLC (“Caddo”), Cheyenne Pipeline LLC (“Cheyenne”), Diamond Pipeline LLC (“Diamond”), Eagle Ford Pipeline LLC (“Eagle Ford Pipeline”), Eagle Ford Terminals Corpus Christi LLC (“Eagle Ford Terminals”), Midway Pipeline LLC (“Midway Pipeline”), Saddlehorn Pipeline Company, LLC (“Saddlehorn”), Settoon Towing, LLC (“Settoon Towing”), STACK Pipeline LLC (“STACK”) and White Cliffs Pipeline, L.L.C. (“White Cliffs”).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As of December 31, 2018, our only cash-generating assets consisted of approximately 159.5 million AAP units, which represented an approximate 57% limited partner and economic interest in AAP. Of these AAP units, we directly own approximately 158.5 million, and we indirectly own the remaining 1.0 million AAP units through our 100% ownership in GP LLC. Unless we directly acquire and hold assets or businesses in the future, our cash flows will be generated solely from the cash distributions we receive on the AAP units. AAP currently receives all of its cash flows from distributions on common units it owns in PAA. As of December 31, 2018, AAP owned approximately 280.5 million common units in PAA.</w:t>
      </w:r>
    </w:p>
    <w:p>
      <w:pPr>
        <w:spacing w:after="0" w:line="173"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Accordingly, our primary business objective is to increase our cash available for distribution to our Class A shareholders through the execution by PAA of its business strategy. In addition, we may facilitate PAA’s growth activities through various means, including, but not limited to, making loans, purchasing equity interests or providing other forms of financial support to PAA.</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have and will maintain a one-to-one relationship between our Class A shares and the underlying PAA common units in which we have an indirect economic interest through our ownership interests in AAP and GP LLC (referred to as “Economic Parity”), such that the number of our outstanding Class A shares equals the number of AAP units we directly and indirectly own, which in turn equals the number of PAA common units held by AAP attributable to our direct and indirect ownership interest in 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PAA’s Business Strategy</w:t>
      </w:r>
    </w:p>
    <w:p>
      <w:pPr>
        <w:spacing w:after="0" w:line="121"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PAA’s principal business strategy is to provide competitive and efficient midstream transportation, terminalling, storage, processing, fractionation and supply and logistics services to producers, refiners and other customers. Toward this end, PAA endeavors to address regional supply and demand imbalances for crude oil and NGL in the United States and Canada by combining the strategic location and capabilities of its transportation, terminalling, storage, processing and fractionation assets with its supply, logistics and distribution expertise. We believe PAA’s successful execution of this strategy will enable it to generate sustainable earnings and cash flow. PAA intends to manage and grow its business by:</w:t>
      </w:r>
    </w:p>
    <w:p>
      <w:pPr>
        <w:spacing w:after="0" w:line="64" w:lineRule="exact"/>
        <w:rPr>
          <w:sz w:val="20"/>
          <w:szCs w:val="20"/>
          <w:color w:val="auto"/>
        </w:rPr>
      </w:pPr>
    </w:p>
    <w:p>
      <w:pPr>
        <w:ind w:left="980" w:right="20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running a safe, reliable, environmentally and socially responsible operation, which includes driving operational excellence, cost savings, asset optimization and improved efficiencies throughout the organization;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right="880" w:hanging="324"/>
        <w:spacing w:after="0" w:line="308"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developing and implementing growth projects that (i) address evolving crude oil and NGL needs in the midstream transportation and infrastructure sector and (ii) are well positioned to benefit from long-term industry trends and opportunities;</w:t>
      </w:r>
    </w:p>
    <w:p>
      <w:pPr>
        <w:spacing w:after="0" w:line="38" w:lineRule="exact"/>
        <w:rPr>
          <w:rFonts w:ascii="Arial" w:cs="Arial" w:eastAsia="Arial" w:hAnsi="Arial"/>
          <w:sz w:val="17"/>
          <w:szCs w:val="17"/>
          <w:color w:val="auto"/>
        </w:rPr>
      </w:pPr>
    </w:p>
    <w:p>
      <w:pPr>
        <w:ind w:left="980" w:hanging="324"/>
        <w:spacing w:after="0" w:line="342"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using its transportation, terminalling, storage, processing and fractionation assets in conjunction with its supply and logistics activities to provide flexibility for customers, capture market opportunities, address physical market imbalances, mitigate inherent risks and increase margin; and</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selectively pursuing strategic and accretive acquisitions that complement its existing asset base and distribution capabilities.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PAA’s Competitive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following competitive strengths position PAA to successfully execute its principal business strategy:</w:t>
      </w:r>
    </w:p>
    <w:p>
      <w:pPr>
        <w:spacing w:after="0" w:line="117" w:lineRule="exact"/>
        <w:rPr>
          <w:sz w:val="20"/>
          <w:szCs w:val="20"/>
          <w:color w:val="auto"/>
        </w:rPr>
      </w:pPr>
    </w:p>
    <w:p>
      <w:pPr>
        <w:ind w:left="980" w:right="80" w:hanging="324"/>
        <w:spacing w:after="0" w:line="291" w:lineRule="auto"/>
        <w:tabs>
          <w:tab w:leader="none" w:pos="98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Many of PAA’s assets are strategically located and operationally flexible. </w:t>
      </w:r>
      <w:r>
        <w:rPr>
          <w:rFonts w:ascii="Arial" w:cs="Arial" w:eastAsia="Arial" w:hAnsi="Arial"/>
          <w:sz w:val="16"/>
          <w:szCs w:val="16"/>
          <w:color w:val="auto"/>
        </w:rPr>
        <w:t>The majority of PAA’s primary Transportation segment assets are in</w:t>
      </w:r>
      <w:r>
        <w:rPr>
          <w:rFonts w:ascii="Arial" w:cs="Arial" w:eastAsia="Arial" w:hAnsi="Arial"/>
          <w:sz w:val="16"/>
          <w:szCs w:val="16"/>
          <w:i w:val="1"/>
          <w:iCs w:val="1"/>
          <w:color w:val="auto"/>
        </w:rPr>
        <w:t xml:space="preserve"> </w:t>
      </w:r>
      <w:r>
        <w:rPr>
          <w:rFonts w:ascii="Arial" w:cs="Arial" w:eastAsia="Arial" w:hAnsi="Arial"/>
          <w:sz w:val="16"/>
          <w:szCs w:val="16"/>
          <w:color w:val="auto"/>
        </w:rPr>
        <w:t>crude oil service, are located in well-established crude oil producing regions (with PAA’s largest asset presence in the Permian Basin) and other transportation corridors and are connected, directly or indirectly, with PAA’s Facilities segment assets. The majority of PAA’s Facilities segment assets are located at major trading locations and premium markets that serve as gateways to major North American refinery and distribution markets where PAA has strong business relationships. In addition, PAA’s assets include pipeline, rail, barge, truck and storage assets, which provide PAA’s customers and PAA with significant flexibility and optionality to satisfy demand and balance markets, particularly during a dynamic period of changing product flows and recent developments with respect to rising crude oil exports.</w:t>
      </w:r>
    </w:p>
    <w:p>
      <w:pPr>
        <w:spacing w:after="0" w:line="221" w:lineRule="exact"/>
        <w:rPr>
          <w:rFonts w:ascii="Arial" w:cs="Arial" w:eastAsia="Arial" w:hAnsi="Arial"/>
          <w:sz w:val="16"/>
          <w:szCs w:val="16"/>
          <w:i w:val="1"/>
          <w:iCs w:val="1"/>
          <w:color w:val="auto"/>
        </w:rPr>
      </w:pPr>
    </w:p>
    <w:p>
      <w:pPr>
        <w:ind w:left="980" w:right="20" w:hanging="324"/>
        <w:spacing w:after="0" w:line="259" w:lineRule="auto"/>
        <w:tabs>
          <w:tab w:leader="none" w:pos="98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PAA possesses specialized crude oil and NGL market knowledge. </w:t>
      </w:r>
      <w:r>
        <w:rPr>
          <w:rFonts w:ascii="Arial" w:cs="Arial" w:eastAsia="Arial" w:hAnsi="Arial"/>
          <w:sz w:val="18"/>
          <w:szCs w:val="18"/>
          <w:color w:val="auto"/>
        </w:rPr>
        <w:t>We believe PAA’s business relationships with participants in various phases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crude oil and NGL distribution chain, from producers to refiners, as well as PAA’s own industry expertise (including PAA’s knowledge of North American crude oil and NGL flows), provide PAA with an extensive understanding of the North American physical crude oil and NGL markets.</w:t>
      </w:r>
    </w:p>
    <w:p>
      <w:pPr>
        <w:spacing w:after="0" w:line="294" w:lineRule="exact"/>
        <w:rPr>
          <w:rFonts w:ascii="Arial" w:cs="Arial" w:eastAsia="Arial" w:hAnsi="Arial"/>
          <w:sz w:val="18"/>
          <w:szCs w:val="18"/>
          <w:i w:val="1"/>
          <w:iCs w:val="1"/>
          <w:color w:val="auto"/>
        </w:rPr>
      </w:pPr>
    </w:p>
    <w:p>
      <w:pPr>
        <w:ind w:left="980" w:right="120" w:hanging="324"/>
        <w:spacing w:after="0" w:line="259" w:lineRule="auto"/>
        <w:tabs>
          <w:tab w:leader="none" w:pos="98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PAA’s supply and logistics activities typically generate a positive margin with the opportunity to realize incremental margins. </w:t>
      </w:r>
      <w:r>
        <w:rPr>
          <w:rFonts w:ascii="Arial" w:cs="Arial" w:eastAsia="Arial" w:hAnsi="Arial"/>
          <w:sz w:val="18"/>
          <w:szCs w:val="18"/>
          <w:color w:val="auto"/>
        </w:rPr>
        <w:t>We believe the</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activities executed within PAA’s Supply and Logistics segment in combination with PAA’s risk management strategies provides PAA with a low-risk opportunity to generate incremental margin, the amount of which may vary depending on market conditions (such as differentials and certain competitive factors).</w:t>
      </w:r>
    </w:p>
    <w:p>
      <w:pPr>
        <w:spacing w:after="0" w:line="240" w:lineRule="exact"/>
        <w:rPr>
          <w:rFonts w:ascii="Arial" w:cs="Arial" w:eastAsia="Arial" w:hAnsi="Arial"/>
          <w:sz w:val="18"/>
          <w:szCs w:val="18"/>
          <w:i w:val="1"/>
          <w:iCs w:val="1"/>
          <w:color w:val="auto"/>
        </w:rPr>
      </w:pPr>
    </w:p>
    <w:p>
      <w:pPr>
        <w:ind w:left="980" w:right="60" w:hanging="324"/>
        <w:spacing w:after="0" w:line="272" w:lineRule="auto"/>
        <w:tabs>
          <w:tab w:leader="none" w:pos="98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PAA has the strategic and technical skills and the financial flexibility to continue to pursue acquisition and expansion opportunities, whether on its own or through joint ventures. </w:t>
      </w:r>
      <w:r>
        <w:rPr>
          <w:rFonts w:ascii="Arial" w:cs="Arial" w:eastAsia="Arial" w:hAnsi="Arial"/>
          <w:sz w:val="17"/>
          <w:szCs w:val="17"/>
          <w:color w:val="auto"/>
        </w:rPr>
        <w:t>Since 1998, PAA has completed and integrated over 90 acquisitions with an aggregate purchase price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$13.2 billion. Since 1998, PAA has also implemented expansion capital projects totaling over $14.4 billion. In addition, considering PAA’s investment grade credit ratings at two of three agencies, liquidity and capital structure, PAA believes it has the financial resources and strength necessary to finance future strategic expansion, joint venture and acquisition opportunities. As of December 31, 2018, PAA had approximately $2.9 billion of liquidity available, including cash and cash equivalents and availability under its committed credit facilities, subject to continued covenant compliance.</w:t>
      </w:r>
    </w:p>
    <w:p>
      <w:pPr>
        <w:spacing w:after="0" w:line="231" w:lineRule="exact"/>
        <w:rPr>
          <w:rFonts w:ascii="Arial" w:cs="Arial" w:eastAsia="Arial" w:hAnsi="Arial"/>
          <w:sz w:val="17"/>
          <w:szCs w:val="17"/>
          <w:i w:val="1"/>
          <w:iCs w:val="1"/>
          <w:color w:val="auto"/>
        </w:rPr>
      </w:pPr>
    </w:p>
    <w:p>
      <w:pPr>
        <w:ind w:left="980" w:right="160" w:hanging="324"/>
        <w:spacing w:after="0" w:line="259" w:lineRule="auto"/>
        <w:tabs>
          <w:tab w:leader="none" w:pos="98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PAA has an experienced management team whose interests are aligned with those of its unitholders. </w:t>
      </w:r>
      <w:r>
        <w:rPr>
          <w:rFonts w:ascii="Arial" w:cs="Arial" w:eastAsia="Arial" w:hAnsi="Arial"/>
          <w:sz w:val="18"/>
          <w:szCs w:val="18"/>
          <w:color w:val="auto"/>
        </w:rPr>
        <w:t>PAA’s executive management team has an</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of 30+ years of industry experience, and an average of 16 years with PAA or its predecessors and affiliates. In addition, through their ownership of PAA common units and grants of phantom units and interests in us, PAA’s management team has a vested interest in PAA’s continued success.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Strategy</w:t>
      </w:r>
    </w:p>
    <w:p>
      <w:pPr>
        <w:spacing w:after="0" w:line="229"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Our financial strategy is designed to be complementary to PAA’s financial and business strategies. Our only cash-generating assets consist of our direct and indirect limited partner interests in AAP, which currently receives all of its cash flows from distributions on the PAA common units it owns.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have entered into an Omnibus Agreement with the Plains Entities which provides for (i) our ability to issue additional Class A shares and use the net proceeds therefrom to purchase a like number of AAP units from AAP, and the corresponding ability of AAP to use the net proceeds therefrom to purchase a like number of PAA common units from PAA and (ii) our ability to lend proceeds of any future indebtedness we incur to AAP, and AAP’s corresponding ability to lend such proceeds to PAA, in each case on substantially the same terms as we incur.</w:t>
      </w:r>
    </w:p>
    <w:p>
      <w:pPr>
        <w:spacing w:after="0" w:line="171"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Accordingly, we may access the equity capital markets from time to time to enhance the financial position of PAA and its ability to compete for incremental capital opportunities (including organic investments and third-party acquisitions) to drive future growth. We currently do not intend to incur any indebtedness in the near term. We would expect to fund direct acquisitions made by us, if any, with a combination of debt and equity.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PAA’s Financial Strategy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Targeted Credit Profile</w:t>
      </w:r>
    </w:p>
    <w:p>
      <w:pPr>
        <w:spacing w:after="0" w:line="22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We believe that a major factor in PAA’s continued success is its ability to maintain significant financial flexibility, a competitive cost of capital and access to the capital markets. In that regard, PAA intends to maintain a credit profile that it believes is consistent with investment grade credit ratings. PAA targets a credit profile with the following attributes:</w:t>
      </w:r>
    </w:p>
    <w:p>
      <w:pPr>
        <w:spacing w:after="0" w:line="73"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average long-term debt-to-total capitalization ratio of approximately 50% or less;</w:t>
      </w:r>
    </w:p>
    <w:p>
      <w:pPr>
        <w:spacing w:after="0" w:line="117" w:lineRule="exact"/>
        <w:rPr>
          <w:rFonts w:ascii="Arial" w:cs="Arial" w:eastAsia="Arial" w:hAnsi="Arial"/>
          <w:sz w:val="18"/>
          <w:szCs w:val="18"/>
          <w:color w:val="auto"/>
        </w:rPr>
      </w:pPr>
    </w:p>
    <w:p>
      <w:pPr>
        <w:ind w:left="980" w:right="160" w:hanging="324"/>
        <w:spacing w:after="0" w:line="293"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long-term debt-to-Adjusted EBITDA multiple averaging between 3.5x and 4.0x, which has been the historical target range and is currently under internal review (“Adjusted EBITDA” is earnings before interest, taxes, depreciation and amortization (including our proportionate share of depreciation and amortization and gains and losses on significant asset sales by unconsolidated entities), gains and losses on asset sales and asset impairments, and gains on sales of investments in unconsolidated entities, adjusted for selected items that impact comparability. See Item 7. “Management’s Discussion and Analysis of Financial Condition and Results of Operations—Results of Operations—Non-GAAP Financial Measures” for a discussion of our selected items that impact comparability and our non-GAAP measures.);</w:t>
      </w:r>
    </w:p>
    <w:p>
      <w:pPr>
        <w:spacing w:after="0" w:line="56" w:lineRule="exact"/>
        <w:rPr>
          <w:rFonts w:ascii="Arial" w:cs="Arial" w:eastAsia="Arial" w:hAnsi="Arial"/>
          <w:sz w:val="16"/>
          <w:szCs w:val="16"/>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average total debt-to-total capitalization ratio of approximately 60% or less;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average Adjusted EBITDA-to-interest coverage multiple of approximately 3.3x or better.</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first two of these four metrics include long-term debt as a critical measure, but do not include certain components of PAA’s capital structure such as short-term debt, preferred units and operating leases that may be considered by rating agencies in assigning their ratings. At December 31, 2018, PAA’s publicly-traded senior notes comprised approximately 98% of its reported long-term debt. Additionally, PAA also routinely incurs short-term debt primarily in connection with its supply and logistics activities that involve the simultaneous purchase and forward sale of crude oil and NGL. The crude oil and NGL purchased in these transactions are hedged. These borrowings are self-liquidating as they are repaid with sales proceeds. PAA also incurs short-term debt to fund New York Mercantile Exchange (“NYMEX”) and Intercontinental Exchange (“ICE”) margin requirements. In certain market conditions, these routine short-term debt levels may increase above certain baseline levels. Similar to PAA’s working capital borrowings, these borrowings are self-liquidating. PAA does not consider the working capital borrowings or margin requirements associated with these activities to be part of its long-term capital structure.</w:t>
      </w:r>
    </w:p>
    <w:p>
      <w:pPr>
        <w:spacing w:after="0" w:line="16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For PAA to maintain its targeted credit profile and achieve growth through acquisitions and expansion capital, PAA has historically targeted to fund approximately 55% of the capital requirements associated with these activities with equity, cash flow in excess of distributions or proceeds from asset sales. However, in connection with PAA’s leverage reduction plan, as discussed below, and in recognition of challenging financial markets, PAA has retained a larger amount of cash flow in excess of distributions, sold a meaningful amount of assets and refrained from accessing the equity capital markets. Additionally, from time to time, PAA may be outside the parameters of its targeted credit profile as, in certain cases, capital expenditures and acquisitions may be financed initially using debt or there may be delays in realizing anticipated synergies from acquisitions or contributions from expansion capital projects to Adjusted EBITDA.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Leverage Reduction Plan</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August 2017, PAA announced that it was implementing an action plan to strengthen its balance sheet, reduce leverage, enhance its distribution coverage, minimize new issuances of common equity and position PAA for future distribution growth. See Item 7. “Management’s Discussion and Analysis of Financial Condition and Results of Operations—Executive Summary” for a summary of this action plan and the status of PAA’s efforts to implement such plan.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PAA’s Acquisitions</w:t>
      </w:r>
    </w:p>
    <w:p>
      <w:pPr>
        <w:spacing w:after="0" w:line="229"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 acquisition of midstream assets and businesses that are strategic and complementary to PAA’s existing operations constitutes an important component of its business strategy and growth objectives. Such assets and businesses include crude oil and NGL logistics assets as well as other energy assets that have characteristics and provide opportunities similar to its existing business lines and enable PAA to leverage its assets, knowledge and skill sets.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acquisitions greater than $200 million that PAA has completed over the past five years.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jc w:val="center"/>
              <w:ind w:right="184"/>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344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Acquisition</w:t>
            </w:r>
          </w:p>
        </w:tc>
        <w:tc>
          <w:tcPr>
            <w:tcW w:w="120" w:type="dxa"/>
            <w:vAlign w:val="bottom"/>
            <w:vMerge w:val="restart"/>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vMerge w:val="restart"/>
          </w:tcPr>
          <w:p>
            <w:pPr>
              <w:spacing w:after="0"/>
              <w:rPr>
                <w:sz w:val="12"/>
                <w:szCs w:val="12"/>
                <w:color w:val="auto"/>
              </w:rPr>
            </w:pPr>
          </w:p>
        </w:tc>
        <w:tc>
          <w:tcPr>
            <w:tcW w:w="4680" w:type="dxa"/>
            <w:vAlign w:val="bottom"/>
            <w:vMerge w:val="restart"/>
          </w:tcPr>
          <w:p>
            <w:pPr>
              <w:ind w:left="198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2"/>
              </w:rPr>
              <w:t xml:space="preserve">Purchase Price </w:t>
            </w:r>
            <w:r>
              <w:rPr>
                <w:rFonts w:ascii="Arial" w:cs="Arial" w:eastAsia="Arial" w:hAnsi="Arial"/>
                <w:sz w:val="8"/>
                <w:szCs w:val="8"/>
                <w:b w:val="1"/>
                <w:bCs w:val="1"/>
                <w:color w:val="auto"/>
                <w:w w:val="92"/>
              </w:rPr>
              <w:t>(1)</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28"/>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Alpha Crude Connector Gathering System</w:t>
            </w: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Feb-2017</w:t>
            </w:r>
          </w:p>
        </w:tc>
        <w:tc>
          <w:tcPr>
            <w:tcW w:w="4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Recently constructed gathering system located in the Northern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364"/>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Delaware Basin</w:t>
            </w:r>
          </w:p>
        </w:tc>
        <w:tc>
          <w:tcPr>
            <w:tcW w:w="3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420"/>
          </w:cols>
          <w:pgMar w:left="240" w:top="125" w:right="239" w:bottom="1440" w:gutter="0" w:footer="0" w:header="0"/>
        </w:sectPr>
      </w:pPr>
    </w:p>
    <w:tbl>
      <w:tblPr>
        <w:tblLayout w:type="fixed"/>
        <w:tblInd w:w="40" w:type="dxa"/>
        <w:tblCellMar>
          <w:top w:w="0" w:type="dxa"/>
          <w:left w:w="0" w:type="dxa"/>
          <w:bottom w:w="0" w:type="dxa"/>
          <w:right w:w="0" w:type="dxa"/>
        </w:tblCellMar>
      </w:tblPr>
      <w:tr>
        <w:trPr>
          <w:trHeight w:val="216"/>
        </w:trPr>
        <w:tc>
          <w:tcPr>
            <w:tcW w:w="3520" w:type="dxa"/>
            <w:vAlign w:val="bottom"/>
          </w:tcPr>
          <w:p>
            <w:pPr>
              <w:spacing w:after="0"/>
              <w:rPr>
                <w:sz w:val="20"/>
                <w:szCs w:val="20"/>
                <w:color w:val="auto"/>
              </w:rPr>
            </w:pPr>
            <w:r>
              <w:rPr>
                <w:rFonts w:ascii="Arial" w:cs="Arial" w:eastAsia="Arial" w:hAnsi="Arial"/>
                <w:sz w:val="18"/>
                <w:szCs w:val="18"/>
                <w:color w:val="auto"/>
                <w:w w:val="92"/>
              </w:rPr>
              <w:t>Spectra Energy Partners Western Canada NGL</w:t>
            </w:r>
          </w:p>
        </w:tc>
        <w:tc>
          <w:tcPr>
            <w:tcW w:w="1020" w:type="dxa"/>
            <w:vAlign w:val="bottom"/>
          </w:tcPr>
          <w:p>
            <w:pPr>
              <w:ind w:left="160"/>
              <w:spacing w:after="0"/>
              <w:rPr>
                <w:sz w:val="20"/>
                <w:szCs w:val="20"/>
                <w:color w:val="auto"/>
              </w:rPr>
            </w:pPr>
            <w:r>
              <w:rPr>
                <w:rFonts w:ascii="Arial" w:cs="Arial" w:eastAsia="Arial" w:hAnsi="Arial"/>
                <w:sz w:val="18"/>
                <w:szCs w:val="18"/>
                <w:color w:val="auto"/>
              </w:rPr>
              <w:t>Aug-2016</w:t>
            </w:r>
          </w:p>
        </w:tc>
        <w:tc>
          <w:tcPr>
            <w:tcW w:w="4700" w:type="dxa"/>
            <w:vAlign w:val="bottom"/>
          </w:tcPr>
          <w:p>
            <w:pPr>
              <w:ind w:left="160"/>
              <w:spacing w:after="0"/>
              <w:rPr>
                <w:sz w:val="20"/>
                <w:szCs w:val="20"/>
                <w:color w:val="auto"/>
              </w:rPr>
            </w:pPr>
            <w:r>
              <w:rPr>
                <w:rFonts w:ascii="Arial" w:cs="Arial" w:eastAsia="Arial" w:hAnsi="Arial"/>
                <w:sz w:val="18"/>
                <w:szCs w:val="18"/>
                <w:color w:val="auto"/>
                <w:w w:val="93"/>
              </w:rPr>
              <w:t>Integrated system of NGL assets located in Western Canada</w:t>
            </w:r>
          </w:p>
        </w:tc>
        <w:tc>
          <w:tcPr>
            <w:tcW w:w="8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30"/>
        </w:trPr>
        <w:tc>
          <w:tcPr>
            <w:tcW w:w="3520" w:type="dxa"/>
            <w:vAlign w:val="bottom"/>
          </w:tcPr>
          <w:p>
            <w:pPr>
              <w:ind w:left="160"/>
              <w:spacing w:after="0"/>
              <w:rPr>
                <w:sz w:val="20"/>
                <w:szCs w:val="20"/>
                <w:color w:val="auto"/>
              </w:rPr>
            </w:pPr>
            <w:r>
              <w:rPr>
                <w:rFonts w:ascii="Arial" w:cs="Arial" w:eastAsia="Arial" w:hAnsi="Arial"/>
                <w:sz w:val="18"/>
                <w:szCs w:val="18"/>
                <w:color w:val="auto"/>
              </w:rPr>
              <w:t>Assets</w:t>
            </w:r>
          </w:p>
        </w:tc>
        <w:tc>
          <w:tcPr>
            <w:tcW w:w="10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6"/>
        </w:trPr>
        <w:tc>
          <w:tcPr>
            <w:tcW w:w="3520" w:type="dxa"/>
            <w:vAlign w:val="bottom"/>
          </w:tcPr>
          <w:p>
            <w:pPr>
              <w:spacing w:after="0"/>
              <w:rPr>
                <w:sz w:val="20"/>
                <w:szCs w:val="20"/>
                <w:color w:val="auto"/>
              </w:rPr>
            </w:pPr>
            <w:r>
              <w:rPr>
                <w:rFonts w:ascii="Arial" w:cs="Arial" w:eastAsia="Arial" w:hAnsi="Arial"/>
                <w:sz w:val="18"/>
                <w:szCs w:val="18"/>
                <w:color w:val="auto"/>
                <w:w w:val="96"/>
              </w:rPr>
              <w:t>50% Interest in BridgeTex Pipeline Company,</w:t>
            </w:r>
          </w:p>
        </w:tc>
        <w:tc>
          <w:tcPr>
            <w:tcW w:w="1020" w:type="dxa"/>
            <w:vAlign w:val="bottom"/>
          </w:tcPr>
          <w:p>
            <w:pPr>
              <w:ind w:left="160"/>
              <w:spacing w:after="0"/>
              <w:rPr>
                <w:sz w:val="20"/>
                <w:szCs w:val="20"/>
                <w:color w:val="auto"/>
              </w:rPr>
            </w:pPr>
            <w:r>
              <w:rPr>
                <w:rFonts w:ascii="Arial" w:cs="Arial" w:eastAsia="Arial" w:hAnsi="Arial"/>
                <w:sz w:val="18"/>
                <w:szCs w:val="18"/>
                <w:color w:val="auto"/>
              </w:rPr>
              <w:t>Nov-2014</w:t>
            </w:r>
          </w:p>
        </w:tc>
        <w:tc>
          <w:tcPr>
            <w:tcW w:w="4700" w:type="dxa"/>
            <w:vAlign w:val="bottom"/>
          </w:tcPr>
          <w:p>
            <w:pPr>
              <w:ind w:left="160"/>
              <w:spacing w:after="0"/>
              <w:rPr>
                <w:sz w:val="20"/>
                <w:szCs w:val="20"/>
                <w:color w:val="auto"/>
              </w:rPr>
            </w:pPr>
            <w:r>
              <w:rPr>
                <w:rFonts w:ascii="Arial" w:cs="Arial" w:eastAsia="Arial" w:hAnsi="Arial"/>
                <w:sz w:val="18"/>
                <w:szCs w:val="18"/>
                <w:color w:val="auto"/>
              </w:rPr>
              <w:t>BridgeTex owns a crude oil pipeline that extends from</w:t>
            </w:r>
          </w:p>
        </w:tc>
        <w:tc>
          <w:tcPr>
            <w:tcW w:w="8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1,088</w:t>
            </w:r>
          </w:p>
        </w:tc>
      </w:tr>
      <w:tr>
        <w:trPr>
          <w:trHeight w:val="230"/>
        </w:trPr>
        <w:tc>
          <w:tcPr>
            <w:tcW w:w="3520" w:type="dxa"/>
            <w:vAlign w:val="bottom"/>
          </w:tcPr>
          <w:p>
            <w:pPr>
              <w:ind w:left="160"/>
              <w:spacing w:after="0"/>
              <w:rPr>
                <w:sz w:val="20"/>
                <w:szCs w:val="20"/>
                <w:color w:val="auto"/>
              </w:rPr>
            </w:pPr>
            <w:r>
              <w:rPr>
                <w:rFonts w:ascii="Arial" w:cs="Arial" w:eastAsia="Arial" w:hAnsi="Arial"/>
                <w:sz w:val="18"/>
                <w:szCs w:val="18"/>
                <w:color w:val="auto"/>
              </w:rPr>
              <w:t>LLC (“BridgeTex”)</w:t>
            </w:r>
          </w:p>
        </w:tc>
        <w:tc>
          <w:tcPr>
            <w:tcW w:w="102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Colorado City, Texas to East Houston</w:t>
            </w: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23323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(2)</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511" w:lineRule="exact"/>
        <w:rPr>
          <w:sz w:val="20"/>
          <w:szCs w:val="20"/>
          <w:color w:val="auto"/>
        </w:rPr>
      </w:pPr>
    </w:p>
    <w:p>
      <w:pPr>
        <w:sectPr>
          <w:pgSz w:w="11900" w:h="16838" w:orient="portrait"/>
          <w:cols w:equalWidth="0" w:num="2">
            <w:col w:w="10980" w:space="120"/>
            <w:col w:w="320"/>
          </w:cols>
          <w:pgMar w:left="240" w:top="125" w:right="239" w:bottom="1440" w:gutter="0" w:footer="0" w:header="0"/>
          <w:type w:val="continuous"/>
        </w:sectPr>
      </w:pPr>
    </w:p>
    <w:p>
      <w:pPr>
        <w:spacing w:after="0" w:line="168"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As applicable, the approximate purchase price includes total cash paid and debt assumed, including amounts for working capital and inventory.</w:t>
      </w:r>
    </w:p>
    <w:p>
      <w:pPr>
        <w:spacing w:after="0" w:line="98" w:lineRule="exact"/>
        <w:rPr>
          <w:rFonts w:ascii="Arial" w:cs="Arial" w:eastAsia="Arial" w:hAnsi="Arial"/>
          <w:sz w:val="22"/>
          <w:szCs w:val="22"/>
          <w:color w:val="auto"/>
          <w:vertAlign w:val="superscript"/>
        </w:rPr>
      </w:pPr>
    </w:p>
    <w:p>
      <w:pPr>
        <w:ind w:left="660" w:hanging="652"/>
        <w:spacing w:after="0" w:line="188"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Approximate purchase price of $180 million, net of cash, inventory and other working capital acquired.</w:t>
      </w:r>
    </w:p>
    <w:p>
      <w:pPr>
        <w:spacing w:after="0" w:line="98" w:lineRule="exact"/>
        <w:rPr>
          <w:rFonts w:ascii="Arial" w:cs="Arial" w:eastAsia="Arial" w:hAnsi="Arial"/>
          <w:sz w:val="25"/>
          <w:szCs w:val="25"/>
          <w:color w:val="auto"/>
          <w:vertAlign w:val="superscript"/>
        </w:rPr>
      </w:pPr>
    </w:p>
    <w:p>
      <w:pPr>
        <w:jc w:val="both"/>
        <w:ind w:left="660" w:right="300" w:hanging="652"/>
        <w:spacing w:after="0" w:line="246" w:lineRule="auto"/>
        <w:tabs>
          <w:tab w:leader="none" w:pos="66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Approximate purchase price of $1.075 billion, net of working capital acquired. In 2018, PAA sold a 30% interest in BridgeTex. See Note 9 to our Consolidated Financial Statements for more information. PAA accounts for its 20% interest in BridgeTex under the equity method of accounting.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PAA’s Divestitures</w:t>
      </w:r>
    </w:p>
    <w:p>
      <w:pPr>
        <w:spacing w:after="0" w:line="12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2016, PAA initiated a program to evaluate potential sales of non-core assets and/or sales of partial interests in assets to strategic joint venture partners to optimize its asset portfolio and strengthen its balance sheet and leverage metrics. Through December 31, 2018, PAA has completed asset sales totaling approximately $3.0 billion, of which approximately $0.6 billion closed in 2016 (net of amounts paid for the remaining interest in a pipeline that was subsequently sold), approximately $1.1 billion closed in 2017 and approximately $1.3 billion closed in 2018. See Note 7 to our Consolidated Financial Statements for additional discussion of dispositions and divestitures.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Ongoing Acquisition, Divestiture and Investment Activities</w:t>
      </w:r>
    </w:p>
    <w:p>
      <w:pPr>
        <w:spacing w:after="0" w:line="225"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Consistent with its business strategy, PAA is continuously engaged in the evaluation of potential acquisitions, joint ventures and capital projects. As a part of these efforts, PAA often engages in discussions with potential sellers or other parties regarding the possible purchase of or investment in assets and operations that are strategic and complementary to PAA’s existing operations. In response to changing U.S. production profiles and increased competition for new build assets, over the last several years, PAA has increased its joint venture related activities in an effort to fully meet the current and future needs of its customers while also rationalizing assets and enhancing its investment returns. The vast majority of our joint ventures are accounted for as investments in unconsolidated subsidiaries. In addition, PAA has in the past evaluated and pursued, and intends in the future to evaluate and pursue, the acquisition of or investment in other energy-related assets that have characteristics and opportunities similar to PAA’s existing business lines and enable PAA to leverage its assets, knowledge and skill sets. Such efforts may involve participation by PAA in processes that have been made public and involve a number of potential buyers or investors, commonly referred to as “auction” processes, as well as situations in which PAA believes it is the only party or one of a limited number of parties who are in negotiations with the potential seller or other party. These acquisition and investment efforts often involve assets which, if acquired or constructed, could have a material effect on PAA’s financial condition and results of operations.</w:t>
      </w:r>
    </w:p>
    <w:p>
      <w:pPr>
        <w:spacing w:after="0" w:line="17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From time to time, PAA may also (i) sell assets that it regards as non-core or that it believes might be a better fit with the business or assets of a third-party buyer or (ii) sell partial interests in assets to strategic joint venture partners, in each case to optimize PAA’s asset portfolio and strengthen its balance sheet and leverage metrics. With respect to a potential divestiture, PAA may also conduct an auction process or may negotiate a transaction with one or a limited number of potential buyers.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PAA typically does not announce a transaction until after it has executed a definitive agreement. However, in certain cases in order to protect its business interests or for other reasons, PAA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PAA has entered into a definitive agreement may be subject to customary and other closing conditions, which may not ultimately be satisfied or waived. Accordingly, PAA can give no assurance that its current or future acquisition or investment efforts will be successful, or that its strategic asset divestitures will be completed. Although PAA expects the acquisitions and investments it makes to be accretive in the long term, PAA can provide no assurance that its expectations will ultimately be realized. See Item 1A. “Risk Factors—Risks Related to PAA’s Business—If PAA makes acquisitions that fail to perform as anticipated, its future growth may be limited” and “—Acquisitions and joint ventures involve risks that may adversely affect PAA’s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PAA’s Expansion Capital Projects</w:t>
      </w:r>
    </w:p>
    <w:p>
      <w:pPr>
        <w:spacing w:after="0" w:line="229"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PAA’s extensive asset base and its relationships with customers provide it with opportunities for organic growth through the construction of additional assets that are complementary to, and expand or extend, its existing asset base. The following expansion capital projects are included in PAA’s 2019 capital plan as of February 2019:</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93"/>
              </w:rPr>
              <w:t>Projected</w:t>
            </w:r>
          </w:p>
        </w:tc>
        <w:tc>
          <w:tcPr>
            <w:tcW w:w="220" w:type="dxa"/>
            <w:vAlign w:val="bottom"/>
          </w:tcPr>
          <w:p>
            <w:pPr>
              <w:spacing w:after="0"/>
              <w:rPr>
                <w:sz w:val="14"/>
                <w:szCs w:val="14"/>
                <w:color w:val="auto"/>
              </w:rPr>
            </w:pPr>
          </w:p>
        </w:tc>
        <w:tc>
          <w:tcPr>
            <w:tcW w:w="1260" w:type="dxa"/>
            <w:vAlign w:val="bottom"/>
          </w:tcPr>
          <w:p>
            <w:pPr>
              <w:jc w:val="center"/>
              <w:ind w:right="138"/>
              <w:spacing w:after="0"/>
              <w:rPr>
                <w:sz w:val="20"/>
                <w:szCs w:val="20"/>
                <w:color w:val="auto"/>
              </w:rPr>
            </w:pPr>
            <w:r>
              <w:rPr>
                <w:rFonts w:ascii="Arial" w:cs="Arial" w:eastAsia="Arial" w:hAnsi="Arial"/>
                <w:sz w:val="14"/>
                <w:szCs w:val="14"/>
                <w:b w:val="1"/>
                <w:bCs w:val="1"/>
                <w:color w:val="auto"/>
                <w:w w:val="92"/>
              </w:rPr>
              <w:t>2019 Plan</w:t>
            </w:r>
          </w:p>
        </w:tc>
        <w:tc>
          <w:tcPr>
            <w:tcW w:w="0" w:type="dxa"/>
            <w:vAlign w:val="bottom"/>
          </w:tcPr>
          <w:p>
            <w:pPr>
              <w:spacing w:after="0"/>
              <w:rPr>
                <w:sz w:val="1"/>
                <w:szCs w:val="1"/>
                <w:color w:val="auto"/>
              </w:rPr>
            </w:pPr>
          </w:p>
        </w:tc>
      </w:tr>
      <w:tr>
        <w:trPr>
          <w:trHeight w:val="149"/>
        </w:trPr>
        <w:tc>
          <w:tcPr>
            <w:tcW w:w="288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Project</w:t>
            </w:r>
          </w:p>
        </w:tc>
        <w:tc>
          <w:tcPr>
            <w:tcW w:w="120" w:type="dxa"/>
            <w:vAlign w:val="bottom"/>
            <w:vMerge w:val="restart"/>
          </w:tcPr>
          <w:p>
            <w:pPr>
              <w:spacing w:after="0"/>
              <w:rPr>
                <w:sz w:val="12"/>
                <w:szCs w:val="12"/>
                <w:color w:val="auto"/>
              </w:rPr>
            </w:pPr>
          </w:p>
        </w:tc>
        <w:tc>
          <w:tcPr>
            <w:tcW w:w="5360" w:type="dxa"/>
            <w:vAlign w:val="bottom"/>
            <w:vMerge w:val="restart"/>
          </w:tcPr>
          <w:p>
            <w:pPr>
              <w:ind w:left="23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2"/>
                <w:szCs w:val="12"/>
                <w:color w:val="auto"/>
              </w:rPr>
            </w:pPr>
          </w:p>
        </w:tc>
        <w:tc>
          <w:tcPr>
            <w:tcW w:w="1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6"/>
              </w:rPr>
              <w:t xml:space="preserve">Amount </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4"/>
              </w:rPr>
              <w:t>In-Service Date</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3"/>
              </w:rPr>
              <w:t>($ in millions)</w:t>
            </w:r>
          </w:p>
        </w:tc>
        <w:tc>
          <w:tcPr>
            <w:tcW w:w="0" w:type="dxa"/>
            <w:vAlign w:val="bottom"/>
          </w:tcPr>
          <w:p>
            <w:pPr>
              <w:spacing w:after="0"/>
              <w:rPr>
                <w:sz w:val="1"/>
                <w:szCs w:val="1"/>
                <w:color w:val="auto"/>
              </w:rPr>
            </w:pPr>
          </w:p>
        </w:tc>
      </w:tr>
      <w:tr>
        <w:trPr>
          <w:trHeight w:val="228"/>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Permian Basin Takeaway Pipeline</w:t>
            </w:r>
          </w:p>
        </w:tc>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Primarily includes contributions for our (i) 65% interest in the Cactus II</w:t>
            </w:r>
          </w:p>
        </w:tc>
        <w:tc>
          <w:tcPr>
            <w:tcW w:w="1460" w:type="dxa"/>
            <w:vAlign w:val="bottom"/>
            <w:shd w:val="clear" w:color="auto" w:fill="CCEEFF"/>
          </w:tcPr>
          <w:p>
            <w:pPr>
              <w:jc w:val="center"/>
              <w:ind w:right="17"/>
              <w:spacing w:after="0"/>
              <w:rPr>
                <w:sz w:val="20"/>
                <w:szCs w:val="20"/>
                <w:color w:val="auto"/>
              </w:rPr>
            </w:pPr>
            <w:r>
              <w:rPr>
                <w:rFonts w:ascii="Arial" w:cs="Arial" w:eastAsia="Arial" w:hAnsi="Arial"/>
                <w:sz w:val="18"/>
                <w:szCs w:val="18"/>
                <w:color w:val="auto"/>
                <w:w w:val="90"/>
              </w:rPr>
              <w:t>2H 2019 - 2021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Projects</w:t>
            </w:r>
          </w:p>
        </w:tc>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joint venture pipeline and (ii) 20% interest in the Wink to Webster joint</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venture pipeline</w:t>
            </w:r>
          </w:p>
        </w:tc>
        <w:tc>
          <w:tcPr>
            <w:tcW w:w="14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Complementary Permian Basin</w:t>
            </w:r>
          </w:p>
        </w:tc>
        <w:tc>
          <w:tcPr>
            <w:tcW w:w="5480" w:type="dxa"/>
            <w:vAlign w:val="bottom"/>
            <w:gridSpan w:val="2"/>
          </w:tcPr>
          <w:p>
            <w:pPr>
              <w:ind w:left="20"/>
              <w:spacing w:after="0"/>
              <w:rPr>
                <w:sz w:val="20"/>
                <w:szCs w:val="20"/>
                <w:color w:val="auto"/>
              </w:rPr>
            </w:pPr>
            <w:r>
              <w:rPr>
                <w:rFonts w:ascii="Arial" w:cs="Arial" w:eastAsia="Arial" w:hAnsi="Arial"/>
                <w:sz w:val="18"/>
                <w:szCs w:val="18"/>
                <w:color w:val="auto"/>
              </w:rPr>
              <w:t>Multiple projects to support the Permian Basin takeaway pipeline</w:t>
            </w:r>
          </w:p>
        </w:tc>
        <w:tc>
          <w:tcPr>
            <w:tcW w:w="1460" w:type="dxa"/>
            <w:vAlign w:val="bottom"/>
          </w:tcPr>
          <w:p>
            <w:pPr>
              <w:jc w:val="center"/>
              <w:ind w:right="17"/>
              <w:spacing w:after="0"/>
              <w:rPr>
                <w:sz w:val="20"/>
                <w:szCs w:val="20"/>
                <w:color w:val="auto"/>
              </w:rPr>
            </w:pPr>
            <w:r>
              <w:rPr>
                <w:rFonts w:ascii="Arial" w:cs="Arial" w:eastAsia="Arial" w:hAnsi="Arial"/>
                <w:sz w:val="18"/>
                <w:szCs w:val="18"/>
                <w:color w:val="auto"/>
                <w:w w:val="92"/>
              </w:rPr>
              <w:t>1H 2019 - 2020+</w:t>
            </w:r>
          </w:p>
        </w:tc>
        <w:tc>
          <w:tcPr>
            <w:tcW w:w="220" w:type="dxa"/>
            <w:vAlign w:val="bottom"/>
          </w:tcPr>
          <w:p>
            <w:pPr>
              <w:spacing w:after="0"/>
              <w:rPr>
                <w:sz w:val="19"/>
                <w:szCs w:val="19"/>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Projects</w:t>
            </w:r>
          </w:p>
        </w:tc>
        <w:tc>
          <w:tcPr>
            <w:tcW w:w="5480" w:type="dxa"/>
            <w:vAlign w:val="bottom"/>
            <w:gridSpan w:val="2"/>
          </w:tcPr>
          <w:p>
            <w:pPr>
              <w:ind w:left="20"/>
              <w:spacing w:after="0"/>
              <w:rPr>
                <w:sz w:val="20"/>
                <w:szCs w:val="20"/>
                <w:color w:val="auto"/>
              </w:rPr>
            </w:pPr>
            <w:r>
              <w:rPr>
                <w:rFonts w:ascii="Arial" w:cs="Arial" w:eastAsia="Arial" w:hAnsi="Arial"/>
                <w:sz w:val="18"/>
                <w:szCs w:val="18"/>
                <w:color w:val="auto"/>
                <w:w w:val="93"/>
              </w:rPr>
              <w:t>projects, and to expand/extend our gathering and intra-basin pipelines as</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80" w:type="dxa"/>
            <w:vAlign w:val="bottom"/>
            <w:gridSpan w:val="2"/>
          </w:tcPr>
          <w:p>
            <w:pPr>
              <w:ind w:left="20"/>
              <w:spacing w:after="0"/>
              <w:rPr>
                <w:sz w:val="20"/>
                <w:szCs w:val="20"/>
                <w:color w:val="auto"/>
              </w:rPr>
            </w:pPr>
            <w:r>
              <w:rPr>
                <w:rFonts w:ascii="Arial" w:cs="Arial" w:eastAsia="Arial" w:hAnsi="Arial"/>
                <w:sz w:val="18"/>
                <w:szCs w:val="18"/>
                <w:color w:val="auto"/>
              </w:rPr>
              <w:t>well as terminalling and storage facilities at market hub locations</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Projects</w:t>
            </w:r>
          </w:p>
        </w:tc>
        <w:tc>
          <w:tcPr>
            <w:tcW w:w="5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center"/>
              <w:ind w:right="17"/>
              <w:spacing w:after="0"/>
              <w:rPr>
                <w:sz w:val="20"/>
                <w:szCs w:val="20"/>
                <w:color w:val="auto"/>
              </w:rPr>
            </w:pPr>
            <w:r>
              <w:rPr>
                <w:rFonts w:ascii="Arial" w:cs="Arial" w:eastAsia="Arial" w:hAnsi="Arial"/>
                <w:sz w:val="18"/>
                <w:szCs w:val="18"/>
                <w:color w:val="auto"/>
                <w:w w:val="92"/>
              </w:rPr>
              <w:t>1H 2019 - 2020+</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9"/>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Total Projected Expansion Capital</w:t>
            </w: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37"/>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Expenditures</w:t>
            </w: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right="20" w:hanging="652"/>
        <w:spacing w:after="0" w:line="232"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Represents the portion of the total project cost expected to be incurred during the year. Potential variation to current capital costs estimates may result from (i) changes to project design, (ii) final cost of materials and labor and (iii) timing of incurrence of costs due to uncontrollable factors such as receipt of permits or regulatory approvals and weather. Amounts reflect our expectation that certain projects will be owned in a joint venture structure with a proportionate share of the project cost dispersed among the partners.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Petroleum Market Overview</w:t>
      </w:r>
    </w:p>
    <w:p>
      <w:pPr>
        <w:spacing w:after="0" w:line="22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The health of the global petroleum market is dependent on the relative supply and demand of hydrocarbons, including crude oil and NGLs. These supply and demand economics are greatly influenced by the broader global economic climate, exposing the petroleum market to the challenges and volatility associated with global economic development. The table below depicts historical global liquids production and consumption and is derived from the U.S. Energy Information Administration (“EIA”) Short-Term Energy Outlook, February 2019 (see EIA website at </w:t>
      </w:r>
      <w:r>
        <w:rPr>
          <w:rFonts w:ascii="Arial" w:cs="Arial" w:eastAsia="Arial" w:hAnsi="Arial"/>
          <w:sz w:val="17"/>
          <w:szCs w:val="17"/>
          <w:i w:val="1"/>
          <w:iCs w:val="1"/>
          <w:color w:val="auto"/>
        </w:rPr>
        <w:t>www.eia.doe.gov</w:t>
      </w:r>
      <w:r>
        <w:rPr>
          <w:rFonts w:ascii="Arial" w:cs="Arial" w:eastAsia="Arial" w:hAnsi="Arial"/>
          <w:sz w:val="17"/>
          <w:szCs w:val="17"/>
          <w:color w:val="auto"/>
        </w:rPr>
        <w:t>):</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 from</w:t>
            </w: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 from</w:t>
            </w: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 from</w:t>
            </w: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 from</w:t>
            </w: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rPr>
              <w:t>∆ from</w:t>
            </w: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72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680" w:type="dxa"/>
            <w:vAlign w:val="bottom"/>
            <w:tcBorders>
              <w:top w:val="single" w:sz="8" w:color="auto"/>
            </w:tcBorders>
          </w:tcPr>
          <w:p>
            <w:pPr>
              <w:jc w:val="right"/>
              <w:ind w:right="108"/>
              <w:spacing w:after="0" w:line="153" w:lineRule="exact"/>
              <w:rPr>
                <w:sz w:val="20"/>
                <w:szCs w:val="20"/>
                <w:color w:val="auto"/>
              </w:rPr>
            </w:pPr>
            <w:r>
              <w:rPr>
                <w:rFonts w:ascii="Arial" w:cs="Arial" w:eastAsia="Arial" w:hAnsi="Arial"/>
                <w:sz w:val="14"/>
                <w:szCs w:val="14"/>
                <w:b w:val="1"/>
                <w:bCs w:val="1"/>
                <w:color w:val="auto"/>
              </w:rPr>
              <w:t>2013 -</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ind w:right="88"/>
              <w:spacing w:after="0" w:line="153" w:lineRule="exact"/>
              <w:rPr>
                <w:sz w:val="20"/>
                <w:szCs w:val="20"/>
                <w:color w:val="auto"/>
              </w:rPr>
            </w:pPr>
            <w:r>
              <w:rPr>
                <w:rFonts w:ascii="Arial" w:cs="Arial" w:eastAsia="Arial" w:hAnsi="Arial"/>
                <w:sz w:val="14"/>
                <w:szCs w:val="14"/>
                <w:b w:val="1"/>
                <w:bCs w:val="1"/>
                <w:color w:val="auto"/>
              </w:rPr>
              <w:t>2014 -</w:t>
            </w:r>
          </w:p>
        </w:tc>
        <w:tc>
          <w:tcPr>
            <w:tcW w:w="140" w:type="dxa"/>
            <w:vAlign w:val="bottom"/>
          </w:tcPr>
          <w:p>
            <w:pPr>
              <w:spacing w:after="0"/>
              <w:rPr>
                <w:sz w:val="13"/>
                <w:szCs w:val="13"/>
                <w:color w:val="auto"/>
              </w:rPr>
            </w:pPr>
          </w:p>
        </w:tc>
        <w:tc>
          <w:tcPr>
            <w:tcW w:w="660" w:type="dxa"/>
            <w:vAlign w:val="bottom"/>
            <w:tcBorders>
              <w:top w:val="single" w:sz="8" w:color="auto"/>
            </w:tcBorders>
          </w:tcPr>
          <w:p>
            <w:pPr>
              <w:jc w:val="right"/>
              <w:ind w:right="88"/>
              <w:spacing w:after="0" w:line="153" w:lineRule="exact"/>
              <w:rPr>
                <w:sz w:val="20"/>
                <w:szCs w:val="20"/>
                <w:color w:val="auto"/>
              </w:rPr>
            </w:pPr>
            <w:r>
              <w:rPr>
                <w:rFonts w:ascii="Arial" w:cs="Arial" w:eastAsia="Arial" w:hAnsi="Arial"/>
                <w:sz w:val="14"/>
                <w:szCs w:val="14"/>
                <w:b w:val="1"/>
                <w:bCs w:val="1"/>
                <w:color w:val="auto"/>
              </w:rPr>
              <w:t>2015 -</w:t>
            </w:r>
          </w:p>
        </w:tc>
        <w:tc>
          <w:tcPr>
            <w:tcW w:w="120" w:type="dxa"/>
            <w:vAlign w:val="bottom"/>
          </w:tcPr>
          <w:p>
            <w:pPr>
              <w:spacing w:after="0"/>
              <w:rPr>
                <w:sz w:val="13"/>
                <w:szCs w:val="13"/>
                <w:color w:val="auto"/>
              </w:rPr>
            </w:pPr>
          </w:p>
        </w:tc>
        <w:tc>
          <w:tcPr>
            <w:tcW w:w="680" w:type="dxa"/>
            <w:vAlign w:val="bottom"/>
            <w:tcBorders>
              <w:top w:val="single" w:sz="8" w:color="auto"/>
            </w:tcBorders>
          </w:tcPr>
          <w:p>
            <w:pPr>
              <w:jc w:val="right"/>
              <w:ind w:right="88"/>
              <w:spacing w:after="0" w:line="153" w:lineRule="exact"/>
              <w:rPr>
                <w:sz w:val="20"/>
                <w:szCs w:val="20"/>
                <w:color w:val="auto"/>
              </w:rPr>
            </w:pPr>
            <w:r>
              <w:rPr>
                <w:rFonts w:ascii="Arial" w:cs="Arial" w:eastAsia="Arial" w:hAnsi="Arial"/>
                <w:sz w:val="14"/>
                <w:szCs w:val="14"/>
                <w:b w:val="1"/>
                <w:bCs w:val="1"/>
                <w:color w:val="auto"/>
              </w:rPr>
              <w:t>2016 -</w:t>
            </w:r>
          </w:p>
        </w:tc>
        <w:tc>
          <w:tcPr>
            <w:tcW w:w="120" w:type="dxa"/>
            <w:vAlign w:val="bottom"/>
          </w:tcPr>
          <w:p>
            <w:pPr>
              <w:spacing w:after="0"/>
              <w:rPr>
                <w:sz w:val="13"/>
                <w:szCs w:val="13"/>
                <w:color w:val="auto"/>
              </w:rPr>
            </w:pPr>
          </w:p>
        </w:tc>
        <w:tc>
          <w:tcPr>
            <w:tcW w:w="680" w:type="dxa"/>
            <w:vAlign w:val="bottom"/>
            <w:tcBorders>
              <w:top w:val="single" w:sz="8" w:color="auto"/>
            </w:tcBorders>
          </w:tcPr>
          <w:p>
            <w:pPr>
              <w:jc w:val="right"/>
              <w:ind w:right="108"/>
              <w:spacing w:after="0" w:line="153" w:lineRule="exact"/>
              <w:rPr>
                <w:sz w:val="20"/>
                <w:szCs w:val="20"/>
                <w:color w:val="auto"/>
              </w:rPr>
            </w:pPr>
            <w:r>
              <w:rPr>
                <w:rFonts w:ascii="Arial" w:cs="Arial" w:eastAsia="Arial" w:hAnsi="Arial"/>
                <w:sz w:val="14"/>
                <w:szCs w:val="14"/>
                <w:b w:val="1"/>
                <w:bCs w:val="1"/>
                <w:color w:val="auto"/>
              </w:rPr>
              <w:t>2017 -</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2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gridSpan w:val="6"/>
          </w:tcPr>
          <w:p>
            <w:pPr>
              <w:ind w:left="320"/>
              <w:spacing w:after="0"/>
              <w:rPr>
                <w:sz w:val="20"/>
                <w:szCs w:val="20"/>
                <w:color w:val="auto"/>
              </w:rPr>
            </w:pPr>
            <w:r>
              <w:rPr>
                <w:rFonts w:ascii="Arial" w:cs="Arial" w:eastAsia="Arial" w:hAnsi="Arial"/>
                <w:sz w:val="14"/>
                <w:szCs w:val="14"/>
                <w:b w:val="1"/>
                <w:bCs w:val="1"/>
                <w:color w:val="auto"/>
              </w:rPr>
              <w:t xml:space="preserve">million barrels per day </w:t>
            </w:r>
            <w:r>
              <w:rPr>
                <w:rFonts w:ascii="Arial" w:cs="Arial" w:eastAsia="Arial" w:hAnsi="Arial"/>
                <w:sz w:val="8"/>
                <w:szCs w:val="8"/>
                <w:b w:val="1"/>
                <w:bCs w:val="1"/>
                <w:color w:val="auto"/>
              </w:rPr>
              <w:t>(2)</w:t>
            </w: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Production (Supply)</w:t>
            </w:r>
          </w:p>
        </w:tc>
        <w:tc>
          <w:tcPr>
            <w:tcW w:w="7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6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right w:val="single" w:sz="8" w:color="auto"/>
            </w:tcBorders>
            <w:shd w:val="clear" w:color="auto" w:fill="CCEEFF"/>
          </w:tcPr>
          <w:p>
            <w:pPr>
              <w:spacing w:after="0"/>
              <w:rPr>
                <w:sz w:val="23"/>
                <w:szCs w:val="23"/>
                <w:color w:val="auto"/>
              </w:rPr>
            </w:pPr>
          </w:p>
        </w:tc>
        <w:tc>
          <w:tcPr>
            <w:tcW w:w="680" w:type="dxa"/>
            <w:vAlign w:val="bottom"/>
            <w:tcBorders>
              <w:top w:val="single" w:sz="8" w:color="auto"/>
              <w:right w:val="single" w:sz="8" w:color="auto"/>
            </w:tcBorders>
            <w:shd w:val="clear" w:color="auto" w:fill="CCEEFF"/>
          </w:tcPr>
          <w:p>
            <w:pPr>
              <w:spacing w:after="0"/>
              <w:rPr>
                <w:sz w:val="23"/>
                <w:szCs w:val="23"/>
                <w:color w:val="auto"/>
              </w:rPr>
            </w:pPr>
          </w:p>
        </w:tc>
        <w:tc>
          <w:tcPr>
            <w:tcW w:w="120" w:type="dxa"/>
            <w:vAlign w:val="bottom"/>
            <w:tcBorders>
              <w:top w:val="single" w:sz="8" w:color="CCEEFF"/>
              <w:right w:val="single" w:sz="8" w:color="auto"/>
            </w:tcBorders>
            <w:shd w:val="clear" w:color="auto" w:fill="CCEEFF"/>
          </w:tcPr>
          <w:p>
            <w:pPr>
              <w:spacing w:after="0"/>
              <w:rPr>
                <w:sz w:val="23"/>
                <w:szCs w:val="23"/>
                <w:color w:val="auto"/>
              </w:rPr>
            </w:pPr>
          </w:p>
        </w:tc>
        <w:tc>
          <w:tcPr>
            <w:tcW w:w="660" w:type="dxa"/>
            <w:vAlign w:val="bottom"/>
            <w:tcBorders>
              <w:top w:val="single" w:sz="8" w:color="auto"/>
              <w:right w:val="single" w:sz="8" w:color="auto"/>
            </w:tcBorders>
            <w:shd w:val="clear" w:color="auto" w:fill="CCEEFF"/>
          </w:tcPr>
          <w:p>
            <w:pPr>
              <w:spacing w:after="0"/>
              <w:rPr>
                <w:sz w:val="23"/>
                <w:szCs w:val="23"/>
                <w:color w:val="auto"/>
              </w:rPr>
            </w:pPr>
          </w:p>
        </w:tc>
        <w:tc>
          <w:tcPr>
            <w:tcW w:w="140" w:type="dxa"/>
            <w:vAlign w:val="bottom"/>
            <w:tcBorders>
              <w:top w:val="single" w:sz="8" w:color="CCEEFF"/>
              <w:right w:val="single" w:sz="8" w:color="auto"/>
            </w:tcBorders>
            <w:shd w:val="clear" w:color="auto" w:fill="CCEEFF"/>
          </w:tcPr>
          <w:p>
            <w:pPr>
              <w:spacing w:after="0"/>
              <w:rPr>
                <w:sz w:val="23"/>
                <w:szCs w:val="23"/>
                <w:color w:val="auto"/>
              </w:rPr>
            </w:pPr>
          </w:p>
        </w:tc>
        <w:tc>
          <w:tcPr>
            <w:tcW w:w="660" w:type="dxa"/>
            <w:vAlign w:val="bottom"/>
            <w:tcBorders>
              <w:top w:val="single" w:sz="8" w:color="auto"/>
              <w:right w:val="single" w:sz="8" w:color="auto"/>
            </w:tcBorders>
            <w:shd w:val="clear" w:color="auto" w:fill="CCEEFF"/>
          </w:tcPr>
          <w:p>
            <w:pPr>
              <w:spacing w:after="0"/>
              <w:rPr>
                <w:sz w:val="23"/>
                <w:szCs w:val="23"/>
                <w:color w:val="auto"/>
              </w:rPr>
            </w:pPr>
          </w:p>
        </w:tc>
        <w:tc>
          <w:tcPr>
            <w:tcW w:w="120" w:type="dxa"/>
            <w:vAlign w:val="bottom"/>
            <w:tcBorders>
              <w:top w:val="single" w:sz="8" w:color="CCEEFF"/>
              <w:right w:val="single" w:sz="8" w:color="auto"/>
            </w:tcBorders>
            <w:shd w:val="clear" w:color="auto" w:fill="CCEEFF"/>
          </w:tcPr>
          <w:p>
            <w:pPr>
              <w:spacing w:after="0"/>
              <w:rPr>
                <w:sz w:val="23"/>
                <w:szCs w:val="23"/>
                <w:color w:val="auto"/>
              </w:rPr>
            </w:pPr>
          </w:p>
        </w:tc>
        <w:tc>
          <w:tcPr>
            <w:tcW w:w="680" w:type="dxa"/>
            <w:vAlign w:val="bottom"/>
            <w:tcBorders>
              <w:top w:val="single" w:sz="8" w:color="auto"/>
              <w:right w:val="single" w:sz="8" w:color="auto"/>
            </w:tcBorders>
            <w:shd w:val="clear" w:color="auto" w:fill="CCEEFF"/>
          </w:tcPr>
          <w:p>
            <w:pPr>
              <w:spacing w:after="0"/>
              <w:rPr>
                <w:sz w:val="23"/>
                <w:szCs w:val="23"/>
                <w:color w:val="auto"/>
              </w:rPr>
            </w:pPr>
          </w:p>
        </w:tc>
        <w:tc>
          <w:tcPr>
            <w:tcW w:w="120" w:type="dxa"/>
            <w:vAlign w:val="bottom"/>
            <w:tcBorders>
              <w:top w:val="single" w:sz="8" w:color="CCEEFF"/>
              <w:right w:val="single" w:sz="8" w:color="auto"/>
            </w:tcBorders>
            <w:shd w:val="clear" w:color="auto" w:fill="CCEEFF"/>
          </w:tcPr>
          <w:p>
            <w:pPr>
              <w:spacing w:after="0"/>
              <w:rPr>
                <w:sz w:val="23"/>
                <w:szCs w:val="23"/>
                <w:color w:val="auto"/>
              </w:rPr>
            </w:pPr>
          </w:p>
        </w:tc>
        <w:tc>
          <w:tcPr>
            <w:tcW w:w="680" w:type="dxa"/>
            <w:vAlign w:val="bottom"/>
            <w:tcBorders>
              <w:top w:val="single" w:sz="8" w:color="auto"/>
              <w:right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U.S.</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17.9</w:t>
            </w:r>
          </w:p>
        </w:tc>
        <w:tc>
          <w:tcPr>
            <w:tcW w:w="140" w:type="dxa"/>
            <w:vAlign w:val="bottom"/>
            <w:tcBorders>
              <w:right w:val="single" w:sz="8" w:color="auto"/>
            </w:tcBorders>
          </w:tcPr>
          <w:p>
            <w:pPr>
              <w:spacing w:after="0"/>
              <w:rPr>
                <w:sz w:val="22"/>
                <w:szCs w:val="22"/>
                <w:color w:val="auto"/>
              </w:rPr>
            </w:pPr>
          </w:p>
        </w:tc>
        <w:tc>
          <w:tcPr>
            <w:tcW w:w="68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1.8</w:t>
            </w:r>
          </w:p>
        </w:tc>
        <w:tc>
          <w:tcPr>
            <w:tcW w:w="120" w:type="dxa"/>
            <w:vAlign w:val="bottom"/>
            <w:tcBorders>
              <w:right w:val="single" w:sz="8" w:color="auto"/>
            </w:tcBorders>
          </w:tcPr>
          <w:p>
            <w:pPr>
              <w:spacing w:after="0"/>
              <w:rPr>
                <w:sz w:val="22"/>
                <w:szCs w:val="22"/>
                <w:color w:val="auto"/>
              </w:rPr>
            </w:pPr>
          </w:p>
        </w:tc>
        <w:tc>
          <w:tcPr>
            <w:tcW w:w="6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140" w:type="dxa"/>
            <w:vAlign w:val="bottom"/>
            <w:tcBorders>
              <w:right w:val="single" w:sz="8" w:color="auto"/>
            </w:tcBorders>
          </w:tcPr>
          <w:p>
            <w:pPr>
              <w:spacing w:after="0"/>
              <w:rPr>
                <w:sz w:val="22"/>
                <w:szCs w:val="22"/>
                <w:color w:val="auto"/>
              </w:rPr>
            </w:pPr>
          </w:p>
        </w:tc>
        <w:tc>
          <w:tcPr>
            <w:tcW w:w="6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tcBorders>
              <w:right w:val="single" w:sz="8" w:color="auto"/>
            </w:tcBorders>
          </w:tcPr>
          <w:p>
            <w:pPr>
              <w:spacing w:after="0"/>
              <w:rPr>
                <w:sz w:val="22"/>
                <w:szCs w:val="22"/>
                <w:color w:val="auto"/>
              </w:rPr>
            </w:pPr>
          </w:p>
        </w:tc>
        <w:tc>
          <w:tcPr>
            <w:tcW w:w="6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0.8</w:t>
            </w:r>
          </w:p>
        </w:tc>
        <w:tc>
          <w:tcPr>
            <w:tcW w:w="120" w:type="dxa"/>
            <w:vAlign w:val="bottom"/>
            <w:tcBorders>
              <w:right w:val="single" w:sz="8" w:color="auto"/>
            </w:tcBorders>
          </w:tcPr>
          <w:p>
            <w:pPr>
              <w:spacing w:after="0"/>
              <w:rPr>
                <w:sz w:val="22"/>
                <w:szCs w:val="22"/>
                <w:color w:val="auto"/>
              </w:rPr>
            </w:pPr>
          </w:p>
        </w:tc>
        <w:tc>
          <w:tcPr>
            <w:tcW w:w="6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OPEC</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35.1</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35.1</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37.4</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w:t>
            </w:r>
          </w:p>
        </w:tc>
        <w:tc>
          <w:tcPr>
            <w:tcW w:w="140" w:type="dxa"/>
            <w:vAlign w:val="bottom"/>
            <w:tcBorders>
              <w:right w:val="single" w:sz="8" w:color="auto"/>
            </w:tcBorders>
            <w:shd w:val="clear" w:color="auto" w:fill="CCEEFF"/>
          </w:tcPr>
          <w:p>
            <w:pPr>
              <w:spacing w:after="0"/>
              <w:rPr>
                <w:sz w:val="24"/>
                <w:szCs w:val="24"/>
                <w:color w:val="auto"/>
              </w:rPr>
            </w:pPr>
          </w:p>
        </w:tc>
        <w:tc>
          <w:tcPr>
            <w:tcW w:w="68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24"/>
                <w:szCs w:val="24"/>
                <w:color w:val="auto"/>
              </w:rPr>
            </w:pPr>
          </w:p>
        </w:tc>
        <w:tc>
          <w:tcPr>
            <w:tcW w:w="66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40" w:type="dxa"/>
            <w:vAlign w:val="bottom"/>
            <w:tcBorders>
              <w:right w:val="single" w:sz="8" w:color="auto"/>
            </w:tcBorders>
            <w:shd w:val="clear" w:color="auto" w:fill="CCEEFF"/>
          </w:tcPr>
          <w:p>
            <w:pPr>
              <w:spacing w:after="0"/>
              <w:rPr>
                <w:sz w:val="24"/>
                <w:szCs w:val="24"/>
                <w:color w:val="auto"/>
              </w:rPr>
            </w:pPr>
          </w:p>
        </w:tc>
        <w:tc>
          <w:tcPr>
            <w:tcW w:w="66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Borders>
              <w:right w:val="single" w:sz="8" w:color="auto"/>
            </w:tcBorders>
            <w:shd w:val="clear" w:color="auto" w:fill="CCEEFF"/>
          </w:tcPr>
          <w:p>
            <w:pPr>
              <w:spacing w:after="0"/>
              <w:rPr>
                <w:sz w:val="24"/>
                <w:szCs w:val="24"/>
                <w:color w:val="auto"/>
              </w:rPr>
            </w:pPr>
          </w:p>
        </w:tc>
        <w:tc>
          <w:tcPr>
            <w:tcW w:w="68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tcBorders>
              <w:right w:val="single" w:sz="8" w:color="auto"/>
            </w:tcBorders>
            <w:shd w:val="clear" w:color="auto" w:fill="CCEEFF"/>
          </w:tcPr>
          <w:p>
            <w:pPr>
              <w:spacing w:after="0"/>
              <w:rPr>
                <w:sz w:val="24"/>
                <w:szCs w:val="24"/>
                <w:color w:val="auto"/>
              </w:rPr>
            </w:pPr>
          </w:p>
        </w:tc>
        <w:tc>
          <w:tcPr>
            <w:tcW w:w="68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World</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44.1</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44.9</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45.5</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45.1</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45.1</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45.3</w:t>
            </w:r>
          </w:p>
        </w:tc>
        <w:tc>
          <w:tcPr>
            <w:tcW w:w="140" w:type="dxa"/>
            <w:vAlign w:val="bottom"/>
            <w:tcBorders>
              <w:bottom w:val="single" w:sz="8" w:color="CCEEFF"/>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0.6</w:t>
            </w:r>
          </w:p>
        </w:tc>
        <w:tc>
          <w:tcPr>
            <w:tcW w:w="140" w:type="dxa"/>
            <w:vAlign w:val="bottom"/>
            <w:tcBorders>
              <w:bottom w:val="single" w:sz="8" w:color="CCEEFF"/>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56"/>
        </w:trPr>
        <w:tc>
          <w:tcPr>
            <w:tcW w:w="2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91.6</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94.2</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97.0</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97.4</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98.0</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100.5</w:t>
            </w:r>
          </w:p>
        </w:tc>
        <w:tc>
          <w:tcPr>
            <w:tcW w:w="140" w:type="dxa"/>
            <w:vAlign w:val="bottom"/>
            <w:tcBorders>
              <w:right w:val="single" w:sz="8" w:color="auto"/>
            </w:tcBorders>
            <w:shd w:val="clear" w:color="auto" w:fill="CCEEFF"/>
          </w:tcPr>
          <w:p>
            <w:pPr>
              <w:spacing w:after="0"/>
              <w:rPr>
                <w:sz w:val="22"/>
                <w:szCs w:val="22"/>
                <w:color w:val="auto"/>
              </w:rPr>
            </w:pPr>
          </w:p>
        </w:tc>
        <w:tc>
          <w:tcPr>
            <w:tcW w:w="68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2.5</w:t>
            </w:r>
          </w:p>
        </w:tc>
        <w:tc>
          <w:tcPr>
            <w:tcW w:w="120" w:type="dxa"/>
            <w:vAlign w:val="bottom"/>
            <w:tcBorders>
              <w:right w:val="single" w:sz="8" w:color="auto"/>
            </w:tcBorders>
            <w:shd w:val="clear" w:color="auto" w:fill="CCEEFF"/>
          </w:tcPr>
          <w:p>
            <w:pPr>
              <w:spacing w:after="0"/>
              <w:rPr>
                <w:sz w:val="22"/>
                <w:szCs w:val="22"/>
                <w:color w:val="auto"/>
              </w:rPr>
            </w:pPr>
          </w:p>
        </w:tc>
        <w:tc>
          <w:tcPr>
            <w:tcW w:w="66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w:t>
            </w:r>
          </w:p>
        </w:tc>
        <w:tc>
          <w:tcPr>
            <w:tcW w:w="140" w:type="dxa"/>
            <w:vAlign w:val="bottom"/>
            <w:tcBorders>
              <w:right w:val="single" w:sz="8" w:color="auto"/>
            </w:tcBorders>
            <w:shd w:val="clear" w:color="auto" w:fill="CCEEFF"/>
          </w:tcPr>
          <w:p>
            <w:pPr>
              <w:spacing w:after="0"/>
              <w:rPr>
                <w:sz w:val="22"/>
                <w:szCs w:val="22"/>
                <w:color w:val="auto"/>
              </w:rPr>
            </w:pPr>
          </w:p>
        </w:tc>
        <w:tc>
          <w:tcPr>
            <w:tcW w:w="66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0.4</w:t>
            </w:r>
          </w:p>
        </w:tc>
        <w:tc>
          <w:tcPr>
            <w:tcW w:w="120" w:type="dxa"/>
            <w:vAlign w:val="bottom"/>
            <w:tcBorders>
              <w:right w:val="single" w:sz="8" w:color="auto"/>
            </w:tcBorders>
            <w:shd w:val="clear" w:color="auto" w:fill="CCEEFF"/>
          </w:tcPr>
          <w:p>
            <w:pPr>
              <w:spacing w:after="0"/>
              <w:rPr>
                <w:sz w:val="22"/>
                <w:szCs w:val="22"/>
                <w:color w:val="auto"/>
              </w:rPr>
            </w:pPr>
          </w:p>
        </w:tc>
        <w:tc>
          <w:tcPr>
            <w:tcW w:w="68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0.6</w:t>
            </w:r>
          </w:p>
        </w:tc>
        <w:tc>
          <w:tcPr>
            <w:tcW w:w="120" w:type="dxa"/>
            <w:vAlign w:val="bottom"/>
            <w:tcBorders>
              <w:right w:val="single" w:sz="8" w:color="auto"/>
            </w:tcBorders>
            <w:shd w:val="clear" w:color="auto" w:fill="CCEEFF"/>
          </w:tcPr>
          <w:p>
            <w:pPr>
              <w:spacing w:after="0"/>
              <w:rPr>
                <w:sz w:val="22"/>
                <w:szCs w:val="22"/>
                <w:color w:val="auto"/>
              </w:rPr>
            </w:pPr>
          </w:p>
        </w:tc>
        <w:tc>
          <w:tcPr>
            <w:tcW w:w="68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w:t>
            </w:r>
          </w:p>
        </w:tc>
        <w:tc>
          <w:tcPr>
            <w:tcW w:w="0" w:type="dxa"/>
            <w:vAlign w:val="bottom"/>
          </w:tcPr>
          <w:p>
            <w:pPr>
              <w:spacing w:after="0"/>
              <w:rPr>
                <w:sz w:val="1"/>
                <w:szCs w:val="1"/>
                <w:color w:val="auto"/>
              </w:rPr>
            </w:pPr>
          </w:p>
        </w:tc>
      </w:tr>
      <w:tr>
        <w:trPr>
          <w:trHeight w:val="324"/>
        </w:trPr>
        <w:tc>
          <w:tcPr>
            <w:tcW w:w="2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Consumption (Demand)</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92.3</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93.9</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95.9</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96.9</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98.6</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100.0</w:t>
            </w:r>
          </w:p>
        </w:tc>
        <w:tc>
          <w:tcPr>
            <w:tcW w:w="140" w:type="dxa"/>
            <w:vAlign w:val="bottom"/>
            <w:tcBorders>
              <w:right w:val="single" w:sz="8" w:color="auto"/>
            </w:tcBorders>
            <w:shd w:val="clear" w:color="auto" w:fill="CCEEFF"/>
          </w:tcPr>
          <w:p>
            <w:pPr>
              <w:spacing w:after="0"/>
              <w:rPr>
                <w:sz w:val="23"/>
                <w:szCs w:val="23"/>
                <w:color w:val="auto"/>
              </w:rPr>
            </w:pPr>
          </w:p>
        </w:tc>
        <w:tc>
          <w:tcPr>
            <w:tcW w:w="68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w:t>
            </w:r>
          </w:p>
        </w:tc>
        <w:tc>
          <w:tcPr>
            <w:tcW w:w="120" w:type="dxa"/>
            <w:vAlign w:val="bottom"/>
            <w:tcBorders>
              <w:right w:val="single" w:sz="8" w:color="auto"/>
            </w:tcBorders>
            <w:shd w:val="clear" w:color="auto" w:fill="CCEEFF"/>
          </w:tcPr>
          <w:p>
            <w:pPr>
              <w:spacing w:after="0"/>
              <w:rPr>
                <w:sz w:val="23"/>
                <w:szCs w:val="23"/>
                <w:color w:val="auto"/>
              </w:rPr>
            </w:pPr>
          </w:p>
        </w:tc>
        <w:tc>
          <w:tcPr>
            <w:tcW w:w="66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w:t>
            </w:r>
          </w:p>
        </w:tc>
        <w:tc>
          <w:tcPr>
            <w:tcW w:w="140" w:type="dxa"/>
            <w:vAlign w:val="bottom"/>
            <w:tcBorders>
              <w:right w:val="single" w:sz="8" w:color="auto"/>
            </w:tcBorders>
            <w:shd w:val="clear" w:color="auto" w:fill="CCEEFF"/>
          </w:tcPr>
          <w:p>
            <w:pPr>
              <w:spacing w:after="0"/>
              <w:rPr>
                <w:sz w:val="23"/>
                <w:szCs w:val="23"/>
                <w:color w:val="auto"/>
              </w:rPr>
            </w:pPr>
          </w:p>
        </w:tc>
        <w:tc>
          <w:tcPr>
            <w:tcW w:w="66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w:t>
            </w:r>
          </w:p>
        </w:tc>
        <w:tc>
          <w:tcPr>
            <w:tcW w:w="120" w:type="dxa"/>
            <w:vAlign w:val="bottom"/>
            <w:tcBorders>
              <w:right w:val="single" w:sz="8" w:color="auto"/>
            </w:tcBorders>
            <w:shd w:val="clear" w:color="auto" w:fill="CCEEFF"/>
          </w:tcPr>
          <w:p>
            <w:pPr>
              <w:spacing w:after="0"/>
              <w:rPr>
                <w:sz w:val="23"/>
                <w:szCs w:val="23"/>
                <w:color w:val="auto"/>
              </w:rPr>
            </w:pPr>
          </w:p>
        </w:tc>
        <w:tc>
          <w:tcPr>
            <w:tcW w:w="68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w:t>
            </w:r>
          </w:p>
        </w:tc>
        <w:tc>
          <w:tcPr>
            <w:tcW w:w="120" w:type="dxa"/>
            <w:vAlign w:val="bottom"/>
            <w:tcBorders>
              <w:right w:val="single" w:sz="8" w:color="auto"/>
            </w:tcBorders>
            <w:shd w:val="clear" w:color="auto" w:fill="CCEEFF"/>
          </w:tcPr>
          <w:p>
            <w:pPr>
              <w:spacing w:after="0"/>
              <w:rPr>
                <w:sz w:val="23"/>
                <w:szCs w:val="23"/>
                <w:color w:val="auto"/>
              </w:rPr>
            </w:pPr>
          </w:p>
        </w:tc>
        <w:tc>
          <w:tcPr>
            <w:tcW w:w="68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w:t>
            </w:r>
          </w:p>
        </w:tc>
        <w:tc>
          <w:tcPr>
            <w:tcW w:w="0" w:type="dxa"/>
            <w:vAlign w:val="bottom"/>
          </w:tcPr>
          <w:p>
            <w:pPr>
              <w:spacing w:after="0"/>
              <w:rPr>
                <w:sz w:val="1"/>
                <w:szCs w:val="1"/>
                <w:color w:val="auto"/>
              </w:rPr>
            </w:pPr>
          </w:p>
        </w:tc>
      </w:tr>
      <w:tr>
        <w:trPr>
          <w:trHeight w:val="324"/>
        </w:trPr>
        <w:tc>
          <w:tcPr>
            <w:tcW w:w="27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Global Supply / Demand Balance</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(0.6)</w:t>
            </w:r>
          </w:p>
        </w:tc>
        <w:tc>
          <w:tcPr>
            <w:tcW w:w="12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0.3</w:t>
            </w:r>
          </w:p>
        </w:tc>
        <w:tc>
          <w:tcPr>
            <w:tcW w:w="12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0.5</w:t>
            </w:r>
          </w:p>
        </w:tc>
        <w:tc>
          <w:tcPr>
            <w:tcW w:w="12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(0.5)</w:t>
            </w:r>
          </w:p>
        </w:tc>
        <w:tc>
          <w:tcPr>
            <w:tcW w:w="12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0.5</w:t>
            </w:r>
          </w:p>
        </w:tc>
        <w:tc>
          <w:tcPr>
            <w:tcW w:w="140" w:type="dxa"/>
            <w:vAlign w:val="bottom"/>
            <w:tcBorders>
              <w:right w:val="single" w:sz="8" w:color="auto"/>
            </w:tcBorders>
            <w:shd w:val="clear" w:color="auto" w:fill="CCEEFF"/>
          </w:tcPr>
          <w:p>
            <w:pPr>
              <w:spacing w:after="0"/>
              <w:rPr>
                <w:sz w:val="21"/>
                <w:szCs w:val="21"/>
                <w:color w:val="auto"/>
              </w:rPr>
            </w:pPr>
          </w:p>
        </w:tc>
        <w:tc>
          <w:tcPr>
            <w:tcW w:w="68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0.9</w:t>
            </w:r>
          </w:p>
        </w:tc>
        <w:tc>
          <w:tcPr>
            <w:tcW w:w="120" w:type="dxa"/>
            <w:vAlign w:val="bottom"/>
            <w:tcBorders>
              <w:right w:val="single" w:sz="8" w:color="auto"/>
            </w:tcBorders>
            <w:shd w:val="clear" w:color="auto" w:fill="CCEEFF"/>
          </w:tcPr>
          <w:p>
            <w:pPr>
              <w:spacing w:after="0"/>
              <w:rPr>
                <w:sz w:val="21"/>
                <w:szCs w:val="21"/>
                <w:color w:val="auto"/>
              </w:rPr>
            </w:pPr>
          </w:p>
        </w:tc>
        <w:tc>
          <w:tcPr>
            <w:tcW w:w="6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0.8</w:t>
            </w:r>
          </w:p>
        </w:tc>
        <w:tc>
          <w:tcPr>
            <w:tcW w:w="140" w:type="dxa"/>
            <w:vAlign w:val="bottom"/>
            <w:tcBorders>
              <w:right w:val="single" w:sz="8" w:color="auto"/>
            </w:tcBorders>
            <w:shd w:val="clear" w:color="auto" w:fill="CCEEFF"/>
          </w:tcPr>
          <w:p>
            <w:pPr>
              <w:spacing w:after="0"/>
              <w:rPr>
                <w:sz w:val="21"/>
                <w:szCs w:val="21"/>
                <w:color w:val="auto"/>
              </w:rPr>
            </w:pPr>
          </w:p>
        </w:tc>
        <w:tc>
          <w:tcPr>
            <w:tcW w:w="66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(0.6)</w:t>
            </w:r>
          </w:p>
        </w:tc>
        <w:tc>
          <w:tcPr>
            <w:tcW w:w="120" w:type="dxa"/>
            <w:vAlign w:val="bottom"/>
            <w:tcBorders>
              <w:right w:val="single" w:sz="8" w:color="auto"/>
            </w:tcBorders>
            <w:shd w:val="clear" w:color="auto" w:fill="CCEEFF"/>
          </w:tcPr>
          <w:p>
            <w:pPr>
              <w:spacing w:after="0"/>
              <w:rPr>
                <w:sz w:val="21"/>
                <w:szCs w:val="21"/>
                <w:color w:val="auto"/>
              </w:rPr>
            </w:pPr>
          </w:p>
        </w:tc>
        <w:tc>
          <w:tcPr>
            <w:tcW w:w="68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w:t>
            </w:r>
          </w:p>
        </w:tc>
        <w:tc>
          <w:tcPr>
            <w:tcW w:w="120" w:type="dxa"/>
            <w:vAlign w:val="bottom"/>
            <w:tcBorders>
              <w:right w:val="single" w:sz="8" w:color="auto"/>
            </w:tcBorders>
            <w:shd w:val="clear" w:color="auto" w:fill="CCEEFF"/>
          </w:tcPr>
          <w:p>
            <w:pPr>
              <w:spacing w:after="0"/>
              <w:rPr>
                <w:sz w:val="21"/>
                <w:szCs w:val="21"/>
                <w:color w:val="auto"/>
              </w:rPr>
            </w:pPr>
          </w:p>
        </w:tc>
        <w:tc>
          <w:tcPr>
            <w:tcW w:w="68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Data reflects actuals through October 2018.</w:t>
      </w:r>
    </w:p>
    <w:p>
      <w:pPr>
        <w:spacing w:after="0" w:line="98" w:lineRule="exact"/>
        <w:rPr>
          <w:rFonts w:ascii="Arial" w:cs="Arial" w:eastAsia="Arial" w:hAnsi="Arial"/>
          <w:sz w:val="25"/>
          <w:szCs w:val="25"/>
          <w:color w:val="auto"/>
          <w:vertAlign w:val="superscript"/>
        </w:rPr>
      </w:pPr>
    </w:p>
    <w:p>
      <w:pPr>
        <w:ind w:left="660" w:hanging="652"/>
        <w:spacing w:after="0" w:line="188" w:lineRule="auto"/>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Amounts may not recalculate due to rounding.</w:t>
      </w:r>
    </w:p>
    <w:p>
      <w:pPr>
        <w:spacing w:after="0" w:line="202"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In 2018, OPEC continued to manage crude oil production levels. Joined by certain non-OPEC countries such as Russia, OPEC and non-OPEC producers agreed to cut production by 1.2 million barrels per day from October 2018 levels, beginning January 2019. In addition, in December of 2018, the province of Alberta mandated crude oil production cuts by imposing production limits designed to remove approximately 325,000 barrels per day from the market; such production limits were relaxed in February 2019 to allow an additional 75,000 barrels per day of production.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Market Overview</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definition of a commodity is a “mass-produced unspecialized product” and implies the attribute of fungibility. Crude oil is typically referred to as a commodity; however, it is neither unspecialized nor fungible. The crude slate available to U.S. and world-wide refineries consists of a substantial number of different grades and varieties of crude oil. Each crude oil grade has distinguishing physical properties. For example, specific gravity (generally referred to as light or heavy), sulfur content (generally referred to as sweet or sour) and metals content, along with other characteristics, collectively result in varying economic attributes. In many cases, these factors result in the need for such grades to be batched or segregated in the transportation and storage processes, blended to precise specifications or adjusted in value.</w:t>
      </w:r>
    </w:p>
    <w:p>
      <w:pPr>
        <w:spacing w:after="0" w:line="193"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lack of fungibility of the various grades of crude oil creates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 relative yields and the cost to obtain, transport and process the crude oil drive the refinery’s choice of feedstock. In addition, from time to time, natural disasters and geopolitical factors such as hurricanes, earthquakes, tsunamis, inclement weather, labor strikes, refinery disruptions, embargoes and armed conflicts may impact supply, demand, transportation and storage logistics.</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assets and our business strategy are designed to serve our producer and refiner customers by addressing regional crude oil supply and demand imbalances that exist in the United States and Canada. The nature and extent of these imbalances change from time to time as a result of a variety of factors, including regional production declines and/or increases; refinery expansions, modifications and shut-downs; available transportation and storage capacity; and government mandates and related regulatory factors.</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40"/>
          </w:cols>
          <w:pgMar w:left="240" w:top="125" w:right="2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From 2011 through 2015, the combination of (i) a significant increase in North American production volumes, (ii) a change in crude oil qualities and related differentials and (iii) high utilization of existing pipeline and terminal infrastructure stimulated multiple industry initiatives to build new pipeline and terminal infrastructure, convert certain pipeline assets to alternative service or reverse flows and expand the use of trucks, rail and barges for the movement of crude oil and condensate. Increased production from U.S. oil-producing areas such as the Rockies, the Permian Basin in West Texas, the Mid-Continent region, the Eagle Ford Shale in South Texas, and the Williston Basin in North Dakota caused U.S. lower 48 onshore crude oil production to increase by 3.7 million barrels per day, or 99%, between 2011 and 2015. In 2015, U.S. Lower 48 onshore crude oil production peaked at 7.6 million barrels per day in March. By that point crude oil prices had begun to decline, causing many North American operators to significantly scale back their capital programs, resulting in production declines. By February 2016 West Texas Intermediate crude averaged $30.32 per barrel, down from averaging over $100 per barrel in July 2014.</w:t>
      </w:r>
    </w:p>
    <w:p>
      <w:pPr>
        <w:spacing w:after="0" w:line="16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By mid-2016 crude oil prices began to rise and, subsequently, U.S. onshore rig count increased, reaching 1,054 by December 2018, and U.S. lower 48 onshore production reached a high of 9.5 million barrels per day in November 2018. As the rate of production grew throughout 2018, utilization on existing infrastructure began to increase in areas like the Permian Basin in West Texas, causing differentials between crude oil in West Texas and Cushing, Oklahoma (the U.S. pricing benchmark) to widen to nearly $18 per barrel in August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814695" cy="2452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1469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Source: EIA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23323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5848985" cy="25387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48985" cy="253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Source: EIA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23323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Crude Oil Exports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The number of countries receiving exported U.S. crude oil has continued to rise since the removal of restrictions on exporting U.S. crude oil in December 2015. U.S. crude oil exports averaged 1.93 million barrels per day in the first eleven months of 2018, 0.77 (67%) million barrels per day more than the full-year 2017 and 1.34 (227%) million barrels per day more than full year 2016. During the week of November 30, 2018, the U.S. was a net exporter of crude oil and petroleum products for the first time in weekly data going back to 1991. Continued increases in U.S. crude oil exports will likely depend on increases in U.S. crude oil production and wider price differences between domestic and international crude oil. The table below depicts historical U.S. crude oil exports as reported by the EIA (see EIA website at </w:t>
      </w:r>
      <w:r>
        <w:rPr>
          <w:rFonts w:ascii="Arial" w:cs="Arial" w:eastAsia="Arial" w:hAnsi="Arial"/>
          <w:sz w:val="17"/>
          <w:szCs w:val="17"/>
          <w:i w:val="1"/>
          <w:iCs w:val="1"/>
          <w:color w:val="auto"/>
        </w:rPr>
        <w:t>www.eia.doe.gov</w:t>
      </w:r>
      <w:r>
        <w:rPr>
          <w:rFonts w:ascii="Arial" w:cs="Arial" w:eastAsia="Arial" w:hAnsi="Arial"/>
          <w:sz w:val="17"/>
          <w:szCs w:val="17"/>
          <w:color w:val="auto"/>
        </w:rPr>
        <w:t>):</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Annual U.S. Exports of Crude Oil</w:t>
            </w:r>
          </w:p>
        </w:tc>
        <w:tc>
          <w:tcPr>
            <w:tcW w:w="10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320"/>
              <w:spacing w:after="0"/>
              <w:rPr>
                <w:sz w:val="20"/>
                <w:szCs w:val="20"/>
                <w:color w:val="auto"/>
              </w:rPr>
            </w:pPr>
            <w:r>
              <w:rPr>
                <w:rFonts w:ascii="Arial" w:cs="Arial" w:eastAsia="Arial" w:hAnsi="Arial"/>
                <w:sz w:val="14"/>
                <w:szCs w:val="14"/>
                <w:b w:val="1"/>
                <w:bCs w:val="1"/>
                <w:color w:val="auto"/>
              </w:rPr>
              <w:t>∆ from</w:t>
            </w:r>
          </w:p>
        </w:tc>
        <w:tc>
          <w:tcPr>
            <w:tcW w:w="1260" w:type="dxa"/>
            <w:vAlign w:val="bottom"/>
            <w:gridSpan w:val="2"/>
          </w:tcPr>
          <w:p>
            <w:pPr>
              <w:ind w:left="320"/>
              <w:spacing w:after="0"/>
              <w:rPr>
                <w:sz w:val="20"/>
                <w:szCs w:val="20"/>
                <w:color w:val="auto"/>
              </w:rPr>
            </w:pPr>
            <w:r>
              <w:rPr>
                <w:rFonts w:ascii="Arial" w:cs="Arial" w:eastAsia="Arial" w:hAnsi="Arial"/>
                <w:sz w:val="14"/>
                <w:szCs w:val="14"/>
                <w:b w:val="1"/>
                <w:bCs w:val="1"/>
                <w:color w:val="auto"/>
              </w:rPr>
              <w:t>∆ from</w:t>
            </w:r>
          </w:p>
        </w:tc>
        <w:tc>
          <w:tcPr>
            <w:tcW w:w="1140" w:type="dxa"/>
            <w:vAlign w:val="bottom"/>
          </w:tcPr>
          <w:p>
            <w:pPr>
              <w:jc w:val="right"/>
              <w:ind w:right="314"/>
              <w:spacing w:after="0"/>
              <w:rPr>
                <w:sz w:val="20"/>
                <w:szCs w:val="20"/>
                <w:color w:val="auto"/>
              </w:rPr>
            </w:pPr>
            <w:r>
              <w:rPr>
                <w:rFonts w:ascii="Arial" w:cs="Arial" w:eastAsia="Arial" w:hAnsi="Arial"/>
                <w:sz w:val="14"/>
                <w:szCs w:val="14"/>
                <w:b w:val="1"/>
                <w:bCs w:val="1"/>
                <w:color w:val="auto"/>
              </w:rPr>
              <w:t>∆ from</w:t>
            </w:r>
          </w:p>
        </w:tc>
      </w:tr>
      <w:tr>
        <w:trPr>
          <w:trHeight w:val="264"/>
        </w:trPr>
        <w:tc>
          <w:tcPr>
            <w:tcW w:w="3200" w:type="dxa"/>
            <w:vAlign w:val="bottom"/>
          </w:tcPr>
          <w:p>
            <w:pPr>
              <w:spacing w:after="0"/>
              <w:rPr>
                <w:sz w:val="22"/>
                <w:szCs w:val="22"/>
                <w:color w:val="auto"/>
              </w:rPr>
            </w:pPr>
          </w:p>
        </w:tc>
        <w:tc>
          <w:tcPr>
            <w:tcW w:w="10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8"/>
                <w:szCs w:val="8"/>
                <w:b w:val="1"/>
                <w:bCs w:val="1"/>
                <w:color w:val="auto"/>
              </w:rPr>
              <w:t>(1)</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2015-2016</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2016-2017</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 xml:space="preserve">2017-2018 </w:t>
            </w:r>
            <w:r>
              <w:rPr>
                <w:rFonts w:ascii="Arial" w:cs="Arial" w:eastAsia="Arial" w:hAnsi="Arial"/>
                <w:sz w:val="8"/>
                <w:szCs w:val="8"/>
                <w:b w:val="1"/>
                <w:bCs w:val="1"/>
                <w:color w:val="auto"/>
              </w:rPr>
              <w:t>(1)</w:t>
            </w:r>
          </w:p>
        </w:tc>
      </w:tr>
      <w:tr>
        <w:trPr>
          <w:trHeight w:val="250"/>
        </w:trPr>
        <w:tc>
          <w:tcPr>
            <w:tcW w:w="3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00" w:type="dxa"/>
            <w:vAlign w:val="bottom"/>
            <w:gridSpan w:val="6"/>
          </w:tcPr>
          <w:p>
            <w:pPr>
              <w:ind w:left="780"/>
              <w:spacing w:after="0"/>
              <w:rPr>
                <w:sz w:val="20"/>
                <w:szCs w:val="20"/>
                <w:color w:val="auto"/>
              </w:rPr>
            </w:pPr>
            <w:r>
              <w:rPr>
                <w:rFonts w:ascii="Arial" w:cs="Arial" w:eastAsia="Arial" w:hAnsi="Arial"/>
                <w:sz w:val="14"/>
                <w:szCs w:val="14"/>
                <w:b w:val="1"/>
                <w:bCs w:val="1"/>
                <w:color w:val="auto"/>
              </w:rPr>
              <w:t xml:space="preserve">(in millions of barrels per day) </w:t>
            </w:r>
            <w:r>
              <w:rPr>
                <w:rFonts w:ascii="Arial" w:cs="Arial" w:eastAsia="Arial" w:hAnsi="Arial"/>
                <w:sz w:val="8"/>
                <w:szCs w:val="8"/>
                <w:b w:val="1"/>
                <w:bCs w:val="1"/>
                <w:color w:val="auto"/>
              </w:rPr>
              <w:t>(2)</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0"/>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PADD 1</w:t>
            </w:r>
          </w:p>
        </w:tc>
        <w:tc>
          <w:tcPr>
            <w:tcW w:w="1040" w:type="dxa"/>
            <w:vAlign w:val="bottom"/>
            <w:tcBorders>
              <w:top w:val="single" w:sz="8" w:color="CCEEFF"/>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0.03</w:t>
            </w: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0.10</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0.02</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PADD 2</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21"/>
                <w:szCs w:val="21"/>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0.13</w:t>
            </w:r>
          </w:p>
        </w:tc>
        <w:tc>
          <w:tcPr>
            <w:tcW w:w="14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color w:val="auto"/>
              </w:rPr>
              <w:t>0.02</w:t>
            </w:r>
          </w:p>
        </w:tc>
        <w:tc>
          <w:tcPr>
            <w:tcW w:w="12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color w:val="auto"/>
              </w:rPr>
              <w:t>0.11</w:t>
            </w:r>
          </w:p>
        </w:tc>
        <w:tc>
          <w:tcPr>
            <w:tcW w:w="12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(0.08)</w:t>
            </w:r>
          </w:p>
        </w:tc>
      </w:tr>
      <w:tr>
        <w:trPr>
          <w:trHeight w:val="27"/>
        </w:trPr>
        <w:tc>
          <w:tcPr>
            <w:tcW w:w="3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PADD 3</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0.29</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0.84</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PADD 4</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1"/>
                <w:szCs w:val="21"/>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3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PADD 5</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0.01</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0.01</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12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14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14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97"/>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Total U.S. Crude Oil Exports</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0.47</w:t>
            </w: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0.59</w:t>
            </w: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1.16</w:t>
            </w: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1.93</w:t>
            </w:r>
          </w:p>
        </w:tc>
        <w:tc>
          <w:tcPr>
            <w:tcW w:w="140" w:type="dxa"/>
            <w:vAlign w:val="bottom"/>
            <w:tcBorders>
              <w:right w:val="single" w:sz="8" w:color="auto"/>
            </w:tcBorders>
          </w:tcPr>
          <w:p>
            <w:pPr>
              <w:spacing w:after="0"/>
              <w:rPr>
                <w:sz w:val="24"/>
                <w:szCs w:val="24"/>
                <w:color w:val="auto"/>
              </w:rPr>
            </w:pPr>
          </w:p>
        </w:tc>
        <w:tc>
          <w:tcPr>
            <w:tcW w:w="1120" w:type="dxa"/>
            <w:vAlign w:val="bottom"/>
            <w:tcBorders>
              <w:top w:val="single" w:sz="8" w:color="auto"/>
              <w:bottom w:val="single" w:sz="8" w:color="auto"/>
              <w:right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0.13</w:t>
            </w:r>
          </w:p>
        </w:tc>
        <w:tc>
          <w:tcPr>
            <w:tcW w:w="120" w:type="dxa"/>
            <w:vAlign w:val="bottom"/>
            <w:tcBorders>
              <w:right w:val="single" w:sz="8" w:color="auto"/>
            </w:tcBorders>
          </w:tcPr>
          <w:p>
            <w:pPr>
              <w:spacing w:after="0"/>
              <w:rPr>
                <w:sz w:val="24"/>
                <w:szCs w:val="24"/>
                <w:color w:val="auto"/>
              </w:rPr>
            </w:pPr>
          </w:p>
        </w:tc>
        <w:tc>
          <w:tcPr>
            <w:tcW w:w="1140" w:type="dxa"/>
            <w:vAlign w:val="bottom"/>
            <w:tcBorders>
              <w:top w:val="single" w:sz="8" w:color="auto"/>
              <w:bottom w:val="single" w:sz="8" w:color="auto"/>
              <w:right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0.57</w:t>
            </w:r>
          </w:p>
        </w:tc>
        <w:tc>
          <w:tcPr>
            <w:tcW w:w="120" w:type="dxa"/>
            <w:vAlign w:val="bottom"/>
            <w:tcBorders>
              <w:right w:val="single" w:sz="8" w:color="auto"/>
            </w:tcBorders>
          </w:tcPr>
          <w:p>
            <w:pPr>
              <w:spacing w:after="0"/>
              <w:rPr>
                <w:sz w:val="24"/>
                <w:szCs w:val="24"/>
                <w:color w:val="auto"/>
              </w:rPr>
            </w:pPr>
          </w:p>
        </w:tc>
        <w:tc>
          <w:tcPr>
            <w:tcW w:w="1140" w:type="dxa"/>
            <w:vAlign w:val="bottom"/>
            <w:tcBorders>
              <w:top w:val="single" w:sz="8" w:color="auto"/>
              <w:bottom w:val="single" w:sz="8" w:color="auto"/>
              <w:right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0.77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Data reflects actuals through November 2018.</w:t>
      </w:r>
    </w:p>
    <w:p>
      <w:pPr>
        <w:spacing w:after="0" w:line="98" w:lineRule="exact"/>
        <w:rPr>
          <w:rFonts w:ascii="Arial" w:cs="Arial" w:eastAsia="Arial" w:hAnsi="Arial"/>
          <w:sz w:val="25"/>
          <w:szCs w:val="25"/>
          <w:color w:val="auto"/>
          <w:vertAlign w:val="superscript"/>
        </w:rPr>
      </w:pPr>
    </w:p>
    <w:p>
      <w:pPr>
        <w:ind w:left="660" w:hanging="652"/>
        <w:spacing w:after="0" w:line="188"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Amounts may not recalculate due to rounding.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NGL Market Overview</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NGL primarily includes ethane, propane, normal butane, iso-butane and natural gasoline, and is derived from natural gas production and processing activities, as well as crude oil refining processes. Liquefied petroleum gas (“LPG”) primarily includes propane and butane, which liquefy at moderate pressures thus making it easier to transport and store such products as compared to ethane. NGL refers to all NGL products including LPG when used in this Form 10-K.</w:t>
      </w:r>
    </w:p>
    <w:p>
      <w:pPr>
        <w:spacing w:after="0" w:line="187" w:lineRule="exact"/>
        <w:rPr>
          <w:sz w:val="20"/>
          <w:szCs w:val="20"/>
          <w:color w:val="auto"/>
        </w:rPr>
      </w:pPr>
    </w:p>
    <w:p>
      <w:pPr>
        <w:jc w:val="center"/>
        <w:ind w:right="320"/>
        <w:spacing w:after="0"/>
        <w:rPr>
          <w:sz w:val="20"/>
          <w:szCs w:val="20"/>
          <w:color w:val="auto"/>
        </w:rPr>
      </w:pPr>
      <w:r>
        <w:rPr>
          <w:rFonts w:ascii="Arial" w:cs="Arial" w:eastAsia="Arial" w:hAnsi="Arial"/>
          <w:sz w:val="18"/>
          <w:szCs w:val="18"/>
          <w:i w:val="1"/>
          <w:iCs w:val="1"/>
          <w:color w:val="auto"/>
        </w:rPr>
        <w:t xml:space="preserve">NGL Demand. </w:t>
      </w:r>
      <w:r>
        <w:rPr>
          <w:rFonts w:ascii="Arial" w:cs="Arial" w:eastAsia="Arial" w:hAnsi="Arial"/>
          <w:sz w:val="18"/>
          <w:szCs w:val="18"/>
          <w:color w:val="auto"/>
        </w:rPr>
        <w:t>Individual NGL products have varying uses. Described below are the five basic NGL components and their typical uses: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40"/>
          </w:cols>
          <w:pgMar w:left="240" w:top="125" w:right="2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980" w:right="120" w:hanging="324"/>
        <w:spacing w:after="0" w:line="286" w:lineRule="auto"/>
        <w:tabs>
          <w:tab w:leader="none" w:pos="980"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Ethane (C2). </w:t>
      </w:r>
      <w:r>
        <w:rPr>
          <w:rFonts w:ascii="Arial" w:cs="Arial" w:eastAsia="Arial" w:hAnsi="Arial"/>
          <w:sz w:val="17"/>
          <w:szCs w:val="17"/>
          <w:color w:val="auto"/>
        </w:rPr>
        <w:t>Ethane accounts for the largest portion of the NGL barrel and substantially all of the extracted ethane is used as feedstock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of ethylene, one of the basic building blocks for a wide range of plastics and other chemical products. When ethane recovery from a wet natural gas stream is uneconomic, ethane is left in the natural gas stream, subject to pipeline specifications.</w:t>
      </w:r>
    </w:p>
    <w:p>
      <w:pPr>
        <w:spacing w:after="0" w:line="165" w:lineRule="exact"/>
        <w:rPr>
          <w:rFonts w:ascii="Arial" w:cs="Arial" w:eastAsia="Arial" w:hAnsi="Arial"/>
          <w:sz w:val="17"/>
          <w:szCs w:val="17"/>
          <w:i w:val="1"/>
          <w:iCs w:val="1"/>
          <w:color w:val="auto"/>
        </w:rPr>
      </w:pPr>
    </w:p>
    <w:p>
      <w:pPr>
        <w:ind w:left="980" w:right="380" w:hanging="324"/>
        <w:spacing w:after="0" w:line="277" w:lineRule="auto"/>
        <w:tabs>
          <w:tab w:leader="none" w:pos="98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Propane (C3). </w:t>
      </w:r>
      <w:r>
        <w:rPr>
          <w:rFonts w:ascii="Arial" w:cs="Arial" w:eastAsia="Arial" w:hAnsi="Arial"/>
          <w:sz w:val="18"/>
          <w:szCs w:val="18"/>
          <w:color w:val="auto"/>
        </w:rPr>
        <w:t>Propane is used as heating fuel, engine fuel and industrial fuel, for agricultural burning and drying and also as petrochemical</w:t>
      </w:r>
      <w:r>
        <w:rPr>
          <w:rFonts w:ascii="Arial" w:cs="Arial" w:eastAsia="Arial" w:hAnsi="Arial"/>
          <w:sz w:val="18"/>
          <w:szCs w:val="18"/>
          <w:i w:val="1"/>
          <w:iCs w:val="1"/>
          <w:color w:val="auto"/>
        </w:rPr>
        <w:t xml:space="preserve"> </w:t>
      </w:r>
      <w:r>
        <w:rPr>
          <w:rFonts w:ascii="Arial" w:cs="Arial" w:eastAsia="Arial" w:hAnsi="Arial"/>
          <w:sz w:val="18"/>
          <w:szCs w:val="18"/>
          <w:color w:val="auto"/>
        </w:rPr>
        <w:t>feedstock for the production of ethylene and propylene.</w:t>
      </w:r>
    </w:p>
    <w:p>
      <w:pPr>
        <w:spacing w:after="0" w:line="170" w:lineRule="exact"/>
        <w:rPr>
          <w:rFonts w:ascii="Arial" w:cs="Arial" w:eastAsia="Arial" w:hAnsi="Arial"/>
          <w:sz w:val="18"/>
          <w:szCs w:val="18"/>
          <w:i w:val="1"/>
          <w:iCs w:val="1"/>
          <w:color w:val="auto"/>
        </w:rPr>
      </w:pPr>
    </w:p>
    <w:p>
      <w:pPr>
        <w:ind w:left="980" w:right="80" w:hanging="324"/>
        <w:spacing w:after="0" w:line="286" w:lineRule="auto"/>
        <w:tabs>
          <w:tab w:leader="none" w:pos="980"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Normal butane (C4). </w:t>
      </w:r>
      <w:r>
        <w:rPr>
          <w:rFonts w:ascii="Arial" w:cs="Arial" w:eastAsia="Arial" w:hAnsi="Arial"/>
          <w:sz w:val="17"/>
          <w:szCs w:val="17"/>
          <w:color w:val="auto"/>
        </w:rPr>
        <w:t>Normal butane is principally used for motor gasoline blending and as fuel gas, either alone or in a mixture with propane,</w:t>
      </w:r>
      <w:r>
        <w:rPr>
          <w:rFonts w:ascii="Arial" w:cs="Arial" w:eastAsia="Arial" w:hAnsi="Arial"/>
          <w:sz w:val="17"/>
          <w:szCs w:val="17"/>
          <w:i w:val="1"/>
          <w:iCs w:val="1"/>
          <w:color w:val="auto"/>
        </w:rPr>
        <w:t xml:space="preserve"> </w:t>
      </w:r>
      <w:r>
        <w:rPr>
          <w:rFonts w:ascii="Arial" w:cs="Arial" w:eastAsia="Arial" w:hAnsi="Arial"/>
          <w:sz w:val="17"/>
          <w:szCs w:val="17"/>
          <w:color w:val="auto"/>
        </w:rPr>
        <w:t>and feedstock for the manufacture of ethylene and butadiene, a key ingredient of synthetic rubber. Normal butane is also used as a feedstock for iso-butane production and as a diluent in the transportation of heavy crude oil and bitumen, particularly in Canada.</w:t>
      </w:r>
    </w:p>
    <w:p>
      <w:pPr>
        <w:spacing w:after="0" w:line="165" w:lineRule="exact"/>
        <w:rPr>
          <w:rFonts w:ascii="Arial" w:cs="Arial" w:eastAsia="Arial" w:hAnsi="Arial"/>
          <w:sz w:val="17"/>
          <w:szCs w:val="17"/>
          <w:i w:val="1"/>
          <w:iCs w:val="1"/>
          <w:color w:val="auto"/>
        </w:rPr>
      </w:pPr>
    </w:p>
    <w:p>
      <w:pPr>
        <w:ind w:left="980" w:hanging="324"/>
        <w:spacing w:after="0"/>
        <w:tabs>
          <w:tab w:leader="none" w:pos="98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Iso-butane. </w:t>
      </w:r>
      <w:r>
        <w:rPr>
          <w:rFonts w:ascii="Arial" w:cs="Arial" w:eastAsia="Arial" w:hAnsi="Arial"/>
          <w:sz w:val="18"/>
          <w:szCs w:val="18"/>
          <w:color w:val="auto"/>
        </w:rPr>
        <w:t>Iso-butane is principally used by refiners to produce alkylates to enhance the octane content of motor gasoline.</w:t>
      </w:r>
    </w:p>
    <w:p>
      <w:pPr>
        <w:spacing w:after="0" w:line="225" w:lineRule="exact"/>
        <w:rPr>
          <w:rFonts w:ascii="Arial" w:cs="Arial" w:eastAsia="Arial" w:hAnsi="Arial"/>
          <w:sz w:val="18"/>
          <w:szCs w:val="18"/>
          <w:i w:val="1"/>
          <w:iCs w:val="1"/>
          <w:color w:val="auto"/>
        </w:rPr>
      </w:pPr>
    </w:p>
    <w:p>
      <w:pPr>
        <w:ind w:left="980" w:right="840" w:hanging="324"/>
        <w:spacing w:after="0" w:line="277" w:lineRule="auto"/>
        <w:tabs>
          <w:tab w:leader="none" w:pos="98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Natural Gasoline. </w:t>
      </w:r>
      <w:r>
        <w:rPr>
          <w:rFonts w:ascii="Arial" w:cs="Arial" w:eastAsia="Arial" w:hAnsi="Arial"/>
          <w:sz w:val="18"/>
          <w:szCs w:val="18"/>
          <w:color w:val="auto"/>
        </w:rPr>
        <w:t>Natural gasoline is principally used as a motor gasoline blend stock, a petrochemical feedstock, or as diluent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of heavy crude oil and bitumen, particularly in Canada.</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i w:val="1"/>
          <w:iCs w:val="1"/>
          <w:color w:val="auto"/>
        </w:rPr>
        <w:t xml:space="preserve">NGL Supply. </w:t>
      </w:r>
      <w:r>
        <w:rPr>
          <w:rFonts w:ascii="Arial" w:cs="Arial" w:eastAsia="Arial" w:hAnsi="Arial"/>
          <w:sz w:val="18"/>
          <w:szCs w:val="18"/>
          <w:color w:val="auto"/>
        </w:rPr>
        <w:t>The bulk of NGL supply (approximately 90% in the United States and 73% in Canada) comes from gas processing plants, which</w:t>
      </w:r>
      <w:r>
        <w:rPr>
          <w:rFonts w:ascii="Arial" w:cs="Arial" w:eastAsia="Arial" w:hAnsi="Arial"/>
          <w:sz w:val="18"/>
          <w:szCs w:val="18"/>
          <w:i w:val="1"/>
          <w:iCs w:val="1"/>
          <w:color w:val="auto"/>
        </w:rPr>
        <w:t xml:space="preserve"> </w:t>
      </w:r>
      <w:r>
        <w:rPr>
          <w:rFonts w:ascii="Arial" w:cs="Arial" w:eastAsia="Arial" w:hAnsi="Arial"/>
          <w:sz w:val="18"/>
          <w:szCs w:val="18"/>
          <w:color w:val="auto"/>
        </w:rPr>
        <w:t>separate a mixture of NGL from the dry gas (primarily methane). This NGL mix (also referred to as “Y Grade”) is then either fractionated at the processing site into the five individual NGL components (known as purity products), which may be transported, stored and sold to end use markets, or transported to a regional fractionation facility.</w:t>
      </w:r>
    </w:p>
    <w:p>
      <w:pPr>
        <w:spacing w:after="0" w:line="187"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The majority of gas processing plants in the United States are located along the Gulf Coast, in the West Texas/Oklahoma area, the Marcellus and Utica region and in the Rockies region. In Canada, the vast majority of the processing capacity is located in Alberta, with a much smaller (but increasing) amount in British Columbia and Saskatchewan.</w:t>
      </w:r>
    </w:p>
    <w:p>
      <w:pPr>
        <w:spacing w:after="0" w:line="18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NGL products from refineries represent approximately 8% of the United States supply and 4% of Canadian supply and are by-products of the refinery conversion process. Consequently, they have generally already been separated into individual components and do not require further fractionation. NGL products from refineries are principally propane, with lesser amounts of butane, refinery naphthas (products similar to natural gasoline) and ethane. Due to refinery maintenance schedules and seasonal demand considerations, refinery production of propane and butane varies on a seasonal basis.</w:t>
      </w:r>
    </w:p>
    <w:p>
      <w:pPr>
        <w:spacing w:after="0" w:line="154"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NGL (primarily propane and butane) is also imported into certain regions of the United States from Canada and other parts of the world (approximately 3% of total supply). Propane and butane is also exported from certain regions of the United States.</w:t>
      </w:r>
    </w:p>
    <w:p>
      <w:pPr>
        <w:spacing w:after="0" w:line="170"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i w:val="1"/>
          <w:iCs w:val="1"/>
          <w:color w:val="auto"/>
        </w:rPr>
        <w:t xml:space="preserve">NGL Transportation and Trading Hubs. </w:t>
      </w:r>
      <w:r>
        <w:rPr>
          <w:rFonts w:ascii="Arial" w:cs="Arial" w:eastAsia="Arial" w:hAnsi="Arial"/>
          <w:sz w:val="18"/>
          <w:szCs w:val="18"/>
          <w:color w:val="auto"/>
        </w:rPr>
        <w:t>NGL, whether as a mixture or as purity products, is transported by pipelines, barges, railcars and tank</w:t>
      </w:r>
      <w:r>
        <w:rPr>
          <w:rFonts w:ascii="Arial" w:cs="Arial" w:eastAsia="Arial" w:hAnsi="Arial"/>
          <w:sz w:val="18"/>
          <w:szCs w:val="18"/>
          <w:i w:val="1"/>
          <w:iCs w:val="1"/>
          <w:color w:val="auto"/>
        </w:rPr>
        <w:t xml:space="preserve"> </w:t>
      </w:r>
      <w:r>
        <w:rPr>
          <w:rFonts w:ascii="Arial" w:cs="Arial" w:eastAsia="Arial" w:hAnsi="Arial"/>
          <w:sz w:val="18"/>
          <w:szCs w:val="18"/>
          <w:color w:val="auto"/>
        </w:rPr>
        <w:t>trucks. The method of transportation used depends on, among other things, the resources of the transporter, the locations of production points and delivery points, cost-efficiency and the quantity of product being transported. Pipelines are generally the most cost-efficient mode of transportation when large, consistent volumes of product are to be delivered.</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major NGL infrastructure and trading hubs in North America are located at Mont Belvieu, Texas; Conway, Kansas; Edmonton, Alberta; and Sarnia, Ontario. Each of these hubs contains a critical mass of infrastructure, including fractionators, storage, pipelines and access to end markets, particularly Mont Belvieu.</w:t>
      </w:r>
    </w:p>
    <w:p>
      <w:pPr>
        <w:spacing w:after="0" w:line="18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 xml:space="preserve">NGL Storage. </w:t>
      </w:r>
      <w:r>
        <w:rPr>
          <w:rFonts w:ascii="Arial" w:cs="Arial" w:eastAsia="Arial" w:hAnsi="Arial"/>
          <w:sz w:val="17"/>
          <w:szCs w:val="17"/>
          <w:color w:val="auto"/>
        </w:rPr>
        <w:t>NGL must be stored under pressure to maintain a liquid state. The lighter the product (e.g., ethane), the greater the pressure that must</w:t>
      </w:r>
      <w:r>
        <w:rPr>
          <w:rFonts w:ascii="Arial" w:cs="Arial" w:eastAsia="Arial" w:hAnsi="Arial"/>
          <w:sz w:val="17"/>
          <w:szCs w:val="17"/>
          <w:i w:val="1"/>
          <w:iCs w:val="1"/>
          <w:color w:val="auto"/>
        </w:rPr>
        <w:t xml:space="preserve"> </w:t>
      </w:r>
      <w:r>
        <w:rPr>
          <w:rFonts w:ascii="Arial" w:cs="Arial" w:eastAsia="Arial" w:hAnsi="Arial"/>
          <w:sz w:val="17"/>
          <w:szCs w:val="17"/>
          <w:color w:val="auto"/>
        </w:rPr>
        <w:t>be maintained. Large volumes of NGL are stored in underground caverns constructed in salt or granite; however, product is also stored in above ground tanks. Natural gasoline can be stored at relatively low pressures in tankage similar to that used to store motor gasoline. Propane and butane are stored at much higher pressures in steel spheres, cylinders, bullets, salt caverns or other configurations. Ethane is stored at very high pressures, typically in salt caverns. Storage is especially important for NGL as supply and demand can vary materially on a seasonal basis.</w:t>
      </w:r>
    </w:p>
    <w:p>
      <w:pPr>
        <w:spacing w:after="0" w:line="173"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 xml:space="preserve">NGL Market Outlook. </w:t>
      </w:r>
      <w:r>
        <w:rPr>
          <w:rFonts w:ascii="Arial" w:cs="Arial" w:eastAsia="Arial" w:hAnsi="Arial"/>
          <w:sz w:val="18"/>
          <w:szCs w:val="18"/>
          <w:color w:val="auto"/>
        </w:rPr>
        <w:t>The growth of shale-based production in both traditional and new producing areas has resulted in a significant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NGL supplies from gas processing plants over the past several years. This has driven extensive expansion and new development of midstream infrastructure in Canada, the Bakken, Marcellus/Utica, and throughout Texas.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growth of production in non-traditional producing regions and the increase in export capacity has shifted regional basis relationships and created new logistics and infrastructure opportunities. Growth of 13% in 2018 for North American NGL production has meant expansion into new markets, through exports or increased petrochemical demand. The continuation of a relatively low ratio of North American gas and NGL prices to world-wide crude oil prices will mean North American NGL can continue to be competitive on a world scale, either as feedstock for North American based manufacturing or export to overseas markets. In addition to substantially increased exports, a portion of the increased supply of NGL will be absorbed by the domestic petrochemical sector as low-cost feed stocks, as the North American petrochemical industry has enjoyed a supply cost advantage on a world scale.</w:t>
      </w:r>
    </w:p>
    <w:p>
      <w:pPr>
        <w:spacing w:after="0" w:line="12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believe the fundamentals of an accessible resource base and improved midstream infrastructure should mean producers can continue to develop the most economic new supply. The NGL market is, among other things, expected to be driven by:</w:t>
      </w:r>
    </w:p>
    <w:p>
      <w:pPr>
        <w:spacing w:after="0" w:line="238"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absolute prices of NGL products and their prices relative to natural gas and crude oil;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drilling activity and wet natural gas production in developing liquids-rich production areas;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available processing, fractionation, storage and transportation capacity;</w:t>
      </w:r>
    </w:p>
    <w:p>
      <w:pPr>
        <w:spacing w:after="0" w:line="117"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petro-chemical demand driven by the build-out or new builds of Ethylene Cracker capacity (ethane demand) and Propane Dehydrogenation facilities (propane demand);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export capacity for both ethane and propane;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diluent requirements for heavy Canadian oil;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changes in gasoline specifications affecting demand for butane;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seasonal demand from refiners;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seasonal weather-related demand;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inefficiencies caused by regional supply and demand imbalances.</w:t>
      </w:r>
    </w:p>
    <w:p>
      <w:pPr>
        <w:spacing w:after="0" w:line="18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a result of these and other factors, the NGL market is complex and volatile, which, along with expected market growth, creates opportunities to solve the logistical inefficiencies inherent in the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Storage Market Overview</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North American natural gas storage facilities provide a staging and warehousing function for seasonal swings in demand relative to supply, as well as an essential reliability cushion against disruptions in natural gas supply, demand and transportation by allowing natural gas to be injected into, withdrawn from or warehoused in such storage facilities as dictated by market conditions. Natural gas storage serves as the “shock absorber” that balances the market, serving as a source of supply to meet the consumption demands in excess of daily production capacity during high-demand periods and a warehouse for gas production in excess of daily demand during low-demand periods.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Overall market conditions for natural gas storage have been challenging during the last several years, driven by a variety of factors, including</w:t>
      </w:r>
    </w:p>
    <w:p>
      <w:pPr>
        <w:spacing w:after="0" w:line="35" w:lineRule="exact"/>
        <w:rPr>
          <w:sz w:val="20"/>
          <w:szCs w:val="20"/>
          <w:color w:val="auto"/>
        </w:rPr>
      </w:pPr>
    </w:p>
    <w:p>
      <w:pPr>
        <w:jc w:val="both"/>
        <w:ind w:right="360" w:firstLine="8"/>
        <w:spacing w:after="0" w:line="255" w:lineRule="auto"/>
        <w:tabs>
          <w:tab w:leader="none" w:pos="2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natural gas supplies due to production from shale resources, (ii) a shift from Gulf of Mexico production to Northeast production causing less concern over supply disruptions from tropical weather and (iii) lower basis differentials in certain regions due to expansion and improved connectivity of natural gas transportation infrastructure.</w:t>
      </w:r>
    </w:p>
    <w:p>
      <w:pPr>
        <w:spacing w:after="0" w:line="15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Longer term, we believe several factors will contribute to meaningful growth in North American natural gas demand that will bolster the market need for and the commercial value of natural gas storage. These fundamental factors include (i) exports of North American volumes of LNG, (ii) increased exports of natural gas to Mexico, (iii) construction of new gas-fired power plants, (iv) sustained fuel switching from coal to natural gas among existing power plants and (v) growth in base-level industrial demand.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Segments and Associated Assets</w:t>
      </w:r>
    </w:p>
    <w:p>
      <w:pPr>
        <w:spacing w:after="0" w:line="20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Under GAAP, we consolidate GP LLC, AAP and PAA and its subsidiaries. We currently have no separate operating activities apart from those conducted by PAA. As such, our segment analysis, presentation and discussion is the same as that of PAA, which conducts its operations through three segments—Transportation, Facilities and Supply and Logistics. Accordingly, any references to “we,” “us,” “our,” and similar terms describing assets, business characteristics or other related matters are references to assets, business characteristics or other matters involving PAA’s assets and operations. We have an extensive network of pipeline transportation, terminalling, storage and gathering assets in key crude oil and NGL producing basins and transportation corridors and at major market hubs in the United States and Canada. The map and descriptions below highlight our more significant assets (including certain assets under construction or development) as of December 31, 2018. Unless the context requires otherwise, references herein to our “facilities” includes all of the pipelines, terminals, storage and other assets owned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5848985" cy="4742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48985" cy="474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a description of the activities and assets for each of our three business segments.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5"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Segment</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We generate revenue through a combination of tariffs, pipeline capacity agreements and other transportation fees. Our Transportation segment also includes equity earnings from our investments (ranging from 20% to 65%) in entities that own transportation assets. We account for these investments under the equity method of accounting. See Note 9 to our Consolidated Financial Statements for additional information regarding these investments.</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December 31, 2018, we employed a variety of owned or, to a much lesser extent, leased long-term physical assets throughout the United States and Canada in this segment, including approximately:</w:t>
      </w:r>
    </w:p>
    <w:p>
      <w:pPr>
        <w:spacing w:after="0" w:line="170"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17,965 miles of active crude oil and NGL pipelines and gathering systems;</w:t>
      </w:r>
    </w:p>
    <w:p>
      <w:pPr>
        <w:spacing w:after="0" w:line="117"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31 million barrels of active, above-ground tank capacity used primarily to facilitate pipeline throughput and help maintain product quality segregation;</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830 trailers (primarily in Canada);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50 transport and storage barges and 20 transport tugs through our interest in Settoon Towing.</w:t>
      </w:r>
    </w:p>
    <w:p>
      <w:pPr>
        <w:spacing w:after="0" w:line="333"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is a tabular presentation of our active crude oil and NGL pipeline assets in the United States and Canada as of December 31, 2018, grouped by geographic location:</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5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Region</w:t>
            </w:r>
          </w:p>
        </w:tc>
        <w:tc>
          <w:tcPr>
            <w:tcW w:w="19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Ownership Percentage</w:t>
            </w:r>
          </w:p>
        </w:tc>
        <w:tc>
          <w:tcPr>
            <w:tcW w:w="2040" w:type="dxa"/>
            <w:vAlign w:val="bottom"/>
            <w:gridSpan w:val="2"/>
          </w:tcPr>
          <w:p>
            <w:pPr>
              <w:ind w:left="80"/>
              <w:spacing w:after="0"/>
              <w:rPr>
                <w:sz w:val="20"/>
                <w:szCs w:val="20"/>
                <w:color w:val="auto"/>
              </w:rPr>
            </w:pPr>
            <w:r>
              <w:rPr>
                <w:rFonts w:ascii="Arial" w:cs="Arial" w:eastAsia="Arial" w:hAnsi="Arial"/>
                <w:sz w:val="15"/>
                <w:szCs w:val="15"/>
                <w:b w:val="1"/>
                <w:bCs w:val="1"/>
                <w:color w:val="auto"/>
              </w:rPr>
              <w:t>Approximate System Miles</w:t>
            </w:r>
          </w:p>
        </w:tc>
        <w:tc>
          <w:tcPr>
            <w:tcW w:w="1920" w:type="dxa"/>
            <w:vAlign w:val="bottom"/>
          </w:tcPr>
          <w:p>
            <w:pPr>
              <w:jc w:val="center"/>
              <w:spacing w:after="0"/>
              <w:rPr>
                <w:sz w:val="20"/>
                <w:szCs w:val="20"/>
                <w:color w:val="auto"/>
              </w:rPr>
            </w:pPr>
            <w:r>
              <w:rPr>
                <w:rFonts w:ascii="Arial" w:cs="Arial" w:eastAsia="Arial" w:hAnsi="Arial"/>
                <w:sz w:val="15"/>
                <w:szCs w:val="15"/>
                <w:b w:val="1"/>
                <w:bCs w:val="1"/>
                <w:color w:val="auto"/>
                <w:w w:val="91"/>
              </w:rPr>
              <w:t>2018 Average Net</w:t>
            </w:r>
          </w:p>
        </w:tc>
        <w:tc>
          <w:tcPr>
            <w:tcW w:w="0" w:type="dxa"/>
            <w:vAlign w:val="bottom"/>
          </w:tcPr>
          <w:p>
            <w:pPr>
              <w:spacing w:after="0"/>
              <w:rPr>
                <w:sz w:val="1"/>
                <w:szCs w:val="1"/>
                <w:color w:val="auto"/>
              </w:rPr>
            </w:pPr>
          </w:p>
        </w:tc>
      </w:tr>
      <w:tr>
        <w:trPr>
          <w:trHeight w:val="203"/>
        </w:trPr>
        <w:tc>
          <w:tcPr>
            <w:tcW w:w="5460" w:type="dxa"/>
            <w:vAlign w:val="bottom"/>
            <w:gridSpan w:val="2"/>
            <w:vMerge w:val="continue"/>
          </w:tcPr>
          <w:p>
            <w:pPr>
              <w:spacing w:after="0"/>
              <w:rPr>
                <w:sz w:val="17"/>
                <w:szCs w:val="17"/>
                <w:color w:val="auto"/>
              </w:rPr>
            </w:pPr>
          </w:p>
        </w:tc>
        <w:tc>
          <w:tcPr>
            <w:tcW w:w="1940" w:type="dxa"/>
            <w:vAlign w:val="bottom"/>
            <w:gridSpan w:val="2"/>
            <w:vMerge w:val="continue"/>
          </w:tcPr>
          <w:p>
            <w:pPr>
              <w:spacing w:after="0"/>
              <w:rPr>
                <w:sz w:val="17"/>
                <w:szCs w:val="17"/>
                <w:color w:val="auto"/>
              </w:rPr>
            </w:pPr>
          </w:p>
        </w:tc>
        <w:tc>
          <w:tcPr>
            <w:tcW w:w="1920" w:type="dxa"/>
            <w:vAlign w:val="bottom"/>
          </w:tcPr>
          <w:p>
            <w:pPr>
              <w:jc w:val="right"/>
              <w:ind w:right="793"/>
              <w:spacing w:after="0"/>
              <w:rPr>
                <w:sz w:val="20"/>
                <w:szCs w:val="20"/>
                <w:color w:val="auto"/>
              </w:rPr>
            </w:pPr>
            <w:r>
              <w:rPr>
                <w:rFonts w:ascii="Arial" w:cs="Arial" w:eastAsia="Arial" w:hAnsi="Arial"/>
                <w:sz w:val="13"/>
                <w:szCs w:val="13"/>
                <w:b w:val="1"/>
                <w:bCs w:val="1"/>
                <w:color w:val="auto"/>
              </w:rPr>
              <w:t>(1)</w:t>
            </w:r>
          </w:p>
        </w:tc>
        <w:tc>
          <w:tcPr>
            <w:tcW w:w="1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4"/>
                <w:szCs w:val="14"/>
                <w:b w:val="1"/>
                <w:bCs w:val="1"/>
                <w:color w:val="auto"/>
                <w:w w:val="96"/>
              </w:rPr>
              <w:t xml:space="preserve">Barrels per Day </w:t>
            </w:r>
            <w:r>
              <w:rPr>
                <w:rFonts w:ascii="Arial" w:cs="Arial" w:eastAsia="Arial" w:hAnsi="Arial"/>
                <w:sz w:val="23"/>
                <w:szCs w:val="23"/>
                <w:b w:val="1"/>
                <w:bCs w:val="1"/>
                <w:color w:val="auto"/>
                <w:w w:val="96"/>
                <w:vertAlign w:val="superscript"/>
              </w:rPr>
              <w:t>(2)</w:t>
            </w:r>
          </w:p>
        </w:tc>
        <w:tc>
          <w:tcPr>
            <w:tcW w:w="0" w:type="dxa"/>
            <w:vAlign w:val="bottom"/>
          </w:tcPr>
          <w:p>
            <w:pPr>
              <w:spacing w:after="0"/>
              <w:rPr>
                <w:sz w:val="1"/>
                <w:szCs w:val="1"/>
                <w:color w:val="auto"/>
              </w:rPr>
            </w:pPr>
          </w:p>
        </w:tc>
      </w:tr>
      <w:tr>
        <w:trPr>
          <w:trHeight w:val="258"/>
        </w:trPr>
        <w:tc>
          <w:tcPr>
            <w:tcW w:w="5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6"/>
        </w:trPr>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Crude Oil Pipelines:</w:t>
            </w:r>
          </w:p>
        </w:tc>
        <w:tc>
          <w:tcPr>
            <w:tcW w:w="1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Permian Basin:</w:t>
            </w: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gridSpan w:val="2"/>
          </w:tcPr>
          <w:p>
            <w:pPr>
              <w:ind w:left="380"/>
              <w:spacing w:after="0"/>
              <w:rPr>
                <w:sz w:val="20"/>
                <w:szCs w:val="20"/>
                <w:color w:val="auto"/>
              </w:rPr>
            </w:pPr>
            <w:r>
              <w:rPr>
                <w:rFonts w:ascii="Arial" w:cs="Arial" w:eastAsia="Arial" w:hAnsi="Arial"/>
                <w:sz w:val="18"/>
                <w:szCs w:val="18"/>
                <w:color w:val="auto"/>
              </w:rPr>
              <w:t>Gathering pipelines</w:t>
            </w:r>
          </w:p>
        </w:tc>
        <w:tc>
          <w:tcPr>
            <w:tcW w:w="1820" w:type="dxa"/>
            <w:vAlign w:val="bottom"/>
          </w:tcPr>
          <w:p>
            <w:pPr>
              <w:jc w:val="center"/>
              <w:ind w:left="272"/>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1"/>
                <w:szCs w:val="21"/>
                <w:color w:val="auto"/>
              </w:rPr>
            </w:pPr>
          </w:p>
        </w:tc>
        <w:tc>
          <w:tcPr>
            <w:tcW w:w="1920" w:type="dxa"/>
            <w:vAlign w:val="bottom"/>
          </w:tcPr>
          <w:p>
            <w:pPr>
              <w:jc w:val="right"/>
              <w:ind w:right="13"/>
              <w:spacing w:after="0"/>
              <w:rPr>
                <w:sz w:val="20"/>
                <w:szCs w:val="20"/>
                <w:color w:val="auto"/>
              </w:rPr>
            </w:pPr>
            <w:r>
              <w:rPr>
                <w:rFonts w:ascii="Arial" w:cs="Arial" w:eastAsia="Arial" w:hAnsi="Arial"/>
                <w:sz w:val="18"/>
                <w:szCs w:val="18"/>
                <w:color w:val="auto"/>
              </w:rPr>
              <w:t>2,970</w:t>
            </w:r>
          </w:p>
        </w:tc>
        <w:tc>
          <w:tcPr>
            <w:tcW w:w="120" w:type="dxa"/>
            <w:vAlign w:val="bottom"/>
          </w:tcPr>
          <w:p>
            <w:pPr>
              <w:spacing w:after="0"/>
              <w:rPr>
                <w:sz w:val="21"/>
                <w:szCs w:val="21"/>
                <w:color w:val="auto"/>
              </w:rPr>
            </w:pPr>
          </w:p>
        </w:tc>
        <w:tc>
          <w:tcPr>
            <w:tcW w:w="1920" w:type="dxa"/>
            <w:vAlign w:val="bottom"/>
          </w:tcPr>
          <w:p>
            <w:pPr>
              <w:jc w:val="right"/>
              <w:ind w:right="33"/>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Intra-basin pipelines </w:t>
            </w:r>
            <w:r>
              <w:rPr>
                <w:rFonts w:ascii="Arial" w:cs="Arial" w:eastAsia="Arial" w:hAnsi="Arial"/>
                <w:sz w:val="25"/>
                <w:szCs w:val="25"/>
                <w:color w:val="auto"/>
                <w:vertAlign w:val="superscript"/>
              </w:rPr>
              <w:t>(3)</w:t>
            </w:r>
          </w:p>
        </w:tc>
        <w:tc>
          <w:tcPr>
            <w:tcW w:w="1820" w:type="dxa"/>
            <w:vAlign w:val="bottom"/>
            <w:shd w:val="clear" w:color="auto" w:fill="CCEEFF"/>
          </w:tcPr>
          <w:p>
            <w:pPr>
              <w:jc w:val="center"/>
              <w:ind w:left="272"/>
              <w:spacing w:after="0"/>
              <w:rPr>
                <w:sz w:val="20"/>
                <w:szCs w:val="20"/>
                <w:color w:val="auto"/>
              </w:rPr>
            </w:pPr>
            <w:r>
              <w:rPr>
                <w:rFonts w:ascii="Arial" w:cs="Arial" w:eastAsia="Arial" w:hAnsi="Arial"/>
                <w:sz w:val="18"/>
                <w:szCs w:val="18"/>
                <w:color w:val="auto"/>
                <w:w w:val="91"/>
              </w:rPr>
              <w:t>50% - 100%</w:t>
            </w:r>
          </w:p>
        </w:tc>
        <w:tc>
          <w:tcPr>
            <w:tcW w:w="12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755</w:t>
            </w:r>
          </w:p>
        </w:tc>
        <w:tc>
          <w:tcPr>
            <w:tcW w:w="12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70"/>
        </w:trPr>
        <w:tc>
          <w:tcPr>
            <w:tcW w:w="5460" w:type="dxa"/>
            <w:vAlign w:val="bottom"/>
            <w:tcBorders>
              <w:bottom w:val="single" w:sz="8" w:color="CCEEFF"/>
            </w:tcBorders>
            <w:gridSpan w:val="2"/>
          </w:tcPr>
          <w:p>
            <w:pPr>
              <w:ind w:left="380"/>
              <w:spacing w:after="0" w:line="270" w:lineRule="exact"/>
              <w:rPr>
                <w:sz w:val="20"/>
                <w:szCs w:val="20"/>
                <w:color w:val="auto"/>
              </w:rPr>
            </w:pPr>
            <w:r>
              <w:rPr>
                <w:rFonts w:ascii="Arial" w:cs="Arial" w:eastAsia="Arial" w:hAnsi="Arial"/>
                <w:sz w:val="18"/>
                <w:szCs w:val="18"/>
                <w:color w:val="auto"/>
              </w:rPr>
              <w:t xml:space="preserve">Long-haul pipelines </w:t>
            </w:r>
            <w:r>
              <w:rPr>
                <w:rFonts w:ascii="Arial" w:cs="Arial" w:eastAsia="Arial" w:hAnsi="Arial"/>
                <w:sz w:val="25"/>
                <w:szCs w:val="25"/>
                <w:color w:val="auto"/>
                <w:vertAlign w:val="superscript"/>
              </w:rPr>
              <w:t>(3)</w:t>
            </w:r>
          </w:p>
        </w:tc>
        <w:tc>
          <w:tcPr>
            <w:tcW w:w="1820" w:type="dxa"/>
            <w:vAlign w:val="bottom"/>
            <w:tcBorders>
              <w:bottom w:val="single" w:sz="8" w:color="CCEEFF"/>
            </w:tcBorders>
          </w:tcPr>
          <w:p>
            <w:pPr>
              <w:jc w:val="center"/>
              <w:ind w:left="272"/>
              <w:spacing w:after="0"/>
              <w:rPr>
                <w:sz w:val="20"/>
                <w:szCs w:val="20"/>
                <w:color w:val="auto"/>
              </w:rPr>
            </w:pPr>
            <w:r>
              <w:rPr>
                <w:rFonts w:ascii="Arial" w:cs="Arial" w:eastAsia="Arial" w:hAnsi="Arial"/>
                <w:sz w:val="18"/>
                <w:szCs w:val="18"/>
                <w:color w:val="auto"/>
                <w:w w:val="91"/>
              </w:rPr>
              <w:t>20% - 100%</w:t>
            </w:r>
          </w:p>
        </w:tc>
        <w:tc>
          <w:tcPr>
            <w:tcW w:w="120" w:type="dxa"/>
            <w:vAlign w:val="bottom"/>
            <w:tcBorders>
              <w:bottom w:val="single" w:sz="8" w:color="CCEEFF"/>
            </w:tcBorders>
          </w:tcPr>
          <w:p>
            <w:pPr>
              <w:spacing w:after="0"/>
              <w:rPr>
                <w:sz w:val="23"/>
                <w:szCs w:val="23"/>
                <w:color w:val="auto"/>
              </w:rPr>
            </w:pPr>
          </w:p>
        </w:tc>
        <w:tc>
          <w:tcPr>
            <w:tcW w:w="1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1,310</w:t>
            </w:r>
          </w:p>
        </w:tc>
        <w:tc>
          <w:tcPr>
            <w:tcW w:w="120" w:type="dxa"/>
            <w:vAlign w:val="bottom"/>
            <w:tcBorders>
              <w:bottom w:val="single" w:sz="8" w:color="CCEEFF"/>
            </w:tcBorders>
          </w:tcPr>
          <w:p>
            <w:pPr>
              <w:spacing w:after="0"/>
              <w:rPr>
                <w:sz w:val="23"/>
                <w:szCs w:val="23"/>
                <w:color w:val="auto"/>
              </w:rPr>
            </w:pPr>
          </w:p>
        </w:tc>
        <w:tc>
          <w:tcPr>
            <w:tcW w:w="1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5,035</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97"/>
        </w:trPr>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South Texas/Eagle Ford</w:t>
            </w:r>
          </w:p>
        </w:tc>
        <w:tc>
          <w:tcPr>
            <w:tcW w:w="1820" w:type="dxa"/>
            <w:vAlign w:val="bottom"/>
            <w:tcBorders>
              <w:bottom w:val="single" w:sz="8" w:color="CCEEFF"/>
            </w:tcBorders>
            <w:shd w:val="clear" w:color="auto" w:fill="CCEEFF"/>
          </w:tcPr>
          <w:p>
            <w:pPr>
              <w:jc w:val="center"/>
              <w:ind w:left="272"/>
              <w:spacing w:after="0"/>
              <w:rPr>
                <w:sz w:val="20"/>
                <w:szCs w:val="20"/>
                <w:color w:val="auto"/>
              </w:rPr>
            </w:pPr>
            <w:r>
              <w:rPr>
                <w:rFonts w:ascii="Arial" w:cs="Arial" w:eastAsia="Arial" w:hAnsi="Arial"/>
                <w:sz w:val="18"/>
                <w:szCs w:val="18"/>
                <w:color w:val="auto"/>
                <w:w w:val="91"/>
              </w:rPr>
              <w:t>50% - 100%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97"/>
        </w:trPr>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Central</w:t>
            </w:r>
          </w:p>
        </w:tc>
        <w:tc>
          <w:tcPr>
            <w:tcW w:w="1820" w:type="dxa"/>
            <w:vAlign w:val="bottom"/>
            <w:tcBorders>
              <w:bottom w:val="single" w:sz="8" w:color="CCEEFF"/>
            </w:tcBorders>
            <w:shd w:val="clear" w:color="auto" w:fill="CCEEFF"/>
          </w:tcPr>
          <w:p>
            <w:pPr>
              <w:jc w:val="center"/>
              <w:ind w:left="272"/>
              <w:spacing w:after="0"/>
              <w:rPr>
                <w:sz w:val="20"/>
                <w:szCs w:val="20"/>
                <w:color w:val="auto"/>
              </w:rPr>
            </w:pPr>
            <w:r>
              <w:rPr>
                <w:rFonts w:ascii="Arial" w:cs="Arial" w:eastAsia="Arial" w:hAnsi="Arial"/>
                <w:sz w:val="18"/>
                <w:szCs w:val="18"/>
                <w:color w:val="auto"/>
                <w:w w:val="91"/>
              </w:rPr>
              <w:t>50% - 100%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2,695</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324"/>
        </w:trPr>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60" w:type="dxa"/>
            <w:vAlign w:val="bottom"/>
            <w:gridSpan w:val="2"/>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Gulf Coast </w:t>
            </w:r>
            <w:r>
              <w:rPr>
                <w:rFonts w:ascii="Arial" w:cs="Arial" w:eastAsia="Arial" w:hAnsi="Arial"/>
                <w:sz w:val="25"/>
                <w:szCs w:val="25"/>
                <w:color w:val="auto"/>
                <w:vertAlign w:val="superscript"/>
              </w:rPr>
              <w:t>(3)</w:t>
            </w:r>
          </w:p>
        </w:tc>
        <w:tc>
          <w:tcPr>
            <w:tcW w:w="1820" w:type="dxa"/>
            <w:vAlign w:val="bottom"/>
            <w:shd w:val="clear" w:color="auto" w:fill="CCEEFF"/>
          </w:tcPr>
          <w:p>
            <w:pPr>
              <w:jc w:val="center"/>
              <w:ind w:left="272"/>
              <w:spacing w:after="0"/>
              <w:rPr>
                <w:sz w:val="20"/>
                <w:szCs w:val="20"/>
                <w:color w:val="auto"/>
              </w:rPr>
            </w:pPr>
            <w:r>
              <w:rPr>
                <w:rFonts w:ascii="Arial" w:cs="Arial" w:eastAsia="Arial" w:hAnsi="Arial"/>
                <w:sz w:val="18"/>
                <w:szCs w:val="18"/>
                <w:color w:val="auto"/>
                <w:w w:val="91"/>
              </w:rPr>
              <w:t>54% - 100%</w:t>
            </w:r>
          </w:p>
        </w:tc>
        <w:tc>
          <w:tcPr>
            <w:tcW w:w="12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1,170</w:t>
            </w:r>
          </w:p>
        </w:tc>
        <w:tc>
          <w:tcPr>
            <w:tcW w:w="12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324"/>
        </w:trPr>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60" w:type="dxa"/>
            <w:vAlign w:val="bottom"/>
            <w:gridSpan w:val="2"/>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5"/>
                <w:szCs w:val="25"/>
                <w:color w:val="auto"/>
                <w:vertAlign w:val="superscript"/>
              </w:rPr>
              <w:t>(3)</w:t>
            </w:r>
          </w:p>
        </w:tc>
        <w:tc>
          <w:tcPr>
            <w:tcW w:w="1820" w:type="dxa"/>
            <w:vAlign w:val="bottom"/>
            <w:shd w:val="clear" w:color="auto" w:fill="CCEEFF"/>
          </w:tcPr>
          <w:p>
            <w:pPr>
              <w:jc w:val="center"/>
              <w:ind w:left="272"/>
              <w:spacing w:after="0"/>
              <w:rPr>
                <w:sz w:val="20"/>
                <w:szCs w:val="20"/>
                <w:color w:val="auto"/>
              </w:rPr>
            </w:pPr>
            <w:r>
              <w:rPr>
                <w:rFonts w:ascii="Arial" w:cs="Arial" w:eastAsia="Arial" w:hAnsi="Arial"/>
                <w:sz w:val="18"/>
                <w:szCs w:val="18"/>
                <w:color w:val="auto"/>
                <w:w w:val="91"/>
              </w:rPr>
              <w:t>21% - 100%</w:t>
            </w:r>
          </w:p>
        </w:tc>
        <w:tc>
          <w:tcPr>
            <w:tcW w:w="12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3,395</w:t>
            </w:r>
          </w:p>
        </w:tc>
        <w:tc>
          <w:tcPr>
            <w:tcW w:w="12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324"/>
        </w:trPr>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Western</w:t>
            </w:r>
          </w:p>
        </w:tc>
        <w:tc>
          <w:tcPr>
            <w:tcW w:w="1820" w:type="dxa"/>
            <w:vAlign w:val="bottom"/>
            <w:tcBorders>
              <w:bottom w:val="single" w:sz="8" w:color="CCEEFF"/>
            </w:tcBorders>
            <w:shd w:val="clear" w:color="auto" w:fill="CCEEFF"/>
          </w:tcPr>
          <w:p>
            <w:pPr>
              <w:jc w:val="center"/>
              <w:ind w:left="272"/>
              <w:spacing w:after="0"/>
              <w:rPr>
                <w:sz w:val="20"/>
                <w:szCs w:val="20"/>
                <w:color w:val="auto"/>
              </w:rPr>
            </w:pPr>
            <w:r>
              <w:rPr>
                <w:rFonts w:ascii="Arial" w:cs="Arial" w:eastAsia="Arial" w:hAnsi="Arial"/>
                <w:sz w:val="18"/>
                <w:szCs w:val="18"/>
                <w:color w:val="auto"/>
                <w:w w:val="91"/>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97"/>
        </w:trPr>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Canada</w:t>
            </w:r>
          </w:p>
        </w:tc>
        <w:tc>
          <w:tcPr>
            <w:tcW w:w="1820" w:type="dxa"/>
            <w:vAlign w:val="bottom"/>
            <w:tcBorders>
              <w:bottom w:val="single" w:sz="8" w:color="CCEEFF"/>
            </w:tcBorders>
            <w:shd w:val="clear" w:color="auto" w:fill="CCEEFF"/>
          </w:tcPr>
          <w:p>
            <w:pPr>
              <w:jc w:val="center"/>
              <w:ind w:left="272"/>
              <w:spacing w:after="0"/>
              <w:rPr>
                <w:sz w:val="20"/>
                <w:szCs w:val="20"/>
                <w:color w:val="auto"/>
              </w:rPr>
            </w:pPr>
            <w:r>
              <w:rPr>
                <w:rFonts w:ascii="Arial" w:cs="Arial" w:eastAsia="Arial" w:hAnsi="Arial"/>
                <w:sz w:val="18"/>
                <w:szCs w:val="18"/>
                <w:color w:val="auto"/>
                <w:w w:val="91"/>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324"/>
        </w:trPr>
        <w:tc>
          <w:tcPr>
            <w:tcW w:w="53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Crude Oil Pipelines Total</w:t>
            </w:r>
          </w:p>
        </w:tc>
        <w:tc>
          <w:tcPr>
            <w:tcW w:w="1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16,300</w:t>
            </w: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5,608</w:t>
            </w:r>
          </w:p>
        </w:tc>
        <w:tc>
          <w:tcPr>
            <w:tcW w:w="0" w:type="dxa"/>
            <w:vAlign w:val="bottom"/>
          </w:tcPr>
          <w:p>
            <w:pPr>
              <w:spacing w:after="0"/>
              <w:rPr>
                <w:sz w:val="1"/>
                <w:szCs w:val="1"/>
                <w:color w:val="auto"/>
              </w:rPr>
            </w:pPr>
          </w:p>
        </w:tc>
      </w:tr>
      <w:tr>
        <w:trPr>
          <w:trHeight w:val="318"/>
        </w:trPr>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Canadian NGL Pipelines</w:t>
            </w:r>
          </w:p>
        </w:tc>
        <w:tc>
          <w:tcPr>
            <w:tcW w:w="1820" w:type="dxa"/>
            <w:vAlign w:val="bottom"/>
            <w:tcBorders>
              <w:bottom w:val="single" w:sz="8" w:color="CCEEFF"/>
            </w:tcBorders>
            <w:shd w:val="clear" w:color="auto" w:fill="CCEEFF"/>
          </w:tcPr>
          <w:p>
            <w:pPr>
              <w:jc w:val="center"/>
              <w:ind w:left="272"/>
              <w:spacing w:after="0"/>
              <w:rPr>
                <w:sz w:val="20"/>
                <w:szCs w:val="20"/>
                <w:color w:val="auto"/>
              </w:rPr>
            </w:pPr>
            <w:r>
              <w:rPr>
                <w:rFonts w:ascii="Arial" w:cs="Arial" w:eastAsia="Arial" w:hAnsi="Arial"/>
                <w:sz w:val="18"/>
                <w:szCs w:val="18"/>
                <w:color w:val="auto"/>
                <w:w w:val="91"/>
              </w:rPr>
              <w:t>21% - 100%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1,665</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97"/>
        </w:trPr>
        <w:tc>
          <w:tcPr>
            <w:tcW w:w="53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4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Crude Oil and NGL Pipelines Total</w:t>
            </w:r>
          </w:p>
        </w:tc>
        <w:tc>
          <w:tcPr>
            <w:tcW w:w="1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17,965</w:t>
            </w: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5,791</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Includes total mileage from pipelines owned by unconsolidated entities.</w:t>
      </w:r>
    </w:p>
    <w:p>
      <w:pPr>
        <w:sectPr>
          <w:pgSz w:w="11900" w:h="16838" w:orient="portrait"/>
          <w:cols w:equalWidth="0" w:num="1">
            <w:col w:w="11400"/>
          </w:cols>
          <w:pgMar w:left="240" w:top="125" w:right="25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00"/>
          </w:cols>
          <w:pgMar w:left="240" w:top="125" w:right="25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right="440" w:hanging="652"/>
        <w:spacing w:after="0" w:line="226" w:lineRule="auto"/>
        <w:tabs>
          <w:tab w:leader="none" w:pos="66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Represents average daily volumes for the entire year attributable to our interest. Average daily volumes are calculated as the total volumes (attributable to our interest) for the year divided by the number of days in the year. Volumes reflect tariff movements and thus may be included multiple times as volumes move through our integrated system.</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Includes pipelines operated by a third party.</w:t>
      </w:r>
    </w:p>
    <w:p>
      <w:pPr>
        <w:spacing w:after="0" w:line="20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 significant portion of our pipeline assets are interconnected and are operated as a contiguous system. The following descriptions are organized by geographic location and represent a selection of our most significant assets. Pipeline capacities throughout these descriptions are based on our reasonable estimate of volumes that can be delivered from origin to final destination on our pipeline systems. We report pipeline volumes based on the tariffs charged for individual movements, some of which may only utilize a certain segment of a pipeline system (i.e. two short-haul movements on a pipeline from point A to point B and another point B to point C would double the pipeline tariff volumes on a particular system versus a point A to point C movement). As a result, at times, our reported tariff barrel movements may exceed our total capacity.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Crude Oil Pipelines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Permian Basin</w:t>
      </w:r>
    </w:p>
    <w:p>
      <w:pPr>
        <w:spacing w:after="0" w:line="18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We are among the largest providers of crude oil midstream infrastructure and services in the Permian Basin located in west Texas and southeastern New Mexico. Our Permian Basin asset base represents an interconnected system that aggregates receipts from wellhead gathering lines and bulk truck injection locations into intra-basin trunk lines for transportation and delivery to a combination of owned and third-party mainline takeaway pipelines. Accordingly, our Permian Basin crude oil pipelines fall into one of three categories: Gathering, Intra-basin or Long-haul.</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Gathering Pipelines</w:t>
      </w:r>
    </w:p>
    <w:p>
      <w:pPr>
        <w:spacing w:after="0" w:line="185"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We own and operate approximately 2,970 miles of gathering pipelines in the Permian Basin. Our gathering systems are in both the Midland Basin and the Delaware Basin and in aggregate represent approximately 2 million barrels per day of pipeline capacity. This gathering capacity includes pipeline capacity that delivers volumes to regional hubs and includes certain large diameter pipeline segments/systems. Approximately 75% of the capacity of our gathering systems is in the Delaware Basin. We currently expect to add approximately 600,000 barrels per day of capacity in 2019.</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Intra-basin Pipelines</w:t>
      </w:r>
    </w:p>
    <w:p>
      <w:pPr>
        <w:spacing w:after="0" w:line="18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operate an intra-basin Permian Basin pipeline system with a capacity of over 2 million barrels per day that connects gathering and truck injection volumes to our owned and operated as well as third-party mainline pipelines that transport crude oil to major market hubs. This interconnected pipeline system is designed to provide shippers flow assurance, flexibility and access to multiple markets. We added approximately 500,000 barrels per day of incremental capacity in 2018 through the completion of various expansion projects, and we currently expect to add approximately 400,000 barrels per day of capacity in 2019.</w:t>
      </w:r>
    </w:p>
    <w:p>
      <w:pPr>
        <w:spacing w:after="0" w:line="188"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Two of our largest intra-basin pipelines are the Mesa and Sunrise Pipelines. The Mesa and Sunrise Pipelines extend from our Midland, Texas terminal to our Colorado City, Texas terminal where they have access to all of the Permian Basin takeaway pipelines that originate at Colorado City.</w:t>
      </w:r>
    </w:p>
    <w:p>
      <w:pPr>
        <w:spacing w:after="0" w:line="124" w:lineRule="exact"/>
        <w:rPr>
          <w:sz w:val="20"/>
          <w:szCs w:val="20"/>
          <w:color w:val="auto"/>
        </w:rPr>
      </w:pPr>
    </w:p>
    <w:p>
      <w:pPr>
        <w:jc w:val="both"/>
        <w:ind w:left="980" w:right="80" w:hanging="324"/>
        <w:spacing w:after="0" w:line="26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Mesa Pipeline. </w:t>
      </w:r>
      <w:r>
        <w:rPr>
          <w:rFonts w:ascii="Arial" w:cs="Arial" w:eastAsia="Arial" w:hAnsi="Arial"/>
          <w:sz w:val="18"/>
          <w:szCs w:val="18"/>
          <w:color w:val="auto"/>
        </w:rPr>
        <w:t>We own a 63% undivided interest in and are the operator of Mesa Pipeline, which transports crude oil from Midland, Texas to a</w:t>
      </w:r>
      <w:r>
        <w:rPr>
          <w:rFonts w:ascii="Arial" w:cs="Arial" w:eastAsia="Arial" w:hAnsi="Arial"/>
          <w:sz w:val="18"/>
          <w:szCs w:val="18"/>
          <w:i w:val="1"/>
          <w:iCs w:val="1"/>
          <w:color w:val="auto"/>
        </w:rPr>
        <w:t xml:space="preserve"> </w:t>
      </w:r>
      <w:r>
        <w:rPr>
          <w:rFonts w:ascii="Arial" w:cs="Arial" w:eastAsia="Arial" w:hAnsi="Arial"/>
          <w:sz w:val="18"/>
          <w:szCs w:val="18"/>
          <w:color w:val="auto"/>
        </w:rPr>
        <w:t>refinery at Big Spring, Texas, and to connecting carriers at Colorado City, Texas, with capacity of up to 400,000 barrels per day (approximately 252,000 barrels per day attributable to our interest).</w:t>
      </w:r>
    </w:p>
    <w:p>
      <w:pPr>
        <w:spacing w:after="0" w:line="181"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Sunrise Pipeline. </w:t>
      </w:r>
      <w:r>
        <w:rPr>
          <w:rFonts w:ascii="Arial" w:cs="Arial" w:eastAsia="Arial" w:hAnsi="Arial"/>
          <w:sz w:val="18"/>
          <w:szCs w:val="18"/>
          <w:color w:val="auto"/>
        </w:rPr>
        <w:t>Our Sunrise Pipeline, which transports crude oil from Midland, Texas to connecting carriers at Colorado City, Texas, has a</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of approximately 350,000 barrels per day.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25"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Long-haul Pipelines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own interests in multiple long-haul Permian Basin pipeline systems that, on a combined basis, represent approximately 1 million barrels per day of currently operational takeaway capacity (net to our ownership interests) out of the Permian Basin.</w:t>
      </w:r>
    </w:p>
    <w:p>
      <w:pPr>
        <w:spacing w:after="0" w:line="170" w:lineRule="exact"/>
        <w:rPr>
          <w:sz w:val="20"/>
          <w:szCs w:val="20"/>
          <w:color w:val="auto"/>
        </w:rPr>
      </w:pPr>
    </w:p>
    <w:p>
      <w:pPr>
        <w:ind w:left="980" w:right="40" w:hanging="324"/>
        <w:spacing w:after="0" w:line="279"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Basin Pipeline (Permian to Cushing). </w:t>
      </w:r>
      <w:r>
        <w:rPr>
          <w:rFonts w:ascii="Arial" w:cs="Arial" w:eastAsia="Arial" w:hAnsi="Arial"/>
          <w:sz w:val="17"/>
          <w:szCs w:val="17"/>
          <w:color w:val="auto"/>
        </w:rPr>
        <w:t>We own an 87% undivided joint interest in and are the operator of Basin Pipeline. Basin Pipeline has</w:t>
      </w:r>
      <w:r>
        <w:rPr>
          <w:rFonts w:ascii="Arial" w:cs="Arial" w:eastAsia="Arial" w:hAnsi="Arial"/>
          <w:sz w:val="17"/>
          <w:szCs w:val="17"/>
          <w:i w:val="1"/>
          <w:iCs w:val="1"/>
          <w:color w:val="auto"/>
        </w:rPr>
        <w:t xml:space="preserve"> </w:t>
      </w:r>
      <w:r>
        <w:rPr>
          <w:rFonts w:ascii="Arial" w:cs="Arial" w:eastAsia="Arial" w:hAnsi="Arial"/>
          <w:sz w:val="17"/>
          <w:szCs w:val="17"/>
          <w:color w:val="auto"/>
        </w:rPr>
        <w:t>three primary origination locations: Jal, New Mexico; Wink, Texas; and Midland, Texas and, in addition to making intra-basin movements, serves as the primary route for transporting crude oil from the Permian Basin to Cushing, Oklahoma. Basin Pipeline also receives crude oil from a facility in southern Oklahoma which aggregates South Central Oklahoma Oil Province (SCOOP) production.</w:t>
      </w:r>
    </w:p>
    <w:p>
      <w:pPr>
        <w:spacing w:after="0" w:line="171" w:lineRule="exact"/>
        <w:rPr>
          <w:rFonts w:ascii="Arial" w:cs="Arial" w:eastAsia="Arial" w:hAnsi="Arial"/>
          <w:sz w:val="17"/>
          <w:szCs w:val="17"/>
          <w:color w:val="auto"/>
        </w:rPr>
      </w:pPr>
    </w:p>
    <w:p>
      <w:pPr>
        <w:ind w:left="980" w:right="80" w:hanging="324"/>
        <w:spacing w:after="0" w:line="255"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BridgeTex Pipeline (Permian to Houston). </w:t>
      </w:r>
      <w:r>
        <w:rPr>
          <w:rFonts w:ascii="Arial" w:cs="Arial" w:eastAsia="Arial" w:hAnsi="Arial"/>
          <w:sz w:val="18"/>
          <w:szCs w:val="18"/>
          <w:color w:val="auto"/>
        </w:rPr>
        <w:t>After the sale of a portion of our interest in the third quarter of 2018, we now own a 20% interest in</w:t>
      </w:r>
      <w:r>
        <w:rPr>
          <w:rFonts w:ascii="Arial" w:cs="Arial" w:eastAsia="Arial" w:hAnsi="Arial"/>
          <w:sz w:val="18"/>
          <w:szCs w:val="18"/>
          <w:i w:val="1"/>
          <w:iCs w:val="1"/>
          <w:color w:val="auto"/>
        </w:rPr>
        <w:t xml:space="preserve"> </w:t>
      </w:r>
      <w:r>
        <w:rPr>
          <w:rFonts w:ascii="Arial" w:cs="Arial" w:eastAsia="Arial" w:hAnsi="Arial"/>
          <w:sz w:val="18"/>
          <w:szCs w:val="18"/>
          <w:color w:val="auto"/>
        </w:rPr>
        <w:t>BridgeTex Pipeline Company, LLC, a joint venture with a subsidiary of Magellan Midstream Partners, L.P. (“Magellan”) and an affiliate of OMERS Infrastructure Management Inc. Such joint venture owns a crude oil pipeline (the “BridgeTex Pipeline”) with a capacity of 440,000 barrels per day that originates at Colorado City, Texas, receiving volumes from our Basin and Sunrise Pipelines, and extends to Houston, Texas. The BridgeTex Pipeline is operated by Magellan. See Note 9 to our Consolidated Financial Statements for additional information regarding the sale of a portion of our interest in BridgeTex Pipeline Company, LLC.</w:t>
      </w:r>
    </w:p>
    <w:p>
      <w:pPr>
        <w:spacing w:after="0" w:line="193" w:lineRule="exact"/>
        <w:rPr>
          <w:rFonts w:ascii="Arial" w:cs="Arial" w:eastAsia="Arial" w:hAnsi="Arial"/>
          <w:sz w:val="18"/>
          <w:szCs w:val="18"/>
          <w:color w:val="auto"/>
        </w:rPr>
      </w:pPr>
    </w:p>
    <w:p>
      <w:pPr>
        <w:ind w:left="980" w:hanging="324"/>
        <w:spacing w:after="0" w:line="297"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Sunrise II Pipeline. </w:t>
      </w:r>
      <w:r>
        <w:rPr>
          <w:rFonts w:ascii="Arial" w:cs="Arial" w:eastAsia="Arial" w:hAnsi="Arial"/>
          <w:sz w:val="16"/>
          <w:szCs w:val="16"/>
          <w:color w:val="auto"/>
        </w:rPr>
        <w:t>In 2018, as part of our Sunrise expansion project, we added 500,000 barrels per day of capacity by looping the line from</w:t>
      </w:r>
      <w:r>
        <w:rPr>
          <w:rFonts w:ascii="Arial" w:cs="Arial" w:eastAsia="Arial" w:hAnsi="Arial"/>
          <w:sz w:val="16"/>
          <w:szCs w:val="16"/>
          <w:i w:val="1"/>
          <w:iCs w:val="1"/>
          <w:color w:val="auto"/>
        </w:rPr>
        <w:t xml:space="preserve"> </w:t>
      </w:r>
      <w:r>
        <w:rPr>
          <w:rFonts w:ascii="Arial" w:cs="Arial" w:eastAsia="Arial" w:hAnsi="Arial"/>
          <w:sz w:val="16"/>
          <w:szCs w:val="16"/>
          <w:color w:val="auto"/>
        </w:rPr>
        <w:t>Midland, Texas to Colorado City, Texas and extended the line from Colorado City, Texas to Wichita Falls, Texas. We sold 100,000 barrels per day of the new capacity from Midland, Texas to Wichita Falls, Texas to a third party. We operate the Sunrise II Pipeline and own 400,000 barrels of the capacity. The Sunrise expansion is underpinned by long-term shipper commitments and was placed into service in November 2018. Our Sunrise II Pipeline transports crude oil from Midland, Texas and Colorado City, Texas to connecting carriers at Wichita Falls, Texas.</w:t>
      </w:r>
    </w:p>
    <w:p>
      <w:pPr>
        <w:spacing w:after="0" w:line="158" w:lineRule="exact"/>
        <w:rPr>
          <w:rFonts w:ascii="Arial" w:cs="Arial" w:eastAsia="Arial" w:hAnsi="Arial"/>
          <w:sz w:val="16"/>
          <w:szCs w:val="16"/>
          <w:color w:val="auto"/>
        </w:rPr>
      </w:pPr>
    </w:p>
    <w:p>
      <w:pPr>
        <w:ind w:left="980" w:right="500" w:hanging="324"/>
        <w:spacing w:after="0" w:line="286"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Cactus Pipeline (Permian to Corpus Christi). </w:t>
      </w:r>
      <w:r>
        <w:rPr>
          <w:rFonts w:ascii="Arial" w:cs="Arial" w:eastAsia="Arial" w:hAnsi="Arial"/>
          <w:sz w:val="17"/>
          <w:szCs w:val="17"/>
          <w:color w:val="auto"/>
        </w:rPr>
        <w:t>We own and operate the Cactus Pipeline, which has a capacity of 390,000 barrels per day,</w:t>
      </w:r>
      <w:r>
        <w:rPr>
          <w:rFonts w:ascii="Arial" w:cs="Arial" w:eastAsia="Arial" w:hAnsi="Arial"/>
          <w:sz w:val="17"/>
          <w:szCs w:val="17"/>
          <w:i w:val="1"/>
          <w:iCs w:val="1"/>
          <w:color w:val="auto"/>
        </w:rPr>
        <w:t xml:space="preserve"> </w:t>
      </w:r>
      <w:r>
        <w:rPr>
          <w:rFonts w:ascii="Arial" w:cs="Arial" w:eastAsia="Arial" w:hAnsi="Arial"/>
          <w:sz w:val="17"/>
          <w:szCs w:val="17"/>
          <w:color w:val="auto"/>
        </w:rPr>
        <w:t>originates at McCamey, Texas and extends to Gardendale, Texas. Cactus Pipeline volumes are interconnected to the Corpus Christi, Texas market through a connection at Gardendale, Texas to our Eagle Ford joint venture pipeline system.</w:t>
      </w:r>
    </w:p>
    <w:p>
      <w:pPr>
        <w:spacing w:after="0" w:line="165" w:lineRule="exact"/>
        <w:rPr>
          <w:rFonts w:ascii="Arial" w:cs="Arial" w:eastAsia="Arial" w:hAnsi="Arial"/>
          <w:sz w:val="17"/>
          <w:szCs w:val="17"/>
          <w:color w:val="auto"/>
        </w:rPr>
      </w:pPr>
    </w:p>
    <w:p>
      <w:pPr>
        <w:ind w:left="980" w:right="260" w:hanging="324"/>
        <w:spacing w:after="0" w:line="25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Cactus II Pipeline (Permian to Corpus Christi). </w:t>
      </w:r>
      <w:r>
        <w:rPr>
          <w:rFonts w:ascii="Arial" w:cs="Arial" w:eastAsia="Arial" w:hAnsi="Arial"/>
          <w:sz w:val="18"/>
          <w:szCs w:val="18"/>
          <w:color w:val="auto"/>
        </w:rPr>
        <w:t>Cactus II Pipeline is a joint-venture pipeline, of which we own 65%, that is currently under</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Cactus II Pipeline will be a new Permian mainline system extending directly to the Corpus Christi, Texas market. In February 2018, we announced that Cactus II Pipeline was fully committed with long-term third-party contracts following the conclusion of a second binding open season. Cactus II Pipeline will have a capacity of 670,000 barrels per day and is expected to be placed into partial service in the second half of 2019.</w:t>
      </w:r>
    </w:p>
    <w:p>
      <w:pPr>
        <w:spacing w:after="0" w:line="188" w:lineRule="exact"/>
        <w:rPr>
          <w:rFonts w:ascii="Arial" w:cs="Arial" w:eastAsia="Arial" w:hAnsi="Arial"/>
          <w:sz w:val="18"/>
          <w:szCs w:val="18"/>
          <w:color w:val="auto"/>
        </w:rPr>
      </w:pPr>
    </w:p>
    <w:p>
      <w:pPr>
        <w:ind w:left="980" w:right="120" w:hanging="324"/>
        <w:spacing w:after="0" w:line="25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Wink to Webster Pipeline. </w:t>
      </w:r>
      <w:r>
        <w:rPr>
          <w:rFonts w:ascii="Arial" w:cs="Arial" w:eastAsia="Arial" w:hAnsi="Arial"/>
          <w:sz w:val="18"/>
          <w:szCs w:val="18"/>
          <w:color w:val="auto"/>
        </w:rPr>
        <w:t>In January 2019, we announced the formation of Wink to Webster Pipeline LLC (“W2W Pipeline”), a joint venture</w:t>
      </w:r>
      <w:r>
        <w:rPr>
          <w:rFonts w:ascii="Arial" w:cs="Arial" w:eastAsia="Arial" w:hAnsi="Arial"/>
          <w:sz w:val="18"/>
          <w:szCs w:val="18"/>
          <w:i w:val="1"/>
          <w:iCs w:val="1"/>
          <w:color w:val="auto"/>
        </w:rPr>
        <w:t xml:space="preserve"> </w:t>
      </w:r>
      <w:r>
        <w:rPr>
          <w:rFonts w:ascii="Arial" w:cs="Arial" w:eastAsia="Arial" w:hAnsi="Arial"/>
          <w:sz w:val="18"/>
          <w:szCs w:val="18"/>
          <w:color w:val="auto"/>
        </w:rPr>
        <w:t>with subsidiaries of ExxonMobil and Lotus Midstream, LLC. We own a 20% interest in W2W Pipeline, which is currently developing a new pipeline system that will originate in the Permian Basin in West Texas and transport crude oil to the Texas Gulf Coast. The pipeline system will provide more than 1 million barrels per day of crude oil and condensate capacity, and the project is targeted to commence operations in the first half of 2021.</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South Texas/Eagle Ford Area</w:t>
      </w:r>
    </w:p>
    <w:p>
      <w:pPr>
        <w:spacing w:after="0" w:line="18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own a 100% interest in and are the operator of gathering systems that feed into our Gardendale Station. Additionally, we own a 50% interest in Eagle Ford Pipeline LLC, a joint venture with a subsidiary of Enterprise Products Partners, L.P. (“Enterprise”). This joint venture owns a pipeline system, of which we serve as the operator, that has a total capacity of approximately 660,000 barrels per day and connects Permian and Eagle Ford area production to Corpus Christi, Texas refiners and terminals. Additionally, the joint venture system has connectivity to Houston, Texas via a connection with Enterprise’s pipeline at Lyssy, Texas.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Central</w:t>
      </w:r>
    </w:p>
    <w:p>
      <w:pPr>
        <w:spacing w:after="0" w:line="26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own and operate gathering and mainline pipelines that source crude oil from Western and Central Oklahoma and Southwest Kansas for transportation and delivery into our terminal facilities at Cushing, Oklahoma. In addition, we own and operate various pipeline systems that extend from our Cushing facility, or from other pipelines connected to our Cushing facility, to various demand locations. Below is a description of some of our most significant pipeline systems in the Central Region:</w:t>
      </w:r>
    </w:p>
    <w:p>
      <w:pPr>
        <w:spacing w:after="0" w:line="18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i w:val="1"/>
          <w:iCs w:val="1"/>
          <w:color w:val="auto"/>
        </w:rPr>
        <w:t xml:space="preserve">Diamond Pipeline (Cushing to Memphis). </w:t>
      </w:r>
      <w:r>
        <w:rPr>
          <w:rFonts w:ascii="Arial" w:cs="Arial" w:eastAsia="Arial" w:hAnsi="Arial"/>
          <w:sz w:val="17"/>
          <w:szCs w:val="17"/>
          <w:color w:val="auto"/>
        </w:rPr>
        <w:t>We own a 50% interest in Diamond Pipeline LLC, a joint venture with Valero Energy Corporation</w:t>
      </w:r>
      <w:r>
        <w:rPr>
          <w:rFonts w:ascii="Arial" w:cs="Arial" w:eastAsia="Arial" w:hAnsi="Arial"/>
          <w:sz w:val="17"/>
          <w:szCs w:val="17"/>
          <w:i w:val="1"/>
          <w:iCs w:val="1"/>
          <w:color w:val="auto"/>
        </w:rPr>
        <w:t xml:space="preserve"> </w:t>
      </w:r>
      <w:r>
        <w:rPr>
          <w:rFonts w:ascii="Arial" w:cs="Arial" w:eastAsia="Arial" w:hAnsi="Arial"/>
          <w:sz w:val="17"/>
          <w:szCs w:val="17"/>
          <w:color w:val="auto"/>
        </w:rPr>
        <w:t>(“Valero”). This joint venture owns, and we operate, the Diamond Pipeline, which extends from our Cushing Terminal to Valero’s refinery in Memphis, Tennessee. The Diamond Pipeline is underpinned by a long-term minimum volume commitment and currently has a total capacity of 200,000 barrels per day, which is expandable by an additional 200,000 barrels per day as conditions warrant. Pending a successful open season on the Capline Pipeline system (“Capline”), the joint venture partners are contemplating an expansion and modest extension of the Diamond Pipeline that would connect to Capline and facilitate the movement of volumes from Cushing, Oklahoma to St. James, Louisiana (see discussion below).</w:t>
      </w:r>
    </w:p>
    <w:p>
      <w:pPr>
        <w:spacing w:after="0" w:line="17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i w:val="1"/>
          <w:iCs w:val="1"/>
          <w:color w:val="auto"/>
        </w:rPr>
        <w:t>Red River Pipeline (Cushing to Longview)</w:t>
      </w:r>
      <w:r>
        <w:rPr>
          <w:rFonts w:ascii="Arial" w:cs="Arial" w:eastAsia="Arial" w:hAnsi="Arial"/>
          <w:sz w:val="18"/>
          <w:szCs w:val="18"/>
          <w:color w:val="auto"/>
        </w:rPr>
        <w:t>. The Red River Pipeline is an approximately 150,000 barrel per day capacity pipeline that extends from</w:t>
      </w:r>
      <w:r>
        <w:rPr>
          <w:rFonts w:ascii="Arial" w:cs="Arial" w:eastAsia="Arial" w:hAnsi="Arial"/>
          <w:sz w:val="18"/>
          <w:szCs w:val="18"/>
          <w:i w:val="1"/>
          <w:iCs w:val="1"/>
          <w:color w:val="auto"/>
        </w:rPr>
        <w:t xml:space="preserve"> </w:t>
      </w:r>
      <w:r>
        <w:rPr>
          <w:rFonts w:ascii="Arial" w:cs="Arial" w:eastAsia="Arial" w:hAnsi="Arial"/>
          <w:sz w:val="18"/>
          <w:szCs w:val="18"/>
          <w:color w:val="auto"/>
        </w:rPr>
        <w:t>our Cushing Terminal to Longview, Texas, where it connects with various pipelines, including the Caddo Pipeline. We have an undivided 60% interest in the segment of the pipeline extending from Cushing, Oklahoma to Hewitt, Oklahoma near Valero’s refinery in Ardmore, Oklahoma. We have a 100% interest in the remaining portion of the pipeline that extends from Hewitt, Oklahoma to Longview, Texas. The Red River Pipeline is supported by long-term shipper commitments and we serve as operator.</w:t>
      </w:r>
    </w:p>
    <w:p>
      <w:pPr>
        <w:spacing w:after="0" w:line="188"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i w:val="1"/>
          <w:iCs w:val="1"/>
          <w:color w:val="auto"/>
        </w:rPr>
        <w:t>Caddo Pipeline</w:t>
      </w:r>
      <w:r>
        <w:rPr>
          <w:rFonts w:ascii="Arial" w:cs="Arial" w:eastAsia="Arial" w:hAnsi="Arial"/>
          <w:sz w:val="16"/>
          <w:szCs w:val="16"/>
          <w:color w:val="auto"/>
        </w:rPr>
        <w:t>. We own a 50% interest in Caddo Pipeline LLC, a joint venture with Delek Logistics Partners, LP (“Delek”). The joint venture owns,</w:t>
      </w:r>
      <w:r>
        <w:rPr>
          <w:rFonts w:ascii="Arial" w:cs="Arial" w:eastAsia="Arial" w:hAnsi="Arial"/>
          <w:sz w:val="16"/>
          <w:szCs w:val="16"/>
          <w:i w:val="1"/>
          <w:iCs w:val="1"/>
          <w:color w:val="auto"/>
        </w:rPr>
        <w:t xml:space="preserve"> </w:t>
      </w:r>
      <w:r>
        <w:rPr>
          <w:rFonts w:ascii="Arial" w:cs="Arial" w:eastAsia="Arial" w:hAnsi="Arial"/>
          <w:sz w:val="16"/>
          <w:szCs w:val="16"/>
          <w:color w:val="auto"/>
        </w:rPr>
        <w:t>and we operate, the Caddo Pipeline, which is an approximately 80,000 barrel per day capacity pipeline that originates in Longview, Texas at the terminus of the Red River Pipeline and serves refineries in Shreveport, Louisiana and El Dorado, Arkansas. The Caddo Pipeline is underpinned by shipper commitments.</w:t>
      </w:r>
    </w:p>
    <w:p>
      <w:pPr>
        <w:spacing w:after="0" w:line="147"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i w:val="1"/>
          <w:iCs w:val="1"/>
          <w:color w:val="auto"/>
        </w:rPr>
        <w:t>STACK Pipeline</w:t>
      </w:r>
      <w:r>
        <w:rPr>
          <w:rFonts w:ascii="Arial" w:cs="Arial" w:eastAsia="Arial" w:hAnsi="Arial"/>
          <w:sz w:val="16"/>
          <w:szCs w:val="16"/>
          <w:color w:val="auto"/>
        </w:rPr>
        <w:t>. We own a 50% interest in STACK Pipeline LLC, a joint venture with Phillips 66 Partners, L.P. This joint venture owns the STACK</w:t>
      </w:r>
      <w:r>
        <w:rPr>
          <w:rFonts w:ascii="Arial" w:cs="Arial" w:eastAsia="Arial" w:hAnsi="Arial"/>
          <w:sz w:val="16"/>
          <w:szCs w:val="16"/>
          <w:i w:val="1"/>
          <w:iCs w:val="1"/>
          <w:color w:val="auto"/>
        </w:rPr>
        <w:t xml:space="preserve"> </w:t>
      </w:r>
      <w:r>
        <w:rPr>
          <w:rFonts w:ascii="Arial" w:cs="Arial" w:eastAsia="Arial" w:hAnsi="Arial"/>
          <w:sz w:val="16"/>
          <w:szCs w:val="16"/>
          <w:color w:val="auto"/>
        </w:rPr>
        <w:t>Pipeline, which serves producers in the STACK (Sooner Trend Anadarko Basin Canadian and Kingfisher Counties) resource play and delivers to Cushing, Oklahoma. We serve as operator of this joint-venture system that has a total capacity of 250,000 barrels per day and is supported by producer commitments.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Gulf Coast</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own and/or operate pipelines in the Gulf Coast area with transportation and delivery into connecting carriers, terminal facilities and refineries. This includes a 54% interest in Capline. In January 2019, the owners of Capline converted their undivided joint interests into a limited liability company and launched a binding open season to solicit shipper interest for a reversal of Capline and the initiation of southbound service on Capline from Patoka, Illinois to St. James, Louisiana and potentially on our Diamond Pipeline and Capline from Cushing, Oklahoma to St. James, Louisiana.</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Rocky Mountain</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own and operate pipelines that provide gathering services in the Bakken and the Powder River Basin. We own a pipeline system that can move Bakken crude oil to the Enbridge mainline system at Regina, Saskatchewan. In 2019, the pipeline will be modified to accommodate bidirectional flow, either from the Bakken into the Enbridge mainline system or from the Enbridge mainline system to our terminal in Trenton, North Dakota. We own an undivided joint interest in a pipeline system that extends from the Canadian border to our terminal in Guernsey, Wyoming. This pipeline system receives crude oil from our Rangeland and Milk River Pipelines in Canada. In addition to these assets, our largest Rocky Mountain area systems include the following joint venture pipelines, both of which connect to our terminal in Cushing:</w:t>
      </w:r>
    </w:p>
    <w:p>
      <w:pPr>
        <w:spacing w:after="0" w:line="178" w:lineRule="exact"/>
        <w:rPr>
          <w:sz w:val="20"/>
          <w:szCs w:val="20"/>
          <w:color w:val="auto"/>
        </w:rPr>
      </w:pPr>
    </w:p>
    <w:p>
      <w:pPr>
        <w:jc w:val="both"/>
        <w:ind w:right="560" w:firstLine="648"/>
        <w:spacing w:after="0" w:line="264" w:lineRule="auto"/>
        <w:rPr>
          <w:sz w:val="20"/>
          <w:szCs w:val="20"/>
          <w:color w:val="auto"/>
        </w:rPr>
      </w:pPr>
      <w:r>
        <w:rPr>
          <w:rFonts w:ascii="Arial" w:cs="Arial" w:eastAsia="Arial" w:hAnsi="Arial"/>
          <w:sz w:val="18"/>
          <w:szCs w:val="18"/>
          <w:i w:val="1"/>
          <w:iCs w:val="1"/>
          <w:color w:val="auto"/>
        </w:rPr>
        <w:t>Saddlehorn Pipeline</w:t>
      </w:r>
      <w:r>
        <w:rPr>
          <w:rFonts w:ascii="Arial" w:cs="Arial" w:eastAsia="Arial" w:hAnsi="Arial"/>
          <w:sz w:val="18"/>
          <w:szCs w:val="18"/>
          <w:color w:val="auto"/>
        </w:rPr>
        <w:t>. We own a 40% interest in Saddlehorn Pipeline LLC (“SP LLC”), which owns 190,000 barrels per day of capacity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Saddlehorn Pipeline that extends from the Niobrara and DJ Basin to Cushing. Magellan serves as operator of the Saddlehorn Pipeline. The Saddlehorn Pipeline is supported by minimum volume commitments.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White Cliffs Pipeline. </w:t>
      </w:r>
      <w:r>
        <w:rPr>
          <w:rFonts w:ascii="Arial" w:cs="Arial" w:eastAsia="Arial" w:hAnsi="Arial"/>
          <w:sz w:val="17"/>
          <w:szCs w:val="17"/>
          <w:color w:val="auto"/>
        </w:rPr>
        <w:t>We own an approximate 36% interest in White Cliffs Pipeline LLC, which currently consists of two crude oil pipelines with</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215,000 barrels per day of capacity that extend from the DJ Basin to Cushing, Oklahoma. Rose Rock Midstream, L.P. (“Rose Rock”) serves as the operator of the pipelines. In the second quarter of 2019, the total capacity will be reduced to 110,000 barrels per day as one of the crude oil pipelines will be converted to a NGL pipeline with an initial capacity of 90,000 barrels per day. The NGL pipeline is expected to return to service in late 2019 and will extend form the DJ Basin to a tie-in location with the Southern Hills Pipeline in Oklahoma. The conversion to the NGL pipeline is supported by long-term capacity lease and long-term throughput agreements. Rose Rock will also operate the NGL pipeline.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Western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own and operate pipeline systems in our Western region including the following:</w:t>
      </w:r>
    </w:p>
    <w:p>
      <w:pPr>
        <w:spacing w:after="0" w:line="225"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i w:val="1"/>
          <w:iCs w:val="1"/>
          <w:color w:val="auto"/>
        </w:rPr>
        <w:t xml:space="preserve">Gathering. </w:t>
      </w:r>
      <w:r>
        <w:rPr>
          <w:rFonts w:ascii="Arial" w:cs="Arial" w:eastAsia="Arial" w:hAnsi="Arial"/>
          <w:sz w:val="17"/>
          <w:szCs w:val="17"/>
          <w:color w:val="auto"/>
        </w:rPr>
        <w:t>We own and operate gathering pipelines with aggregate capacity of over 150,000 barrels per day that source crude oil from the San</w:t>
      </w:r>
      <w:r>
        <w:rPr>
          <w:rFonts w:ascii="Arial" w:cs="Arial" w:eastAsia="Arial" w:hAnsi="Arial"/>
          <w:sz w:val="17"/>
          <w:szCs w:val="17"/>
          <w:i w:val="1"/>
          <w:iCs w:val="1"/>
          <w:color w:val="auto"/>
        </w:rPr>
        <w:t xml:space="preserve"> </w:t>
      </w:r>
      <w:r>
        <w:rPr>
          <w:rFonts w:ascii="Arial" w:cs="Arial" w:eastAsia="Arial" w:hAnsi="Arial"/>
          <w:sz w:val="17"/>
          <w:szCs w:val="17"/>
          <w:color w:val="auto"/>
        </w:rPr>
        <w:t>Joaquin Valley in California and connect to our Line 63 and Line 2000 pipelines, as well as other third-party pipelines and terminals.</w:t>
      </w:r>
    </w:p>
    <w:p>
      <w:pPr>
        <w:spacing w:after="0" w:line="147"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i w:val="1"/>
          <w:iCs w:val="1"/>
          <w:color w:val="auto"/>
        </w:rPr>
        <w:t xml:space="preserve">Line 63 and Line 2000. </w:t>
      </w:r>
      <w:r>
        <w:rPr>
          <w:rFonts w:ascii="Arial" w:cs="Arial" w:eastAsia="Arial" w:hAnsi="Arial"/>
          <w:sz w:val="18"/>
          <w:szCs w:val="18"/>
          <w:color w:val="auto"/>
        </w:rPr>
        <w:t>We own and operate the Line 63 and Line 2000 pipelines, which have approximately 60,000 barrels per day and 110,000</w:t>
      </w:r>
      <w:r>
        <w:rPr>
          <w:rFonts w:ascii="Arial" w:cs="Arial" w:eastAsia="Arial" w:hAnsi="Arial"/>
          <w:sz w:val="18"/>
          <w:szCs w:val="18"/>
          <w:i w:val="1"/>
          <w:iCs w:val="1"/>
          <w:color w:val="auto"/>
        </w:rPr>
        <w:t xml:space="preserve"> </w:t>
      </w:r>
      <w:r>
        <w:rPr>
          <w:rFonts w:ascii="Arial" w:cs="Arial" w:eastAsia="Arial" w:hAnsi="Arial"/>
          <w:sz w:val="18"/>
          <w:szCs w:val="18"/>
          <w:color w:val="auto"/>
        </w:rPr>
        <w:t>barrels per day of pipeline capacity, respectively, and transport crude oil from the San Joaquin Valley to refineries and terminal facilities in the Los Angeles Basin and in Bakersfield, California. Additionally, we have a distribution pipeline system in the Los Angeles Basin that connects our storage assets with all major refineries and third-party pipelines and marine terminals in the Los Angeles Basin.</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All American Pipeline. </w:t>
      </w:r>
      <w:r>
        <w:rPr>
          <w:rFonts w:ascii="Arial" w:cs="Arial" w:eastAsia="Arial" w:hAnsi="Arial"/>
          <w:sz w:val="18"/>
          <w:szCs w:val="18"/>
          <w:color w:val="auto"/>
        </w:rPr>
        <w:t>We own the All American Pipeline, which historically received crude oil from offshore oil producers at Las Flores, California</w:t>
      </w:r>
      <w:r>
        <w:rPr>
          <w:rFonts w:ascii="Arial" w:cs="Arial" w:eastAsia="Arial" w:hAnsi="Arial"/>
          <w:sz w:val="18"/>
          <w:szCs w:val="18"/>
          <w:i w:val="1"/>
          <w:iCs w:val="1"/>
          <w:color w:val="auto"/>
        </w:rPr>
        <w:t xml:space="preserve"> </w:t>
      </w:r>
      <w:r>
        <w:rPr>
          <w:rFonts w:ascii="Arial" w:cs="Arial" w:eastAsia="Arial" w:hAnsi="Arial"/>
          <w:sz w:val="18"/>
          <w:szCs w:val="18"/>
          <w:color w:val="auto"/>
        </w:rPr>
        <w:t>and at Gaviota, California. The pipeline terminates at our Emidio Station. Between Gaviota and our Emidio Station, the All American Pipeline interconnects with our San Joaquin Valley Gathering System, Line 2000 and Line 63, as well as other third-party intrastate pipelines.</w:t>
      </w:r>
    </w:p>
    <w:p>
      <w:pPr>
        <w:spacing w:after="0" w:line="181"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In May 2015, we experienced a crude oil release on the segment of the All American Pipeline known as Line 901 that runs from Las Flores to Gaviota in Santa Barbara County, California. The segment of the pipeline upstream of our Pentland station has been shut down since this incident. We are currently evaluating a replacement of the pipeline, subject to receipt of shipper commitments and regulatory approvals. See Note 18 to our Consolidated Financial Statements for additional information regarding the Line 901 incident.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Canada</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i w:val="1"/>
          <w:iCs w:val="1"/>
          <w:color w:val="auto"/>
        </w:rPr>
        <w:t xml:space="preserve">Rainbow Pipeline. </w:t>
      </w:r>
      <w:r>
        <w:rPr>
          <w:rFonts w:ascii="Arial" w:cs="Arial" w:eastAsia="Arial" w:hAnsi="Arial"/>
          <w:sz w:val="16"/>
          <w:szCs w:val="16"/>
          <w:color w:val="auto"/>
        </w:rPr>
        <w:t>We own and operate the Rainbow Pipeline, which is an approximately 185,000 barrel per day capacity pipeline that extends from</w:t>
      </w:r>
      <w:r>
        <w:rPr>
          <w:rFonts w:ascii="Arial" w:cs="Arial" w:eastAsia="Arial" w:hAnsi="Arial"/>
          <w:sz w:val="16"/>
          <w:szCs w:val="16"/>
          <w:i w:val="1"/>
          <w:iCs w:val="1"/>
          <w:color w:val="auto"/>
        </w:rPr>
        <w:t xml:space="preserve"> </w:t>
      </w:r>
      <w:r>
        <w:rPr>
          <w:rFonts w:ascii="Arial" w:cs="Arial" w:eastAsia="Arial" w:hAnsi="Arial"/>
          <w:sz w:val="16"/>
          <w:szCs w:val="16"/>
          <w:color w:val="auto"/>
        </w:rPr>
        <w:t>Zama, Alberta to Edmonton, Alberta. The pipeline transports both blended heavy and light crude oil and includes gathering and diluent pipelines. Rainbow Pipeline offers delivery optionality at Edmonton, Alberta, where it can connect to Enbridge, Trans Mountain and Pembina pipelines as well as IOL Refinery.</w:t>
      </w:r>
    </w:p>
    <w:p>
      <w:pPr>
        <w:spacing w:after="0" w:line="147" w:lineRule="exact"/>
        <w:rPr>
          <w:sz w:val="20"/>
          <w:szCs w:val="20"/>
          <w:color w:val="auto"/>
        </w:rPr>
      </w:pPr>
    </w:p>
    <w:p>
      <w:pPr>
        <w:jc w:val="both"/>
        <w:ind w:right="140" w:firstLine="648"/>
        <w:spacing w:after="0" w:line="297" w:lineRule="auto"/>
        <w:rPr>
          <w:sz w:val="20"/>
          <w:szCs w:val="20"/>
          <w:color w:val="auto"/>
        </w:rPr>
      </w:pPr>
      <w:r>
        <w:rPr>
          <w:rFonts w:ascii="Arial" w:cs="Arial" w:eastAsia="Arial" w:hAnsi="Arial"/>
          <w:sz w:val="16"/>
          <w:szCs w:val="16"/>
          <w:i w:val="1"/>
          <w:iCs w:val="1"/>
          <w:color w:val="auto"/>
        </w:rPr>
        <w:t xml:space="preserve">Rangeland Pipeline. </w:t>
      </w:r>
      <w:r>
        <w:rPr>
          <w:rFonts w:ascii="Arial" w:cs="Arial" w:eastAsia="Arial" w:hAnsi="Arial"/>
          <w:sz w:val="16"/>
          <w:szCs w:val="16"/>
          <w:color w:val="auto"/>
        </w:rPr>
        <w:t>We own and operate the Rangeland Pipeline system, which has the capacity to transport approximately 85,000 barrels per day</w:t>
      </w:r>
      <w:r>
        <w:rPr>
          <w:rFonts w:ascii="Arial" w:cs="Arial" w:eastAsia="Arial" w:hAnsi="Arial"/>
          <w:sz w:val="16"/>
          <w:szCs w:val="16"/>
          <w:i w:val="1"/>
          <w:iCs w:val="1"/>
          <w:color w:val="auto"/>
        </w:rPr>
        <w:t xml:space="preserve"> </w:t>
      </w:r>
      <w:r>
        <w:rPr>
          <w:rFonts w:ascii="Arial" w:cs="Arial" w:eastAsia="Arial" w:hAnsi="Arial"/>
          <w:sz w:val="16"/>
          <w:szCs w:val="16"/>
          <w:color w:val="auto"/>
        </w:rPr>
        <w:t>of diluent, light sweet crude oil and light sour crude oil either north to Edmonton, Alberta or south to the U.S./Canadian border near Cutbank, Montana. The Rangeland Pipeline system consists of three main segments. The North Gathering system begins at Medicine River and Rimbey truck terminal, and ships to Sundre truck terminal. The South Sour mainline delivers sour from the Sundre truck terminal to Glacier Pipeline, and MAPL delivers sweet from Sundre to Edmonton. The Pipeline also offers delivery optionality at Edmonton, Alberta, where it can connect to Enbridge pipelines and the IOL Refinery.</w:t>
      </w:r>
    </w:p>
    <w:p>
      <w:pPr>
        <w:spacing w:after="0" w:line="158"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i w:val="1"/>
          <w:iCs w:val="1"/>
          <w:color w:val="auto"/>
        </w:rPr>
        <w:t>South Saskatchewan Pipeline</w:t>
      </w:r>
      <w:r>
        <w:rPr>
          <w:rFonts w:ascii="Arial" w:cs="Arial" w:eastAsia="Arial" w:hAnsi="Arial"/>
          <w:sz w:val="18"/>
          <w:szCs w:val="18"/>
          <w:color w:val="auto"/>
        </w:rPr>
        <w:t>. We own and operate the South Saskatchewan system, which has approximately 70,000 barrels per day of capacity to</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 heavy crude oil from the Cantuar, Dollard, Rapdan and Gull Lake gathering areas in southern Saskatchewan to the Enbridge mainline system at the Regina terminal.</w:t>
      </w:r>
    </w:p>
    <w:p>
      <w:pPr>
        <w:spacing w:after="0" w:line="181"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i w:val="1"/>
          <w:iCs w:val="1"/>
          <w:color w:val="auto"/>
        </w:rPr>
        <w:t xml:space="preserve">Manito Pipeline. </w:t>
      </w:r>
      <w:r>
        <w:rPr>
          <w:rFonts w:ascii="Arial" w:cs="Arial" w:eastAsia="Arial" w:hAnsi="Arial"/>
          <w:sz w:val="16"/>
          <w:szCs w:val="16"/>
          <w:color w:val="auto"/>
        </w:rPr>
        <w:t>We own and operate the Manito Pipeline, which delivers heavy crude oil produced from the Lloydminster producing area of</w:t>
      </w:r>
      <w:r>
        <w:rPr>
          <w:rFonts w:ascii="Arial" w:cs="Arial" w:eastAsia="Arial" w:hAnsi="Arial"/>
          <w:sz w:val="16"/>
          <w:szCs w:val="16"/>
          <w:i w:val="1"/>
          <w:iCs w:val="1"/>
          <w:color w:val="auto"/>
        </w:rPr>
        <w:t xml:space="preserve"> </w:t>
      </w:r>
      <w:r>
        <w:rPr>
          <w:rFonts w:ascii="Arial" w:cs="Arial" w:eastAsia="Arial" w:hAnsi="Arial"/>
          <w:sz w:val="16"/>
          <w:szCs w:val="16"/>
          <w:color w:val="auto"/>
        </w:rPr>
        <w:t>Alberta to our Kerrobert Terminal and our Kerrobert Rail Terminal. The Kerrobert Terminal is connected to both the Enbridge mainline system and our Kerrobert Rail Terminal. The Manito system includes blended crude oil lines with capacity of approximately 70,000 barrels per day and parallel diluent lines.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Milk River Pipeline. </w:t>
      </w:r>
      <w:r>
        <w:rPr>
          <w:rFonts w:ascii="Arial" w:cs="Arial" w:eastAsia="Arial" w:hAnsi="Arial"/>
          <w:sz w:val="18"/>
          <w:szCs w:val="18"/>
          <w:color w:val="auto"/>
        </w:rPr>
        <w:t>We own and operate Milk River Pipeline system, which has approximately 100,000 barrels per day of capacity to transport</w:t>
      </w:r>
      <w:r>
        <w:rPr>
          <w:rFonts w:ascii="Arial" w:cs="Arial" w:eastAsia="Arial" w:hAnsi="Arial"/>
          <w:sz w:val="18"/>
          <w:szCs w:val="18"/>
          <w:i w:val="1"/>
          <w:iCs w:val="1"/>
          <w:color w:val="auto"/>
        </w:rPr>
        <w:t xml:space="preserve"> </w:t>
      </w:r>
      <w:r>
        <w:rPr>
          <w:rFonts w:ascii="Arial" w:cs="Arial" w:eastAsia="Arial" w:hAnsi="Arial"/>
          <w:sz w:val="18"/>
          <w:szCs w:val="18"/>
          <w:color w:val="auto"/>
        </w:rPr>
        <w:t>heavy crude oil from Milk River, Alberta to the U.S./Canadian border west of Coutts, Alberta and connects with the Cenex Santa Rita Pipeline System in the U.S.</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Wascana Pipeline. </w:t>
      </w:r>
      <w:r>
        <w:rPr>
          <w:rFonts w:ascii="Arial" w:cs="Arial" w:eastAsia="Arial" w:hAnsi="Arial"/>
          <w:sz w:val="18"/>
          <w:szCs w:val="18"/>
          <w:color w:val="auto"/>
        </w:rPr>
        <w:t>We own and operate the Wascana Pipeline, which has approximately 40,000 barrels per day of capacity to move sweet crude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Bakken North pipeline system to Enbridge’s mainline system at Regina, Saskatchewan. The Wascana Pipeline is currently undergoing modifications to add bi-directional capability.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Canadian NGL Pipelines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Co-Ed NGL Pipeline. </w:t>
      </w:r>
      <w:r>
        <w:rPr>
          <w:rFonts w:ascii="Arial" w:cs="Arial" w:eastAsia="Arial" w:hAnsi="Arial"/>
          <w:sz w:val="18"/>
          <w:szCs w:val="18"/>
          <w:color w:val="auto"/>
        </w:rPr>
        <w:t>We own and operate the Co-Ed NGL pipeline, which has approximately 70,000 barrels per day of capacity to transport NGL</w:t>
      </w:r>
      <w:r>
        <w:rPr>
          <w:rFonts w:ascii="Arial" w:cs="Arial" w:eastAsia="Arial" w:hAnsi="Arial"/>
          <w:sz w:val="18"/>
          <w:szCs w:val="18"/>
          <w:i w:val="1"/>
          <w:iCs w:val="1"/>
          <w:color w:val="auto"/>
        </w:rPr>
        <w:t xml:space="preserve"> </w:t>
      </w:r>
      <w:r>
        <w:rPr>
          <w:rFonts w:ascii="Arial" w:cs="Arial" w:eastAsia="Arial" w:hAnsi="Arial"/>
          <w:sz w:val="18"/>
          <w:szCs w:val="18"/>
          <w:color w:val="auto"/>
        </w:rPr>
        <w:t>that it gathers from approximately 27 field gas processing plants located in Alberta, including all of the NGL produced at the Cochrane Straddle Plant for delivery to NGL facilities at Fort Saskatchewan. Co-Ed’s main volume capture regions are Southwest and Central Alberta, Cardium, Deep Basin, and Alberta Montney.</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PPTC Pipeline. </w:t>
      </w:r>
      <w:r>
        <w:rPr>
          <w:rFonts w:ascii="Arial" w:cs="Arial" w:eastAsia="Arial" w:hAnsi="Arial"/>
          <w:sz w:val="18"/>
          <w:szCs w:val="18"/>
          <w:color w:val="auto"/>
        </w:rPr>
        <w:t>We own and operate the Plains Petroleum Transmission Company Pipeline (the “PPTC Pipeline”), which has approximately 15,000</w:t>
      </w:r>
      <w:r>
        <w:rPr>
          <w:rFonts w:ascii="Arial" w:cs="Arial" w:eastAsia="Arial" w:hAnsi="Arial"/>
          <w:sz w:val="18"/>
          <w:szCs w:val="18"/>
          <w:i w:val="1"/>
          <w:iCs w:val="1"/>
          <w:color w:val="auto"/>
        </w:rPr>
        <w:t xml:space="preserve"> </w:t>
      </w:r>
      <w:r>
        <w:rPr>
          <w:rFonts w:ascii="Arial" w:cs="Arial" w:eastAsia="Arial" w:hAnsi="Arial"/>
          <w:sz w:val="18"/>
          <w:szCs w:val="18"/>
          <w:color w:val="auto"/>
        </w:rPr>
        <w:t>barrels per day of capacity to transport NGL from Empress, Alberta to the Fort Whyte Terminal in Winnipeg, Manitoba. The PPTC Pipeline also provides access to several truck terminals and rail loading facilities.</w:t>
      </w:r>
    </w:p>
    <w:p>
      <w:pPr>
        <w:spacing w:after="0" w:line="18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i w:val="1"/>
          <w:iCs w:val="1"/>
          <w:color w:val="auto"/>
        </w:rPr>
        <w:t xml:space="preserve">Eastern Delivery System. </w:t>
      </w:r>
      <w:r>
        <w:rPr>
          <w:rFonts w:ascii="Arial" w:cs="Arial" w:eastAsia="Arial" w:hAnsi="Arial"/>
          <w:sz w:val="18"/>
          <w:szCs w:val="18"/>
          <w:color w:val="auto"/>
        </w:rPr>
        <w:t>We own and operate the Eastern Delivery System, which has various segments that transport propane and butane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Sarnia, Ontario and Windsor, Ontario and from Sarnia, Ontario to St. Clair, Michigan; refinery grade butane between Windsor, Ontario and Woodhaven, Michigan; and syncrude from Sarnia, Ontario to local refineries. The Eastern Delivery System also receives ethane from Kinder Morgan Utopia Pipeline at Windsor, Ontario for delivery to petrochemical facilities in the Sarnia, Ontario area, as well as our facility in Sarnia, Ontario. These pipelines have a combined capacity of approximately 150,000 barrels per day.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 Segment</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We generate revenue through a combination of month-to-month and multi-year agreements and processing arrangements.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Revenues generated in this segment include (i) storage and throughput fees at our crude and NGL storage terminals and natural gas storage facilities,</w:t>
      </w:r>
    </w:p>
    <w:p>
      <w:pPr>
        <w:spacing w:after="0" w:line="46" w:lineRule="exact"/>
        <w:rPr>
          <w:sz w:val="20"/>
          <w:szCs w:val="20"/>
          <w:color w:val="auto"/>
        </w:rPr>
      </w:pPr>
    </w:p>
    <w:p>
      <w:pPr>
        <w:ind w:right="200" w:firstLine="8"/>
        <w:spacing w:after="0" w:line="261" w:lineRule="auto"/>
        <w:tabs>
          <w:tab w:leader="none" w:pos="2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fees from natural gas and condensate processing services and from NGL fractionation and isomerization services and (iii) loading and unloading fees at our rail terminals.</w:t>
      </w:r>
    </w:p>
    <w:p>
      <w:pPr>
        <w:spacing w:after="0" w:line="18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December 31, 2018, we owned, operated or employed a variety of long-term physical assets throughout the United States and Canada in this segment, including:</w:t>
      </w:r>
    </w:p>
    <w:p>
      <w:pPr>
        <w:spacing w:after="0" w:line="170"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approximately 77 million barrels of crude oil storage capacity primarily at our terminalling and storage locations;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approximately 32 million barrels of NGL storage capacity;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approximately 63 billion cubic feet (“Bcf”) of natural gas storage working gas capacity;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approximately 25 Bcf of owned base gas;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seven natural gas processing plants located throughout Canada and the Gulf Coast area of the United States;</w:t>
      </w:r>
    </w:p>
    <w:p>
      <w:pPr>
        <w:spacing w:after="0" w:line="117"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condensate processing facility located in the Eagle Ford area of South Texas with an aggregate processing capacity of approximately 120,000 barrels per day;</w:t>
      </w:r>
    </w:p>
    <w:p>
      <w:pPr>
        <w:spacing w:after="0" w:line="62" w:lineRule="exact"/>
        <w:rPr>
          <w:rFonts w:ascii="Arial" w:cs="Arial" w:eastAsia="Arial" w:hAnsi="Arial"/>
          <w:sz w:val="18"/>
          <w:szCs w:val="18"/>
          <w:color w:val="auto"/>
        </w:rPr>
      </w:pPr>
    </w:p>
    <w:p>
      <w:pPr>
        <w:ind w:left="980" w:right="100" w:hanging="324"/>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eight fractionation plants located throughout Canada and the United States with an aggregate net processing capacity of approximately 211,000 barrels per day, and an isomerization and fractionation facility in California with an aggregate processing capacity of approximately 15,000 barrels per day;</w:t>
      </w:r>
    </w:p>
    <w:p>
      <w:pPr>
        <w:spacing w:after="0" w:line="73"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33 crude oil and NGL rail terminals located throughout the United States and Canada. See “Rail Facilities” below for an overview of various terminals and “Supply and Logistics” regarding our use of railcars;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five marine facilities in the United States;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approximately 425 miles of active pipelines that support our facilities assets.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tabular presentation of our active Facilities segment storage and service assets in the United States and Canada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grouped by product and service type, with capacity and volume as indicated:</w:t>
      </w:r>
    </w:p>
    <w:p>
      <w:pPr>
        <w:sectPr>
          <w:pgSz w:w="11900" w:h="16838" w:orient="portrait"/>
          <w:cols w:equalWidth="0" w:num="1">
            <w:col w:w="11320"/>
          </w:cols>
          <w:pgMar w:left="240" w:top="125" w:right="339" w:bottom="1440" w:gutter="0" w:footer="0" w:header="0"/>
        </w:sect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Crude Oil Storage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Cushing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St.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LA Basin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Patoka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Mobile and Ten Mile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25"/>
          <w:szCs w:val="25"/>
          <w:i w:val="1"/>
          <w:i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NGL Storage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Fort Saskatchewan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Sarnia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Empress Area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Bumstead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Natural Gas Storage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Salt Caverns</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Total Gas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Natural Gas Processing Facilities </w:t>
            </w:r>
            <w:r>
              <w:rPr>
                <w:rFonts w:ascii="Arial" w:cs="Arial" w:eastAsia="Arial" w:hAnsi="Arial"/>
                <w:sz w:val="8"/>
                <w:szCs w:val="8"/>
                <w:b w:val="1"/>
                <w:bCs w:val="1"/>
                <w:color w:val="auto"/>
              </w:rPr>
              <w:t>(2)</w:t>
            </w:r>
          </w:p>
        </w:tc>
        <w:tc>
          <w:tcPr>
            <w:tcW w:w="120" w:type="dxa"/>
            <w:vAlign w:val="bottom"/>
            <w:vMerge w:val="restart"/>
          </w:tcPr>
          <w:p>
            <w:pPr>
              <w:spacing w:after="0"/>
              <w:rPr>
                <w:sz w:val="12"/>
                <w:szCs w:val="12"/>
                <w:color w:val="auto"/>
              </w:rPr>
            </w:pPr>
          </w:p>
        </w:tc>
        <w:tc>
          <w:tcPr>
            <w:tcW w:w="18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Ownership Interest</w:t>
            </w:r>
          </w:p>
        </w:tc>
        <w:tc>
          <w:tcPr>
            <w:tcW w:w="120" w:type="dxa"/>
            <w:vAlign w:val="bottom"/>
            <w:vMerge w:val="restart"/>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 xml:space="preserve">Spec Product </w:t>
            </w:r>
            <w:r>
              <w:rPr>
                <w:rFonts w:ascii="Arial" w:cs="Arial" w:eastAsia="Arial" w:hAnsi="Arial"/>
                <w:sz w:val="8"/>
                <w:szCs w:val="8"/>
                <w:b w:val="1"/>
                <w:bCs w:val="1"/>
                <w:color w:val="auto"/>
                <w:w w:val="92"/>
              </w:rPr>
              <w:t>(3)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(Bcf/d)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i w:val="1"/>
                <w:iCs w:val="1"/>
                <w:color w:val="auto"/>
              </w:rPr>
              <w:t>United States Gulf Coast Area</w:t>
            </w:r>
          </w:p>
        </w:tc>
        <w:tc>
          <w:tcPr>
            <w:tcW w:w="18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160" w:type="dxa"/>
            <w:vAlign w:val="bottom"/>
            <w:gridSpan w:val="2"/>
          </w:tcPr>
          <w:p>
            <w:pPr>
              <w:ind w:left="40"/>
              <w:spacing w:after="0"/>
              <w:rPr>
                <w:sz w:val="20"/>
                <w:szCs w:val="20"/>
                <w:color w:val="auto"/>
              </w:rPr>
            </w:pPr>
            <w:r>
              <w:rPr>
                <w:rFonts w:ascii="Arial" w:cs="Arial" w:eastAsia="Arial" w:hAnsi="Arial"/>
                <w:sz w:val="18"/>
                <w:szCs w:val="18"/>
                <w:i w:val="1"/>
                <w:iCs w:val="1"/>
                <w:color w:val="auto"/>
              </w:rPr>
              <w:t>Canada</w:t>
            </w:r>
          </w:p>
        </w:tc>
        <w:tc>
          <w:tcPr>
            <w:tcW w:w="1880" w:type="dxa"/>
            <w:vAlign w:val="bottom"/>
          </w:tcPr>
          <w:p>
            <w:pPr>
              <w:jc w:val="right"/>
              <w:ind w:right="94"/>
              <w:spacing w:after="0"/>
              <w:rPr>
                <w:sz w:val="20"/>
                <w:szCs w:val="20"/>
                <w:color w:val="auto"/>
              </w:rPr>
            </w:pPr>
            <w:r>
              <w:rPr>
                <w:rFonts w:ascii="Arial" w:cs="Arial" w:eastAsia="Arial" w:hAnsi="Arial"/>
                <w:sz w:val="18"/>
                <w:szCs w:val="18"/>
                <w:color w:val="auto"/>
              </w:rPr>
              <w:t>50-88%</w:t>
            </w:r>
          </w:p>
        </w:tc>
        <w:tc>
          <w:tcPr>
            <w:tcW w:w="120" w:type="dxa"/>
            <w:vAlign w:val="bottom"/>
          </w:tcPr>
          <w:p>
            <w:pPr>
              <w:spacing w:after="0"/>
              <w:rPr>
                <w:sz w:val="23"/>
                <w:szCs w:val="23"/>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Condensate Stabilization Facility</w:t>
            </w: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continu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7"/>
        </w:trPr>
        <w:tc>
          <w:tcPr>
            <w:tcW w:w="6160" w:type="dxa"/>
            <w:vAlign w:val="bottom"/>
            <w:tcBorders>
              <w:bottom w:val="single" w:sz="8" w:color="auto"/>
            </w:tcBorders>
            <w:gridSpan w:val="2"/>
            <w:vMerge w:val="continue"/>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i w:val="1"/>
                <w:iCs w:val="1"/>
                <w:color w:val="auto"/>
              </w:rPr>
              <w:t>Gardendale</w:t>
            </w: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1"/>
        </w:trPr>
        <w:tc>
          <w:tcPr>
            <w:tcW w:w="6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NGL Fractionation and Isomerization Facilities</w:t>
            </w:r>
          </w:p>
        </w:tc>
        <w:tc>
          <w:tcPr>
            <w:tcW w:w="120" w:type="dxa"/>
            <w:vAlign w:val="bottom"/>
            <w:vMerge w:val="restart"/>
          </w:tcPr>
          <w:p>
            <w:pPr>
              <w:spacing w:after="0"/>
              <w:rPr>
                <w:sz w:val="12"/>
                <w:szCs w:val="12"/>
                <w:color w:val="auto"/>
              </w:rPr>
            </w:pPr>
          </w:p>
        </w:tc>
        <w:tc>
          <w:tcPr>
            <w:tcW w:w="18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Ownership Interest</w:t>
            </w:r>
          </w:p>
        </w:tc>
        <w:tc>
          <w:tcPr>
            <w:tcW w:w="120" w:type="dxa"/>
            <w:vAlign w:val="bottom"/>
            <w:vMerge w:val="restart"/>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 xml:space="preserve">Spec Product </w:t>
            </w:r>
            <w:r>
              <w:rPr>
                <w:rFonts w:ascii="Arial" w:cs="Arial" w:eastAsia="Arial" w:hAnsi="Arial"/>
                <w:sz w:val="8"/>
                <w:szCs w:val="8"/>
                <w:b w:val="1"/>
                <w:bCs w:val="1"/>
                <w:color w:val="auto"/>
                <w:w w:val="92"/>
              </w:rPr>
              <w:t>(3)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(Bbls/d)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i w:val="1"/>
                <w:iCs w:val="1"/>
                <w:color w:val="auto"/>
              </w:rPr>
              <w:t>Empress</w:t>
            </w:r>
          </w:p>
        </w:tc>
        <w:tc>
          <w:tcPr>
            <w:tcW w:w="18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17,100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160" w:type="dxa"/>
            <w:vAlign w:val="bottom"/>
            <w:gridSpan w:val="2"/>
          </w:tcPr>
          <w:p>
            <w:pPr>
              <w:ind w:left="40"/>
              <w:spacing w:after="0"/>
              <w:rPr>
                <w:sz w:val="20"/>
                <w:szCs w:val="20"/>
                <w:color w:val="auto"/>
              </w:rPr>
            </w:pPr>
            <w:r>
              <w:rPr>
                <w:rFonts w:ascii="Arial" w:cs="Arial" w:eastAsia="Arial" w:hAnsi="Arial"/>
                <w:sz w:val="18"/>
                <w:szCs w:val="18"/>
                <w:i w:val="1"/>
                <w:iCs w:val="1"/>
                <w:color w:val="auto"/>
              </w:rPr>
              <w:t>Fort Saskatchewan</w:t>
            </w:r>
          </w:p>
        </w:tc>
        <w:tc>
          <w:tcPr>
            <w:tcW w:w="1880" w:type="dxa"/>
            <w:vAlign w:val="bottom"/>
          </w:tcPr>
          <w:p>
            <w:pPr>
              <w:jc w:val="right"/>
              <w:ind w:right="94"/>
              <w:spacing w:after="0"/>
              <w:rPr>
                <w:sz w:val="20"/>
                <w:szCs w:val="20"/>
                <w:color w:val="auto"/>
              </w:rPr>
            </w:pPr>
            <w:r>
              <w:rPr>
                <w:rFonts w:ascii="Arial" w:cs="Arial" w:eastAsia="Arial" w:hAnsi="Arial"/>
                <w:sz w:val="18"/>
                <w:szCs w:val="18"/>
                <w:color w:val="auto"/>
              </w:rPr>
              <w:t>21-100%</w:t>
            </w:r>
          </w:p>
        </w:tc>
        <w:tc>
          <w:tcPr>
            <w:tcW w:w="120" w:type="dxa"/>
            <w:vAlign w:val="bottom"/>
          </w:tcPr>
          <w:p>
            <w:pPr>
              <w:spacing w:after="0"/>
              <w:rPr>
                <w:sz w:val="23"/>
                <w:szCs w:val="23"/>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41,000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60" w:type="dxa"/>
            <w:vAlign w:val="bottom"/>
            <w:gridSpan w:val="2"/>
          </w:tcPr>
          <w:p>
            <w:pPr>
              <w:ind w:left="40"/>
              <w:spacing w:after="0"/>
              <w:rPr>
                <w:sz w:val="20"/>
                <w:szCs w:val="20"/>
                <w:color w:val="auto"/>
              </w:rPr>
            </w:pPr>
            <w:r>
              <w:rPr>
                <w:rFonts w:ascii="Arial" w:cs="Arial" w:eastAsia="Arial" w:hAnsi="Arial"/>
                <w:sz w:val="18"/>
                <w:szCs w:val="18"/>
                <w:i w:val="1"/>
                <w:iCs w:val="1"/>
                <w:color w:val="auto"/>
              </w:rPr>
              <w:t>Sarnia</w:t>
            </w:r>
          </w:p>
        </w:tc>
        <w:tc>
          <w:tcPr>
            <w:tcW w:w="1880" w:type="dxa"/>
            <w:vAlign w:val="bottom"/>
          </w:tcPr>
          <w:p>
            <w:pPr>
              <w:jc w:val="right"/>
              <w:ind w:right="94"/>
              <w:spacing w:after="0"/>
              <w:rPr>
                <w:sz w:val="20"/>
                <w:szCs w:val="20"/>
                <w:color w:val="auto"/>
              </w:rPr>
            </w:pPr>
            <w:r>
              <w:rPr>
                <w:rFonts w:ascii="Arial" w:cs="Arial" w:eastAsia="Arial" w:hAnsi="Arial"/>
                <w:sz w:val="18"/>
                <w:szCs w:val="18"/>
                <w:color w:val="auto"/>
              </w:rPr>
              <w:t>62-84%</w:t>
            </w:r>
          </w:p>
        </w:tc>
        <w:tc>
          <w:tcPr>
            <w:tcW w:w="120" w:type="dxa"/>
            <w:vAlign w:val="bottom"/>
          </w:tcPr>
          <w:p>
            <w:pPr>
              <w:spacing w:after="0"/>
              <w:rPr>
                <w:sz w:val="23"/>
                <w:szCs w:val="23"/>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53,900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60" w:type="dxa"/>
            <w:vAlign w:val="bottom"/>
            <w:gridSpan w:val="2"/>
          </w:tcPr>
          <w:p>
            <w:pPr>
              <w:ind w:left="40"/>
              <w:spacing w:after="0"/>
              <w:rPr>
                <w:sz w:val="20"/>
                <w:szCs w:val="20"/>
                <w:color w:val="auto"/>
              </w:rPr>
            </w:pPr>
            <w:r>
              <w:rPr>
                <w:rFonts w:ascii="Arial" w:cs="Arial" w:eastAsia="Arial" w:hAnsi="Arial"/>
                <w:sz w:val="18"/>
                <w:szCs w:val="18"/>
                <w:i w:val="1"/>
                <w:iCs w:val="1"/>
                <w:color w:val="auto"/>
              </w:rPr>
              <w:t>Shafter</w:t>
            </w:r>
          </w:p>
        </w:tc>
        <w:tc>
          <w:tcPr>
            <w:tcW w:w="18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3"/>
                <w:szCs w:val="23"/>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9,500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60" w:type="dxa"/>
            <w:vAlign w:val="bottom"/>
            <w:gridSpan w:val="2"/>
          </w:tcPr>
          <w:p>
            <w:pPr>
              <w:ind w:left="40"/>
              <w:spacing w:after="0"/>
              <w:rPr>
                <w:sz w:val="20"/>
                <w:szCs w:val="20"/>
                <w:color w:val="auto"/>
              </w:rPr>
            </w:pPr>
            <w:r>
              <w:rPr>
                <w:rFonts w:ascii="Arial" w:cs="Arial" w:eastAsia="Arial" w:hAnsi="Arial"/>
                <w:sz w:val="18"/>
                <w:szCs w:val="18"/>
                <w:i w:val="1"/>
                <w:iCs w:val="1"/>
                <w:color w:val="auto"/>
              </w:rPr>
              <w:t>Other</w:t>
            </w:r>
          </w:p>
        </w:tc>
        <w:tc>
          <w:tcPr>
            <w:tcW w:w="1880" w:type="dxa"/>
            <w:vAlign w:val="bottom"/>
          </w:tcPr>
          <w:p>
            <w:pPr>
              <w:jc w:val="right"/>
              <w:ind w:right="94"/>
              <w:spacing w:after="0"/>
              <w:rPr>
                <w:sz w:val="20"/>
                <w:szCs w:val="20"/>
                <w:color w:val="auto"/>
              </w:rPr>
            </w:pPr>
            <w:r>
              <w:rPr>
                <w:rFonts w:ascii="Arial" w:cs="Arial" w:eastAsia="Arial" w:hAnsi="Arial"/>
                <w:sz w:val="18"/>
                <w:szCs w:val="18"/>
                <w:color w:val="auto"/>
              </w:rPr>
              <w:t>82-100%</w:t>
            </w:r>
          </w:p>
        </w:tc>
        <w:tc>
          <w:tcPr>
            <w:tcW w:w="120" w:type="dxa"/>
            <w:vAlign w:val="bottom"/>
          </w:tcPr>
          <w:p>
            <w:pPr>
              <w:spacing w:after="0"/>
              <w:rPr>
                <w:sz w:val="23"/>
                <w:szCs w:val="23"/>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9,800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131,300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-2443480</wp:posOffset>
            </wp:positionV>
            <wp:extent cx="724662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-2795270</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-1791970</wp:posOffset>
            </wp:positionV>
            <wp:extent cx="724662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724662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Total Capacity</w:t>
      </w:r>
    </w:p>
    <w:p>
      <w:pPr>
        <w:spacing w:after="0" w:line="15"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(MMBbls)</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48895</wp:posOffset>
            </wp:positionV>
            <wp:extent cx="9347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Total Capacity</w:t>
      </w:r>
    </w:p>
    <w:p>
      <w:pPr>
        <w:spacing w:after="0" w:line="15"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(MMBbls)</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31750</wp:posOffset>
            </wp:positionV>
            <wp:extent cx="9347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31750</wp:posOffset>
            </wp:positionV>
            <wp:extent cx="9347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48895</wp:posOffset>
            </wp:positionV>
            <wp:extent cx="9347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Total Capacity</w:t>
      </w:r>
    </w:p>
    <w:p>
      <w:pPr>
        <w:spacing w:after="0" w:line="15"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(Bcf)</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0" w:lineRule="exact"/>
        <w:rPr>
          <w:sz w:val="20"/>
          <w:szCs w:val="20"/>
          <w:color w:val="auto"/>
        </w:rPr>
      </w:pPr>
    </w:p>
    <w:p>
      <w:pPr>
        <w:spacing w:after="0" w:line="206"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Gas</w:t>
      </w:r>
    </w:p>
    <w:p>
      <w:pPr>
        <w:ind w:left="60"/>
        <w:spacing w:after="0" w:line="226" w:lineRule="auto"/>
        <w:rPr>
          <w:sz w:val="20"/>
          <w:szCs w:val="20"/>
          <w:color w:val="auto"/>
        </w:rPr>
      </w:pPr>
      <w:r>
        <w:rPr>
          <w:rFonts w:ascii="Arial" w:cs="Arial" w:eastAsia="Arial" w:hAnsi="Arial"/>
          <w:sz w:val="14"/>
          <w:szCs w:val="14"/>
          <w:b w:val="1"/>
          <w:bCs w:val="1"/>
          <w:color w:val="auto"/>
        </w:rPr>
        <w:t>Processing</w:t>
      </w:r>
    </w:p>
    <w:p>
      <w:pPr>
        <w:ind w:left="100"/>
        <w:spacing w:after="0" w:line="222" w:lineRule="auto"/>
        <w:rPr>
          <w:sz w:val="20"/>
          <w:szCs w:val="20"/>
          <w:color w:val="auto"/>
        </w:rPr>
      </w:pPr>
      <w:r>
        <w:rPr>
          <w:rFonts w:ascii="Arial" w:cs="Arial" w:eastAsia="Arial" w:hAnsi="Arial"/>
          <w:sz w:val="14"/>
          <w:szCs w:val="14"/>
          <w:b w:val="1"/>
          <w:bCs w:val="1"/>
          <w:color w:val="auto"/>
        </w:rPr>
        <w:t>Capacity</w:t>
      </w:r>
    </w:p>
    <w:p>
      <w:pPr>
        <w:ind w:left="180"/>
        <w:spacing w:after="0"/>
        <w:rPr>
          <w:sz w:val="20"/>
          <w:szCs w:val="20"/>
          <w:color w:val="auto"/>
        </w:rPr>
      </w:pPr>
      <w:r>
        <w:rPr>
          <w:rFonts w:ascii="Arial" w:cs="Arial" w:eastAsia="Arial" w:hAnsi="Arial"/>
          <w:sz w:val="14"/>
          <w:szCs w:val="14"/>
          <w:b w:val="1"/>
          <w:bCs w:val="1"/>
          <w:color w:val="auto"/>
        </w:rPr>
        <w:t>(Bcf/d)</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48895</wp:posOffset>
            </wp:positionV>
            <wp:extent cx="10033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Total Capacity</w:t>
      </w:r>
    </w:p>
    <w:p>
      <w:pPr>
        <w:spacing w:after="0" w:line="15"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(Bbls/d)</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120,000</w:t>
      </w:r>
    </w:p>
    <w:p>
      <w:pPr>
        <w:spacing w:after="0" w:line="200" w:lineRule="exact"/>
        <w:rPr>
          <w:sz w:val="20"/>
          <w:szCs w:val="20"/>
          <w:color w:val="auto"/>
        </w:rPr>
      </w:pPr>
    </w:p>
    <w:p>
      <w:pPr>
        <w:spacing w:after="0" w:line="206"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Net</w:t>
      </w:r>
    </w:p>
    <w:p>
      <w:pPr>
        <w:jc w:val="center"/>
        <w:ind w:right="300"/>
        <w:spacing w:after="0" w:line="226" w:lineRule="auto"/>
        <w:rPr>
          <w:sz w:val="20"/>
          <w:szCs w:val="20"/>
          <w:color w:val="auto"/>
        </w:rPr>
      </w:pPr>
      <w:r>
        <w:rPr>
          <w:rFonts w:ascii="Arial" w:cs="Arial" w:eastAsia="Arial" w:hAnsi="Arial"/>
          <w:sz w:val="14"/>
          <w:szCs w:val="14"/>
          <w:b w:val="1"/>
          <w:bCs w:val="1"/>
          <w:color w:val="auto"/>
        </w:rPr>
        <w:t>Capacity</w:t>
      </w:r>
    </w:p>
    <w:p>
      <w:pPr>
        <w:spacing w:after="0" w:line="1"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(Bbls/d)</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28,300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67,800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90,000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15,000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31750</wp:posOffset>
            </wp:positionV>
            <wp:extent cx="10033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226,100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31750</wp:posOffset>
            </wp:positionV>
            <wp:extent cx="10033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48895</wp:posOffset>
            </wp:positionV>
            <wp:extent cx="10033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9820" w:space="420"/>
            <w:col w:w="1080"/>
          </w:cols>
          <w:pgMar w:left="240" w:top="125" w:right="339" w:bottom="1440" w:gutter="0" w:footer="0" w:header="0"/>
          <w:type w:val="continuous"/>
        </w:sectPr>
      </w:pP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320"/>
          </w:cols>
          <w:pgMar w:left="240" w:top="125"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Loading</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Unloading</w:t>
            </w:r>
          </w:p>
        </w:tc>
        <w:tc>
          <w:tcPr>
            <w:tcW w:w="0" w:type="dxa"/>
            <w:vAlign w:val="bottom"/>
          </w:tcPr>
          <w:p>
            <w:pPr>
              <w:spacing w:after="0"/>
              <w:rPr>
                <w:sz w:val="1"/>
                <w:szCs w:val="1"/>
                <w:color w:val="auto"/>
              </w:rPr>
            </w:pPr>
          </w:p>
        </w:tc>
      </w:tr>
      <w:tr>
        <w:trPr>
          <w:trHeight w:val="149"/>
        </w:trPr>
        <w:tc>
          <w:tcPr>
            <w:tcW w:w="6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Rail Facilities</w:t>
            </w:r>
          </w:p>
        </w:tc>
        <w:tc>
          <w:tcPr>
            <w:tcW w:w="1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Ownership Interest</w:t>
            </w:r>
          </w:p>
        </w:tc>
        <w:tc>
          <w:tcPr>
            <w:tcW w:w="120" w:type="dxa"/>
            <w:vAlign w:val="bottom"/>
            <w:gridSpan w:val="2"/>
            <w:vMerge w:val="restart"/>
          </w:tcPr>
          <w:p>
            <w:pPr>
              <w:spacing w:after="0"/>
              <w:rPr>
                <w:sz w:val="12"/>
                <w:szCs w:val="12"/>
                <w:color w:val="auto"/>
              </w:rPr>
            </w:pPr>
          </w:p>
        </w:tc>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Capacity</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Capacity</w:t>
            </w:r>
          </w:p>
        </w:tc>
        <w:tc>
          <w:tcPr>
            <w:tcW w:w="0" w:type="dxa"/>
            <w:vAlign w:val="bottom"/>
          </w:tcPr>
          <w:p>
            <w:pPr>
              <w:spacing w:after="0"/>
              <w:rPr>
                <w:sz w:val="1"/>
                <w:szCs w:val="1"/>
                <w:color w:val="auto"/>
              </w:rPr>
            </w:pPr>
          </w:p>
        </w:tc>
      </w:tr>
      <w:tr>
        <w:trPr>
          <w:trHeight w:val="192"/>
        </w:trPr>
        <w:tc>
          <w:tcPr>
            <w:tcW w:w="6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(Bbls/d)</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(Bbls/d)</w:t>
            </w:r>
          </w:p>
        </w:tc>
        <w:tc>
          <w:tcPr>
            <w:tcW w:w="0" w:type="dxa"/>
            <w:vAlign w:val="bottom"/>
          </w:tcPr>
          <w:p>
            <w:pPr>
              <w:spacing w:after="0"/>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Crude Oil Rail Facilities</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314,000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504"/>
        </w:trPr>
        <w:tc>
          <w:tcPr>
            <w:tcW w:w="6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Ownership Interest</w:t>
            </w:r>
          </w:p>
        </w:tc>
        <w:tc>
          <w:tcPr>
            <w:tcW w:w="120" w:type="dxa"/>
            <w:vAlign w:val="bottom"/>
            <w:gridSpan w:val="2"/>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92"/>
        </w:trPr>
        <w:tc>
          <w:tcPr>
            <w:tcW w:w="60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Rack Spots</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Storage Spots</w:t>
            </w:r>
          </w:p>
        </w:tc>
        <w:tc>
          <w:tcPr>
            <w:tcW w:w="0" w:type="dxa"/>
            <w:vAlign w:val="bottom"/>
          </w:tcPr>
          <w:p>
            <w:pPr>
              <w:spacing w:after="0"/>
              <w:rPr>
                <w:sz w:val="1"/>
                <w:szCs w:val="1"/>
                <w:color w:val="auto"/>
              </w:rPr>
            </w:pPr>
          </w:p>
        </w:tc>
      </w:tr>
      <w:tr>
        <w:trPr>
          <w:trHeight w:val="270"/>
        </w:trPr>
        <w:tc>
          <w:tcPr>
            <w:tcW w:w="61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i w:val="1"/>
                <w:iCs w:val="1"/>
                <w:color w:val="auto"/>
              </w:rPr>
              <w:t xml:space="preserve">NGL Rail Facilities </w:t>
            </w:r>
            <w:r>
              <w:rPr>
                <w:rFonts w:ascii="Arial" w:cs="Arial" w:eastAsia="Arial" w:hAnsi="Arial"/>
                <w:sz w:val="25"/>
                <w:szCs w:val="25"/>
                <w:color w:val="auto"/>
                <w:vertAlign w:val="superscript"/>
              </w:rPr>
              <w:t>(4)</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50-100%</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Amount includes approximately 2 million barrels of storage capacity associated with our crude oil rail terminal operations.</w:t>
      </w:r>
    </w:p>
    <w:p>
      <w:pPr>
        <w:spacing w:after="0" w:line="98" w:lineRule="exact"/>
        <w:rPr>
          <w:rFonts w:ascii="Arial" w:cs="Arial" w:eastAsia="Arial" w:hAnsi="Arial"/>
          <w:sz w:val="25"/>
          <w:szCs w:val="25"/>
          <w:color w:val="auto"/>
          <w:vertAlign w:val="superscript"/>
        </w:rPr>
      </w:pPr>
    </w:p>
    <w:p>
      <w:pPr>
        <w:ind w:left="660" w:hanging="652"/>
        <w:spacing w:after="0" w:line="196" w:lineRule="auto"/>
        <w:tabs>
          <w:tab w:leader="none" w:pos="660"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color w:val="auto"/>
        </w:rPr>
        <w:t>While natural gas processing volumes and capacity amounts are presented, they currently are not a significant driver of our segment results.</w:t>
      </w:r>
    </w:p>
    <w:p>
      <w:pPr>
        <w:spacing w:after="0" w:line="98" w:lineRule="exact"/>
        <w:rPr>
          <w:rFonts w:ascii="Arial" w:cs="Arial" w:eastAsia="Arial" w:hAnsi="Arial"/>
          <w:sz w:val="24"/>
          <w:szCs w:val="24"/>
          <w:color w:val="auto"/>
          <w:vertAlign w:val="superscript"/>
        </w:rPr>
      </w:pPr>
    </w:p>
    <w:p>
      <w:pPr>
        <w:ind w:left="660" w:hanging="652"/>
        <w:spacing w:after="0" w:line="188" w:lineRule="auto"/>
        <w:tabs>
          <w:tab w:leader="none" w:pos="66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Represents average volumes net to our share for the entire year.</w:t>
      </w:r>
    </w:p>
    <w:p>
      <w:pPr>
        <w:spacing w:after="0" w:line="98" w:lineRule="exact"/>
        <w:rPr>
          <w:rFonts w:ascii="Arial" w:cs="Arial" w:eastAsia="Arial" w:hAnsi="Arial"/>
          <w:sz w:val="25"/>
          <w:szCs w:val="25"/>
          <w:color w:val="auto"/>
          <w:vertAlign w:val="superscript"/>
        </w:rPr>
      </w:pPr>
    </w:p>
    <w:p>
      <w:pPr>
        <w:ind w:left="660" w:right="400" w:hanging="652"/>
        <w:spacing w:after="0" w:line="214" w:lineRule="auto"/>
        <w:tabs>
          <w:tab w:leader="none" w:pos="66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Our NGL rail terminals are predominately utilized for internal purposes specifically for our supply and logistics activities. See our “Supply and Logistics Segment” discussion following this section for further discussion regarding the use of our rail terminals.</w:t>
      </w:r>
    </w:p>
    <w:p>
      <w:pPr>
        <w:spacing w:after="0" w:line="202"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discussion contains a detailed description of our more significant Facilities segment assets.</w:t>
      </w:r>
    </w:p>
    <w:p>
      <w:pPr>
        <w:spacing w:after="0" w:line="221"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color w:val="auto"/>
        </w:rPr>
        <w:t>Crude Oil Facilities</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i w:val="1"/>
          <w:iCs w:val="1"/>
          <w:color w:val="auto"/>
        </w:rPr>
        <w:t xml:space="preserve">Cushing Terminal. </w:t>
      </w:r>
      <w:r>
        <w:rPr>
          <w:rFonts w:ascii="Arial" w:cs="Arial" w:eastAsia="Arial" w:hAnsi="Arial"/>
          <w:sz w:val="16"/>
          <w:szCs w:val="16"/>
          <w:color w:val="auto"/>
        </w:rPr>
        <w:t>We are the largest provider of crude oil terminalling services in Cushing, Oklahoma, which is one of the largest physical trading</w:t>
      </w:r>
      <w:r>
        <w:rPr>
          <w:rFonts w:ascii="Arial" w:cs="Arial" w:eastAsia="Arial" w:hAnsi="Arial"/>
          <w:sz w:val="16"/>
          <w:szCs w:val="16"/>
          <w:i w:val="1"/>
          <w:iCs w:val="1"/>
          <w:color w:val="auto"/>
        </w:rPr>
        <w:t xml:space="preserve"> </w:t>
      </w:r>
      <w:r>
        <w:rPr>
          <w:rFonts w:ascii="Arial" w:cs="Arial" w:eastAsia="Arial" w:hAnsi="Arial"/>
          <w:sz w:val="16"/>
          <w:szCs w:val="16"/>
          <w:color w:val="auto"/>
        </w:rPr>
        <w:t>hubs in the United States and is the delivery point for crude oil futures contracts traded on the NYMEX. Our Cushing Terminal has been designated by the NYMEX as an approved delivery location for crude oil delivered under the NYMEX light sweet crude oil futures contract. As the NYMEX delivery point and a cash market hub, the Cushing Interchange serves as a source of refinery feedstock for Midwest and certain Gulf Coast refiners.</w:t>
      </w:r>
    </w:p>
    <w:p>
      <w:pPr>
        <w:spacing w:after="0" w:line="154"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Our Cushing Terminal is designed to serve the operational needs of refiners, with an emphasis on ensuring operational reliability and flexibility. Accordingly, we have access to all major inbound and outbound pipelines in Cushing (23 direct pipeline connections) and our facility is designed to handle multiple grades of crude oil while minimizing the interface and enabling deliveries to connecting carriers at their maximum rate. Since 1999, we have completed multiple expansions that have increased the capacity of our Cushing Terminal.</w:t>
      </w:r>
    </w:p>
    <w:p>
      <w:pPr>
        <w:spacing w:after="0" w:line="187" w:lineRule="exact"/>
        <w:rPr>
          <w:sz w:val="20"/>
          <w:szCs w:val="20"/>
          <w:color w:val="auto"/>
        </w:rPr>
      </w:pPr>
    </w:p>
    <w:p>
      <w:pPr>
        <w:jc w:val="both"/>
        <w:ind w:right="60" w:firstLine="648"/>
        <w:spacing w:after="0" w:line="279" w:lineRule="auto"/>
        <w:rPr>
          <w:sz w:val="20"/>
          <w:szCs w:val="20"/>
          <w:color w:val="auto"/>
        </w:rPr>
      </w:pPr>
      <w:r>
        <w:rPr>
          <w:rFonts w:ascii="Arial" w:cs="Arial" w:eastAsia="Arial" w:hAnsi="Arial"/>
          <w:sz w:val="17"/>
          <w:szCs w:val="17"/>
          <w:i w:val="1"/>
          <w:iCs w:val="1"/>
          <w:color w:val="auto"/>
        </w:rPr>
        <w:t xml:space="preserve">St. James Terminal. </w:t>
      </w:r>
      <w:r>
        <w:rPr>
          <w:rFonts w:ascii="Arial" w:cs="Arial" w:eastAsia="Arial" w:hAnsi="Arial"/>
          <w:sz w:val="17"/>
          <w:szCs w:val="17"/>
          <w:color w:val="auto"/>
        </w:rPr>
        <w:t>The crude oil interchange at St. James, Louisiana is one of the three most liquid crude oil interchanges in the United States. Our</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is connected to major pipelines and other terminals and includes a manifold and header system that allows for receipts and deliveries with connecting pipelines at their maximum operating capacity. In addition, this facility includes a marine dock that is able to receive from, and deliver to, tankers and barges and is also connected to our rail unloading facility. See “Rail Facilities” below for further discussion.</w:t>
      </w:r>
    </w:p>
    <w:p>
      <w:pPr>
        <w:spacing w:after="0" w:line="171"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i w:val="1"/>
          <w:iCs w:val="1"/>
          <w:color w:val="auto"/>
        </w:rPr>
        <w:t xml:space="preserve">L.A. Basin. </w:t>
      </w:r>
      <w:r>
        <w:rPr>
          <w:rFonts w:ascii="Arial" w:cs="Arial" w:eastAsia="Arial" w:hAnsi="Arial"/>
          <w:sz w:val="16"/>
          <w:szCs w:val="16"/>
          <w:color w:val="auto"/>
        </w:rPr>
        <w:t>We own four crude oil and black oil storage facilities in the Los Angeles area with storage capacity in commercial service and a</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pipeline system of approximately 50 miles of pipeline in the Los Angeles Basin. We use the Los Angeles area storage and distribution system to service the storage and distribution needs of refining, pipeline and marine terminal facilities in the Los Angeles Basin. Our Los Angeles area system’s pipeline distribution assets connect our storage assets with major refineries and third-party pipelines and marine terminals in the Los Angeles Basin.</w:t>
      </w:r>
    </w:p>
    <w:p>
      <w:pPr>
        <w:spacing w:after="0" w:line="154"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i w:val="1"/>
          <w:iCs w:val="1"/>
          <w:color w:val="auto"/>
        </w:rPr>
        <w:t xml:space="preserve">Patoka Terminal. </w:t>
      </w:r>
      <w:r>
        <w:rPr>
          <w:rFonts w:ascii="Arial" w:cs="Arial" w:eastAsia="Arial" w:hAnsi="Arial"/>
          <w:sz w:val="18"/>
          <w:szCs w:val="18"/>
          <w:color w:val="auto"/>
        </w:rPr>
        <w:t>Our Patoka Terminal includes crude oil storage and an associated manifold and header system at the Patoka Interchange located in</w:t>
      </w:r>
      <w:r>
        <w:rPr>
          <w:rFonts w:ascii="Arial" w:cs="Arial" w:eastAsia="Arial" w:hAnsi="Arial"/>
          <w:sz w:val="18"/>
          <w:szCs w:val="18"/>
          <w:i w:val="1"/>
          <w:iCs w:val="1"/>
          <w:color w:val="auto"/>
        </w:rPr>
        <w:t xml:space="preserve"> </w:t>
      </w:r>
      <w:r>
        <w:rPr>
          <w:rFonts w:ascii="Arial" w:cs="Arial" w:eastAsia="Arial" w:hAnsi="Arial"/>
          <w:sz w:val="18"/>
          <w:szCs w:val="18"/>
          <w:color w:val="auto"/>
        </w:rPr>
        <w:t>Southern Illinois. Our terminal has access to all major pipelines and terminals at the Patoka Interchange, a growing regional hub serving both northbound and southbound movements.</w:t>
      </w:r>
    </w:p>
    <w:p>
      <w:pPr>
        <w:spacing w:after="0" w:line="181"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i w:val="1"/>
          <w:iCs w:val="1"/>
          <w:color w:val="auto"/>
        </w:rPr>
        <w:t xml:space="preserve">Mobile and Ten Mile Terminal. </w:t>
      </w:r>
      <w:r>
        <w:rPr>
          <w:rFonts w:ascii="Arial" w:cs="Arial" w:eastAsia="Arial" w:hAnsi="Arial"/>
          <w:sz w:val="17"/>
          <w:szCs w:val="17"/>
          <w:color w:val="auto"/>
        </w:rPr>
        <w:t>We have a marine terminal in Mobile, Alabama (the “Mobile Terminal”) and a terminal at our nearby Ten Mile</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The facilities are pipeline connected. The Mobile Terminal is equipped with a ship/tanker dock, barge dock, truck unloading facilities and various third-party connections for crude oil movements to area refiners and our Ten Mile Facility is connected to our Pascagoula Pipeline.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i w:val="1"/>
          <w:iCs w:val="1"/>
          <w:color w:val="auto"/>
        </w:rPr>
        <w:t xml:space="preserve">Corpus Christi (Eagle Ford) Terminal. </w:t>
      </w:r>
      <w:r>
        <w:rPr>
          <w:rFonts w:ascii="Arial" w:cs="Arial" w:eastAsia="Arial" w:hAnsi="Arial"/>
          <w:sz w:val="18"/>
          <w:szCs w:val="18"/>
          <w:color w:val="auto"/>
        </w:rPr>
        <w:t>We own a 50% interest in Eagle Ford Terminals Corpus Christi LLC, a joint venture with a subsidiary of</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Eagle Ford Terminals is currently developing a terminal in Corpus Christi, Texas that, when completed, will be capable of loading ocean going vessels with either crude oil or condensate. Initial storage capacity of the terminal will be approximately 1 million barrels. The facility will have access to production from both the Eagle Ford and the Permian Basin through the Eagle Ford joint venture pipeline and is expected to be placed into service in the second quarter of 2019.</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Storage Facilities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Fort Saskatchewan. </w:t>
      </w:r>
      <w:r>
        <w:rPr>
          <w:rFonts w:ascii="Arial" w:cs="Arial" w:eastAsia="Arial" w:hAnsi="Arial"/>
          <w:sz w:val="18"/>
          <w:szCs w:val="18"/>
          <w:color w:val="auto"/>
        </w:rPr>
        <w:t>The Fort Saskatchewan facility is located near Edmonton, Alberta in one of the key North American NGL hubs. The facility is a</w:t>
      </w:r>
      <w:r>
        <w:rPr>
          <w:rFonts w:ascii="Arial" w:cs="Arial" w:eastAsia="Arial" w:hAnsi="Arial"/>
          <w:sz w:val="18"/>
          <w:szCs w:val="18"/>
          <w:i w:val="1"/>
          <w:iCs w:val="1"/>
          <w:color w:val="auto"/>
        </w:rPr>
        <w:t xml:space="preserve"> </w:t>
      </w:r>
      <w:r>
        <w:rPr>
          <w:rFonts w:ascii="Arial" w:cs="Arial" w:eastAsia="Arial" w:hAnsi="Arial"/>
          <w:sz w:val="18"/>
          <w:szCs w:val="18"/>
          <w:color w:val="auto"/>
        </w:rPr>
        <w:t>receipt, storage, fractionation and delivery facility for NGL and is connected to other major NGL plants and pipeline systems in the area. The facility’s primary assets include 27 storage caverns. The facility includes assets operated by us and assets operated by a third party. Our ownership in the various facility assets ranges from approximately 21% to 100%. See the section entitled “—NGL Fractionation and Isomerization Facilities” below for additional discussion of this facility.</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Sarnia Area. </w:t>
      </w:r>
      <w:r>
        <w:rPr>
          <w:rFonts w:ascii="Arial" w:cs="Arial" w:eastAsia="Arial" w:hAnsi="Arial"/>
          <w:sz w:val="18"/>
          <w:szCs w:val="18"/>
          <w:color w:val="auto"/>
        </w:rPr>
        <w:t>Our Sarnia Area facilities in Southwestern Ontario consist of (i) our Sarnia facility, (ii) our Windsor storage terminal and (iii) our St.</w:t>
      </w:r>
      <w:r>
        <w:rPr>
          <w:rFonts w:ascii="Arial" w:cs="Arial" w:eastAsia="Arial" w:hAnsi="Arial"/>
          <w:sz w:val="18"/>
          <w:szCs w:val="18"/>
          <w:i w:val="1"/>
          <w:iCs w:val="1"/>
          <w:color w:val="auto"/>
        </w:rPr>
        <w:t xml:space="preserve"> </w:t>
      </w:r>
      <w:r>
        <w:rPr>
          <w:rFonts w:ascii="Arial" w:cs="Arial" w:eastAsia="Arial" w:hAnsi="Arial"/>
          <w:sz w:val="18"/>
          <w:szCs w:val="18"/>
          <w:color w:val="auto"/>
        </w:rPr>
        <w:t>Clair terminal. The Sarnia facility is a large NGL fractionation and storage facility located in the Sarnia Chemical Valley that contains multiple rail and truck loading spots. The Sarnia Area facilities are served by a network of 15 pipelines connected to various refineries, chemical plants and other pipeline systems in the area. This pipeline network also delivers product between our Sarnia facility and our Windsor storage terminal in addition to the delivery capability from our Sarnia facility to our St. Clair terminal.</w:t>
      </w:r>
    </w:p>
    <w:p>
      <w:pPr>
        <w:spacing w:after="0" w:line="188" w:lineRule="exact"/>
        <w:rPr>
          <w:sz w:val="20"/>
          <w:szCs w:val="20"/>
          <w:color w:val="auto"/>
        </w:rPr>
      </w:pPr>
    </w:p>
    <w:p>
      <w:pPr>
        <w:ind w:right="940" w:firstLine="648"/>
        <w:spacing w:after="0" w:line="342" w:lineRule="auto"/>
        <w:rPr>
          <w:sz w:val="20"/>
          <w:szCs w:val="20"/>
          <w:color w:val="auto"/>
        </w:rPr>
      </w:pPr>
      <w:r>
        <w:rPr>
          <w:rFonts w:ascii="Arial" w:cs="Arial" w:eastAsia="Arial" w:hAnsi="Arial"/>
          <w:sz w:val="16"/>
          <w:szCs w:val="16"/>
          <w:i w:val="1"/>
          <w:iCs w:val="1"/>
          <w:color w:val="auto"/>
        </w:rPr>
        <w:t xml:space="preserve">Empress Area. </w:t>
      </w:r>
      <w:r>
        <w:rPr>
          <w:rFonts w:ascii="Arial" w:cs="Arial" w:eastAsia="Arial" w:hAnsi="Arial"/>
          <w:sz w:val="16"/>
          <w:szCs w:val="16"/>
          <w:color w:val="auto"/>
        </w:rPr>
        <w:t>We own a network of seven NGL terminals (Fort Whyte, Moose Jaw, Rapid City, Stewart Valley, Dewdney, Empress and</w:t>
      </w:r>
      <w:r>
        <w:rPr>
          <w:rFonts w:ascii="Arial" w:cs="Arial" w:eastAsia="Arial" w:hAnsi="Arial"/>
          <w:sz w:val="16"/>
          <w:szCs w:val="16"/>
          <w:i w:val="1"/>
          <w:iCs w:val="1"/>
          <w:color w:val="auto"/>
        </w:rPr>
        <w:t xml:space="preserve"> </w:t>
      </w:r>
      <w:r>
        <w:rPr>
          <w:rFonts w:ascii="Arial" w:cs="Arial" w:eastAsia="Arial" w:hAnsi="Arial"/>
          <w:sz w:val="16"/>
          <w:szCs w:val="16"/>
          <w:color w:val="auto"/>
        </w:rPr>
        <w:t>Richardson). The facilities are complemented by various other NGL fractionation and extraction assets as described further below.</w:t>
      </w:r>
    </w:p>
    <w:p>
      <w:pPr>
        <w:spacing w:after="0" w:line="124"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i w:val="1"/>
          <w:iCs w:val="1"/>
          <w:color w:val="auto"/>
        </w:rPr>
        <w:t xml:space="preserve">Bumstead. </w:t>
      </w:r>
      <w:r>
        <w:rPr>
          <w:rFonts w:ascii="Arial" w:cs="Arial" w:eastAsia="Arial" w:hAnsi="Arial"/>
          <w:sz w:val="18"/>
          <w:szCs w:val="18"/>
          <w:color w:val="auto"/>
        </w:rPr>
        <w:t>Our Bumstead facility is located at a major rail transit point near Phoenix, Arizona. The facility’s primary assets include salt-dome</w:t>
      </w:r>
      <w:r>
        <w:rPr>
          <w:rFonts w:ascii="Arial" w:cs="Arial" w:eastAsia="Arial" w:hAnsi="Arial"/>
          <w:sz w:val="18"/>
          <w:szCs w:val="18"/>
          <w:i w:val="1"/>
          <w:iCs w:val="1"/>
          <w:color w:val="auto"/>
        </w:rPr>
        <w:t xml:space="preserve"> </w:t>
      </w:r>
      <w:r>
        <w:rPr>
          <w:rFonts w:ascii="Arial" w:cs="Arial" w:eastAsia="Arial" w:hAnsi="Arial"/>
          <w:sz w:val="18"/>
          <w:szCs w:val="18"/>
          <w:color w:val="auto"/>
        </w:rPr>
        <w:t>storage caverns, a rail track and truck racks.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Natural Gas Storage Facilities</w:t>
      </w:r>
    </w:p>
    <w:p>
      <w:pPr>
        <w:spacing w:after="0" w:line="229"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We own two U.S. Federal Energy Regulatory Commission (“FERC”) regulated natural gas storage facilities located on the Gulf Coast that are certificated for 112 Bcf of working gas capacity, and as of December 31, 2018, we had an aggregate commercial working gas capacity of approximately 63 Bcf in service. Our facilities have aggregate certificated peak daily injection and withdrawal rates of 3.6 Bcf and 5.6 Bcf, respectively.</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two natural gas storage facilities are strategically located within the Gulf Coast market and have a diverse group of customers, including liquefied natural gas (“LNG”) exporters, utilities, pipelines, producers, power generators and marketers whose storage needs vary from traditional seasonal storage services to hourly balancing. We are located near several major market hubs and our facilities have 14 physical interconnects with third-party interstate pipelines, intrastate pipelines and direct connect customers, serving markets in the Gulf Coast, Mid-Atlantic, Northeast, and Southeast regions of the United States.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Natural Gas Processing Facilities</w:t>
      </w:r>
    </w:p>
    <w:p>
      <w:pPr>
        <w:spacing w:after="0" w:line="229"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We own and/or operate four straddle plants located in Western Canada. In addition to the processing capacity at our straddle plants, we have a long-term liquids supply contract relating to a third-party owned straddle plant with gross processing capacity of approximately 2.5 Bcf per day. We also own and operate three natural gas processing plants located in Louisiana and Alabama.</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Fractionation and Isomerization Facilities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i w:val="1"/>
          <w:iCs w:val="1"/>
          <w:color w:val="auto"/>
        </w:rPr>
        <w:t xml:space="preserve">Empress. </w:t>
      </w:r>
      <w:r>
        <w:rPr>
          <w:rFonts w:ascii="Arial" w:cs="Arial" w:eastAsia="Arial" w:hAnsi="Arial"/>
          <w:sz w:val="18"/>
          <w:szCs w:val="18"/>
          <w:color w:val="auto"/>
        </w:rPr>
        <w:t>We own the Empress fractionation facility, which is connected to and receives liquids from our Empress straddle plant. The facility is</w:t>
      </w:r>
      <w:r>
        <w:rPr>
          <w:rFonts w:ascii="Arial" w:cs="Arial" w:eastAsia="Arial" w:hAnsi="Arial"/>
          <w:sz w:val="18"/>
          <w:szCs w:val="18"/>
          <w:i w:val="1"/>
          <w:iCs w:val="1"/>
          <w:color w:val="auto"/>
        </w:rPr>
        <w:t xml:space="preserve"> </w:t>
      </w:r>
      <w:r>
        <w:rPr>
          <w:rFonts w:ascii="Arial" w:cs="Arial" w:eastAsia="Arial" w:hAnsi="Arial"/>
          <w:sz w:val="18"/>
          <w:szCs w:val="18"/>
          <w:color w:val="auto"/>
        </w:rPr>
        <w:t>capable of producing spec NGL products and connects to our PPTC Pipeline network.</w:t>
      </w:r>
    </w:p>
    <w:p>
      <w:pPr>
        <w:spacing w:after="0" w:line="170"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i w:val="1"/>
          <w:iCs w:val="1"/>
          <w:color w:val="auto"/>
        </w:rPr>
        <w:t xml:space="preserve">Fort Saskatchewan. </w:t>
      </w:r>
      <w:r>
        <w:rPr>
          <w:rFonts w:ascii="Arial" w:cs="Arial" w:eastAsia="Arial" w:hAnsi="Arial"/>
          <w:sz w:val="16"/>
          <w:szCs w:val="16"/>
          <w:color w:val="auto"/>
        </w:rPr>
        <w:t>Our recently expanded Fort Saskatchewan fractionation facility has a design capacity of 85,000 barrels per day and produces</w:t>
      </w:r>
      <w:r>
        <w:rPr>
          <w:rFonts w:ascii="Arial" w:cs="Arial" w:eastAsia="Arial" w:hAnsi="Arial"/>
          <w:sz w:val="16"/>
          <w:szCs w:val="16"/>
          <w:i w:val="1"/>
          <w:iCs w:val="1"/>
          <w:color w:val="auto"/>
        </w:rPr>
        <w:t xml:space="preserve"> </w:t>
      </w:r>
      <w:r>
        <w:rPr>
          <w:rFonts w:ascii="Arial" w:cs="Arial" w:eastAsia="Arial" w:hAnsi="Arial"/>
          <w:sz w:val="16"/>
          <w:szCs w:val="16"/>
          <w:color w:val="auto"/>
        </w:rPr>
        <w:t>spec propane, butane, condensate and a propane and butane mix, which is sent to our Sarnia facility for further fractionation. Through our 21% ownership in the Keyera Fort Saskatchewan fractionation plant, we have additional fractionation capacity, net to our share, of approximately 17,000 barrels per day.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i w:val="1"/>
          <w:iCs w:val="1"/>
          <w:color w:val="auto"/>
        </w:rPr>
        <w:t xml:space="preserve">Sarnia. </w:t>
      </w:r>
      <w:r>
        <w:rPr>
          <w:rFonts w:ascii="Arial" w:cs="Arial" w:eastAsia="Arial" w:hAnsi="Arial"/>
          <w:sz w:val="18"/>
          <w:szCs w:val="18"/>
          <w:color w:val="auto"/>
        </w:rPr>
        <w:t>The Sarnia Fractionator is the largest fractionation plant in Eastern Canada and receives NGL feedstock from the Enbridge Pipeline and</w:t>
      </w:r>
      <w:r>
        <w:rPr>
          <w:rFonts w:ascii="Arial" w:cs="Arial" w:eastAsia="Arial" w:hAnsi="Arial"/>
          <w:sz w:val="18"/>
          <w:szCs w:val="18"/>
          <w:i w:val="1"/>
          <w:iCs w:val="1"/>
          <w:color w:val="auto"/>
        </w:rPr>
        <w:t xml:space="preserve"> </w:t>
      </w:r>
      <w:r>
        <w:rPr>
          <w:rFonts w:ascii="Arial" w:cs="Arial" w:eastAsia="Arial" w:hAnsi="Arial"/>
          <w:sz w:val="18"/>
          <w:szCs w:val="18"/>
          <w:color w:val="auto"/>
        </w:rPr>
        <w:t>from refineries, gas plants and chemical plants in the area. The fractionation unit produces specification propane, isobutane, normal butane and natural gasoline. Our ownership in the various processing units at the Sarnia Fractionator ranges from 62% to 84%.</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Shafter. </w:t>
      </w:r>
      <w:r>
        <w:rPr>
          <w:rFonts w:ascii="Arial" w:cs="Arial" w:eastAsia="Arial" w:hAnsi="Arial"/>
          <w:sz w:val="18"/>
          <w:szCs w:val="18"/>
          <w:color w:val="auto"/>
        </w:rPr>
        <w:t>Our Shafter facility located near Bakersfield, California provides isomerization and fractionation services to producers and customers. The</w:t>
      </w:r>
      <w:r>
        <w:rPr>
          <w:rFonts w:ascii="Arial" w:cs="Arial" w:eastAsia="Arial" w:hAnsi="Arial"/>
          <w:sz w:val="18"/>
          <w:szCs w:val="18"/>
          <w:i w:val="1"/>
          <w:iCs w:val="1"/>
          <w:color w:val="auto"/>
        </w:rPr>
        <w:t xml:space="preserve"> </w:t>
      </w:r>
      <w:r>
        <w:rPr>
          <w:rFonts w:ascii="Arial" w:cs="Arial" w:eastAsia="Arial" w:hAnsi="Arial"/>
          <w:sz w:val="18"/>
          <w:szCs w:val="18"/>
          <w:color w:val="auto"/>
        </w:rPr>
        <w:t>primary assets consist of approximately 200,000 barrels of NGL storage and a processing facility with butane isomerization capacity of approximately 15,000 barrels per day including NGL fractionation capacity of approximately 12,000 barrels per day.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Condensate Processing Facility</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Our Gardendale condensate processing facility located in La Salle County, Texas is designed to extract natural gas liquids from condensate. The facility is adjacent to our Gardendale terminal and rail facility and is connected to a third-party pipeline that delivers NGL to Mont Belvieu, Texas. The facility has a total processing capacity of 120,000 barrels per day and usable storage capacity of 160,000 barrels. Throughput at the Gardendale processing facility is supplied by long-term commitments from producers.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Rail Facilities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Rail Loading Facilities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own crude oil and condensate rail loading facilities located at or near Carr, Colorado; Tampa, Colorado; Gardendale, Texas; McCamey, Texas; Manitou, North Dakota; and Kerrobert, Saskatchewan.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Rail Unloading Facilities</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We own three crude oil rail unloading facilities. Our St. James, Louisiana facility receives unit trains and has a capacity of 140,000 barrels per day. Our Yorktown, Virginia rail facility can receive unit trains and has an unload capacity of approximately 140,000 barrels per day. Our Bakersfield, California rail facility receives unit trains and has permitted capacity to unload 70,000 barrels per day.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NGL Rail Facilities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own 26 operational NGL rail facilities (including our Fort Saskatchewan rail facility, as well as facilities that can provide both crude oil and NGL service) strategically located near NGL storage, pipelines, gas production or propane distribution centers throughout the United States and Canada. We have the ability to switch our own railcars at eight of our facilities. We are currently in the process of commissioning rail offload capability at Tampa, Florida, which will add 14 unloading spots and room to store 14 cars, with total capacity of 28 cars on site at a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and Logistics Segment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Supply and Logistics segment operations generally consist of the following merchant-related activities:</w:t>
      </w:r>
    </w:p>
    <w:p>
      <w:pPr>
        <w:spacing w:after="0" w:line="225"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purchase of U.S. and Canadian crude oil at the wellhead, and the bulk purchase of crude oil at pipeline, terminal and rail facilities;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storage of inventory during contango market conditions and the seasonal storage of NGL and natural gas;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purchase of NGL from producers, refiners, processors and other marketers;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extraction of NGL from gas processed at our facilities;</w:t>
      </w:r>
    </w:p>
    <w:p>
      <w:pPr>
        <w:spacing w:after="0" w:line="117"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resale or exchange of crude oil and NGL at various points along the distribution chain to refiners, operators of petrochemical facilities, exporters or other resellers; and</w:t>
      </w:r>
    </w:p>
    <w:p>
      <w:pPr>
        <w:spacing w:after="0" w:line="62"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transportation of crude oil and NGL on trucks, barges, railcars, pipelines and vessels from various delivery points, market hub locations or directly to end users such as refineries, processors and fractionation facilities.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25"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Our purchase and resale of crude oil and NGL results in us generating a margin, which is reduced by the transportation, facilities and other logistical costs associated with delivering the crude oil or NGL to market as well as related operating and general and administrative expenses. A portion of our results is impacted by overall market structure and the degree of market volatility, as well as variable operating expenses. Our activities are designed to limit downside exposure, while generating upside potential associated with opportunities inherent in volatile market conditions (including opportunities to benefit from fluctuating differentials and market structure). Opportunities to realize upside potential through our Supply and Logistics operations occur from time to time and are typically for short periods of time when there are local or regional infrastructure constraints. See “—Impact of Commodity Price Volatility and Dynamic Market Conditions on Our Business Model” below for further discussion.</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addition to hedged working inventories associated with its merchant activities, as of December 31, 2018, our Supply and Logistics segment owned significant volumes of crude oil and NGL classified as long-term assets and linefill or minimum inventory requirements and employed a variety of owned or leased physical assets throughout the United States and Canada, including approximately:</w:t>
      </w:r>
    </w:p>
    <w:p>
      <w:pPr>
        <w:spacing w:after="0" w:line="181"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15 million barrels of crude oil and NGL linefill in pipelines owned by us;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4 million barrels of crude oil and NGL utilized as linefill in pipelines owned by third parties or otherwise required as long-term inventory;</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750 trucks and 900 trailers;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9,100 crude oil and NGL railcars.</w:t>
      </w:r>
    </w:p>
    <w:p>
      <w:pPr>
        <w:spacing w:after="0" w:line="225"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In connection with its operations, our Supply and Logistics segment secures transportation and facilities services from our other two segments as well as third-party service providers under month-to-month and multi-year arrangements. Intersegment fees are based on posted tariff rates, rates similar to those charged to third parties or rates that we believe approximate market rates.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average daily volume of our supply and logistics activities for the year ended December 31, 2018:</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1600" w:type="dxa"/>
            <w:vAlign w:val="bottom"/>
          </w:tcPr>
          <w:p>
            <w:pPr>
              <w:jc w:val="right"/>
              <w:ind w:right="457"/>
              <w:spacing w:after="0"/>
              <w:rPr>
                <w:sz w:val="20"/>
                <w:szCs w:val="20"/>
                <w:color w:val="auto"/>
              </w:rPr>
            </w:pPr>
            <w:r>
              <w:rPr>
                <w:rFonts w:ascii="Arial" w:cs="Arial" w:eastAsia="Arial" w:hAnsi="Arial"/>
                <w:sz w:val="14"/>
                <w:szCs w:val="14"/>
                <w:b w:val="1"/>
                <w:bCs w:val="1"/>
                <w:color w:val="auto"/>
              </w:rPr>
              <w:t>Volumes</w:t>
            </w:r>
          </w:p>
        </w:tc>
      </w:tr>
      <w:tr>
        <w:trPr>
          <w:trHeight w:val="192"/>
        </w:trPr>
        <w:tc>
          <w:tcPr>
            <w:tcW w:w="98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(MBbls/d)</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 lease gathering purchases</w:t>
            </w:r>
          </w:p>
        </w:tc>
        <w:tc>
          <w:tcPr>
            <w:tcW w:w="1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1,054</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NGL sales</w:t>
            </w:r>
          </w:p>
        </w:tc>
        <w:tc>
          <w:tcPr>
            <w:tcW w:w="1600" w:type="dxa"/>
            <w:vAlign w:val="bottom"/>
          </w:tcPr>
          <w:p>
            <w:pPr>
              <w:jc w:val="right"/>
              <w:ind w:right="17"/>
              <w:spacing w:after="0"/>
              <w:rPr>
                <w:sz w:val="20"/>
                <w:szCs w:val="20"/>
                <w:color w:val="auto"/>
              </w:rPr>
            </w:pPr>
            <w:r>
              <w:rPr>
                <w:rFonts w:ascii="Arial" w:cs="Arial" w:eastAsia="Arial" w:hAnsi="Arial"/>
                <w:sz w:val="18"/>
                <w:szCs w:val="18"/>
                <w:color w:val="auto"/>
              </w:rPr>
              <w:t>255</w:t>
            </w:r>
          </w:p>
        </w:tc>
      </w:tr>
      <w:tr>
        <w:trPr>
          <w:trHeight w:val="27"/>
        </w:trPr>
        <w:tc>
          <w:tcPr>
            <w:tcW w:w="98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Supply and Logistics segment total volumes</w:t>
            </w:r>
          </w:p>
        </w:tc>
        <w:tc>
          <w:tcPr>
            <w:tcW w:w="16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1,309</w:t>
            </w:r>
          </w:p>
        </w:tc>
      </w:tr>
      <w:tr>
        <w:trPr>
          <w:trHeight w:val="20"/>
        </w:trPr>
        <w:tc>
          <w:tcPr>
            <w:tcW w:w="98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i w:val="1"/>
          <w:iCs w:val="1"/>
          <w:color w:val="auto"/>
        </w:rPr>
        <w:t xml:space="preserve">Crude Oil and NGL Purchases. </w:t>
      </w:r>
      <w:r>
        <w:rPr>
          <w:rFonts w:ascii="Arial" w:cs="Arial" w:eastAsia="Arial" w:hAnsi="Arial"/>
          <w:sz w:val="18"/>
          <w:szCs w:val="18"/>
          <w:color w:val="auto"/>
        </w:rPr>
        <w:t>We purchase crude oil and NGL from multiple producers under contracts and believe we have established long-term, broad-based relationships with the crude oil and NGL producers in our areas of operations.</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Our crude oil contracts generally range in term from thirty-day evergreen to five years, with the majority ranging from thirty days to one year and a limited number of contracts with remaining terms extending up to ten years. We utilize our truck fleet, railcars and pipelines as well as leased railcars, third-party pipelines, trucks and barges to transport crude oil to market. From time to time, we enter into various types of purchase and exchange transactions including fixed-price purchase contracts, collars, financial swaps and crude oil and NGL-related futures contracts as hedging devices.</w:t>
      </w:r>
    </w:p>
    <w:p>
      <w:pPr>
        <w:spacing w:after="0" w:line="15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purchase NGL from producers, refiners and other NGL marketing companies under contracts that typically have ranged from immediate delivery to one year in term. In the last few years, we have implemented an increasing number of contracts with longer terms to ensure capacity utilization and base-load expansion projects. We also acquire NGL from gas shippers by paying an extraction right to remove the liquids from the gas flowing through our straddle plants at Empress, Alberta. We utilize our trucking fleet and pipeline network, as well as leased railcars, third-party tank trucks and third-party pipelines to transport NGL.</w:t>
      </w:r>
    </w:p>
    <w:p>
      <w:pPr>
        <w:spacing w:after="0" w:line="188"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In addition to purchasing crude oil from producers, we purchase both domestic and foreign crude oil in bulk at major hub locations, rail and dock facilities. We also purchase NGL in bulk at major pipeline terminal points and storage facilities from major integrated oil companies, large independent producers or other NGL marketing companies or processors. Crude oil and NGL are purchased in bulk when we believe additional opportunities exist to realize margins further downstream in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crude oil or NGL distribution chain. The opportunities to earn additional margins vary over time with changing market conditions. Accordingly, the margins associated with our bulk purchases will fluctuate from period to period.</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Crude Oil and NGL Sales. </w:t>
      </w:r>
      <w:r>
        <w:rPr>
          <w:rFonts w:ascii="Arial" w:cs="Arial" w:eastAsia="Arial" w:hAnsi="Arial"/>
          <w:sz w:val="18"/>
          <w:szCs w:val="18"/>
          <w:color w:val="auto"/>
        </w:rPr>
        <w:t>The activities involved in the supply, logistics and distribution of crude oil and NGL are complex and require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detailed knowledge of crude oil and NGL sources and end markets, as well as a familiarity with a number of factors including individual refinery demand for specific grades of crude oil, area market price structures, location of customers, various modes and availability of transportation facilities to deliver crude oil and NGL to our customers.</w:t>
      </w:r>
    </w:p>
    <w:p>
      <w:pPr>
        <w:spacing w:after="0" w:line="18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sell our crude oil to major integrated oil companies, independent refiners, exporters and other resellers in various types of sale and exchange transactions. Our crude oil sales contracts generally range in term from thirty-day evergreen to five years, with the majority ranging from thirty days to one year. We sell NGL primarily to propane and refined product retailers, petrochemical companies and refiners, and limited volumes to other marketers. The majority of our NGL contracts generally span a term of one year. For contracts greater than one year, pricing mechanisms are typically put in place to ensure any significant cost escalations are accounted for, which may include provisions for annual price negotiations designed to ensure both the buyer and seller remain at market-based pricing. We establish a margin for the crude oil and NGL we purchase by entering into physical sales contracts with third parties, or by entering into a future delivery obligation with respect to futures contracts on the NYMEX, ICE or over-the-counter exchanges. Through these transactions, we seek to maintain a position that is substantially balanced between purchases and sales and future delivery obligations. From time to time, we enter into various types of sale and exchange transactions, including fixed-price delivery contracts, collars, financial swaps and crude oil and NGL-related futures contracts as hedging devices.</w:t>
      </w:r>
    </w:p>
    <w:p>
      <w:pPr>
        <w:spacing w:after="0" w:line="178"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i w:val="1"/>
          <w:iCs w:val="1"/>
          <w:color w:val="auto"/>
        </w:rPr>
        <w:t xml:space="preserve">Crude Oil and NGL Exchanges. </w:t>
      </w:r>
      <w:r>
        <w:rPr>
          <w:rFonts w:ascii="Arial" w:cs="Arial" w:eastAsia="Arial" w:hAnsi="Arial"/>
          <w:sz w:val="18"/>
          <w:szCs w:val="18"/>
          <w:color w:val="auto"/>
        </w:rPr>
        <w:t>We pursue exchange opportunities to enhance margins throughout the gathering and marketing process. When</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arise to increase our margin or to acquire a grade, type or volume of crude oil or NGL that more closely matches our physical delivery requirement, location or the preferences of our customers, we exchange physical crude oil or NGL, as appropriate, with third parties. These exchanges are effected through contracts called exchange or buy/sell agreements. Through an exchange agreement, we agree to buy crude oil or NGL that differs in terms of geographic location, grade of crude oil or type of NGL, or physical delivery schedule from crude oil or NGL we have available for sale. Generally, we enter into exchanges to acquire crude oil or NGL at locations that are closer to our end markets, thereby reducing transportation costs and increasing our margin. We also exchange our crude oil to be physically delivered at a later date, if the exchange is expected to result in a higher margin net of storage costs, and we enter into exchanges based on the grade of crude oil, which includes such factors as sulfur content and specific gravity, in order to meet the quality specifications of our physical delivery contracts. See Note 2 to our Consolidated Financial Statements for further discussion of our accounting for exchange and buy/sell agreements.</w:t>
      </w:r>
    </w:p>
    <w:p>
      <w:pPr>
        <w:spacing w:after="0" w:line="19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Credit. </w:t>
      </w:r>
      <w:r>
        <w:rPr>
          <w:rFonts w:ascii="Arial" w:cs="Arial" w:eastAsia="Arial" w:hAnsi="Arial"/>
          <w:sz w:val="18"/>
          <w:szCs w:val="18"/>
          <w:color w:val="auto"/>
        </w:rPr>
        <w:t>Our merchant activities involve the purchase of crude oil and NGL for resale and require significant extensions of credit by our suppliers. In</w:t>
      </w:r>
      <w:r>
        <w:rPr>
          <w:rFonts w:ascii="Arial" w:cs="Arial" w:eastAsia="Arial" w:hAnsi="Arial"/>
          <w:sz w:val="18"/>
          <w:szCs w:val="18"/>
          <w:i w:val="1"/>
          <w:iCs w:val="1"/>
          <w:color w:val="auto"/>
        </w:rPr>
        <w:t xml:space="preserve"> </w:t>
      </w:r>
      <w:r>
        <w:rPr>
          <w:rFonts w:ascii="Arial" w:cs="Arial" w:eastAsia="Arial" w:hAnsi="Arial"/>
          <w:sz w:val="18"/>
          <w:szCs w:val="18"/>
          <w:color w:val="auto"/>
        </w:rPr>
        <w:t>order to assure our ability to perform our obligations under the purchase agreements, various credit arrangements are negotiated with our suppliers. These arrangements include open lines of credit and, to a lesser extent, standby letters of credit issued under our hedged inventory facility or our senior unsecured revolving credit facility.</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When we sell crude oil and NGL, we must determine the amount, if any, of credit to be extended to any given customer. We manage our exposure to credit risk through credit analysis, credit approvals, credit limits, prepayment, letters of credit and monitoring procedures. Additionally, in an effort to mitigate credit risk, a significant portion of our transactions with counterparties are settled on a net-cash basis. Furthermore, we also enter into netting agreements (contractual agreements that allow us to offset receivables and payables with those counterparties against each other on our balance sheet) for the majority of our net-cash arrangements.</w:t>
      </w:r>
    </w:p>
    <w:p>
      <w:pPr>
        <w:spacing w:after="0" w:line="188"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Because our typical sales transactions can involve large volumes of crude oil, the risk of nonpayment and nonperformance by customers is a major consideration in our business. We believe our sales are made to creditworthy entities or entities with adequate credit support. Generally, sales of crude oil are settled within 30 days of the month of delivery, and pipeline, transportation and terminalling services settle within 30 days from the date we issue an invoice for the provision of services.</w:t>
      </w:r>
    </w:p>
    <w:p>
      <w:pPr>
        <w:spacing w:after="0" w:line="187"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We also have credit risk exposure related to our sales of NGL (principally propane); however, because our sales are typically in relatively small amounts to individual customers, we do not believe that these transactions pose a material concentration of credit risk. Typically, we enter into annual contracts to sell NGL on a forward basis, as well as to sell NGL on a current basis to local distributors and retailers. In certain cases our NGL customers prepay for their purchases, in amounts ranging up to 100% of their contracted amounts.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Certain activities in our Supply and Logistics segment are affected by seasonal aspects, primarily with respect to NGL supply and logistics activities, which are sensitive to weather-related demand, particularly during the approximate five-month peak heating season of November through March.</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Commodity Price Volatility and Dynamic Market Conditions on Our Business Model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Through our three business segments, we are engaged in the transportation, storage, terminalling and marketing of crude oil, NGL and natural gas.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majority of our activities are focused on crude oil, which is the principal feedstock used by refineries in the production of transportation fuels.</w:t>
      </w:r>
    </w:p>
    <w:p>
      <w:pPr>
        <w:spacing w:after="0" w:line="22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Crude oil, NGL and natural gas commodity prices have historically been very volatile. For example, since the mid-1980s, NYMEX West Texas Intermediate (“WTI”) crude oil benchmark prices have ranged from a low of approximately $10 per barrel during 1986 to a high of over $147 per barrel during 2008. During 2018, WTI crude oil prices traded within a range of approximately $43 to $76 per barrel. There has also been volatility within the propane and butane markets as seen through the North American benchmark price located at Mont Belvieu, Texas. Specifically, over the last ten years, propane prices have ranged from a low of approximately 30% of the WTI benchmark price for crude oil in 2015 to a high of approximately 75% of the WTI benchmark price for crude oil in 2017. During 2018, propane averaged 57% of WTI and on a daily basis traded within a range of 49% to 68% of WTI. During the same ten-year period, butane has seen a price range from a low of approximately 35% of the WTI benchmark price for crude oil in 2015 to a high of approximately 108% of the WTI benchmark price for crude oil in 2017. During 2018, butane averaged 66% of WTI and on a daily basis traded within a range of 55% to 77% of WTI.</w:t>
      </w:r>
    </w:p>
    <w:p>
      <w:pPr>
        <w:spacing w:after="0" w:line="19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Absent extended periods of lower crude oil or NGL prices that are below production replacement costs or higher crude oil or NGL prices that have a significant adverse impact on consumption, demand for the services we provide in our fee-based Transportation and Facilities segments and our financial results from these activities have little correlation to absolute commodity prices. Relative contribution levels will vary from quarter-to-quarter due to seasonal and other similar factors, but we project that (absent material outperformance in our Supply and Logistics business) our fee-based Transportation and Facilities segments should comprise approximately 90% or greater of our aggregate segment results.</w:t>
      </w:r>
    </w:p>
    <w:p>
      <w:pPr>
        <w:spacing w:after="0" w:line="17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Results from our supply and logistics activities depend on our ability to sell crude oil and NGL at prices in excess of our aggregate cost. Although segment results may be adversely affected during certain transitional periods as discussed further below, our crude oil and NGL supply, logistics and distribution operations are not directly affected by the absolute level of prices, but are affected by overall levels of supply and demand for crude oil and NGL and relative fluctuations in market-related indices.</w:t>
      </w:r>
    </w:p>
    <w:p>
      <w:pPr>
        <w:spacing w:after="0" w:line="1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developing our business model and allocating our resources among our three segments, we attempt to anticipate the impacts of shifts between supply-driven markets and demand-driven markets, seasonality, cyclicality, regional surpluses and shortages, economic conditions and a number of other influences that can cause volatility and change market dynamics on a short, intermediate and long-term basis. Our objective is to position the Partnership such that our overall annual cash flow is not materially adversely affected by the absolute level of energy prices, shifts between demand-driven markets and supply-driven markets or other similar dynamics. Beginning in the second half of 2014 through early 2018, however, the market experienced impacts from aggressive competition and overbuilt infrastructure in certain regions, which caused supply and demand imbalances and price volatility. In some of the areas where we operate, there has been significantly increased competition for marginal or incremental volumes from shippers on third-party pipelines who have committed to ship more production than they have and are purchasing barrels in the market for shipment on the applicable third-party pipeline to satisfy their transportation commitments, often doing so at a loss because the loss on sale of the purchased crude oil will be less than the amount of the take-or-pay obligation on the pipeline. This type of activity has put downward pressure on margins across our three business segments. During such transitional markets, our Supply and Logistics segment may not be able to fully recover its costs on certain transactions.</w:t>
      </w:r>
    </w:p>
    <w:p>
      <w:pPr>
        <w:spacing w:after="0" w:line="17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challenging market conditions, such as those experienced over the last several years, we believe the complementary, integrated nature of our business activities and diversification of our asset base among varying regions and demand-driven and supply-driven markets provides flexibility for our customers and plays a valuable role in driving the growth of our fee-based Transportation and Facilities segments. Additionally, this approach is also intended to provide opportunities to realize incremental margin during volatile market conditions. For example, if crude oil prices are high relative to historical levels, we may hedge some of our expected pipeline loss allowance barrels, and if crude oil prices are low relative to historical prices, we may hedge a portion of our anticipated diesel purchases needed to operate our trucks and barges. Also, during periods when supply exceeds the demand for crude oil, NGL or natural gas in the near term, the market for such product is often in contango, meaning that the price for future deliveries is higher than current prices. In a contango market, entities that have access to</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storage at major trading locations can purchase crude oil, NGL or natural gas at current prices for storage and simultaneously sell forward such products for future delivery at higher prices.</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executing our business model, we employ a variety of financial risk management tools and techniques, predominantly in our Supply and Logistics segment. These are discussed in greater detail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order to hedge margins involving our physical assets and manage risks associated with our various commodity purchase and sale obligations and, in certain circumstances, to realize incremental margin during volatile market conditions, we use derivative instruments. We also use various derivative instruments to manage our exposure to interest rate risk and currency exchange rate risk. In analyzing our risk management activities, we draw a distinction between enterprise-level risks and trading-related risks. Enterprise-level risks are those that underlie our core businesses and may be managed based on management’s assessment of the cost or benefit of doing so. Conversely, trading-related risks (the risks involved in trading in the hopes of generating an increased return) are not inherent in our core business; rather, those risks arise as a result of engaging in trading activities. Our policy is to manage the enterprise-level risks inherent in our core businesses, rather than trying to profit from trading activity. Our commodity risk management policies and procedures are designed to monitor NYMEX, ICE and over-the-counter positions, as well as physical volumes, grades, locations, delivery schedules and storage capacity, to help ensure that our hedging activities address our risks. Our interest rate and currency exchange rate risk management policies and procedures are designed to monitor our derivative positions and ensure that those positions are consistent with our objectives and approved strategies. We have a risk management function that has direct responsibility and authority for our risk policies, related controls around commercial activities and procedures and certain other aspects of corporate risk management. Our risk management function also approves all new risk management strategies through a formal process. Our approved strategies are intended to mitigate and manage enterprise-level risks that are inherent in our core businesses.</w:t>
      </w:r>
    </w:p>
    <w:p>
      <w:pPr>
        <w:spacing w:after="0" w:line="17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policy is generally to structure our purchase and sales contracts so that price fluctuations do not materially affect our operating income, and not to acquire and hold physical inventory or derivatives for the purpose of speculating on outright commodity price changes. Although we seek to maintain a position that is substantially balanced within our supply and logistics activities, we purchase crude oil, NGL and natural gas from thousands of locations and may experience net unbalanced positions for short periods of time as a result of production, transportation and delivery variances as well as logistical issues associated with inclement weather conditions and other uncontrollable events that may occur. When unscheduled physical inventory builds or draws do occur, they are monitored constantly and managed to a balanced position over a reasonable period of time. This activity is monitored independently by our risk management function and must take place within predefined limits and authorizations.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Marathon Petroleum Corporation and its subsidiaries accounted for 14%, 19% and 18% of our revenues for the years ended December 31, 2018, 2017 and 2016, respectively. ExxonMobil Corporation and its subsidiaries accounted for 14%, 11% and 14% of our revenues for the years ended December 31, 2018, 2017 and 2016, respectively. Phillips 66 Company and its subsidiaries accounted for 11% of our revenues in each of the years ended December 31, 2017 and 2016. No other customers accounted for 10% or more of our revenues during any of the three years ended December 31, 2018. The majority of revenues from these customers pertain to our supply and logistics operations. The sales to these customers occur at multiple locations and we believe that the loss of these customers would have only a short-term impact on our operating results. There is risk, however, that we would not be able to identify and access a replacement market at comparable margins. For a discussion of customers and industry concentration risk, see Note 15 to our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Competition among pipelines is based primarily on transportation charges, access to producing areas and supply regions and demand for crude oil and NGL by end users. Although new pipeline projects represent a source of competition for our business, there are also existing third-party owned pipelines with excess capacity in the vicinity of our operations that expose us to significant competition based on the relatively low operating cost associated with moving an incremental barrel of crude oil or NGL through such unutilized capacity. In the current environment, competition for marginal or incremental volumes has been exacerbated in some areas by shippers on third-party pipelines who have committed to ship more production than they own or have secured under contract and are purchasing barrels in the market and shipping them on the applicable third-party pipeline in satisfaction of their transportation commitment. This type of activity reduces the pool of incremental barrels that would otherwise be available for transport on our pipelines. In addition, in areas where additional infrastructure is necessary to accommodate new or increased production or changing product flows, we face competition in providing the required infrastructure solutions as well as the risk of building capacity in excess of sustainable demand levels. For example, over the last 18 months, several potential new pipeline projects have been announced or are currently under construction. In many cases the sponsors have represented that such projects are underpinned by substantial minimum volume commitments and/or acreage dedications. Combined with current pipeline takeaway capacity, these proposed or pending pipeline projects could result in significant excess capacity relative to projected crude oil production volumes, especially in the Permian Basin, where we have significant operations. In combination with incremental shipper commitments or dedications, the ratio of excess capacity to uncommitted barrels is expected to increase significantly, amplifying the competition for incremental barrels to fill available capacity on our assets and resulting in downward pressure on margins.</w:t>
      </w:r>
    </w:p>
    <w:p>
      <w:pPr>
        <w:spacing w:after="0" w:line="18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depending upon the specific movement, pipelines, which generally offer the lowest cost of transportation, may also face competition from other forms of transportation, such as truck, rail and barge. Although these alternative forms of transportation are typically higher cost, they can provide access to alternative markets at which a higher price may be realized for the commodity being transported, thereby overcoming the increased transportation cost.</w:t>
      </w:r>
    </w:p>
    <w:p>
      <w:pPr>
        <w:spacing w:after="0" w:line="18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also face competition with respect to our supply and logistics and facilities services. Our competitors include other crude oil and NGL pipeline and terminalling companies, other NGL processing and fractionation companies, the major integrated oil companies and their marketing affiliates, independent gatherers, private equity backed entities, banks that have established a trading platform, brokers and marketers of widely varying sizes, financial resources and experience. Some of these competitors have capital resources greater than ours. The addition of new pipelines supported by minimum volume commitments and/or acreage dedications could also amplify the level of competition for purchasing wellhead barrels, especially in the Permian Basin and thus impact our margins.</w:t>
      </w:r>
    </w:p>
    <w:p>
      <w:pPr>
        <w:spacing w:after="0" w:line="19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With respect to our natural gas storage operations, the principal elements of competition are rates, terms of service, supply and market access and flexibility of service. An increase in competition in our markets could arise from new ventures or expanded operations from existing competitors. Our natural gas storage facilities compete with several other storage providers, including regional storage facilities and utilities. Certain pipeline companies have storage facilities connected to their systems that compete with some of our facilities.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pipeline industry, related businesses and individual participants. The failure to comply with such legal requirements and regulations can result in substantial fines and penalties, expose us to civil and criminal claims, and cause us to incur significant costs and expenses. See Item 1A. “Risk Factors—Risks Related to PAA’s Business— PAA’s operations are also subject to laws and regulations relating to protection of the environment and wildlife, operational safety, climate change and related matters that may expose it to significant costs and liabilities. The current laws and regulations affecting our business are subject to change and in the future PAA may be subject to additional laws and regulations, which could adversely impact PAA’s business.”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We can provide no assurance that the increased costs associated with any new or proposed laws, rules or regulations will not be material. We may at any time also be required to apply significant resources in responding to governmental requests for information and/or enforcement actions.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certain, but not all, of the laws and regulations affecting our operations.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operations involving the storage, treatment, processing and transportation of liquid hydrocarbons, including crude oil, are subject to stringent federal, state, provincial and local laws and regulations governing the discharge of materials into the environment or otherwise relating to protection of the environment. As with the industry generally, compliance with these laws and regulations increases our overall cost of doing business, including our capital costs to construct, maintain and upgrade equipment and facilities as regulations are updated or new regulations are invoked. Failure to comply with these laws and regulations could result in the assessment of administrative, civil and criminal penalties, the imposition of investigatory and remedial liabilities and the issuance of injunctions or other orders that may subject us to additional operational constraints. Failure to comply with these laws and regulations could also result in negative public perception of our operations or the industry in general, which may adversely impact our ability to conduct our business. Environmental and safety laws and regulations are subject to changes that may result in more stringent requirements, and we cannot provide any assurance that compliance with current and future laws and regulations will not have a material effect on our results of operations or earnings. A discharge of hazardous liquids into the environment could, to the extent such event is not insured, subject us to substantial expense, including both the cost to comply with applicable laws and regulations and any claims made by third parties. The following is a summary of some of the environmental, health and safety laws and regulations to which our operations are subject.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Safety/Integrity Management</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A substantial portion of our petroleum pipelines and our storage tank facilities in the United States are subject to regulation by the Department of Transportation’s (“DOT”) Pipeline and Hazardous Materials Safety Administration (“PHMSA”) pursuant to the Hazardous Liquids Pipeline Safety Act of 1979, as amended (the “HLPSA”). The HLPSA imposes safety requirements on the design, installation, testing, construction, 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Regulation in Canada is under the National Energy Board (“NEB”) and provincial agencies.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HLPSA was amended by the Pipeline Safety Improvement Act of 2002 and the Pipeline Inspection, Protection, Enforcement and Safety Act of 2006. These amendments have resulted in the adoption of rules by the DOT that require transportation pipeline operators to implement integrity management programs, including frequent inspections, correction of identified anomalies and other measures, to ensure pipeline safety in “high consequence areas” such as high population areas, areas unusually sensitive to environmental damage, and commercially navigable waterways. In the United States, our costs associated with the inspection, testing and correction of identified anomalies were approximately $86 million in 2018, $137 million in 2017 and $89 million in 2016. Based on currently available information, our preliminary estimate for 2019 is that we will incur approximately $69 million in capital expenditures and approximately $28 million in operational expenditures associated with our required pipeline integrity management program. Significant additional expenses could be incurred if new or more stringently interpreted pipeline safety requirements are implemented. In addition to required activities, our integrity management program includes several voluntary, multi-year initiatives designed to prevent incidents. Costs incurred in connection with these voluntary initiatives were approximately $38 million in 2018, $39 million in 2017 and $48 million in 2016, and our preliminary estimate for 2019 is that we will incur approximately $52 million of such costs.</w:t>
      </w:r>
    </w:p>
    <w:p>
      <w:pPr>
        <w:spacing w:after="0" w:line="183"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PHMSA was reauthorized and the HLPSA was amended in 2011 and 2016. The regulatory changes precipitated by these actions have increased our cost to operate. We anticipate that future rulemaking (including the 2019 reauthorization of PHMSA and the eventual adoption of the hazardous liquids rule) will have the potential to contribute to a higher cost to operate.</w:t>
      </w:r>
    </w:p>
    <w:p>
      <w:pPr>
        <w:spacing w:after="0" w:line="18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In October 2015, the Governor of California signed the Oil Spill Response: Environmentally and Ecologically Sensitive Areas Bill (“AB-864”) which requires new and existing pipelines located near environmentally and ecologically sensitive areas connected to or located in the coastal zone to use best available technologies to reduce the amount of oil released in an oil spill to protect state waters and wildlife. Best available technology includes, but is not limited to, installation of leak detection technologies, automatic shutoff systems, or remote controlled sectionalized block valves, or any combination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of these technologies based on a risk analysis conducted by the operator. The California Office of the State Fire Marshal is in the process of developing the regulations required by AB 864 and issued updated draft regulations in January 2019. The updated draft regulations (while not yet adopted) require that the risk analysis, plans for installation of best available technology and any exemption requests be submitted in 2020 and installation of best available technology, if required, be completed by July 2022. These deadlines could change depending upon the date the final regulations are adopted. Compliance with these new regulations will impact our pipeline operations in California and add to the cost to operate the pipelines subject to these rules.</w:t>
      </w:r>
    </w:p>
    <w:p>
      <w:pPr>
        <w:spacing w:after="0" w:line="158"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The DOT has issued guidelines with respect to securing regulated facilities against terrorist attack. We have instituted security measures and procedures in accordance with such guidelines to enhance the protection of certain of our facilities; however, we cannot provide any assurance that these security measures would fully protect our facilities from an attack.</w:t>
      </w:r>
    </w:p>
    <w:p>
      <w:pPr>
        <w:spacing w:after="0" w:line="18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DOT has generally adopted American Petroleum Institute Standard 653 (“API 653”) as the standard for the inspection, repair, alteration and reconstruction of steel aboveground petroleum storage tanks subject to DOT jurisdiction. API 653 requires regularly scheduled inspection and repair of tanks remaining in service. In the United States, our costs associated with this program were approximately $53 million, $37 million and $29 million in 2018, 2017 and 2016, respectively. For 2019, we have budgeted approximately $51 million in connection with continued API 653 compliance activities and similar new EPA regulations for tanks not regulated by the DOT. Certain storage tanks may be taken out of service if we believe the cost of compliance will exceed the value of the storage tanks or replacement tankage may be constructed.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In Canada, the NEB and provincial agencies regulate the safety and integrity management of pipelines and storage tanks used for hydrocarbon transmission. We have incurred and will continue to incur costs related to such regulatory requirements.</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have implemented Pipeline, Facility and Cavern Integrity Management Programs to comply with applicable regulatory requirements and assist in our efforts to mitigate risk. Costs incurred for such integrity management activities were approximately $71 million, $60 million and $59 million in 2018, 2017 and 2016, respectively, and our preliminary estimate for 2019 is that we will incur approximately $76 million of such costs.</w:t>
      </w:r>
    </w:p>
    <w:p>
      <w:pPr>
        <w:spacing w:after="0" w:line="166"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We cannot predict the potential costs associated with additional, future regulation. Significant additional expenses could be incurred, and additional operational requirements and constraints could be imposed, if new or more stringently interpreted pipeline safety requirements are implemented.</w:t>
      </w:r>
    </w:p>
    <w:p>
      <w:pPr>
        <w:spacing w:after="0" w:line="124" w:lineRule="exact"/>
        <w:rPr>
          <w:sz w:val="20"/>
          <w:szCs w:val="20"/>
          <w:color w:val="auto"/>
        </w:rPr>
      </w:pPr>
    </w:p>
    <w:p>
      <w:pPr>
        <w:jc w:val="center"/>
        <w:ind w:right="9020"/>
        <w:spacing w:after="0"/>
        <w:rPr>
          <w:sz w:val="20"/>
          <w:szCs w:val="20"/>
          <w:color w:val="auto"/>
        </w:rPr>
      </w:pPr>
      <w:r>
        <w:rPr>
          <w:rFonts w:ascii="Arial" w:cs="Arial" w:eastAsia="Arial" w:hAnsi="Arial"/>
          <w:sz w:val="15"/>
          <w:szCs w:val="15"/>
          <w:b w:val="1"/>
          <w:bCs w:val="1"/>
          <w:i w:val="1"/>
          <w:iCs w:val="1"/>
          <w:color w:val="auto"/>
        </w:rPr>
        <w:t>Occupational Safety and Health</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In the United States, we are subject to the requirements of the Occupational Safety and Health Act, as amended (“OSHA”) and comparable state statutes that regulate the protection of the health and safety of workers. In addition, the OSHA hazard communication standard requires that certain information be maintained about hazardous materials used or produced in operations and that this information be provided to employees, state and local government authorities and citizens. Certain of our facilities are subject to OSHA Process Safety Management (“PSM”) regulations, which are designed to prevent or minimize the consequences of catastrophic releases of toxic, reactive, flammable or explosive chemicals. These regulations apply to any process which involves a chemical at or above specified thresholds or any process that involves 10,000 pounds or more of a flammable liquid or gas in one location.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Similar regulatory requirements exist in Canada under the federal and provincial Occupational Health and Safety Acts, Regulations and Codes. The agencies with jurisdiction under these regulations are empowered to enforce them through inspection, audit, incident investigation or investigation of a public or employee complaint. In some jurisdictions, the agencies have been empowered to administer penalties for contraventions without the company first being prosecuted. Additionally, under the Criminal Code of Canada, organizations, corporations and individuals may be prosecuted criminally for violating the duty to protect employee and public safety.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Solid Waste</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generate wastes, including hazardous wastes, which are subject to the requirements of the federal Resource Conservation and Recovery Act, as amended (“RCRA”), and analogous state and provincial laws. Many of the wastes that we generate are not subject to the most stringent requirements of RCRA because our operations generate primarily oil and gas wastes, which currently are excluded from consideration as RCRA hazardous wastes. It is possible, however, that in the future, oil and gas waste under RCRA may be revisited and our wastes subject to more rigorous and costly disposal requirements, resulting in additional capital expenditures or operating expenses. For example, pursuant to a settlement agreement with environmental organizations, the EPA must determine by 2019 whether currently exempt oil and gas wastes should be regulated under RCRA’s hazardous waste provisions.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Hazardous Substances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federal Comprehensive Environmental Response, Compensation and Liability Act, as amended (“CERCLA”), also known as “Superfund,” and comparable state laws impose liability, without regard to fault or the legality of the original act, on certain classes of persons that contributed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 Canadian federal and provincial laws also impose liabilities for releases of certain substances into the environment.</w:t>
      </w:r>
    </w:p>
    <w:p>
      <w:pPr>
        <w:spacing w:after="0" w:line="182"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We are subject to the Environmental Protection Agency’s (“EPA”) Risk Management Plan regulations at certain facilities. These regulations are intended to work with OSHA’s PSM regulations to minimize the offsite consequences of catastrophic releases. The regulations require us to develop and implement a risk management program that includes a five-year accident history, an offsite consequence analysis process, a prevention program and an emergency response program. In January 2016, the EPA finalized revisions to the Risk Management Plan (“RMP”) rules, including requirements for the use of third-party compliance audits, root cause analyses for facilities that experience releases, process hazard analyses and enhanced information-sharing provisions, effective March 2017. However, the EPA has since published a rule delaying implementation of the RMP revisions until February 2019 while the agency considers whether to amend or repeal the rule. OSHA has announced that it is considering similar revisions to the PSM rule, but, to date, has not issued a Notice of Proposed Rulemaking. The potential for revisions to either the RMP or PSM rule is uncertain at this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225"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We currently own or lease, and in the past have owned or leased, properties where potentially hazardous liquids, including hydrocarbons, are or have been handled. These properties may be subject to CERCLA, RCRA and state and Canadian federal and provincial laws and regulations. Under such laws and regulations, we could be required to remove or remediate potentially hazardous liquids or associated wastes (including wastes disposed of or released by prior owners or operators) and to clean up contaminated property (including contaminated groundwater).</w:t>
      </w:r>
    </w:p>
    <w:p>
      <w:pPr>
        <w:spacing w:after="0" w:line="17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Assets we have acquired or will acquire in the future may have environmental remediation liabilities for which we are not indemnified. We have in the past experienced and in the future may experience releases of hydrocarbon products into the environment from our pipeline, rail, storage and other facility operations. We may also discover environmental impacts from past releases that were previously unidentified. The costs and liabilities associated with any such releases or environmental impacts could be significant and may not be covered by insurance; accordingly, such costs and liabilities could have a material adverse impact on our results of operations and/or financial position.</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 Emissions</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Our United States operations are subject to the United States Clean Air Act (“Clean Air Act”), comparable state laws and associated state and federal regulations. Our Canadian operations are also subject to federal and provincial air emission regulations, which are discussed in subsequent sections.</w:t>
      </w:r>
    </w:p>
    <w:p>
      <w:pPr>
        <w:spacing w:after="0" w:line="124"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As a result of the changing air emission requirements in both Canada and the United States, we may be required to incur certain capital and operating expenditures in the next several years to install air pollution control equipment and otherwise comply with more stringent federal, state, provincial and regional air emissions control requirements when we attempt to obtain or maintain permits and approvals for sources of air emissions. We can provide no assurance that future air compliance obligations will not have a material adverse effect on our financial condition or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Initiatives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EPA has adopted rules for the reporting the emission of carbon dioxide, methane and other greenhouse gases (“GHG”) from certain sources. Fewer than ten of our facilities are presently subject to the federal GHG reporting requirements. These include facilities with combustion GHG emissions and potential fugitive emissions above the reporting thresholds. We import sufficient quantities of finished fuel products into the United States to be required to report that activity as well.</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June 2016, the EPA finalized regulations affecting new, modified and reconstructed sources of air emissions in the oil and natural gas sector that require significant reductions in fugitive methane emissions from certain upstream and midstream oil and gas facilities. These new rules also require operators to implement fugitive emission leak detection and repair requirements for compressor stations. However, the EPA has taken several steps to delay implementation of its methane rules, and the agency proposed a rulemaking in June 2017 to stay the requirements for a period of two years and revisit implementation of the methane rules in their entirety. The EPA has not yet published a final rule but, as a result of these developments, future implementation of the 2016 rules is uncertain at this time. However, several states have either proposed or finalized similar regulations related to the reduction of methane emissions from the oil and natural gas sector.</w:t>
      </w:r>
    </w:p>
    <w:p>
      <w:pPr>
        <w:spacing w:after="0" w:line="18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California has implemented a GHG cap-and-trade program, authorized under Assembly Bill 32 (“AB32”). Since its start in 2014, California’s cap-and-trade program has only applied to large industrial facilities with carbon dioxide equivalent emissions over 25,000 metric tons. The California Air Resources Board has published a list of facilities that are subject to this program. At this time, the list only includes one of our facilities, the Lone Star Gas Liquids facility in Shafter, California because it is a significant combustion and propane fractionation source. As a result, compliance instruments for GHG emissions have been purchased since 2013.</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Effective January 1, 2015, the AB32 regulations also covered finished fuel providers and importers. California finished fuels providers (refiners and importers) are required to purchase GHG emission credits for finished fuel sold in or imported into California. Plains Marketing was included in this portion of the regulation due to propane imports and completed its first year of compliance in 2016. The compliance requirements of the GHG cap-and-trade program through 2020 are currently being phased in. Effective January 1, 2018, importers of finished fuels responsible for compliance costs associated with GHG has changed from the consignee to the importer on title of the product. Plains Midstream Canada is now included in this change to the rule due to its imports of propane into California and will submit its first compliance report in 2019.</w:t>
      </w:r>
    </w:p>
    <w:p>
      <w:pPr>
        <w:spacing w:after="0" w:line="178"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Executive Order B-30-15 was signed by California’s Governor in mid-2015. This Executive Order requires a 40% reduction in GHG emissions from the 1990 baseline level by 2030. The current 2020 goals for GHG emissions reductions are at 15% below the 1990 baseline level. Compliance with this reduction requirement may necessitate the lowering of the threshold for industrial facilities required to participate in the GHG cap and trade program.</w:t>
      </w:r>
    </w:p>
    <w:p>
      <w:pPr>
        <w:spacing w:after="0" w:line="14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While it is not possible at this time to predict how federal or state governments may choose to regulate GHG emissions, any new regulatory restrictions on GHG emissions could result in material increased compliance costs, additional operating restrictions and an increase in the cost of feedstock and products produced by our refinery customers.</w:t>
      </w:r>
    </w:p>
    <w:p>
      <w:pPr>
        <w:spacing w:after="0" w:line="181" w:lineRule="exact"/>
        <w:rPr>
          <w:sz w:val="20"/>
          <w:szCs w:val="20"/>
          <w:color w:val="auto"/>
        </w:rPr>
      </w:pPr>
    </w:p>
    <w:p>
      <w:pPr>
        <w:ind w:right="100" w:firstLine="648"/>
        <w:spacing w:after="0" w:line="232" w:lineRule="auto"/>
        <w:rPr>
          <w:sz w:val="20"/>
          <w:szCs w:val="20"/>
          <w:color w:val="auto"/>
        </w:rPr>
      </w:pPr>
      <w:r>
        <w:rPr>
          <w:rFonts w:ascii="Arial" w:cs="Arial" w:eastAsia="Arial" w:hAnsi="Arial"/>
          <w:sz w:val="18"/>
          <w:szCs w:val="18"/>
          <w:color w:val="auto"/>
        </w:rPr>
        <w:t>In December 2015, the Paris Agreement was signed at the 21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annual Conference of Parties to the United Nations Framework Convention on Climate Change (“UNFCCC”). The Paris Agreement, which came into effect in November 2016, requires signatory parties to develop and implement carbon emission reduction policies with a goal of limiting the rise in average global temperatures to 2°C or less. The United States and Canada are currently signatories to the Agreement; however,</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June 2017, President Trump stated that the United States would withdraw from the Paris Agreement, but may enter into a future international agreement related to GHGs. In August 2017, the U.S. State Department officially informed the United Nations of the intent of the United States to withdraw from the Paris Agreement. The United States’ adherence to the exit process is uncertain and/or the terms on which the United States may reenter the Paris Agreement or a separately negotiated agreement are unclear at this time. The Paris Agreement is likely to become a significant driver for future potential GHG reduction programs in participating countries. Notwithstanding potential risks related to climate change, the International Energy Agency estimates that global energy demand will continue to rise and will not peak until after 2040 and that oil and gas will continue to represent a substantial percentage of global energy use over that time. Finally, to the extent increasing concentrations of GHGs in the Earth’s atmosphere may produce climate changes that have significant physical effects, such as increased frequency and severity of storms, droughts, floods and other climatic events, such events could have a material adverse effect on our assets, particularly those located in coastal or flood prone areas.</w:t>
      </w:r>
    </w:p>
    <w:p>
      <w:pPr>
        <w:spacing w:after="0" w:line="182"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Although it is not possible at this time to predict how legislation or new regulations that may be adopted to address GHG emissions would impact our business, any such future laws and regulations could result in increased compliance costs or additional operating restrictions, and could have a material adverse effect on our business, demand for our services, financial condition, results of operations and cash flows.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i w:val="1"/>
          <w:iCs w:val="1"/>
          <w:color w:val="auto"/>
        </w:rPr>
        <w:t xml:space="preserve">Federal Regulations. </w:t>
      </w:r>
      <w:r>
        <w:rPr>
          <w:rFonts w:ascii="Arial" w:cs="Arial" w:eastAsia="Arial" w:hAnsi="Arial"/>
          <w:sz w:val="18"/>
          <w:szCs w:val="18"/>
          <w:color w:val="auto"/>
        </w:rPr>
        <w:t>Along with 197 other countries, Canada is a signatory to the UNFCCC “Durban Platform” committing it to develop a legally</w:t>
      </w:r>
      <w:r>
        <w:rPr>
          <w:rFonts w:ascii="Arial" w:cs="Arial" w:eastAsia="Arial" w:hAnsi="Arial"/>
          <w:sz w:val="18"/>
          <w:szCs w:val="18"/>
          <w:i w:val="1"/>
          <w:iCs w:val="1"/>
          <w:color w:val="auto"/>
        </w:rPr>
        <w:t xml:space="preserve"> </w:t>
      </w:r>
      <w:r>
        <w:rPr>
          <w:rFonts w:ascii="Arial" w:cs="Arial" w:eastAsia="Arial" w:hAnsi="Arial"/>
          <w:sz w:val="18"/>
          <w:szCs w:val="18"/>
          <w:color w:val="auto"/>
        </w:rPr>
        <w:t>binding agreement to reduce GHG emissions by 2020. Further, on December 12, 2015, the UNFCCC ratified the Paris Agreement to accelerate climate change initiatives and to intensify the actions of member nations in the reduction of GHG emissions. This ratification also included requirements that all Parties report on their emissions status and agreement for a review every five years to assess success among member nations in attaining objectives and targets under this agreement.</w:t>
      </w:r>
    </w:p>
    <w:p>
      <w:pPr>
        <w:spacing w:after="0" w:line="188"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Large emitters of GHG have been required to report their emissions under the Canadian Greenhouse Gas Emissions Reporting Program since 2004. Effective January 1, 2018, the Federal Department of Environment and Climate Change lowered the reporting threshold for all facilities from 50 thousand tonnes per year (“kt/y”) to 10 kt/y GHG emissions. This has resulted in one additional PMC facility (for a total of four locations) being currently required to prepare annual reports of their emissions. The associated costs with this new reporting requirement is not considered to be material.</w:t>
      </w:r>
    </w:p>
    <w:p>
      <w:pPr>
        <w:spacing w:after="0" w:line="15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October 2016, the Government of Canada implemented a pan-Canadian approach to pricing carbon pollution requiring all Canadian provinces and territories to have carbon pricing in place by 2018, which is now in effect. The provinces and territories were granted flexibility in deciding how they implement carbon pricing either by placing a direct price on carbon pollution or adopting a cap and trade system. The Provincial programs that fail to meet the Federal government’s requirements for their programs are required to adopt the Federal program. The Federal program includes two components: a direct price on carbon pollution (the Federal price on carbon pollution will start at $20/tonne in 2019 and rise by $10 a year to reach $50/tonne in 2022) and an output based pricing system (“OBPS”) designed to address competitiveness risk for large emitters.</w:t>
      </w:r>
    </w:p>
    <w:p>
      <w:pPr>
        <w:spacing w:after="0" w:line="178"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In April 2018, the Federal Department of Environment and Climate Change introduced regulations designed to reduce methane emissions by up to 45% by 2025 (from 2012 levels) from oil and natural gas facilities. The scope and requirements of the proposed rule are similar to the EPA methane rules described above. Effective June 2017, the Federal Department of Environment and Climate Change has introduced the Multi Sector Air Pollutants Regulations which set air pollution emission standards across Canada for several industrial sectors that utilize applicable equipment regulated under this program. The regulations establish specific limits to the amount of nitrogen oxides emitted from gas fueled boilers, heaters and stationary spark-ignition engines above a specified power rating. Based on these regulations, reporting obligations exist that are associated with seven facilities with equipment that meets specifications of the program. The implications of these regulations coming into effect are not believed to be material.</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Provincial Regulations</w:t>
      </w:r>
    </w:p>
    <w:p>
      <w:pPr>
        <w:spacing w:after="0" w:line="22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i w:val="1"/>
          <w:iCs w:val="1"/>
          <w:color w:val="auto"/>
        </w:rPr>
        <w:t>Ontario</w:t>
      </w:r>
      <w:r>
        <w:rPr>
          <w:rFonts w:ascii="Arial" w:cs="Arial" w:eastAsia="Arial" w:hAnsi="Arial"/>
          <w:sz w:val="17"/>
          <w:szCs w:val="17"/>
          <w:color w:val="auto"/>
        </w:rPr>
        <w:t>. In February 2015, the Ontario Ministry of Environment and Climate Change issued a discussion paper that identified carbon pricing as a</w:t>
      </w:r>
      <w:r>
        <w:rPr>
          <w:rFonts w:ascii="Arial" w:cs="Arial" w:eastAsia="Arial" w:hAnsi="Arial"/>
          <w:sz w:val="17"/>
          <w:szCs w:val="17"/>
          <w:i w:val="1"/>
          <w:iCs w:val="1"/>
          <w:color w:val="auto"/>
        </w:rPr>
        <w:t xml:space="preserve"> </w:t>
      </w:r>
      <w:r>
        <w:rPr>
          <w:rFonts w:ascii="Arial" w:cs="Arial" w:eastAsia="Arial" w:hAnsi="Arial"/>
          <w:sz w:val="17"/>
          <w:szCs w:val="17"/>
          <w:color w:val="auto"/>
        </w:rPr>
        <w:t>critical action necessary to reduce emissions of greenhouse gases. In April 2015, the Ontario government announced it would be implementing a GHG cap and trade program, which would be implemented through the Western Climate Initiative (“WCI”), which includes Quebec and California. Mandatory participants for the program were responsible for their emissions starting on January 1, 2017. PMC’s facility at Sarnia was considered to be a mandatory participant in the program. In June 2018, the newly formed Ontario Provincial government repealed the provincial cap and trade program with the passing of the Cap and Trade Cancellation Act which now subjects the province to the Federal carbon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pricing program. At this time, we do not believe that the cancellation of Ontario’s cap and trade program, or replacement with the Federal program, will have a material adverse effect on our operations.</w:t>
      </w:r>
    </w:p>
    <w:p>
      <w:pPr>
        <w:spacing w:after="0" w:line="170"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Ontario government has introduced an updated Sulphur Dioxide (“SO2”) standard which requires the reduction of SO2 from the current one hour average emission rate of 690 micrograms per cubic meter of air (“ug/m3”) to the new one hour standard of 100 ug/m3 by 2023 at industrial facilities. The introduction of this reduction measure will require further evaluation of current emissions and further measures to be implemented based on initial emission testing. The impact of this requirement is not known at this time.</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Alberta. </w:t>
      </w:r>
      <w:r>
        <w:rPr>
          <w:rFonts w:ascii="Arial" w:cs="Arial" w:eastAsia="Arial" w:hAnsi="Arial"/>
          <w:sz w:val="17"/>
          <w:szCs w:val="17"/>
          <w:color w:val="auto"/>
        </w:rPr>
        <w:t>The Alberta Climate Change and Emissions Management Act provides a framework for managing GHG emissions by reducing specified</w:t>
      </w:r>
      <w:r>
        <w:rPr>
          <w:rFonts w:ascii="Arial" w:cs="Arial" w:eastAsia="Arial" w:hAnsi="Arial"/>
          <w:sz w:val="17"/>
          <w:szCs w:val="17"/>
          <w:i w:val="1"/>
          <w:iCs w:val="1"/>
          <w:color w:val="auto"/>
        </w:rPr>
        <w:t xml:space="preserve"> </w:t>
      </w:r>
      <w:r>
        <w:rPr>
          <w:rFonts w:ascii="Arial" w:cs="Arial" w:eastAsia="Arial" w:hAnsi="Arial"/>
          <w:sz w:val="17"/>
          <w:szCs w:val="17"/>
          <w:color w:val="auto"/>
        </w:rPr>
        <w:t>gas emissions to 50% of 1990 levels by December 31, 2020. The Specified Gas Emitters Regulation (“SGER”) was the initial program introduced which imposed GHG emissions limits on large emitters and required reductions in GHG emissions intensity. PMC has two facilities (Fort Saskatchewan Storage and Fractionation Facility and Empress VI) which do not meet the reduction obligations. As such, PMC has been required to submit compliance payments to the Climate Change Emissions Management Fund. In January 2018, the SGER was replaced with the Carbon Competitive Incentive Regulation (“CCIR”) for compliance years 2018 onwards. Although various elements of the SGER are carried through into the CCIR, the CCIR has fundamental differences, both in the way a facility’s regulated emissions are calculated as well as how the emission intensity reduction is measured, which aligns with the program developed by the Federal government and their OBPS requirements. Compliance options under the CCIR are similar to those under the previous SGER such that a GHG fund credit purchase is required if reduction targets identified under the program are not attained, which has historically resulted in payments being made to the province for the two facilities under this program.</w:t>
      </w:r>
    </w:p>
    <w:p>
      <w:pPr>
        <w:spacing w:after="0" w:line="17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association with the Federal methane reduction targets, the Alberta government has introduced the Alberta Methane reduction program, which requires a 45% reduction of methane from oil and gas operations by 2025. The primary focus will be on the improvement of measurement and reporting, and leak detection programs which will be formalized internally within existing operational budgets.</w:t>
      </w:r>
    </w:p>
    <w:p>
      <w:pPr>
        <w:spacing w:after="0" w:line="181"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i w:val="1"/>
          <w:iCs w:val="1"/>
          <w:color w:val="auto"/>
        </w:rPr>
        <w:t>Other Canadian Jurisdictions</w:t>
      </w:r>
      <w:r>
        <w:rPr>
          <w:rFonts w:ascii="Arial" w:cs="Arial" w:eastAsia="Arial" w:hAnsi="Arial"/>
          <w:sz w:val="18"/>
          <w:szCs w:val="18"/>
          <w:color w:val="auto"/>
        </w:rPr>
        <w:t>. Nova Scotia and Quebec Cap and Trade programs cover propane supplied by PMC into the Nova Scotia and Quebec</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PMC is required to purchase GHG emission credits and submit annual compliance reports under each province’s respective Cap and Trade program. Effective April 1, 2019, the Federal carbon pricing program comes into effect for provinces that do not have a carbon pricing program in place. This includes Saskatchewan, Manitoba, Ontario and New Brunswick.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225"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The U.S.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Federal, state and provincial regulatory agencies can impose administrative, civil and/or criminal penalties for non-compliance with discharge permits or other requirements of the CWA, and can also pursue injunctive relief to enforce compliance with the CWA and analogous laws.</w:t>
      </w:r>
    </w:p>
    <w:p>
      <w:pPr>
        <w:spacing w:after="0" w:line="15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U.S. Oil Pollution Act of 1990 (“OPA”) amended certain provisions of the CWA, as they relate to the release of petroleum products into navigable waters. OPA subjects owners of facilities to strict, joint and potentially unlimited liability for containment and removal costs, natural resource damages and certain other consequences of an oil spill. State and Canadian federal and provincial laws also impose requirements relating to the prevention of oil releases and the remediation of areas.</w:t>
      </w:r>
    </w:p>
    <w:p>
      <w:pPr>
        <w:spacing w:after="0" w:line="18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addition, for over 35 years, the Army Corps of Engineers (the “Corps”) has authorized construction, maintenance and repair of pipelines under a streamlined nationwide permit program under the CWA known as Nationwide Permit 12 (“NWP”). The NWP program is supported by strong statutory and regulatory history and was originally approved by Congress in 1977. From time to time, environmental groups have challenged the NWP program; however, to date, federal courts have upheld the validity of NWP program under the CWA. We cannot predict whether future lawsuits will be filed to contest the validity of NWP; however, in the event that a court wholly or partially strikes down the NWP program, which we believe to be unlikely, we could face significant delays and financial costs when seeking project approvals from the Corps.</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May 2015, the EPA published a final rule that attempted to clarify federal jurisdiction under the CWA over waters of the United States. This clarification greatly expanded the definition of “waters of the United States” thus increasing the jurisdiction of the Corps. A number of legal challenges to this rule are pending. Additionally, following the issuance of a presidential executive order to review the rule, the EPA and the Corps proposed a rulemaking in June 2017 to repeal the May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2015 rule. The EPA and Corps also announced their intent to issue a new rule defining the CWA’s jurisdiction and recently finalized a stay delaying implementation of the rule for two years. Several states and environmental organizations have already announced their intent to challenge the stay and any attempt by the EPA and the Corps to rescind or revise the rule. On December 11, 2018, the EPA and the Corps released the pre-publication version of the Proposed 2018 Rule concerning the redefinition of “waters of the United States.” The proposal narrows the definition of the federal waters covered under the CWA’s key permitting programs such as Section 404 dredge and fill permits, Section 402 discharge permits, and Section 311 oil spill prevention plans. The Proposed Rule works towards the administration’s larger goal of re-balancing the relationship between the federal government, tribal governments, and states by drawing boundaries between those waters subject to federal CWA requirements and those waters that states and tribal governments have flexibility to manage under their respective authorities. As written in the Proposed Rule, fewer waters would be federally regulated relative to the May 2015 rule, which would lessen CWA permitting burdens for oil and gas operations as well as reduce mitigation requirements.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Endangered Species</w:t>
      </w:r>
    </w:p>
    <w:p>
      <w:pPr>
        <w:spacing w:after="0" w:line="225" w:lineRule="exact"/>
        <w:rPr>
          <w:sz w:val="20"/>
          <w:szCs w:val="20"/>
          <w:color w:val="auto"/>
        </w:rPr>
      </w:pPr>
    </w:p>
    <w:p>
      <w:pPr>
        <w:jc w:val="both"/>
        <w:ind w:right="380" w:firstLine="648"/>
        <w:spacing w:after="0" w:line="286" w:lineRule="auto"/>
        <w:rPr>
          <w:sz w:val="20"/>
          <w:szCs w:val="20"/>
          <w:color w:val="auto"/>
        </w:rPr>
      </w:pPr>
      <w:r>
        <w:rPr>
          <w:rFonts w:ascii="Arial" w:cs="Arial" w:eastAsia="Arial" w:hAnsi="Arial"/>
          <w:sz w:val="17"/>
          <w:szCs w:val="17"/>
          <w:color w:val="auto"/>
        </w:rPr>
        <w:t>New projects may require approvals and environmental analysis under federal, state and provincial laws, including the National Environmental Policy Act and the Endangered Species Act in the United States and the Species at Risk Act in Canada. The resulting costs and liabilities associated with lengthy regulatory review and approval requirements could materially and negatively affect the viability of such projects.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Regulation</w:t>
      </w:r>
    </w:p>
    <w:p>
      <w:pPr>
        <w:spacing w:after="0" w:line="225"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Our transportation activities are subject to regulation by multiple governmental agencies. Our historical operating costs reflect the recurring costs resulting from compliance with these regulations. The following is a summary of the types of transportation regulation that may impact our operations.</w:t>
      </w:r>
    </w:p>
    <w:p>
      <w:pPr>
        <w:spacing w:after="0" w:line="12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 xml:space="preserve">General Interstate Regulation in the United States. </w:t>
      </w:r>
      <w:r>
        <w:rPr>
          <w:rFonts w:ascii="Arial" w:cs="Arial" w:eastAsia="Arial" w:hAnsi="Arial"/>
          <w:sz w:val="18"/>
          <w:szCs w:val="18"/>
          <w:color w:val="auto"/>
        </w:rPr>
        <w:t>Our interstate common carrier liquids pipeline operations are subject to rate regulation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FERC under the Interstate Commerce Act (“ICA”). The ICA requires that tariff rates for liquids pipelines, which include both crude oil pipelines and refined products pipelines, be just and reasonable and non-discriminatory.</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State Regulation in the United States. </w:t>
      </w:r>
      <w:r>
        <w:rPr>
          <w:rFonts w:ascii="Arial" w:cs="Arial" w:eastAsia="Arial" w:hAnsi="Arial"/>
          <w:sz w:val="18"/>
          <w:szCs w:val="18"/>
          <w:color w:val="auto"/>
        </w:rPr>
        <w:t>Our intrastate liquids pipeline transportation activities are subject to various state laws and regulations,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orders of state regulatory bodies, including the Railroad Commission of Texas (“TRRC”) and the California Public Utility Commission (“CPUC”). The CPUC prohibits certain of our subsidiaries from acting as guarantors of our senior notes and credit facilities.</w:t>
      </w:r>
    </w:p>
    <w:p>
      <w:pPr>
        <w:spacing w:after="0" w:line="181"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i w:val="1"/>
          <w:iCs w:val="1"/>
          <w:color w:val="auto"/>
        </w:rPr>
        <w:t xml:space="preserve">U.S. Energy Policy Act of 1992 and Subsequent Developments. </w:t>
      </w:r>
      <w:r>
        <w:rPr>
          <w:rFonts w:ascii="Arial" w:cs="Arial" w:eastAsia="Arial" w:hAnsi="Arial"/>
          <w:sz w:val="16"/>
          <w:szCs w:val="16"/>
          <w:color w:val="auto"/>
        </w:rPr>
        <w:t>In October 1992, Congress passed the Energy Policy Act of 1992 (“EPAct”), which,</w:t>
      </w:r>
      <w:r>
        <w:rPr>
          <w:rFonts w:ascii="Arial" w:cs="Arial" w:eastAsia="Arial" w:hAnsi="Arial"/>
          <w:sz w:val="16"/>
          <w:szCs w:val="16"/>
          <w:i w:val="1"/>
          <w:iCs w:val="1"/>
          <w:color w:val="auto"/>
        </w:rPr>
        <w:t xml:space="preserve"> </w:t>
      </w:r>
      <w:r>
        <w:rPr>
          <w:rFonts w:ascii="Arial" w:cs="Arial" w:eastAsia="Arial" w:hAnsi="Arial"/>
          <w:sz w:val="16"/>
          <w:szCs w:val="16"/>
          <w:color w:val="auto"/>
        </w:rPr>
        <w:t>among other things, required the FERC to issue rules to establish a simplified and generally applicable ratemaking methodology for petroleum pipelines and to streamline procedures in petroleum pipeline proceedings. The FERC responded to this mandate by establishing a formulaic methodology for petroleum pipelines to change their rates within prescribed ceiling levels that are tied to an inflation index. The FERC reviews the formula every five years. Effective July 1, 2016, the annual index adjustment for the five year period ending June 30, 2021 will equal the producer price index for finished goods for the applicable year plus an adjustment factor of 1.23%. Pipelines may raise their rates to the rate ceiling level generated by application of the annual index adjustment factor each year; however, a shipper may challenge such increase if the increase in the pipeline’s rates is substantially in excess of the actual cost increases incurred by the pipeline during the relevant year. If the FERC’s annual index adjustment reduces the ceiling level such that it is lower than a pipeline’s filed rate, the pipeline must reduce its rate to conform with the lower ceiling. Indexing is the default methodology to change rates. The FERC, however, retained cost-of-service ratemaking, market-based rates and settlement rates as alternatives to the indexing approach that may be used in certain specified circumstances. Because the indexing methodology for the next five-year period is tied in part to an inflation index and is not based on our specific costs, the indexing methodology could hamper our ability to recover cost increases.</w:t>
      </w:r>
    </w:p>
    <w:p>
      <w:pPr>
        <w:spacing w:after="0" w:line="16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Under the EPAct, petroleum pipeline rates in effect for the 365-day period ending on the date of enactment of EPAct are deemed to be just and reasonable under the ICA if such rates had not been subject to complaint, protest or investigation during such 365-day period. Generally, complaints against such “grandfathered” rates may only be pursued if the complainant can show that a substantial change has occurred since the enactment of EPAct in either the economic circumstances of the oil pipeline or in the nature of the services provided that were a basis for the rate. EPAct places no such limit on challenges to a provision of an oil pipeline tariff rate or rules as unduly discriminatory or preferential.</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Pipeline Rate Regulation in the United States</w:t>
      </w:r>
      <w:r>
        <w:rPr>
          <w:rFonts w:ascii="Arial" w:cs="Arial" w:eastAsia="Arial" w:hAnsi="Arial"/>
          <w:sz w:val="16"/>
          <w:szCs w:val="16"/>
          <w:color w:val="auto"/>
        </w:rPr>
        <w:t>. The FERC historically has not investigated rates of liquids pipelines on its own initiative when those</w:t>
      </w:r>
      <w:r>
        <w:rPr>
          <w:rFonts w:ascii="Arial" w:cs="Arial" w:eastAsia="Arial" w:hAnsi="Arial"/>
          <w:sz w:val="16"/>
          <w:szCs w:val="16"/>
          <w:i w:val="1"/>
          <w:iCs w:val="1"/>
          <w:color w:val="auto"/>
        </w:rPr>
        <w:t xml:space="preserve"> </w:t>
      </w:r>
      <w:r>
        <w:rPr>
          <w:rFonts w:ascii="Arial" w:cs="Arial" w:eastAsia="Arial" w:hAnsi="Arial"/>
          <w:sz w:val="16"/>
          <w:szCs w:val="16"/>
          <w:color w:val="auto"/>
        </w:rPr>
        <w:t>rates have not been the subject of a protest or complaint by a shipper. The majority of our Transportation segment profit in the United States is produced by rates that are either grandfathered or set by agreement with one or more shippers. FERC issued an Advance Notice of Proposed Rulemaking on October 20, 2016 that addressed issues related to FERC’s indexing methodology and liquids pipeline reporting practices. If implemented, the proposals in this rulemaking could affect the profitability of certain liquids pipelines. On December 15, 2016, FERC issued a Notice of Inquiry regarding certain matters related to FERC’s income tax allowance policy. In 2018, FERC issued a revised policy statement (subsequently modified in a final rule issued in July 2018) in which it held that it will no longer permit an income tax allowance to be included in cost-of-service rates for interstate pipelines structured as master limited partnerships. The FERC also indicated that it will incorporate the effects of the revised policy statement in its next review of the oil pipeline index level, which will take effect in July 2021. See Item 1A. “Risk Factors—Risks Related to PAA’s Business—PAA’s assets are subject to federal, state and provincial regulation. Rate regulation or a successful challenge to the rates PAA charges on its U.S. and Canadian pipeline systems may reduce the amount of cash it generates.” for additional discussion on how our rates could be impacted by this policy change.</w:t>
      </w:r>
    </w:p>
    <w:p>
      <w:pPr>
        <w:spacing w:after="0" w:line="173"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i w:val="1"/>
          <w:iCs w:val="1"/>
          <w:color w:val="auto"/>
        </w:rPr>
        <w:t xml:space="preserve">Canadian Regulation. </w:t>
      </w:r>
      <w:r>
        <w:rPr>
          <w:rFonts w:ascii="Arial" w:cs="Arial" w:eastAsia="Arial" w:hAnsi="Arial"/>
          <w:sz w:val="16"/>
          <w:szCs w:val="16"/>
          <w:color w:val="auto"/>
        </w:rPr>
        <w:t>Our Canadian pipeline assets are subject to regulation by the NEB and by provincial authorities. With respect to a pipeline</w:t>
      </w:r>
      <w:r>
        <w:rPr>
          <w:rFonts w:ascii="Arial" w:cs="Arial" w:eastAsia="Arial" w:hAnsi="Arial"/>
          <w:sz w:val="16"/>
          <w:szCs w:val="16"/>
          <w:i w:val="1"/>
          <w:iCs w:val="1"/>
          <w:color w:val="auto"/>
        </w:rPr>
        <w:t xml:space="preserve"> </w:t>
      </w:r>
      <w:r>
        <w:rPr>
          <w:rFonts w:ascii="Arial" w:cs="Arial" w:eastAsia="Arial" w:hAnsi="Arial"/>
          <w:sz w:val="16"/>
          <w:szCs w:val="16"/>
          <w:color w:val="auto"/>
        </w:rPr>
        <w:t>over which it has jurisdiction, the relevant regulatory authority has the power, upon application by a third party, to determine the rates we are allowed to charge for transportation on, and set other terms of access to, such pipeline. In such circumstances, if the relevant regulatory authority determines that the applicable terms and conditions of service are not just and reasonable, the regulatory authority can impose conditions it considers appropriate.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Trucking Regulation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DOT. The trucking regulations cover, among other things: (i) driver operations, (ii) log book maintenance, (iii) truck manifest preparations, (iv) safety placard placement on the trucks and trailer vehicles, (v) drug and alcohol testing and (vi) operation and equipment safety. We are also subject to OSHA with respect to our U.S. trucking operations.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Our trucking assets in Canada are subject to regulation by both federal and provincial transportation agencies in the provinces in which they are operated. These regulatory agencies do not set freight rates, but do establish and administer rules and regulations relating to other matters including equipment, facility inspection, reporting and safety. We are licensed to operate both intra- and inter-provincially under the direction of the National Safety Code (“NSC”) that is administered by Transport Canada. Our for-hire service is primarily the transportation of crude oil, condensates and NGL. We are required under the NSC to, among other things, monitor: (i) driver operations, (ii) log book maintenance, (iii) truck manifest preparations, (iv) safety placard placement on the trucks and trailers, (v) operation and equipment safety and (vi) many other aspects of trucking operations. We are also subject to Occupational Health and Safety regulations with respect to our Canadian trucking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 Regulation</w:t>
      </w:r>
    </w:p>
    <w:p>
      <w:pPr>
        <w:spacing w:after="0" w:line="22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We own and operate a number of railcar loading and unloading facilities in the United States and Canada. In connection with these rail terminals, we own and lease a significant number of railcars. Our railcar operations are subject to the regulatory jurisdiction of the Federal Railroad Administration of the DOT, the OSHA, as well as other federal and state regulatory agencies and Canadian regulatory agencies for operations in Canada.</w:t>
      </w:r>
    </w:p>
    <w:p>
      <w:pPr>
        <w:spacing w:after="0" w:line="14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Railcar accidents involving trains carrying crude oil from North Dakota’s Bakken shale formation have led to increased regulatory scrutiny. PHMSA issued a safety advisory warning that Bakken crude may be more flammable than other grades of crude oil and reinforcing the requirement to properly test, characterize, classify, and, where appropriate, sufficiently degasify hazardous materials prior to and during transportation. PHMSA also initiated “Operation Classification,” a compliance initiative involving unannounced inspections and testing of crude oil samples to verify that offerors of the materials have properly classified, described and labeled the hazardous materials before transportation. In December 2015, Congress passed the Fixing America’s Surface Transportation (“FAST”) Act which was subsequently signed by the President. This legislation</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clarified the parameters around the timeline and requirements for railcars hauling crude oil in the United States. We believe our railcar fleet is in compliance in all material respects with current standards for crude oil moved by rail.</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December 2014, the North Dakota Industrial Commission adopted new standards to improve the safety of Bakken crude oil for transport. The new standard, Commission Order 25417, was effective April 1, 2015, and requires operators/producers to condition Bakken crude oil to certain vapor pressure limits. Under the order, all Bakken crude oil produced in North Dakota will be conditioned with no exceptions. The order requires operators/producers to separate light hydrocarbons from all Bakken crude oil to be transported and prohibits the blending of light hydrocarbons back into oil supplies prior to shipment. We are not directly responsible for the conditioning or stabilization of Bakken crude oil; however, under the order, it is our responsibility to notify the State of North Dakota upon discovering that Bakken crude oil received at our rail facility exceeds the permitted vapor pressure limits.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 Border Regulation</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As a result of our cross border activities, including transportation and importation of crude oil, NGL and natural gas between the United States and Canada, we are subject to a variety of legal requirements pertaining to such activities including presidential permit requirements, export/import license requirements, tariffs, Canadian and U.S. customs and taxes and requirements relating to toxic substances. U.S. legal requirements relating to these activities include regulations adopted pursuant to the Short Supply Controls of the Export Administration Act (“EAA”), the North American Free Trade Agreement (“NAFTA”) and the Toxic Substances Control Act (“TSCA”), as well as presidential permit requirements of the U.S. Department of State. In addition, the importation and exportation of natural gas from and to the United States and Canada is subject to regulation by U.S. Customs and Border Protection, U.S. Department of Energy and the NEB. Violations of these licensing, tariff and tax reporting requirements or failure to provide certifications relating to toxic substances could result in the imposition of significant administrative, civil and criminal penalties. Furthermore, the failure to comply with U.S. federal, state and local tax requirements, as well as Canadian federal and provincial tax requirements, could lead to the imposition of additional taxes, interest and penalties.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Anti-Manipulation Regulation</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November 2009, the Federal Trade Commission (“FTC”) issued regulations pursuant to the Energy Independence and Security Act of 2007, intended to prohibit market manipulation in the petroleum industry. Violators of the regulations face civil penalties of up to approximately $1.2 million per violation per day (adjusted annually for inflation). In July 2010, Congress passed the Dodd-Frank Act, which incorporated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In July 2011, the CFTC issued final rules to implement their new anti-manipulation authority. The rules subject violators to a civil penalty of up to the greater of approximately $1.1 million (adjusted annually for inflation) or triple the monetary gain to the person for each violation.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Storage Regulation</w:t>
      </w:r>
    </w:p>
    <w:p>
      <w:pPr>
        <w:spacing w:after="0" w:line="225"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Our natural gas storage operations are subject to regulatory oversight by numerous federal, state and local regulatory agencies, many of which are authorized by statute to issue, and have issued, rules and regulations binding on the natural gas storage and pipeline industry, related businesses and market participants. The failure to comply with such laws and regulations can result in substantial penalties and fines.</w:t>
      </w:r>
    </w:p>
    <w:p>
      <w:pPr>
        <w:spacing w:after="0" w:line="16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is a summary of the kinds of regulation that may impact our natural gas storage operations. However, our unitholders should not rely on such discussion as an exhaustive review of all regulatory considerations affecting our natural gas storage operations.</w:t>
      </w:r>
    </w:p>
    <w:p>
      <w:pPr>
        <w:spacing w:after="0" w:line="170"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Our natural gas storage facilities provide natural gas storage services in interstate commerce and are subject to comprehensive regulation by the FERC under the Natural Gas Act of 1938 (“NGA”). Pursuant to the NGA and FERC regulations, storage providers are prohibited from making or granting any undue preference or advantage to any person or subjecting any person to any undue prejudice or disadvantage or from maintaining any unreasonable difference in rates, charges, service, facilities, or in any other respect. The terms and conditions for services provided by our facilities are set forth in natural gas tariffs on file with the FERC. We have been granted market-based rate authorization for the services that our facilities provide. Market-based rate authority allows us to negotiate rates with individual customers based on market demand.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FERC also has authority over the siting, construction, and operation of United States pipeline transportation and storage facilities and related facilities used in the transportation, storage and sale for resale of natural gas in interstate commerce, including the extension, enlargement or abandonment of such facilities. The FERC’s authority extends to maintenance of accounts and records, terms and conditions of service, acquisition and disposition of facilities, initiation and discontinuation of services, imposition of creditworthiness and credit support requirements applicable to customers and relationships among pipelines and storage companies and certain affiliates. Our natural gas storage entities are required by the FERC to post certain information daily regarding customer activity, capacity and volumes on their respective websites. Additionally, the FERC has jurisdiction to impose rules and regulations applicable to all natural gas market participants to ensure market transparency. FERC regulations require that buyers and sellers of more than a de minimis volume of natural gas report annual numbers and volumes of relevant transactions to the FERC. Our natural gas storage facilities are subject to these annual reporting requirements.</w:t>
      </w:r>
    </w:p>
    <w:p>
      <w:pPr>
        <w:spacing w:after="0" w:line="18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Under the Energy Policy Act of 2005 (“EPAct 2005”) and related regulations, it is unlawful in connection with the purchase or sale of natural gas or transportation services subject to FERC jurisdiction to use or employ any device, scheme or artifice to defraud; to make any untrue statement of material fact or omit to make any such statement necessary to make the statements made not misleading; or to engage in any act or practice that operates as a fraud or deceit upon any person. EPAct 2005 gives the FERC civil penalty authority to impose penalties for certain violations of up to approximately $1.2 million per day for each violation (adjusted annually for inflation). FERC also has the authority to order disgorgement of profits from transactions deemed to violate the NGA and the EPAct 2005.</w:t>
      </w:r>
    </w:p>
    <w:p>
      <w:pPr>
        <w:spacing w:after="0" w:line="19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December 2016, PHMSA issued an interim final rule (“IFR”) that establishes minimum federal standards for salt dome underground natural gas storage facilities. The IFR imposes new requirements on “downhole facilities,” including wells, wellbore tubing and casings at underground natural gas storage facilities. The IFR addresses construction, maintenance, risk management and integrity management procedures for these facilities and includes registration and reporting obligations. The IFR adopts and incorporates by reference the requirements and recommendations contained in American Petroleum Institute (“API”) Recommended Practice 1170. The IFR required that existing salt dome underground natural gas storage facilities meet the appropriate requirements and mandatory recommendations of API 1170 by January 18, 2018. However, PHMSA issued a partial stay of the IFR’s requirements in June 2017. A final rule is expected in 2019. We do not anticipate that compliance with the final rule will have a significant adverse effect on our operations.</w:t>
      </w:r>
    </w:p>
    <w:p>
      <w:pPr>
        <w:spacing w:after="0" w:line="167"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The natural gas industry historically has been heavily regulated. New rules, orders, regulations or laws may be passed or implemented that impose additional costs, burdens or restrictions on us. We cannot give any assurance regarding the likelihood of such future rules, orders, regulations or laws or the effect they could have on our business, financial condition, and results of operations or ability to make distributions to our unitholders.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Hazards and Insurance</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We maintain various types and varying levels of insurance coverage that we consider adequate under the circumstances to cover our operations and properties, and we self-insure certain risks, including gradual pollution and named windstorm. With respect to our insurance, our policies are subject to deductibles and retention levels that we consider reasonable and not excessive. However, such insurance does not cover every potential risk that might occur, associated with operating pipelines, terminals and other facilities and equipment, including the potential loss of significant revenues and cash flows.</w:t>
      </w:r>
    </w:p>
    <w:p>
      <w:pPr>
        <w:spacing w:after="0" w:line="189"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Since the terrorist attacks of September 11, 2001, the United States Government has issued numerous warnings that energy assets, including our nation’s pipeline infrastructure, may be future targets of terrorist organizations. These developments expose our operations and assets to increased risks. We have instituted security measures and procedures in conformity with DOT or the Transportation Safety Administration guidance. We will institute, as appropriate, additional security measures or procedures indicated by the DOT or the Transportation Safety Administration. However, there can be no assurance that these or any other security measures would protect our facilities from an attack. Any future terrorist attacks on our facilities, those of our customers and, in some cases, those of our competitors, could have a material adverse effect on our business, whether insured or not.</w:t>
      </w:r>
    </w:p>
    <w:p>
      <w:pPr>
        <w:spacing w:after="0" w:line="16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occurrence of a significant event not fully insured, indemnified or reserved against, or the failure of a party to meet its indemnification obligations, could materially and adversely affect our operations and financial condition. We believe that we maintain adequate insurance coverage, although insurance will not cover many types of interruptions that might occur, will not cover amounts up to applicable deductibles and will not cover all risks associated with certain of our assets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operations. Additionally we self-insure certain risks including, gradual pollution and named windstorm. With respect to our insurance coverage,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to Properties and Rights-of-Way</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Our real property holdings generally consist of: (i) parcels of land that we own in fee, (ii) surface leases and underground storage leases and</w:t>
      </w:r>
    </w:p>
    <w:p>
      <w:pPr>
        <w:spacing w:after="0" w:line="23" w:lineRule="exact"/>
        <w:rPr>
          <w:sz w:val="20"/>
          <w:szCs w:val="20"/>
          <w:color w:val="auto"/>
        </w:rPr>
      </w:pPr>
    </w:p>
    <w:p>
      <w:pPr>
        <w:ind w:right="40" w:firstLine="8"/>
        <w:spacing w:after="0" w:line="270" w:lineRule="auto"/>
        <w:tabs>
          <w:tab w:leader="none" w:pos="315" w:val="left"/>
        </w:tabs>
        <w:numPr>
          <w:ilvl w:val="0"/>
          <w:numId w:val="29"/>
        </w:numPr>
        <w:rPr>
          <w:rFonts w:ascii="Arial" w:cs="Arial" w:eastAsia="Arial" w:hAnsi="Arial"/>
          <w:sz w:val="17"/>
          <w:szCs w:val="17"/>
          <w:color w:val="auto"/>
        </w:rPr>
      </w:pPr>
      <w:r>
        <w:rPr>
          <w:rFonts w:ascii="Arial" w:cs="Arial" w:eastAsia="Arial" w:hAnsi="Arial"/>
          <w:sz w:val="17"/>
          <w:szCs w:val="17"/>
          <w:color w:val="auto"/>
        </w:rPr>
        <w:t>easements, rights-of-way, permits, crossing agreements or licenses from landowners or governmental authorities permitting the use of certain lands for our operations. In all material respects, we believe we have satisfactory title or the right to use the sites upon which our significant facilities are located, subject to customary liens, restrictions or encumbrances. Except for challenges that we do not regard as material relative to our overall operations, we believe that we have satisfactory rights pursuant to all of our material leases, easements, rights-of-way, permits and licenses. Some of our real property rights (mainly for pipelines) may be subject to termination under agreements that provide for one or more of: periodic payments, term periods, renewal rights, abandonment of use, revocation by the licensor or grantor and possible relocation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Labor Relations</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To carry out our operations, through GP LLC or its affiliates, we employed approximately 4,900 employees at December 31, 2018. Of these employees, 149 are covered by four separate collective agreements, all of which are scheduled for renegotiation in 2019. We consider employee relations to be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Tax Considerations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The following is a summary of material U.S. federal income tax consequences and tax considerations related to the purchase, ownership and disposition of our Class A shares by a taxpayer that holds our Class A shares as a “capital asset” (generally property held for investment). This summary is based on the provisions of the Internal Revenue Code of 1986, as amended (“the Code”), U.S. Treasury regulations, administrative rulings and judicial decisions, all as in effect on the date hereof,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9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i w:val="1"/>
          <w:iCs w:val="1"/>
          <w:color w:val="auto"/>
        </w:rPr>
        <w:t>This summary does not address all aspects of U.S. federal income taxation or the tax considerations arising under the laws of any non-U.S., state, or local jurisdiction, or under U.S. federal estate and gift tax laws. In addition, this summary does not address tax considerations applicable to investors that may be subject to special treatment under the U.S. federal income tax laws. The tax consequences of ownership of Class A shares depends in part on the owner’s individual tax circumstances. It is the responsibility of each shareholder, either individually or through a tax advisor, to investigate the legal and tax consequences, under the laws of pertinent U.S. federal, states and localities, as well as Canada and the Canadian provinces, of the shareholder’s investment in us. Further, it is the responsibility of each shareholder to file all U.S. federal, Canadian, state, provincial and local tax returns that may be required of the shareholder. Also see Item 1A. “Risk Factors—Tax Risks.”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Status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Although we are a Delaware limited partnership, we have elected to be treated as a corporation for U.S. federal income tax purposes. As a result, we are subject to tax as a corporation and distributions on our Class A shares will be treated as distributions on corporate stock for U.S. federal income tax purposes. No Schedule K-1 will be issued with respect to our Class A shares. Instead, holders of Class A shares will receive a Form 1099 from us with respect to distributions received on our Class A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Consequences to U.S. Holders</w:t>
      </w:r>
    </w:p>
    <w:p>
      <w:pPr>
        <w:spacing w:after="0" w:line="225"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The discussion in this section is addressed to holders of our Class A shares who are U.S. holders for U.S. federal income tax purposes. For purposes of this discussion, a “U.S. holder” is a beneficial owner of our Class A shares that, for U.S. federal income tax purposes, is:</w:t>
      </w:r>
    </w:p>
    <w:p>
      <w:pPr>
        <w:spacing w:after="0" w:line="147"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980" w:right="40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25" w:lineRule="exact"/>
        <w:rPr>
          <w:rFonts w:ascii="Arial" w:cs="Arial" w:eastAsia="Arial" w:hAnsi="Arial"/>
          <w:sz w:val="18"/>
          <w:szCs w:val="18"/>
          <w:color w:val="auto"/>
        </w:rPr>
      </w:pPr>
    </w:p>
    <w:p>
      <w:pPr>
        <w:ind w:left="980" w:right="180" w:hanging="324"/>
        <w:spacing w:after="0" w:line="264"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trust (i) the administration of which is subjected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from the sale or exchange of such Class A shares. See “</w:t>
      </w:r>
      <w:r>
        <w:rPr>
          <w:rFonts w:ascii="Arial" w:cs="Arial" w:eastAsia="Arial" w:hAnsi="Arial"/>
          <w:sz w:val="17"/>
          <w:szCs w:val="17"/>
          <w:i w:val="1"/>
          <w:iCs w:val="1"/>
          <w:color w:val="auto"/>
        </w:rPr>
        <w:t>—</w:t>
      </w:r>
      <w:r>
        <w:rPr>
          <w:rFonts w:ascii="Arial" w:cs="Arial" w:eastAsia="Arial" w:hAnsi="Arial"/>
          <w:sz w:val="17"/>
          <w:szCs w:val="17"/>
          <w:color w:val="auto"/>
        </w:rPr>
        <w:t>Gain on Disposition of Class A Shares” below. Non-corporate holders that receive distributions on our Class A shares that are treated as dividends for U.S. federal income tax purposes generally will be subject to U.S. federal income tax at a reduced rate (currently at a maximum tax rate of 20%) provided certain holding period requirements are met.</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Both AAP and PAA have made elections permitted by Section 754 of the Code. As a result, our acquisition of AAP Class A units in connection with our IPO and in connection with exchanges since the IPO by the Legacy Owners and their permitted transferees of their AAP Class A units and Class B shares for Class A shares have resulted in basis adjustments with respect to our interest in the assets of AAP (and indirectly in PAA). Such adjustments have resulted in depreciation and amortization deductions that we anticipate will offset a substantial portion of our taxable income for an extended period of time. In addition, future exchanges of AAP Class A units and Class B shares for our Class A shares will result in additional basis adjustments with respect to our interest in the assets of AAP (and indirectly in PAA). We expect to benefit from additional tax deductions resulting from those adjustments, the amount of which will vary depending on the value of the Class A shares at the time of the exchange.</w:t>
      </w:r>
    </w:p>
    <w:p>
      <w:pPr>
        <w:spacing w:after="0" w:line="17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do not expect to have any earnings and profits for an extended period of time, which we estimate will include, at a minimum, each of the periods ending December 31, 2019 through 2021, and we may not have sufficient earnings and profits during future tax years for any distributions on our Class A shares to qualify as dividends for U.S. federal income tax purposes. If a distribution on our Class A shares fails to qualify as a dividend for U.S. federal income tax purposes, U.S. corporate holders would be unable to utilize the corporate dividends-received deduction with respect to such distribution.</w:t>
      </w:r>
    </w:p>
    <w:p>
      <w:pPr>
        <w:spacing w:after="0" w:line="15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Investors in our Class A shares are encouraged to consult their tax advisors as to the tax consequences of receiving distributions on our Class A shares that do not qualify as dividends for U.S. federal income tax purposes, including, in the case of corporate investors, the inability to claim the corporate dividends received deduction with respect to such distributions.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 Disposition of Class A Shares</w:t>
      </w:r>
    </w:p>
    <w:p>
      <w:pPr>
        <w:spacing w:after="0" w:line="22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our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U.S. federal income tax at a reduced rate (currently at a maximum rate of 20%). The deductibility of net capital losses is subject to limitations.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125"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information, or otherwise establish, in the manner prescribed by law, an exemption from backup withholding. Penalties apply for failure to furnish correct information and for failure to include reportable payments in income.</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Consequences to Non-U.S. Holders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discussion in this section is addressed to holders of our Class A shares who are non-U.S. holders for U.S. federal income tax purposes. For purposes of this discussion, a “non-U.S. holder” is a beneficial owner of our Class A shares that is an individual, corporation, estate or trust that is not a U.S. holder as defined above.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Distributions with respect to our Class A shares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be treated as a non-taxable return of capital to the extent of the non-U.S. holder’s tax basis in our common stock and thereafter as capital gain from the sale or exchange of such common stock. See “—Gain on Disposition of Class A Shares.” Subject to the withholding requirements under FATCA (as defined below) and with respect to effectively connected dividends, each of which is discussed below, any distribution paid to a non-U.S. holder on our Class A shares generally will be subject to U.S. withholding tax at a rate of 30% of the gross amount of the distribution or such lower rate as may be specified by an applicable income tax treaty. To receive the benefit of a reduced treaty rate on distributions, a non-U.S. holder must provide the applicable withholding agent with an IRS Form W-8BEN or IRS Form W-8BEN-E (or other applicable or successor form) certifying qualification for the reduced rate.</w:t>
      </w:r>
    </w:p>
    <w:p>
      <w:pPr>
        <w:spacing w:after="0" w:line="19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Non-U.S. holders are encouraged to consult their tax advisors regarding the withholding rules applicable to distributions on our Class A shares, the requirement for claiming treaty benefits, and any procedures required to obtain a refund of any overwithheld amounts.</w:t>
      </w:r>
    </w:p>
    <w:p>
      <w:pPr>
        <w:spacing w:after="0" w:line="1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Distributions treated as dividends that are paid to a non-U.S. holder and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if the non-U.S. holder satisfies certain certification requirements by providing the applicable withholding agent a properly executed IRS Form W-8ECI (or successor form) certifying eligibility for exemption. If a non-U.S. holder is a non-U.S. corporation, it may also be subject to a “branch profits tax” (at a 30% rate or such lower rate as may be specified by an applicable income tax treaty) on its effectively connected earnings and profits (as adjusted for certain items), which will include effectively connected dividends.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 Disposition of Class A Shares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Subject to the discussion below under “</w:t>
      </w:r>
      <w:r>
        <w:rPr>
          <w:rFonts w:ascii="Arial" w:cs="Arial" w:eastAsia="Arial" w:hAnsi="Arial"/>
          <w:sz w:val="16"/>
          <w:szCs w:val="16"/>
          <w:i w:val="1"/>
          <w:iCs w:val="1"/>
          <w:color w:val="auto"/>
        </w:rPr>
        <w:t>—</w:t>
      </w:r>
      <w:r>
        <w:rPr>
          <w:rFonts w:ascii="Arial" w:cs="Arial" w:eastAsia="Arial" w:hAnsi="Arial"/>
          <w:sz w:val="16"/>
          <w:szCs w:val="16"/>
          <w:color w:val="auto"/>
        </w:rPr>
        <w:t>Additional Withholding Requirements under FATCA,” a non-U.S. holder generally will not be subject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 federal income tax on any gain realized upon the sale or other disposition of our Class A shares unless:</w:t>
      </w:r>
    </w:p>
    <w:p>
      <w:pPr>
        <w:spacing w:after="0" w:line="211" w:lineRule="exact"/>
        <w:rPr>
          <w:sz w:val="20"/>
          <w:szCs w:val="20"/>
          <w:color w:val="auto"/>
        </w:rPr>
      </w:pPr>
    </w:p>
    <w:p>
      <w:pPr>
        <w:ind w:left="980" w:right="4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200" w:hanging="324"/>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Class A shares constitute a United States real property interest by reason of our status as a United States real property holding corporation (“USRPHC”) for U.S. federal income tax purposes and as a result such gain is treated as effectively connected with a trade or business conducted by the non-U.S. holder in the United States.</w:t>
      </w:r>
    </w:p>
    <w:p>
      <w:pPr>
        <w:spacing w:after="0" w:line="181"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A non-U.S. holder described in the first bullet point above will be subject to U.S. federal income tax at a rate of 30% (or such lower rate as may be specified by an applicable income tax treaty) on the amount of such gain, which generally may be offset by U.S. source capital losses.</w:t>
      </w:r>
    </w:p>
    <w:p>
      <w:pPr>
        <w:spacing w:after="0" w:line="14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may be specified by an applicable income tax treaty).</w:t>
      </w:r>
    </w:p>
    <w:p>
      <w:pPr>
        <w:spacing w:after="0" w:line="158" w:lineRule="exact"/>
        <w:rPr>
          <w:sz w:val="20"/>
          <w:szCs w:val="20"/>
          <w:color w:val="auto"/>
        </w:rPr>
      </w:pPr>
    </w:p>
    <w:p>
      <w:pPr>
        <w:ind w:right="60" w:firstLine="716"/>
        <w:spacing w:after="0" w:line="269" w:lineRule="auto"/>
        <w:rPr>
          <w:sz w:val="20"/>
          <w:szCs w:val="20"/>
          <w:color w:val="auto"/>
        </w:rPr>
      </w:pPr>
      <w:r>
        <w:rPr>
          <w:rFonts w:ascii="Arial" w:cs="Arial" w:eastAsia="Arial" w:hAnsi="Arial"/>
          <w:sz w:val="17"/>
          <w:szCs w:val="17"/>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continue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the Class A shares, more than 5% of our Class A shares will be treated as disposing of a United States real property interest and will be taxable on gain realized on the disposition of our Class A shares as a result of our status as a USRPHC. If our Class A shares were not considered to be regularly traded on an established securities market, such non-U.S. holder (regardless of the percentage of our Class A shares owned) would be treated as disposing of a United States real property interest and would be subject to U.S. federal income tax on a taxable disposition of our Class A shares (as described in the preceding paragraph), and a withholding tax would apply to the gross proceeds from such disposition at the applicable withholding rate (currently at a rate of 15%).</w:t>
      </w:r>
    </w:p>
    <w:p>
      <w:pPr>
        <w:spacing w:after="0" w:line="183" w:lineRule="exact"/>
        <w:rPr>
          <w:sz w:val="20"/>
          <w:szCs w:val="20"/>
          <w:color w:val="auto"/>
        </w:rPr>
      </w:pPr>
    </w:p>
    <w:p>
      <w:pPr>
        <w:ind w:right="220" w:firstLine="716"/>
        <w:spacing w:after="0" w:line="277" w:lineRule="auto"/>
        <w:rPr>
          <w:sz w:val="20"/>
          <w:szCs w:val="20"/>
          <w:color w:val="auto"/>
        </w:rPr>
      </w:pPr>
      <w:r>
        <w:rPr>
          <w:rFonts w:ascii="Arial" w:cs="Arial" w:eastAsia="Arial" w:hAnsi="Arial"/>
          <w:sz w:val="18"/>
          <w:szCs w:val="18"/>
          <w:color w:val="auto"/>
        </w:rPr>
        <w:t>Non-U.S. holders should consult their tax advisors with respect to the application of the foregoing rules to their ownership and disposition of our Class A shares.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Generally, we must report annually to the IRS and to each non-U.S. holder the amount of dividends paid to such holder, the name and address of the recipient, and the amount, if any, of tax withheld with respect to those dividends. These information reporting requirements apply even if withholding was not required. Pursuant to tax treaties or other agreements, the IRS may make such reports available to tax authorities in the recipient’s country of residence.</w:t>
      </w:r>
    </w:p>
    <w:p>
      <w:pPr>
        <w:jc w:val="both"/>
        <w:ind w:right="120"/>
        <w:spacing w:after="0" w:line="302" w:lineRule="auto"/>
        <w:rPr>
          <w:sz w:val="20"/>
          <w:szCs w:val="20"/>
          <w:color w:val="auto"/>
        </w:rPr>
      </w:pPr>
      <w:r>
        <w:rPr>
          <w:rFonts w:ascii="Arial" w:cs="Arial" w:eastAsia="Arial" w:hAnsi="Arial"/>
          <w:sz w:val="16"/>
          <w:szCs w:val="16"/>
          <w:color w:val="auto"/>
        </w:rPr>
        <w:t>Payments of dividends to a non-U.S. holder generally will not be subject to backup withholding if the non-U.S. holder establishes an exemption by properly certifying its non-U.S. status on an IRS Form W-8BEN, IRS Form W-8BEN-E or other appropriate version of IRS Form W-8, provided that the withholding agent does not have actual knowledge, or reason to know, that the beneficial owner is a United States person that is not an exempt recipient.</w:t>
      </w:r>
    </w:p>
    <w:p>
      <w:pPr>
        <w:spacing w:after="0" w:line="15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IRS Form W-8BEN-E or other appropriate version of IRS Form W-8 and certain other conditions are met. Information reporting and backup withholding generally will not apply to any payment of the proceeds from a sale or other disposition of our Class A shares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17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125" w:right="2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Withholding Requirements under FATCA</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Sections 1471 through 1474 of the Code, and the Treasury regulations and administrative guidance issued thereunder (“FATCA”), impose a 30% withholding tax on any dividends paid on our Class A shares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each direct and indirect substantial United States owner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We make available, free of charge on our Internet website at </w:t>
      </w:r>
      <w:r>
        <w:rPr>
          <w:rFonts w:ascii="Arial" w:cs="Arial" w:eastAsia="Arial" w:hAnsi="Arial"/>
          <w:sz w:val="18"/>
          <w:szCs w:val="18"/>
          <w:i w:val="1"/>
          <w:iCs w:val="1"/>
          <w:color w:val="auto"/>
        </w:rPr>
        <w:t>ir.pagp.com</w:t>
      </w:r>
      <w:r>
        <w:rPr>
          <w:rFonts w:ascii="Arial" w:cs="Arial" w:eastAsia="Arial" w:hAnsi="Arial"/>
          <w:sz w:val="18"/>
          <w:szCs w:val="18"/>
          <w:color w:val="auto"/>
        </w:rPr>
        <w:t xml:space="preserve">, our annual report on Form 10-K, quarterly reports on Form 10-Q, current reports on Form 8-K, and amendments to those reports filed or furnished pursuant to Section 13(a) or 15(d) of the Securities Exchange Act of 1934 as soon as reasonably practicable after we electronically file the material with, or furnish it to, the Securities and Exchange Commission (“SEC”). The SEC maintains an Internet site that contains reports, proxy and information statements, and other information regarding issuers that file electronically with the SEC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cash flow will be entirely dependent upon the ability of PAA to make cash distributions to AAP, and the ability of AAP to make cash distributions to us.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source of our earnings and cash flow currently consists exclusively of cash distributions from AAP, which currently consist exclusively of cash distributions from PAA. The amount of cash that PAA will be able to distribute to its partners, including AAP, each quarter principally depends upon the amount of cash it generates from its business. For a description of certain factors that can cause fluctuations in the amount of cash that PAA generates from its business, please read “—Risks Related to PAA’s Business” and “Management’s Discussion and Analysis of Financial Condition and Results of Operations.” PAA may not have sufficient available cash each quarter to continue paying distributions at its current level or at all. If PAA reduces its per unit distribution, either because of reduced operating cash flow, higher expenses, capital requirements or otherwise, we will have less cash available for distribution and would likely be required to reduce our per share distribution. The amount of cash PAA has available for distribution depends primarily upon PAA’s cash flow, including cash flow from the release of financial reserves as well as borrowings, and is not solely a function of profitability, which will be affected by non-cash items. As a result, PAA may make cash distributions during periods when it records losses and may not make cash distributions during periods when it records profits.</w:t>
      </w:r>
    </w:p>
    <w:p>
      <w:pPr>
        <w:spacing w:after="0" w:line="17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Furthermore, AAP’s ability to distribute cash to us and our ability to distribute cash received from AAP to our Class A shareholders is limited by a number of factors, including:</w:t>
      </w:r>
    </w:p>
    <w:p>
      <w:pPr>
        <w:spacing w:after="0" w:line="62"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payment of any income taxes;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restrictions on distributions contained in PAA’s credit facilities and any future debt agreements entered into by AAP, PAA or us; and</w:t>
      </w:r>
    </w:p>
    <w:p>
      <w:pPr>
        <w:spacing w:after="0" w:line="128" w:lineRule="exact"/>
        <w:rPr>
          <w:rFonts w:ascii="Arial" w:cs="Arial" w:eastAsia="Arial" w:hAnsi="Arial"/>
          <w:sz w:val="17"/>
          <w:szCs w:val="17"/>
          <w:color w:val="auto"/>
        </w:rPr>
      </w:pPr>
    </w:p>
    <w:p>
      <w:pPr>
        <w:ind w:left="980" w:right="20" w:hanging="324"/>
        <w:spacing w:after="0" w:line="342"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reserves our general partner establishes for the proper conduct of our business, to comply with applicable law or any agreement binding on us or our subsidiaries (exclusive of PAA and its subsidiaries), which reserves are not subject to a limit pursuant to our partnership agreement.</w:t>
      </w:r>
    </w:p>
    <w:p>
      <w:pPr>
        <w:spacing w:after="0" w:line="12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 material increase in amounts paid or reserved with respect to any of these factors could restrict our ability to pay quarterly distributions to our Class A shareholders.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distributions AAP is entitled to receive may fluctuate, which may reduce cash distributions to our Class A shareholders.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At December 31, 2018, we directly and indirectly owned an approximate 57% limited partner interest in AAP, which owned 280,514,112 PAA common units. All of the cash flow we receive from AAP is derived from its ownership of these PAA common units. Because distributions on PAA common units are dependent on the amount of cash PAA generates, distributions may fluctuate based on PAA’s performance. The actual amount of cash that is available to be distributed each quarter will depend on numerous factors, some of which are beyond our control and the control of PAA. Cash distributions are dependent primarily on cash flow, including cash flow from financial reserves and working capital borrowings, and not solely on profitability, which is affected by non-cash items. Therefore, PAA’s cash distributions might be made during periods when PAA records losses and might not be made during periods when PAA record profits.</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distributions on our Class A shares are not paid with respect to any fiscal quarter, our Class A shareholders will not be entitled to receive that quarter’s payments in the future.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distributions to our Class A shareholders are not cumulative. Consequently, if distributions on our Class A shares are not paid with respect to any fiscal quarter, our Class A shareholders will not be entitled to receive that quarter’s payments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amount of cash that we and PAA distribute each quarter may limit our ability to grow.</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Because we distribute all of our available cash, our growth may not be as fast as the growth of businesses that reinvest their available cash to expand ongoing operations. In fact, because currently our cash flow is generated solely from distributions we receive from AAP, which are derived from AAP’s partnership interests in PAA, our growth will initially be completely dependent upon PAA. The amount of distributions received by AAP is based on PAA’s per unit distribution paid on each PAA common unit and the number of PAA common units that AAP owns. If we issue additional Class A shares or we were to incur debt or are required to pay taxes, the payment of distributions on those additional Class A shares, or interest on such debt or payment of such taxes could increase the risk that we will be unable to maintain or increase our cash distribution levels.</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Restrictions in PAA’s credit facilities could limit AAP’s ability to make distributions to us, thereby limiting our ability to make distributions to our Class A shareholders.</w:t>
      </w:r>
    </w:p>
    <w:p>
      <w:pPr>
        <w:spacing w:after="0" w:line="170"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PAA’s credit facilities contain various operating and financial restrictions and covenants. PAA’s ability to comply with these restrictions and covenants may be affected by events beyond its control, including prevailing economic, financial and industry conditions. If PAA is unable to comply with these restrictions and covenants, any indebtedness under these credit facilities may become immediately due and payable and PAA’s lenders’ commitment to make further loans under these credit facilities may terminate. PAA might not have, or be able to obtain, sufficient funds to make these accelerated payments.</w:t>
      </w:r>
    </w:p>
    <w:p>
      <w:pPr>
        <w:spacing w:after="0" w:line="15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For more information regarding PAA’s credit facilities, please read “Management’s Discussion and Analysis of Financial Condition and Results of Operations—Liquidity and Capital Resources.” For information regarding risks related to PAA’s credit facilities, please see “—Risks Related to PAA’s Business—The terms of PAA’s indebtedness may limit its ability to borrow additional funds or capitalize on business opportunities. In addition, PAA’s future debt level may limit its future financial and operating flexibility.”</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shareholders do not elect or have the power to remove our general partner. The Class B shareholders own a sufficient number of shares to allow them to prevent the removal of our general partner.</w:t>
      </w:r>
    </w:p>
    <w:p>
      <w:pPr>
        <w:spacing w:after="0" w:line="170"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 xml:space="preserve">Our shareholders have only limited voting rights on matters affecting our business and, therefore, limited ability to influence management’s decisions regarding our business. If our Class A shareholders are dissatisfied with the performance of our general partner, they have little ability to remove our general partner. Our general partner may only be removed by vote of the holders of at least 66 </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outstanding shares (including both Class A and Class B shares). At December 31, 2018, the Legacy Owners owned approximately 43% of our outstanding Class A and Class B shares. This ownership level enables the Legacy Owners to prevent our general partner’s removal.</w:t>
      </w:r>
    </w:p>
    <w:p>
      <w:pPr>
        <w:spacing w:after="0" w:line="18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a result of these provisions, the price at which our shares trade may be lower because of the absence or reduction of a takeover premium in the trading price.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Our general partner may cause us to issue additional Class A shares or other equity securities, including equity securities that are senior to our Class A shares, or cause AAP to issue additional securities, in each case without shareholder approval, which may adversely affect our shareholders.</w:t>
      </w:r>
    </w:p>
    <w:p>
      <w:pPr>
        <w:spacing w:after="0" w:line="10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general partner may cause us to issue an unlimited number of additional Class A shares or other equity securities of equal rank with the Class A shares, or cause AAP to issue additional securities, in each case without shareholder approval. In addition, we may issue an unlimited number of shares that are senior to our Class A shares in right of distribution, liquidation and voting. Except for Class A shares issued in connection with the exercise of an Exchange Right, which will result in the cancellation of an equivalent number of Class B shares and therefore have no effect on the total number of outstanding shares, the issuance of additional Class A shares or our other equity securities of equal or senior rank, or the issuance by AAP of additional securities, will have the following effects:</w:t>
      </w:r>
    </w:p>
    <w:p>
      <w:pPr>
        <w:spacing w:after="0" w:line="85"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shareholder’s proportionate ownership interest in us may decrease;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Class A share may decrease;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Class A share may be diminished;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ratio of taxable income to distributions may increase;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market price of the Class A shares may decline.</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PAA’s unitholders remove PAA GP, AAP may be required to sell or exchange its indirect general partner interest and we would lose the ability to manage and control PAA.</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We currently manage our investment in PAA through our membership interest in GP LLC, the general partner of AAP. PAA’s partnership agreement, however, gives unitholders of PAA the right to remove PAA GP upon the affirmative vote of holders of 66 </w:t>
      </w:r>
      <w:r>
        <w:rPr>
          <w:rFonts w:ascii="Arial" w:cs="Arial" w:eastAsia="Arial" w:hAnsi="Arial"/>
          <w:sz w:val="11"/>
          <w:szCs w:val="11"/>
          <w:color w:val="auto"/>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of PAA’s outstanding units. If PAA GP withdraws as general partner in compliance with PAA’s partnership agreement or is removed as general partner of PAA where cause (as defined in PAA’s partnership agreement) does not exist and a successor general partner is elected in accordance with PAA’s partnership agreement, AAP will receive cash in exchange for its general partner interest. If PAA GP withdraws in circumstances other than those described in the preceding sentence and a successor general partner is elected in accordance with PAA’s partnership agreement, the successor general partner will purchase the general partner interest for its fair market value. If PAA GP’s interests are not purchased in accordance with the foregoing theory, they would be converted into common units based on an independent valuation. In each case, PAA GP would also lose its ability to manage PAA.</w:t>
      </w:r>
    </w:p>
    <w:p>
      <w:pPr>
        <w:spacing w:after="0" w:line="179"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In addition, if PAA GP is removed as general partner of PAA, we would face an increased risk of being deemed an investment company. Please read “—If in the future we cease to manage and control PAA, we may be deemed to be an investment company under the Investment Company Act of 1940.”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may not have limited liability if a court finds that shareholder action constitutes control of our business.</w:t>
      </w:r>
    </w:p>
    <w:p>
      <w:pPr>
        <w:spacing w:after="0" w:line="225"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Under Delaware law, our shareholders could be held liable for our obligations to the same extent as a general partner if a court determined that the right or the exercise of the right by our shareholders as a group to remove or replace our general partner, to approve some amendments to the partnership agreement or to take other action under our partnership agreement constituted participation in the “control” of our business. Additionally, the limitations on the liability of holders of limited partner interests for the liabilities of a limited partnership have not been clearly established in many jurisdictions.</w:t>
      </w:r>
    </w:p>
    <w:p>
      <w:pPr>
        <w:spacing w:after="0" w:line="15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Furthermore, Section 17-607 of the Delaware Revised Uniform Limited Partnership Act provides that, under some circumstances, a shareholder may be liable to us for the amount of a distribution for a period of three years from the date of the distribution.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125"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in the future we cease to manage and control PAA, we may be deemed to be an investment company under the Investment Company Act of 1940.</w:t>
      </w:r>
    </w:p>
    <w:p>
      <w:pPr>
        <w:spacing w:after="0" w:line="24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If we cease to indirectly manage and control PAA and are deemed to be an investment company under the Investment Company Act of 1940, we would either have to register as an investment company under the Investment Company Act of 1940, obtain exemptive relief from the SEC or modify our organizational structure or our contractual rights to fall outside the definition of an investment company. Registering as an investment company could, among other things, materially limit our ability to engage in transactions with affiliates, including the purchase and sale of certain securities or other property to or from our affiliates, restrict the ability of PAA and us to borrow funds or engage in other transactions involving leverage, require us to add additional directors who are independent of us and our affiliates, and adversely affect the price of our Class A shares.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partnership agreement restricts the rights of shareholders owning 20% or more of our shares.</w:t>
      </w:r>
    </w:p>
    <w:p>
      <w:pPr>
        <w:spacing w:after="0" w:line="2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Our shareholders’ voting rights are restricted by the provision in our partnership agreement generally providing that any shares held by a person or group that owns 20% or more of any class of shares then outstanding, other than our general partner, the Legacy Owners (or certain transferees in private, non-exchange transactions), their respective affiliates and persons who acquired such shares with the prior approval of our general partner’s board of directors, cannot be voted on any matter, except that such shares constituting up to 19.9% of the total shares outstanding may be voted in the election of directors. In addition, our partnership agreement contains provisions limiting the ability of our shareholders to call meetings or to acquire information about our operations, as well as other provisions limiting our shareholders’ ability to influence the manner or direction of our management. As a result, the price at which our Class A shares will trade may be lower because of the absence or reduction of a takeover premium in the trading price.</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PAA’s general partner, which is owned by AAP, is not fully reimbursed or indemnified for obligations and liabilities it incurs in managing the business and affairs of PAA, its value, and, therefore, the value of our Class A shares, could decline.</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AAP, GP LLC and their affiliates may make expenditures on behalf of PAA for which PAA GP will seek reimbursement from PAA. Under Delaware partnership law, PAA GP has unlimited liability for the obligations of PAA, such as its debts and environmental liabilities, except for those contractual obligations of PAA that are expressly made without recourse to the general partner. To the extent PAA GP incurs obligations on behalf of PAA, it is entitled to be reimbursed or indemnified by PAA. If PAA is unable or unwilling to reimburse or indemnify PAA GP, PAA GP may be required to satisfy those liabilities or obligations, which would reduce AAP’s cash flows to us.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Class A shares may be volatile, and holders of our Class A shares could lose a significant portion of their investments.</w:t>
      </w:r>
    </w:p>
    <w:p>
      <w:pPr>
        <w:spacing w:after="0" w:line="23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market price of our Class A shares could be volatile, and our shareholders may not be able to resell their Class A shares at or above the price at which they purchased such Class A shares due to fluctuations in the market price of the Class A shares, including changes in price caused by factors unrelated to our operating performance or prospects or the operating performance or prospects of PAA. The following factors, among others, could affect our Class A share price:</w:t>
      </w:r>
    </w:p>
    <w:p>
      <w:pPr>
        <w:spacing w:after="0" w:line="79"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PAA’s operating and financial performance and prospects and the trading price of its common units;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level of PAA’s quarterly distributions and our quarterly distributions;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quarterly variations in the rate of growth of our financial indicators, such as distributable cash flow per Class A share, net income and revenues;</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revenue or earnings and distribution estimates or publication of research reports by analysts;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speculation by the press or investment community;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our Class A shares by our shareholders;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exercise by the Legacy Owners of their exchange rights with respect to any retained AAP units;</w:t>
      </w:r>
    </w:p>
    <w:p>
      <w:pPr>
        <w:spacing w:after="0" w:line="117"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by PAA or its competitors of significant contracts, acquisitions, strategic partnerships, joint ventures, securities offerings or capital commitments;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market conditions, including conditions in financial markets;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changes in tax laws or regulations;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125" w:right="2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related to PAA’s performance;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factors described in these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interest rates may cause the market price of our shares to decline.</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Like all equity investments, an investment in our Class A shares is subject to certain risks. In exchange for accepting these risks, investors may expect to receive a higher rate of return than would otherwise be obtainable from lower-risk investments. Accordingly, as interest rates rise, the ability of investors to obtain higher risk-adjusted rates of return by purchasing government-backed debt securities may cause a corresponding decline in demand for riskier investments generally, including yield-based equity investments such as publicly traded limited partnership interests. Reduced demand for our Class A shares resulting from investors seeking other more favorable investment opportunities may cause the trading price of our Class A shares to decline.</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Future sales of our Class A shares in the public market could reduce our Class A share price, and any additional capital raised by us through the sale of equity or convertible securities may have a dilutive effect on our shareholders.</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Subject to certain limitations and exceptions, holders of AAP units may exchange their AAP units (together with a corresponding number of Class B shares) for Class A shares (on a one-for-one basis, subject to customary conversion rate adjustments for equity splits and reclassification and other similar transactions) and then sell those Class A shares. We may also issue additional Class A shares or convertible securities in subsequent public or private offerings.</w:t>
      </w:r>
    </w:p>
    <w:p>
      <w:pPr>
        <w:spacing w:after="0" w:line="18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cannot predict the size of future issuances of our Class A shares or securities convertible into Class A shares or the effect, if any, that future issuances and sales of our Class A shares will have on the market price of our Class A shares. Sales of substantial amounts of our Class A shares (including shares issued in connection with an acquisition), or the perception that such sales could occur, may adversely affect prevailing market prices of our Class A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Legacy Owners hold a significant portion of the combined voting power of our Class A and Class B shares.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At December 31, 2018, through their ownership of Class B shares, the Legacy Owners held approximately 43% of the combined voting power of our Class A and Class B shares. The Legacy Owners are entitled to act separately in their own respective interests with respect to their partnership interests in us, and collectively they currently have the ability to influence (i) the outcome of all matters requiring shareholder approval, including certain mergers and other material transactions and (ii) a change in the composition of our board of directors or a change in control of our company that could deprive our shareholders of an opportunity to receive a premium for their Class A shares as part of a sale of our company. So long as the Legacy Owners continue to own a significant amount of our outstanding shares, even if such amount is less than 50%, they will continue to be able to strongly influence all matters requiring shareholder approval, regardless of whether or not other shareholders believe that such matters are in their own best interests.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valuation allowance on our deferred tax asset could reduce our earnings.</w:t>
      </w:r>
    </w:p>
    <w:p>
      <w:pPr>
        <w:spacing w:after="0" w:line="22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As of December 31, 2018, we have a gross deferred tax asset of approximately $1.3 billion. GAAP requires that a valuation allowance must be established for deferred tax assets when it is more likely than not that they will not be realized. We believe that the deferred tax asset we recorded through 2018 will be realized and that a valuation allowance is not required. However, if we were to determine that a valuation allowance was appropriate for our deferred tax asset, we would be required to take an immediate charge to earnings with a corresponding reduction of partners’ capital and increase in balance sheet leverage as measured by debt-to-total capitalization. In light of the Tax Cuts and Jobs Act of 2017, a valuation allowance will not be required for any U.S. federal deferred tax asset created after 2017.</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New York Stock Exchange (“NYSE”) does not require a limited partnership like us to comply with certain of its corporate governance requirements.</w:t>
      </w:r>
    </w:p>
    <w:p>
      <w:pPr>
        <w:spacing w:after="0" w:line="26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Because we are a limited partnership, the NYSE does not require our general partner to have a majority of independent directors on its board of directors or to establish a compensation committee or a nominating and corporate governance committee. Accordingly, our shareholders do not have the same protections afforded to certain corporations that are subject to all of the NYSE corporate governance requirements. In addition, as a limited partnership we are not required to seek shareholder approval for issuances of Class A shares, including issuances in excess of 20% of our outstanding equity securities, or for issuances of equity to certain affiliates.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liability as a result of our ownership of our and PAA’s general partner.</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Under Delaware law, a general partner of a limited partnership is generally liable for the debts and liabilities of the partnership for which it serves as general partner, subject to the terms of any indemnification agreements contained in the partnership agreement and except to the extent the partnership’s contracts are non-recourse to the general partner. As a result of our structure, we indirectly own and control the general partner of PAA and own a portion of our general partner’s membership interests. Our percentage ownership of our general partner is expected to increase over time as the Legacy Owners exercise their exchange rights. To the extent the indemnification provisions in the applicable partnership agreement or non-recourse provisions in our contracts are not sufficient to protect us from such liability, we may in the future incur liabilities as a result of our ownership of these general partner entities.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Conflicts of Interest</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existing organizational structure and the relationships among us, PAA, our respective general partners, the Legacy Owners and affiliated entities present the potential for conflicts of interest. Moreover, additional conflicts of interest may arise in the future among us and the entities affiliated with any general partner or similar interests we acquire or among PAA and such entities.</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Conflicts of interest may arise as a result of our organizational structure and the relationships among us, PAA, our respective general partners, the Legacy Owners and affiliated entities.</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partnership agreement defines the duties of our general partner (and, by extension, its officers and directors). Our general partner’s board of directors or its conflicts committee will have authority on our behalf to resolve any conflict involving us and they have broad latitude to consider the interests of all parties to the conflict.</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Conflicts of interest may arise between us and our shareholders, on the one hand, and our general partner and its owners and affiliated entities, on the other hand, or between us and our shareholders, on the one hand, and PAA and its unitholders, on the other hand. The resolution of these conflicts may not always be in our best interest or that of our shareholders.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partnership agreement defines our general partner’s duties to us and contains provisions that reduce the remedies available to our shareholders for actions that might otherwise be challenged as breaches of fiduciary or other duties under state law.</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Our partnership agreement contains provisions that substantially reduce the standards to which our general partner would otherwise be held by state fiduciary duty law. For example, our partnership agreement:</w:t>
      </w:r>
    </w:p>
    <w:p>
      <w:pPr>
        <w:spacing w:after="0" w:line="62" w:lineRule="exact"/>
        <w:rPr>
          <w:sz w:val="20"/>
          <w:szCs w:val="20"/>
          <w:color w:val="auto"/>
        </w:rPr>
      </w:pPr>
    </w:p>
    <w:p>
      <w:pPr>
        <w:ind w:left="980" w:right="140" w:hanging="324"/>
        <w:spacing w:after="0" w:line="297"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permits our general partner to make a number of decisions in its individual capacity, as opposed to in its capacity as our general partner. This entitles our general partner to consider only the interests and factors that it desires, and it has no duty or obligation to give any consideration to any interest of, or factors affecting, us, the Legacy Owners, our affiliates or any limited partner. Examples include its right to vote membership interests in our general partner held by us, the exercise of its limited call right, its rights to transfer or vote any shares it may own, and its determination whether or not to consent to any merger or consolidation of our partnership or amendment to our partnership agreement;</w:t>
      </w:r>
    </w:p>
    <w:p>
      <w:pPr>
        <w:spacing w:after="0" w:line="50" w:lineRule="exact"/>
        <w:rPr>
          <w:rFonts w:ascii="Arial" w:cs="Arial" w:eastAsia="Arial" w:hAnsi="Arial"/>
          <w:sz w:val="16"/>
          <w:szCs w:val="16"/>
          <w:color w:val="auto"/>
        </w:rPr>
      </w:pPr>
    </w:p>
    <w:p>
      <w:pPr>
        <w:ind w:left="980" w:hanging="324"/>
        <w:spacing w:after="0" w:line="264"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generally provides that our general partner will not have any liability to us or our shareholders for decisions made in its capacity as a general partner so long as it acted in good faith which, pursuant to our partnership agreement, requires a subjective belief that the determination, or other action or anticipated result thereof is in, or not opposed to, our best interests;</w:t>
      </w:r>
    </w:p>
    <w:p>
      <w:pPr>
        <w:spacing w:after="0" w:line="73" w:lineRule="exact"/>
        <w:rPr>
          <w:rFonts w:ascii="Arial" w:cs="Arial" w:eastAsia="Arial" w:hAnsi="Arial"/>
          <w:sz w:val="18"/>
          <w:szCs w:val="18"/>
          <w:color w:val="auto"/>
        </w:rPr>
      </w:pPr>
    </w:p>
    <w:p>
      <w:pPr>
        <w:ind w:left="980" w:right="120" w:hanging="324"/>
        <w:spacing w:after="0" w:line="286" w:lineRule="auto"/>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generally provides that any resolution or course of action adopted by our general partner and its affiliates in respect of a conflict of interest will be permitted and deemed approved by all of our partners, and will not constitute a breach of our partnership agreement or any duty stated or implied by law or equity if the resolution or course of action in respect of such conflict of interest is:</w:t>
      </w:r>
    </w:p>
    <w:p>
      <w:pPr>
        <w:spacing w:after="0" w:line="57" w:lineRule="exact"/>
        <w:rPr>
          <w:rFonts w:ascii="Arial" w:cs="Arial" w:eastAsia="Arial" w:hAnsi="Arial"/>
          <w:sz w:val="17"/>
          <w:szCs w:val="17"/>
          <w:color w:val="auto"/>
        </w:rPr>
      </w:pPr>
    </w:p>
    <w:p>
      <w:pPr>
        <w:ind w:left="1620" w:right="100" w:hanging="315"/>
        <w:spacing w:after="0" w:line="308" w:lineRule="auto"/>
        <w:tabs>
          <w:tab w:leader="none" w:pos="162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approved by a majority of the members of our general partner’s conflicts committee after due inquiry, based on a subjective belief that the course of action or determination that is the subject of such approval is fair and reasonable to us;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1620" w:right="420" w:hanging="315"/>
        <w:spacing w:after="0" w:line="308" w:lineRule="auto"/>
        <w:tabs>
          <w:tab w:leader="none" w:pos="162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approved by majority vote of our Class A shares and Class B shares (excluding Class C shares and excluding shares owned by our general partner and its affiliates, but including shares owned by the Legacy Owners) voting together as a single class;</w:t>
      </w:r>
    </w:p>
    <w:p>
      <w:pPr>
        <w:spacing w:after="0" w:line="38" w:lineRule="exact"/>
        <w:rPr>
          <w:rFonts w:ascii="Arial" w:cs="Arial" w:eastAsia="Arial" w:hAnsi="Arial"/>
          <w:sz w:val="17"/>
          <w:szCs w:val="17"/>
          <w:color w:val="auto"/>
        </w:rPr>
      </w:pPr>
    </w:p>
    <w:p>
      <w:pPr>
        <w:ind w:left="1620" w:right="240" w:hanging="315"/>
        <w:spacing w:after="0" w:line="277" w:lineRule="auto"/>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determined by our general partner (after due inquiry) to be on terms no less favorable to us than those generally being provided to or available from unrelated third parties; or</w:t>
      </w:r>
    </w:p>
    <w:p>
      <w:pPr>
        <w:spacing w:after="0" w:line="62" w:lineRule="exact"/>
        <w:rPr>
          <w:rFonts w:ascii="Arial" w:cs="Arial" w:eastAsia="Arial" w:hAnsi="Arial"/>
          <w:sz w:val="18"/>
          <w:szCs w:val="18"/>
          <w:color w:val="auto"/>
        </w:rPr>
      </w:pPr>
    </w:p>
    <w:p>
      <w:pPr>
        <w:ind w:left="1620" w:right="180" w:hanging="315"/>
        <w:spacing w:after="0" w:line="264" w:lineRule="auto"/>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determined by our general partner (after due inquiry) to be fair and reasonable to us, which determination may be made taking into account the circumstances and the relationships among the parties involved (including our short-term or long-term interests and other arrangements or relationships that could be considered favorable or advantageous to us).</w:t>
      </w:r>
    </w:p>
    <w:p>
      <w:pPr>
        <w:spacing w:after="0" w:line="73" w:lineRule="exact"/>
        <w:rPr>
          <w:rFonts w:ascii="Arial" w:cs="Arial" w:eastAsia="Arial" w:hAnsi="Arial"/>
          <w:sz w:val="18"/>
          <w:szCs w:val="18"/>
          <w:color w:val="auto"/>
        </w:rPr>
      </w:pPr>
    </w:p>
    <w:p>
      <w:pPr>
        <w:ind w:left="980" w:hanging="324"/>
        <w:spacing w:after="0" w:line="273" w:lineRule="auto"/>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provides that, to the fullest extent permitted by law, in connection with any action or inaction of, or determination made by, our general partner or the conflicts committee of our general partner’s board of directors with respect to any matter relating to us, it shall be presumed that our general partner or the conflicts committee of our general partner’s board of directors acted in a manner that satisfied the contractual standards set forth in our partnership agreement, and in any proceeding brought by any limited partner or by or on behalf of such limited partner or any other limited partner or our partnership challenging any such action or inaction of, or determination made by, our general partner, the person bringing or prosecuting such proceeding shall have the burden of overcoming such presumption; and</w:t>
      </w:r>
    </w:p>
    <w:p>
      <w:pPr>
        <w:spacing w:after="0" w:line="70" w:lineRule="exact"/>
        <w:rPr>
          <w:rFonts w:ascii="Arial" w:cs="Arial" w:eastAsia="Arial" w:hAnsi="Arial"/>
          <w:sz w:val="17"/>
          <w:szCs w:val="17"/>
          <w:color w:val="auto"/>
        </w:rPr>
      </w:pPr>
    </w:p>
    <w:p>
      <w:pPr>
        <w:ind w:left="980" w:right="20" w:hanging="324"/>
        <w:spacing w:after="0" w:line="259"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provides that our general partner and its officers and directors will not be liable for monetary damages to us, our limited partners or assignees for any acts or omissions unless there has been a final and non-appealable judgment entered by a court of competent jurisdiction determining that our general partner or those other persons acted in bad faith or engaged in fraud or willful misconduct or, in the case of a criminal matter, acted with knowledge that such person’s conduct was criminal.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Legacy Owners may have interests that conflict with holders of our Class A shares.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At December 31, 2018, the Legacy Owners owned approximately 43% of our outstanding Class A and Class B shares and approximately 43% of the AAP units. As a result, the Legacy Owners may have conflicting interests with holders of Class A shares. For example, the Legacy Owners may have different tax positions from us which could influence their decisions regarding whether and when to cause us to dispose of assets.</w:t>
      </w:r>
    </w:p>
    <w:p>
      <w:pPr>
        <w:spacing w:after="0" w:line="166"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Furthermore, conflicts of interest could arise in the future between us, on the one hand, and the Legacy Owners, on the other hand, concerning among other things, potential competitive business activities or business opportunities. These conflicts of interest may not be resolved in our favor.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presented with business opportunities, PAA has the first right to pursue such opportunities.</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Pursuant to the administrative agreement, we have agreed to certain business opportunity arrangements to address potential conflicts with respect to business opportunities that may arise among us, our general partner, PAA, PAA GP, AAP and GP LLC. If a business opportunity is presented to us, our general partner, PAA, PAA GP, AAP or GP LLC, then PAA will have the first right to pursue such business opportunity. We have the right to pursue and/or participate in such business opportunity if invited to do so by PAA, or if PAA abandons the business opportunity and GP LLC so notifies our general partner. Accordingly, the terms of the administrative agreement limit our ability to pursue business opportunities.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partner’s affiliates and the Legacy Owners may compete with us.</w:t>
      </w:r>
    </w:p>
    <w:p>
      <w:pPr>
        <w:spacing w:after="0" w:line="225"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Our partnership agreement provides that our general partner will be restricted from engaging in any business activities other than acting as our general partner and those activities incidental to its ownership of interests in us. The restrictions contained in our general partner’s limited liability company agreement are subject to a number of exceptions. Affiliates of our general partner and the Legacy Owners will not be prohibited from engaging in other businesses or activities that might be in direct competition with us except to the extent they compete using our confidential information.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call right that may require our shareholders to sell their Class A shares at an undesirable time or price.</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If at any time more than 80% of our outstanding Class A shares and Class B shares on a combined basis (including Class A shares issuable upon the exchange of Class B shares) are owned by our general partner, the Legacy Owners (or certain transferees in private, non-exchange transactions) or their respective affiliates, our general partner will have the right (which it may assign to any of its affiliates, the Legacy Owners or us),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certain transferees in private, non-exchange transactions) or their respective affiliates for such shares during the 90 day period preceding the date such notice is first mailed. As a result, holders of our Class A shares may be required to sell such Class A shares at an undesirable time or price and may not receive any return of or on their investment. Class A shareholders may also incur a tax liability upon a sale of their Class A shares. At December 31, 2018, the Legacy Owners owned approximately 43% of the Class A shares and Class B shares on a combined basis.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PAA’s Business</w:t>
      </w:r>
    </w:p>
    <w:p>
      <w:pPr>
        <w:spacing w:after="0" w:line="22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PAA’s profitability depends on the volume of crude oil, natural gas and NGL shipped, processed, purchased, stored, fractionated and/or gathered at or through the use of its facilities, which can be negatively impacted by a variety of factors outside of its control.</w:t>
      </w:r>
    </w:p>
    <w:p>
      <w:pPr>
        <w:spacing w:after="0" w:line="147" w:lineRule="exact"/>
        <w:rPr>
          <w:sz w:val="20"/>
          <w:szCs w:val="20"/>
          <w:color w:val="auto"/>
        </w:rPr>
      </w:pPr>
    </w:p>
    <w:p>
      <w:pPr>
        <w:jc w:val="both"/>
        <w:ind w:right="460" w:firstLine="648"/>
        <w:spacing w:after="0" w:line="302" w:lineRule="auto"/>
        <w:rPr>
          <w:sz w:val="20"/>
          <w:szCs w:val="20"/>
          <w:color w:val="auto"/>
        </w:rPr>
      </w:pPr>
      <w:r>
        <w:rPr>
          <w:rFonts w:ascii="Arial" w:cs="Arial" w:eastAsia="Arial" w:hAnsi="Arial"/>
          <w:sz w:val="16"/>
          <w:szCs w:val="16"/>
          <w:color w:val="auto"/>
        </w:rPr>
        <w:t>PAA’s profitability could be materially impacted by a decline in the volume of crude oil, natural gas and NGL transported, gathered, stored or processed at or through its facilities. A material decrease in crude oil or natural gas production or crude oil refining, as a result of depressed commodity prices, natural decline rates attributable to crude oil and natural gas reservoirs, a decrease in exploration and development activities, supply disruptions, economic conditions or otherwise, could result in a decline in the volume of crude oil, natural gas or NGL handled by PAA’s facilities.</w:t>
      </w:r>
    </w:p>
    <w:p>
      <w:pPr>
        <w:spacing w:after="0" w:line="154"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During the latter half of 2014 and continuing into 2016, benchmark crude oil prices declined significantly; as a result, many of the companies that produce oil and gas significantly reduced capital expenditures. Such reduced expenditure levels, coupled with high decline rates for many horizontal wells in the shale resource plays, led to production declines in many areas in the Lower 48 United States (excluding Gulf of Mexico production). After recovering in late 2017 through mid-2018, benchmark crude oil prices experienced volatility in the second half of 2018. If producers again reduce drilling activity in response to future declines in benchmark crude oil prices, it could adversely impact production. Other factors that could adversely impact production include reduced capital market access, increased capital raising costs for producers or adverse governmental or regulatory action. In turn, such developments could lead to reduced throughput on PAA’s pipelines and at PAA’s other facilities, which, depending on the level of production declines, could have a material adverse effect on PAA’s business.</w:t>
      </w:r>
    </w:p>
    <w:p>
      <w:pPr>
        <w:spacing w:after="0" w:line="192"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Also, except with respect to some of our recently constructed pipeline assets, third-party shippers generally do not have long-term contractual commitments to ship crude oil on PAA’s pipelines. A decision by a shipper to substantially reduce or cease to ship volumes of crude oil on PAA’s pipelines could cause a significant decline in its revenues.</w:t>
      </w:r>
    </w:p>
    <w:p>
      <w:pPr>
        <w:spacing w:after="0" w:line="181"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To maintain the volumes of crude oil PAA purchases in connection with its operations, PAA must continue to contract for new supplies of crude oil to offset volumes lost because of reduced drilling activity by producers, natural declines in crude oil production from depleting wells or volumes lost to competitors. If production declines, competitors with under-utilized assets could impair PAA’s ability to secure additional supplies of crude oil.</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PAA’s profitability can be negatively affected by a variety of factors stemming from competition in its industry, including risks associated with the general capacity overbuild of midstream energy infrastructure in some of the areas where it operates.</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PAA faces competition in all aspects of its business and can give no assurances that it will be able to compete effectively against its competitors. In general, competition comes from a wide variety of participants in a wide variety of contexts, including new entrants and existing participants and in connection with day-to-day business, expansion capital projects, acquisitions and joint venture activities. Some of PAA’s competitors have capital resources many times greater than PAA’s and control greater supplies of crude oil, natural gas or NGL.</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125"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60" w:firstLine="648"/>
        <w:spacing w:after="0" w:line="291" w:lineRule="auto"/>
        <w:rPr>
          <w:sz w:val="20"/>
          <w:szCs w:val="20"/>
          <w:color w:val="auto"/>
        </w:rPr>
      </w:pPr>
      <w:r>
        <w:rPr>
          <w:rFonts w:ascii="Arial" w:cs="Arial" w:eastAsia="Arial" w:hAnsi="Arial"/>
          <w:sz w:val="16"/>
          <w:szCs w:val="16"/>
          <w:color w:val="auto"/>
        </w:rPr>
        <w:t>A significant driver of competition in some of the markets where PAA operates (including, for example, the Eagle Ford, Permian Basin, and Rockies/Bakken areas) stems from the rapid development of new midstream energy infrastructure capacity that was driven by the combination of</w:t>
      </w:r>
    </w:p>
    <w:p>
      <w:pPr>
        <w:ind w:firstLine="8"/>
        <w:spacing w:after="0" w:line="267" w:lineRule="auto"/>
        <w:tabs>
          <w:tab w:leader="none" w:pos="215" w:val="left"/>
        </w:tabs>
        <w:numPr>
          <w:ilvl w:val="0"/>
          <w:numId w:val="40"/>
        </w:numPr>
        <w:rPr>
          <w:rFonts w:ascii="Arial" w:cs="Arial" w:eastAsia="Arial" w:hAnsi="Arial"/>
          <w:sz w:val="17"/>
          <w:szCs w:val="17"/>
          <w:color w:val="auto"/>
        </w:rPr>
      </w:pPr>
      <w:r>
        <w:rPr>
          <w:rFonts w:ascii="Arial" w:cs="Arial" w:eastAsia="Arial" w:hAnsi="Arial"/>
          <w:sz w:val="17"/>
          <w:szCs w:val="17"/>
          <w:color w:val="auto"/>
        </w:rPr>
        <w:t>significant increases in oil and gas production and development in the applicable production areas, both actual and anticipated, (ii) relatively low barriers to entry and (iii) generally widespread access to relatively low cost capital. While this environment presented opportunities for PAA, many of these areas have become, or in the future may become, overbuilt, resulting in an excess of midstream energy infrastructure capacity. For example, in the past eighteen months, several potential new pipeline projects have been announced or are currently under construction, and such projects may result in excess takeaway capacity in certain areas where PAA operates. In addition, as an established participant in some markets, PAA also faces competition from aggressive new entrants to the market who are willing to provide services at a lower rate of return in order to establish relationships and gain a foothold in the market. PAA also faces competition for incremental volumes from shippers on third-party pipelines who overcommitted relative to their actual production or committed supplies and are now purchasing barrels on the open market and shipping them on such third-party pipelines in order to satisfy their minimum commitment levels. In addition, PAA’s Supply and Logistics segment is a customer of its Transportation and Facilities segments (See Note 20 to our Consolidated Financial Statements for a discussion of operating segments). Competition that impacts PAA’s Supply and Logistics activities could result in a reduction in the use of its Transportation and Facilities assets by its Supply and Logistics segment. All of these competitive effects put downward pressure on PAA’s throughput and margins and, together with other adverse competitive effects, could have a significant adverse impact on PAA’s financial position, cash flows and ability to pay or increase distributions to its unitholders.</w:t>
      </w:r>
    </w:p>
    <w:p>
      <w:pPr>
        <w:spacing w:after="0" w:line="184"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With respect to PAA’s crude oil activities, its competitors include other crude oil pipelines, the major integrated oil companies, their marketing affiliates, refiners, private equity-backed entities, and independent gatherers, brokers and marketers of widely varying sizes, financial resources and experience. PAA competes against these companies on the basis of many factors, including geographic proximity to production areas, market access, rates, terms of service, connection costs and other factors.</w:t>
      </w:r>
    </w:p>
    <w:p>
      <w:pPr>
        <w:spacing w:after="0" w:line="187" w:lineRule="exact"/>
        <w:rPr>
          <w:sz w:val="20"/>
          <w:szCs w:val="20"/>
          <w:color w:val="auto"/>
        </w:rPr>
      </w:pPr>
    </w:p>
    <w:p>
      <w:pPr>
        <w:ind w:right="140" w:firstLine="594"/>
        <w:spacing w:after="0" w:line="286" w:lineRule="auto"/>
        <w:rPr>
          <w:sz w:val="20"/>
          <w:szCs w:val="20"/>
          <w:color w:val="auto"/>
        </w:rPr>
      </w:pPr>
      <w:r>
        <w:rPr>
          <w:rFonts w:ascii="Arial" w:cs="Arial" w:eastAsia="Arial" w:hAnsi="Arial"/>
          <w:sz w:val="17"/>
          <w:szCs w:val="17"/>
          <w:color w:val="auto"/>
        </w:rPr>
        <w:t>With respect to PAA’s natural gas storage operations, the principal elements of competition are rates, terms of service, supply and market access and flexibility of service. PAA’s natural gas storage facilities compete with several other storage providers, including regional storage facilities and utilities. Certain pipeline companies have existing storage facilities connected to their systems that compete with some of PAA’s facilities.</w:t>
      </w:r>
    </w:p>
    <w:p>
      <w:pPr>
        <w:spacing w:after="0" w:line="16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With regard to PAA’s NGL operations, it competes with large oil, natural gas and natural gas liquids companies that may, relative to PAA, have greater financial resources and access to supplies of natural gas and NGL. The principal elements of competition are rates, processing fees, geographic proximity to the natural gas or NGL mix, available processing and fractionation capacity, transportation alternatives and their associated costs, and access to end-user markets.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Fluctuations in supply and demand, which can be caused by a variety of factors outside of PAA’s control, can negatively affect its operating results.</w:t>
      </w:r>
    </w:p>
    <w:p>
      <w:pPr>
        <w:spacing w:after="0" w:line="248"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Supply and demand for crude oil and other hydrocarbon products PAA handles is dependent upon a variety of factors, including price, the impact of future economic conditions, fuel conservation measures, alternative fuel adoption, governmental regulation, including climate change regulations, and technological advances in fuel economy and energy generation devices. For example, the adoption of legislation or regulatory programs to reduce emissions of greenhouse gases could increase the cost of consuming crude oil and other hydrocarbon products, thereby causing a reduction in the demand for such products. Demand also depends on the ability and willingness of shippers having access to PAA’s transportation assets to satisfy their demand by deliveries through those assets. The supply of crude oil depends on a variety of global political and economic factors, including the reliance of foreign governments on petroleum revenues. Excess global supply of crude oil may negatively impact PAA’s operating results by decreasing the price of crude oil and making production and transportation less profitable in areas PAA services.</w:t>
      </w:r>
    </w:p>
    <w:p>
      <w:pPr>
        <w:spacing w:after="0" w:line="17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Fluctuations in demand for crude oil, such as those caused by refinery downtime or shutdowns, can have a negative effect on PAA’s operating results. Specifically, reduced demand in an area serviced by PAA’s transportation systems will negatively affect the throughput on such systems. Although the negative impact may be mitigated or overcome by PAA’s ability to capture differentials created by demand fluctuations, this ability is dependent on location and grade of crude oil, and thus is unpredictable.</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Fluctuations in demand for NGL products, whether because of general or industry specific economic conditions, new government regulations, global competition, reduced demand by consumers for products made with NGL products, increased competition from petroleum-based feedstocks due to pricing differences, mild winter weather for some NGL products, particularly propane, or other reasons, could result in a decline in the volume of NGL products PAA handles or a reduction of</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fees it charges for its services. Also, increased supply of NGL products could reduce the value of NGL PAA handles and reduce the margins realized by it.</w:t>
      </w:r>
    </w:p>
    <w:p>
      <w:pPr>
        <w:spacing w:after="0" w:line="24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NGL and products produced from NGL also compete with products from global markets. Any reduced demand or increased supply for ethane, propane, normal butane, iso-butane or natural gasoline in the markets PAA accesses for any of the reasons stated above could adversely affect demand for the services PAA provides as well as NGL prices, which could negatively impact its operating results.</w:t>
      </w:r>
    </w:p>
    <w:p>
      <w:pPr>
        <w:spacing w:after="0" w:line="18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b w:val="1"/>
          <w:bCs w:val="1"/>
          <w:i w:val="1"/>
          <w:iCs w:val="1"/>
          <w:color w:val="auto"/>
        </w:rPr>
        <w:t>A natural disaster, catastrophe, terrorist attack (including eco-terrorist attacks), process safety failure or other event, including pipeline or facility accidents and attacks on PAA’s electronic and computer systems, could interrupt its operations and/or result in severe personal injury, property damage and environmental damage, which could have a material adverse effect on its financial position, results of operations and cash flows.</w:t>
      </w:r>
    </w:p>
    <w:p>
      <w:pPr>
        <w:spacing w:after="0" w:line="14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Some of PAA’s operations involve risks of personal injury, property damage and environmental damage that could curtail its operations and otherwise materially adversely affect its cash flow. Virtually all of PAA’s operations are exposed to potential natural disasters or other natural events, including hurricanes, tornadoes, storms, floods, earthquakes, shifting soil and/or landslides. The location of some of PAA’s assets and its customers’ assets in the U.S. Gulf Coast region makes them particularly vulnerable to hurricane or tropical storm risk. PAA’s facilities and operations are also vulnerable to accidents caused by process safety failures, equipment failures or human error. In addition, since the September 11, 2001 terrorist attacks, the U.S. government has issued warnings that energy assets, specifically the nation’s pipeline infrastructure, may be future targets of terrorist organizations. Terrorists may target PAA’s physical facilities and hackers may attack its electronic and computer systems.</w:t>
      </w:r>
    </w:p>
    <w:p>
      <w:pPr>
        <w:spacing w:after="0" w:line="17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If one or more of PAA’s pipelines or other facilities, including electronic and computer systems, or any facilities or businesses that deliver products, supplies or services to PAA or that it relies on in order to operate its business, are damaged by severe weather or any other disaster, accident, catastrophe, terrorist attack or event, its operations could be significantly interrupted. These interruptions could involve significant damage or injury to people, property or the environment, and repairs could take from a week or less for minor incidents to six months or more for major interruptions. Any such event that interrupts the revenues generated by its operations, or which causes PAA to make significant expenditures not covered by insurance, could reduce its cash available for paying distributions to its partners and, accordingly, adversely affect its financial condition and the market price of its securities.</w:t>
      </w:r>
    </w:p>
    <w:p>
      <w:pPr>
        <w:spacing w:after="0" w:line="16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PAA may also suffer damage (including reputational damage) as a result of a disaster, accident, catastrophe, terrorist attack or other such event. The occurrence of such an event, or a series of such events, especially if one or more of them occurs in a highly populated or sensitive area, could negatively impact public perception of PAA’s operations and/or make it more difficult for PAA to obtain the approvals, permits, licenses or real property interests PAA needs in order to operate its assets or complete planned growth projects.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Cybersecurity breaches and other disruptions could compromise PAA’s information and operations, and expose it to liability, which would cause its business and reputation to suffer.</w:t>
      </w:r>
    </w:p>
    <w:p>
      <w:pPr>
        <w:spacing w:after="0" w:line="170"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PAA is reliant on the continuous and uninterrupted operation of its information technology systems. User access of PAA’s sites and information technology systems are critical elements to its operations, as is cloud security and protection against cyber security incidents. In the ordinary course of its business, PAA collects and stores sensitive data in its data centers and on its networks, including intellectual property, proprietary business information, information regarding its customers, suppliers, royalty owners and business partners, and personally identifiable information of its employees. The secure processing, maintenance and transmission of this information is critical to PAA’s operations and business strategy. Despite PAA’s security measures, its information technology and infrastructure may be vulnerable to attacks by hackers or breached due to employee error, malfeasance or other disruptions. Any such breach could compromise PAA’s networks and the information stored there could be accessed, publicly disclosed, lost or stolen. Any such access, disclosure or other loss of information could result in legal claims or proceedings, liability under laws that protect the privacy of personal information, regulatory penalties for divulging shipper information, disruption of PAA’s operations, damage to its reputation, and loss of confidence in its services, which could adversely affect its business.</w:t>
      </w:r>
    </w:p>
    <w:p>
      <w:pPr>
        <w:spacing w:after="0" w:line="178"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PAA’s information technology infrastructure is critical to the efficient operation of its business and essential to its ability to perform day-to-day operations. Potential risks to PAA’s IT systems could include unauthorized attempts to extract business sensitive, confidential or personal information, denial of access extortion, corruption of information or disruption of business processes, or by inadvertent or intentional actions by PAA’s employees or vendors. Breaches in PAA’s information technology infrastructure or physical facilities, or other disruptions, could result in damage to its assets, safety incidents,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damage to the environment, remediation costs, potential liability, regulatory enforcement, violation of privacy or securities laws and regulations or the loss of contracts, any of which could have a material adverse effect on its operations, financial position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may face opposition to the development or operation of its pipelines and facilities from various groups.</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PAA may face opposition to the development or operation of its pipelines and facilities from environmental groups, landowners, tribal groups, local groups and other advocates. Such opposition could take many forms, including organized protests, attempts to block or sabotage PAA’s operations, intervention in regulatory or administrative proceedings involving its assets, or lawsuits or other actions designed to prevent, disrupt or delay the development or operation of PAA’s assets and business. For example, repairing PAA’s pipelines often involves securing consent from individual landowners to access their property; one or more landowners may resist PAA’s efforts to make needed repairs, which could lead to an interruption in the operation of the affected pipeline or other facility for a period of time that is significantly longer than would have otherwise been the case. In addition, acts of sabotage or eco-terrorism could cause significant damage or injury to people, property or the environment or lead to extended interruptions of PAA’s operations. Any such event that interrupts the revenues generated by PAA’s operations, or which causes PAA to make significant expenditures not covered by insurance, could reduce PAA’s cash available for paying distributions to its partners and, accordingly, adversely affect PAA’s financial condition and the market price of its securities.</w:t>
      </w:r>
    </w:p>
    <w:p>
      <w:pPr>
        <w:spacing w:after="0" w:line="19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Recently, activists concerned about the potential effects of climate change have directed their attention towards sources of funding for fossil-fuel energy companies, which has resulted in certain financial institutions, funds and other sources of capital restricting or eliminating their investment in energy-related activities. Ultimately, this could make it more difficult to secure funding for exploration and production activities or energy infrastructure related projects, and consequently could both indirectly affect demand for PAA’s services and directly affect PAA’s ability to fund construction or other capital projects.</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results of PAA’s Supply and Logistics segment are influenced by the overall forward market for crude oil and NGL, and certain market structures, the absence of pricing volatility and other market factors may adversely impact its results.</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Results from PAA’s Supply and Logistics segment are dependent on a variety of factors affecting the markets for crude oil and NGL, including regional and international supply and demand imbalances, takeaway availability and constraints, transportation costs and the overall forward market for crude oil. Periods when differentials are wide or when there is volatility in the forward market structure are generally more favorable for PAA’s Supply and Logistics segment. During periods where the infrastructure is over-built and/or there is a lack of volatility in the pricing structure PAA’s results may be negatively impacted. Depending on the overall duration of these transition periods, how PAA has allocated its assets to particular strategies and the time length of its crude oil purchase and sale contracts and storage agreements, these periods may have either an adverse or beneficial effect on PAA’s aggregate segment results. In the past, the results from PAA’s Supply and Logistics segment have varied significantly based on market conditions and this segment may continue to experience highly variable results as a result of future changes to the markets for crude oil and NGL.</w:t>
      </w:r>
    </w:p>
    <w:p>
      <w:pPr>
        <w:spacing w:after="0" w:line="1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Loss of PAA’s investment grade credit rating or the ability to receive open credit could negatively affect its borrowing costs, ability to purchase crude oil, NGL and natural gas supplies or to capitalize on market opportunities.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PAA believes that, because of its strategic asset base and complementary business model, PAA will continue to benefit from swings in market prices and shifts in market structure during periods of volatility in the crude oil, NGL and natural gas markets. The extent to which PAA is able to capture that benefit, however, is subject to numerous risks and uncertainties, including whether PAA will be able to maintain an attractive credit rating and continue to receive open credit from its suppliers and trade counterparties. PAA’s senior unsecured debt is currently rated as “investment grade” by Standard &amp; Poor’s and Fitch Ratings Inc. In August 2017, Moody’s Investors Service downgraded its rating of PAA’s senior unsecured debt to a level below investment grade. A further downgrade by Standard &amp; Poor’s or Fitch Ratings, Inc. to a level below PAA’s current ratings levels assigned by such rating agencies could increase its borrowing costs, reduce its borrowing capacity and cause its counterparties to reduce the amount of open credit we receive from them. This could negatively impact PAA’s ability to capitalize on market opportunities. For example, PAA’s ability to utilize its crude oil storage capacity for merchant activities to capture contango market opportunities is dependent upon having adequate credit facilities, both in terms of the total amount of credit facilities and the cost of such credit facilities, which enables PAA to finance the storage of the crude oil from the time it completes the purchase of the crude oil until the time it completes the sale of the crude oil. Loss of PAA’s remaining investment grade credit ratings could also adversely impact its cash flows, its ability to make distributions at its current levels and the value of its outstanding equity and debt securities.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PAA makes acquisitions that fail to perform as anticipated, its future growth may be limited.</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evaluating acquisitions, PAA generally prepares one or more financial cases based on a number of business, industry, economic, legal, regulatory, and other assumptions applicable to the proposed transaction. Although PAA expects a reasonable basis will exist for those assumptions, the assumptions will generally involve current estimates of future conditions. Realization of many of the assumptions will be beyond PAA’s control. Moreover, the uncertainty and risk of inaccuracy associated with any financial projection will increase with the length of the forecasted period. Some acquisitions may not be accretive in the near term, and will be accretive in the long term only if PAA is able to timely and effectively integrate the underlying assets and such assets perform at or near the levels anticipated in its acquisition projections.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joint ventures involve risks that may adversely affect PAA’s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acquisition involves potential risks, including:</w:t>
      </w:r>
    </w:p>
    <w:p>
      <w:pPr>
        <w:spacing w:after="0" w:line="117"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performance from the acquired businesses or assets that is below the forecasts PAA used in evaluating the acquisition;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significant increase in PAA’s indebtedness and working capital requirements;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inability to timely and effectively integrate the operations of recently acquired businesses or assets;</w:t>
      </w:r>
    </w:p>
    <w:p>
      <w:pPr>
        <w:spacing w:after="0" w:line="117" w:lineRule="exact"/>
        <w:rPr>
          <w:rFonts w:ascii="Arial" w:cs="Arial" w:eastAsia="Arial" w:hAnsi="Arial"/>
          <w:sz w:val="18"/>
          <w:szCs w:val="18"/>
          <w:color w:val="auto"/>
        </w:rPr>
      </w:pPr>
    </w:p>
    <w:p>
      <w:pPr>
        <w:ind w:left="980" w:right="360" w:hanging="324"/>
        <w:spacing w:after="0" w:line="264"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incurrence of substantial unforeseen environmental and other liabilities arising out of the acquired businesses or assets for which PAA is either not fully insured or indemnified, including liabilities arising from the operation of the acquired businesses or assets prior to PAA’s acquisition;</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risks associated with operating in lines of business that are distinct and separate from PAA’s historical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customer or key employee loss from the acquired businesses;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Any of these factors could adversely affect PAA’s ability to achieve anticipated levels of cash flows from its acquisitions, realize other anticipated benefits and its ability to pay distributions to its partners or meet its debt service requirements.</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PAA is also involved in many strategic joint ventures. PAA may not always be in complete alignment with its joint venture counterparties - PAA may have differing strategic or commercial objectives or PAA may disagree on governance matters with respect to the joint venture entity. When PAA enters into joint ventures it may be subject to the risk that its counterparties do not fund their obligations. In some joint ventures PAA may not be responsible for construction or operation of such projects and will rely on its joint venture counterparties for such services. Joint ventures may also require PAA to expend additional internal resources that could otherwise be directed to other projects. If PAA is unable to successfully execute and manage its existing and proposed joint venture projects, it could adversely impact PAA’s financial and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may not be able to fully implement or capitalize upon planned growth projects.</w:t>
      </w:r>
    </w:p>
    <w:p>
      <w:pPr>
        <w:spacing w:after="0" w:line="22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PAA has a number of organic growth projects that involve the construction of new midstream energy infrastructure assets or the expansion or modification of existing assets. Many of these projects involve numerous regulatory, environmental, commercial, economic, weather-related, political and legal uncertainties that are beyond its control, including the following:</w:t>
      </w:r>
    </w:p>
    <w:p>
      <w:pPr>
        <w:spacing w:after="0" w:line="73" w:lineRule="exact"/>
        <w:rPr>
          <w:sz w:val="20"/>
          <w:szCs w:val="20"/>
          <w:color w:val="auto"/>
        </w:rPr>
      </w:pPr>
    </w:p>
    <w:p>
      <w:pPr>
        <w:ind w:left="980" w:right="100" w:hanging="324"/>
        <w:spacing w:after="0" w:line="342" w:lineRule="auto"/>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As these projects are undertaken, required approvals, permits and licenses may not be obtained, may be delayed, may be obtained with conditions that materially alter the expected return associated with the underlying projects or may be granted and then subsequently withdrawn;</w:t>
      </w:r>
    </w:p>
    <w:p>
      <w:pPr>
        <w:spacing w:after="0" w:line="15" w:lineRule="exact"/>
        <w:rPr>
          <w:rFonts w:ascii="Arial" w:cs="Arial" w:eastAsia="Arial" w:hAnsi="Arial"/>
          <w:sz w:val="16"/>
          <w:szCs w:val="16"/>
          <w:color w:val="auto"/>
        </w:rPr>
      </w:pPr>
    </w:p>
    <w:p>
      <w:pPr>
        <w:ind w:left="980" w:right="26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PAA may face opposition to its planned growth projects from environmental groups, landowners, local groups and other advocates, including lawsuits or other actions designed to disrupt or delay PAA’s planned projects;</w:t>
      </w:r>
    </w:p>
    <w:p>
      <w:pPr>
        <w:spacing w:after="0" w:line="62"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PAA may not be able to obtain, or PAA may be significantly delayed in obtaining, all of the rights of way or other real property interests it needs to complete such projects, or the costs PAA incurs in order to obtain such rights of way or other interests may be greater than PAA anticipated;</w:t>
      </w:r>
    </w:p>
    <w:p>
      <w:pPr>
        <w:spacing w:after="0" w:line="15" w:lineRule="exact"/>
        <w:rPr>
          <w:rFonts w:ascii="Arial" w:cs="Arial" w:eastAsia="Arial" w:hAnsi="Arial"/>
          <w:sz w:val="16"/>
          <w:szCs w:val="16"/>
          <w:color w:val="auto"/>
        </w:rPr>
      </w:pPr>
    </w:p>
    <w:p>
      <w:pPr>
        <w:ind w:left="980" w:right="60" w:hanging="324"/>
        <w:spacing w:after="0" w:line="286" w:lineRule="auto"/>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Despite the fact that PAA will expend significant amounts of capital during the construction phase of these projects, revenues associated with these organic growth projects will not materialize until the projects have been completed and placed into commercial service, and the amount of revenue generated from these projects could be significantly lower than anticipated for a variety of reasons;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PAA may construct pipelines, facilities or other assets in anticipation of market demand that dissipates or market growth that never materializes;</w:t>
      </w:r>
    </w:p>
    <w:p>
      <w:pPr>
        <w:spacing w:after="0" w:line="140" w:lineRule="exact"/>
        <w:rPr>
          <w:rFonts w:ascii="Arial" w:cs="Arial" w:eastAsia="Arial" w:hAnsi="Arial"/>
          <w:sz w:val="16"/>
          <w:szCs w:val="16"/>
          <w:color w:val="auto"/>
        </w:rPr>
      </w:pPr>
    </w:p>
    <w:p>
      <w:pPr>
        <w:ind w:left="980" w:hanging="324"/>
        <w:spacing w:after="0" w:line="259"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Due to unavailability or costs of materials, supplies, power, labor or equipment, including increased costs associated with any import duties or requirements to source certain supplies or materials from U.S. suppliers or manufacturers, the cost of completing these projects could turn out to be significantly higher than PAA budgeted and the time it takes to complete construction of these projects and place them into commercial service could be significantly longer than planned; and</w:t>
      </w:r>
    </w:p>
    <w:p>
      <w:pPr>
        <w:spacing w:after="0" w:line="78"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completion or success of PAA’s projects may depend on the completion or success of third-party facilities over which PAA have no control.</w:t>
      </w:r>
    </w:p>
    <w:p>
      <w:pPr>
        <w:spacing w:after="0" w:line="24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a result of these uncertainties, the anticipated benefits associated with PAA’s capital projects may not be achieved or could be delayed. In turn, this could negatively impact PAA’s cash flow and its ability to make or increase cash distributions to its partners.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PAA’s growth strategy requires access to new capital. Tightened capital markets or other factors that increase its cost of capital could impair its ability to grow.</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PAA continuously considers potential acquisitions and opportunities for expansion capital projects. Acquisition transactions can be effected quickly, may occur at any time and may be significant in size relative to its existing assets and operations. PAA’s ability to fund its capital projects and make acquisitions depends on whether it can access the necessary financing to fund these activities. Any limitations on its access to capital or increase in the cost of that capital could significantly impair its growth strategy. PAA’s ability to maintain its targeted credit profile, including maintaining its credit ratings, could affect PAA’s cost of capital as well as its ability to execute its growth strategy. In addition, a variety of factors beyond its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w:t>
      </w:r>
    </w:p>
    <w:p>
      <w:pPr>
        <w:spacing w:after="0" w:line="167"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Due to these factors, PAA cannot be certain that funding for its capital needs will be available from bank credit arrangements, capital markets or other sources on acceptable terms. If funding is not available when needed, or is available only on unfavorable terms, PAA may be unable to implement its development plans, enhance its existing business, complete acquisitions and construction projects, take advantage of business opportunities or respond to competitive pressures, any of which could have a material adverse effect on its revenues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PAA is exposed to the credit risk of its customers and other counterparties it transacts within the ordinary course of its business activities.</w:t>
      </w:r>
    </w:p>
    <w:p>
      <w:pPr>
        <w:spacing w:after="0" w:line="23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Risks of nonpayment and nonperformance by customers or other counterparties are a significant consideration in PAA’s business. Although PAA has credit risk management policies and procedures that are designed to mitigate and limit its exposure in this area, there can be no assurance that PAA has adequately assessed and managed the creditworthiness of its existing or future counterparties or that there will not be an unanticipated deterioration in their creditworthiness or unexpected instances of nonpayment or nonperformance, all of which could have an adverse impact on PAA’s cash flow and its ability to pay or increase its cash distributions to its partners.</w:t>
      </w:r>
    </w:p>
    <w:p>
      <w:pPr>
        <w:spacing w:after="0" w:line="18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PAA has a number of minimum volume commitment contracts that support pipelines in its Transportation segment. In addition, certain of the pipelines in which PAA owns a joint venture interest have minimum volume commitment contracts. Pursuant to such contracts, shippers are obligated to pay for a minimum volume of transportation service regardless of whether such volume is actually shipped (typically referred to as a deficiency payment), subject to the receipt of credits that typically expire if not used by a certain date. While such contracts provide greater revenue certainty, if the applicable shipper fails to transport the minimum required volume and is required to make a deficiency payment, under applicable accounting rules, the revenue associated with such deficiency payment may not be recognized until the applicable transportation credit has expired or has been used. Deferred revenue associated with non-performance by shippers under minimum volume contracts could be significant and could adversely affect PAA’s profitability and earnings.</w:t>
      </w:r>
    </w:p>
    <w:p>
      <w:pPr>
        <w:spacing w:after="0" w:line="16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in those cases in which PAA provides division order services for crude oil purchased at the wellhead, it may be responsible for distribution of proceeds to all parties. In other cases, PAA pays all of or a portion of the production proceeds to an operator who distributes these proceeds to the various interest owners. These arrangements expose PAA to operator credit risk, and there can be no assurance that PAA will not experience losses in dealings with such operators and other parties.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125" w:right="2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Further, to the extent one or more of PAA’s major customers experiences financial distress or commences bankruptcy proceedings, contracts with such customers (including contracts that are supported by acreage dedications) may be subject to renegotiation or rejection under applicable provisions of the United States Bankruptcy Code. Any such renegotiation or rejection could have an adverse effect on PAA’s revenue and cash flows and its ability to make cash distributions to its unitholders.</w:t>
      </w:r>
    </w:p>
    <w:p>
      <w:pPr>
        <w:spacing w:after="0" w:line="18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231F20"/>
        </w:rPr>
        <w:t>PAA has also undertaken numerous projects that require cooperation with and performance by joint venture co-owners. In addition, in connection with various acquisition, divestiture, joint venture and other transactions, PAA often receives indemnifications from various parties for certain risks or liabilities. Nonperformance by any of these parties could result in increased costs or other adverse consequences that could decrease PAA’s earnings and returns.</w:t>
      </w:r>
    </w:p>
    <w:p>
      <w:pPr>
        <w:spacing w:after="0" w:line="187"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231F20"/>
        </w:rPr>
        <w:t>PAA also relies to a significant degree on the banks that lend to it under its revolving credit facility for financial liquidity, and any failure of those banks to perform on their obligations to PAA could significantly impair its liquidity. Furthermore, nonpayment by the counterparties to PAA’s interest rate, commodity and/or foreign currency derivatives could expose it to additional interest rate, commodity price and/or foreign currency risk.</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PAA’s risk policies cannot eliminate all risks. In addition, any non-compliance with its risk policies could result in significant financial losses.</w:t>
      </w:r>
    </w:p>
    <w:p>
      <w:pPr>
        <w:spacing w:after="0" w:line="24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Generally, it is PAA’s policy to establish a margin for crude oil or other products it purchases by selling such products for physical delivery to third-party users, or by entering into a future delivery obligation under derivative contracts. Through these transactions, PAA seeks to maintain a position that is substantially balanced between purchases on the one hand, and sales or future delivery obligations on the other hand. PAA’s policy is not to acquire and hold physical inventory or derivative products for the purpose of speculating on commodity price changes. These policies and practices cannot, however, eliminate all risks. For example, any event that disrupts PAA’s anticipated physical supply of crude oil or other products could expose it to risk of loss resulting from price changes. PAA is also exposed to basis risk when crude oil or other products are purchased against one pricing index and sold against a different index. Moreover, PAA is exposed to some risks that are not hedged, including risks on certain of its inventory, such as linefill, which must be maintained in order to transport crude oil on its pipelines. In an effort to maintain a balanced position, specifically authorized personnel can purchase or sell crude oil, refined products and NGL, up to predefined limits and authorizations. Although this activity is monitored independently by PAA’s risk management function, it exposes PAA to commodity price risks within these limits.</w:t>
      </w:r>
    </w:p>
    <w:p>
      <w:pPr>
        <w:spacing w:after="0" w:line="178"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In addition, PAA’s operations involve the risk of non-compliance with its risk policies. PAA has taken steps within its organization to implement processes and procedures designed to detect unauthorized trading; however, PAA can provide no assurance that these steps will detect and prevent all violations of its risk policies and procedures, particularly if deception, collusion or other intentional misconduct is involved.</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125" w:right="2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PAA’s operations are also subject to laws and regulations relating to protection of the environment and wildlife, operational safety, climate change and related matters that may expose it to significant costs and liabilities. The current laws and regulations affecting our business are subject to change and in the future PAA may be subject to additional laws and regulations, which could adversely impact PAA’s business.</w:t>
      </w:r>
    </w:p>
    <w:p>
      <w:pPr>
        <w:spacing w:after="0" w:line="14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PAA’s operations involving the storage, treatment, processing, and transportation of liquid hydrocarbons, including crude oil, NGL and refined products, as well as PAA’s operations involving the storage of natural gas, are subject to stringent federal, state, and local laws and regulations governing the discharge of materials into the environment. PAA’s operations are also subject to laws and regulations relating to protection of the environment and wildlife, operational safety, climate change and related matters. Compliance with all of these laws and regulations increases its overall cost of doing business, including its capital costs to construct, maintain and upgrade equipment and facilities. For example, the adoption of legislation or regulatory programs to reduce emissions of greenhouse gases (such as carbon dioxide and methane), including cap and trade programs, could require PAA to incur increased operating costs, such as costs to purchase and operate emissions control systems, to acquire emissions allowances or comply with new regulatory or reporting requirements. In addition, with respect to our railcar operations, the adoption of new regulations designed to enhance the overall safety of crude oil and natural gas liquids transportation by rail could result in increased operating costs and potentially involve substantial capital expenditures. Also, new or additional regulations, new interpretations of existing requirements or changes in PAA’s operations could trigger new permitting requirements applicable to its operations, which could result in increased costs or delays of, or denial of rights to conduct, PAA’s development programs. The failure to comply with any such laws and regulations could result in the assessment of administrative, civil, and criminal penalties, the imposition of investigatory and remedial liabilities, the issuance of injunctions that may subject PAA to additional operational requirements and constraints, or claims of damages to property or persons resulting from its operations. In addition, criminal violations of certain environmental laws, or in some cases even the allegation of criminal violations, may result in the temporary suspension or outright debarment from participating in government contracts. The laws and regulations applicable to PAA’s operations are subject to change and interpretation by the relevant governmental agency, including the possibility that exemptions it currently qualifies for may be modified or changed in ways that require PAA to incur significant additional compliance costs. PAA’s business and operations may also become subject to additional laws or regulations. Any new laws or regulations, or changes to or interpretations of existing laws or regulations, adverse to PAA could have a material adverse effect on its operations, revenues, expenses and profitability.</w:t>
      </w:r>
    </w:p>
    <w:p>
      <w:pPr>
        <w:spacing w:after="0" w:line="171"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PAA has a history of incremental additions to the miles of pipelines it owns, both through acquisitions and expansion capital projects. PAA has also increased its terminal and storage capacity and operate several facilities on or near navigable waters and domestic water supplies. Although PAA has implemented programs intended to maintain the integrity of its assets (discussed below), as it acquires additional assets it is at risk for an increase in the number of releases of liquid hydrocarbons into the environment. These releases expose PAA to potentially substantial expense, including clean-up and remediation costs, fines and penalties, and third party claims for personal injury or property damage related to past or future releases. Some of these expenses could increase by amounts disproportionately higher than the relative increase in pipeline mileage and the increase in revenues associated therewith. PAA’s refined products terminal assets are also subject to significant compliance costs and liabilities. In addition, because of the increased volatility of refined products and their tendency to migrate farther and faster than crude oil when released, releases of refined products into the environment can have a more significant impact than crude oil and require significantly higher expenditures to respond and remediate. The incurrence of such expenses not covered by insurance, indemnity or reserves could materially adversely affect PAA’s results of operations.</w:t>
      </w:r>
    </w:p>
    <w:p>
      <w:pPr>
        <w:spacing w:after="0" w:line="17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PAA currently devotes substantial resources to comply with DOT-mandated pipeline integrity rules. The DOT regulations include requirements for the establishment of pipeline integrity management programs and for protection of “high consequence areas” where a pipeline leak or rupture could produce significant adverse consequences. Pipeline safety regulations are revised frequently. For example, PHMSA is expected to publish finalized regulations in the first half of 2019 for hazardous liquid pipelines which will significantly extend and expand the reach of certain PHMSA integrity management requirements (i.e., periodic assessments, leak detection and repairs) regardless of proximity to a high consequence area. The final rule will also impose new reporting requirements for certain unregulated pipelines, including all hazardous liquid gathering lines. The adoption of new regulations requiring more comprehensive or stringent safety standards could require PAA to install new or modified safety controls, pursue new capital projects, or conduct maintenance programs on an accelerated basis, all of which could require PAA to incur increased operational costs that could be significant.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Although PAA continues to focus on pipeline and facility integrity management as a primary operational emphasis, doing so requires substantial time and resources and cannot eliminate all risk of releases. PAA has an internal review process pursuant to which it examines various aspects of its pipeline and gathering systems that are not currently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regulatory agency enforcement actions, PAA may elect (as a result of its own internal initiatives) to spend substantial sums to enhance the integrity of and upgrade its pipeline systems to maintain environmental compliance and, in some cases, PAA may take pipelines out of service if it believes the cost of upgrades will exceed the value of the pipelines. PAA cannot provide any assurance as to the ultimate amount or timing of future pipeline integrity expenditures but any such expenditures could be significant. See “Environmental — General” in Note 18 to our Consolidated Financial Statements. In addition, despite PAA’s pipeline and facility integrity management efforts, it can provide no assurance that its pipelines and facilities will not experience leaks or releases or that PAA will be able to fully comply with all of the federal, state and local laws and regulations applicable to the operation of PAA’s pipelines or facilities; any such leaks or releases could be material and could have a significant adverse impact on PAA’s reputation, financial position, cash flows and ability to pay or increase distributions to its unitholders.</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PAA’s assets are subject to federal, state and provincial regulation. Rate regulation or a successful challenge to the rates PAA charges on its U.S. and Canadian pipeline systems may reduce the amount of cash it generates.</w:t>
      </w:r>
    </w:p>
    <w:p>
      <w:pPr>
        <w:spacing w:after="0" w:line="170"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PAA’s U.S. interstate common carrier liquids pipelines are subject to regulation by the FERC under the ICA. The ICA requires that tariff rates and terms and conditions of service for liquids pipelines be just and reasonable and non-discriminatory. PAA is also subject to the Pipeline Safety Regulations of the DOT. PAA’s intrastate pipeline transportation activities are subject to various state laws and regulations as well as orders of regulatory bodies.</w:t>
      </w:r>
    </w:p>
    <w:p>
      <w:pPr>
        <w:spacing w:after="0" w:line="14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For PAA’s U.S. interstate common carrier liquids pipelines subject to FERC regulation under the ICA, shippers may protest its pipeline tariff filings or file complaints against its existing rates or complaints alleging that we are engaging in discriminating behavior. The FERC can also investigate on its own initiative. Under certain circumstances, the FERC could limit PAA’s ability to set rates based on its costs, or could order PAA to reduce its rates and could require the payment of reparations to complaining shippers for up to two years prior to the complaint. Natural gas storage facilities are subject to regulation by the FERC, the DOT, and certain state agencies.</w:t>
      </w:r>
    </w:p>
    <w:p>
      <w:pPr>
        <w:spacing w:after="0" w:line="18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March 2018, FERC issued a revised policy statement (subsequently modified in a final rule issued in July 2018) in which it held that it will no longer permit an income tax allowance to be included in cost-of-service rates for interstate pipelines structured as master limited partnerships. The FERC also indicated that it will incorporate the effects of the revised policy statement in its next review of the oil pipeline index level, which will take effect in July 2021. PAA does not have cost-of-service rates that would be impacted by this policy change; PAA’s FERC regulated tariffs are either grandfathered or based on negotiated rates. However, depending on how the FERC incorporates its most recent tax policy statement into its next index review, the policy could potentially have a negative impact on the FERC adder to the PPI-FG Index, which in turn could have a negative effect on PAA’s ability to increase its index-based rates. The policy could impact future (i.e., July 2021 and later) tariff escalations on PAA’s FERC regulated pipelines, as well as some of PAA’s state-regulated pipelines that have negotiated rates with escalations tied to the FERC Index.</w:t>
      </w:r>
    </w:p>
    <w:p>
      <w:pPr>
        <w:spacing w:after="0" w:line="17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PAA routinely monitors the public filings and proceedings of other parties with the FERC and other regulatory agencies in an effort to identify issues that could potentially impact its business. Under certain circumstances PAA may choose to intervene in such third-party proceedings in order to express its support for, or its opposition to, various issues raised by the parties to such proceedings. For example, if PAA believes that a petition filed with, or order issued by, the FERC is improper, overbroad other otherwise flawed, PAA may attempt to intervene in such proceedings for the purpose of protesting such petition or order and requesting appropriate action such as a clarification, rehearing or other remedy. Despite such efforts, PAA can provide no assurance that the FERC and other agencies that regulate its business will not issue future orders or declarations that increase its costs or otherwise adversely affect its operations.</w:t>
      </w:r>
    </w:p>
    <w:p>
      <w:pPr>
        <w:spacing w:after="0" w:line="18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FERC issued a Notice of Inquiry on April 19, 2018 (Certificate Policy Statement NOI), thereby initiating a review of its policies on certification of natural gas pipelines and storage facilities, including an examination of its long-standing Policy Statement on Certification of New Interstate Natural Gas Pipeline Facilities, issued in 1999, that is used to determine whether to grant certificates for new pipeline and storage projects and expansions. Comments on the Certificate Policy Statement NOI were due on July 25, 2018, and PAA is unable to predict what, if any, changes may be proposed as a result of the NOI that will affect PAA’s natural gas storage business or when such proposals, if any, might become effective.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PAA’s Canadian pipelines are subject to regulation by the NEB and by provincial authorities. Under the National Energy Board Act, the NEB could investigate the tariff rates or the terms and conditions of service relating to a jurisdictional pipeline on its own initiative, upon the filing of a toll or tariff application, or upon the filing of a written complaint. If the NEB found the rates or terms of service relating to such pipeline to be unjust or unreasonable or unjustly discriminatory, the NEB could require PAA to change its rates, provide access to other shippers, or change its terms of service. A provincial authority could, on the application of a shipper or other interested party, investigate the tariff rates or PAA’s terms and conditions of service relating to its provincially-regulated proprietary pipelines. If it found PAA’s rates or terms of service to be contrary to statutory requirements, it could impose conditions it considers appropriate. A provincial authority could declare a pipeline to be a common carrier pipeline, and require PAA to change its rates, provide access to other shippers, or otherwise alter its terms of service. Any reduction in PAA’s tariff rates would result in lower revenue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PAA’s operations cross the U.S./Canada border and are subject to cross-border regulation.</w:t>
      </w:r>
    </w:p>
    <w:p>
      <w:pPr>
        <w:spacing w:after="0" w:line="225"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PAA’s cross border activities subject it to regulatory matters, including import and export licenses, tariffs, Canadian and U.S. customs and tax issues and toxic substance certifications. Such regulations include the Short Supply Controls of the EAA, the NAFTA and the TSCA. Violations of these licensing, tariff and tax reporting requirements could result in the imposition of significant administrative, civil and criminal penalties.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PAA’s purchases and sales of crude oil, natural gas and NGL, and hedging activities, expose it to potential regulatory risks.</w:t>
      </w:r>
    </w:p>
    <w:p>
      <w:pPr>
        <w:spacing w:after="0" w:line="225" w:lineRule="exact"/>
        <w:rPr>
          <w:sz w:val="20"/>
          <w:szCs w:val="20"/>
          <w:color w:val="auto"/>
        </w:rPr>
      </w:pPr>
    </w:p>
    <w:p>
      <w:pPr>
        <w:ind w:right="280" w:firstLine="648"/>
        <w:spacing w:after="0" w:line="290" w:lineRule="auto"/>
        <w:rPr>
          <w:sz w:val="20"/>
          <w:szCs w:val="20"/>
          <w:color w:val="auto"/>
        </w:rPr>
      </w:pPr>
      <w:r>
        <w:rPr>
          <w:rFonts w:ascii="Arial" w:cs="Arial" w:eastAsia="Arial" w:hAnsi="Arial"/>
          <w:sz w:val="16"/>
          <w:szCs w:val="16"/>
          <w:color w:val="auto"/>
        </w:rPr>
        <w:t>The FTC, the FERC and the CFTC hold statutory authority to monitor certain segments of the physical and futures energy commodities markets. These agencies have imposed broad regulations prohibiting fraud and manipulation of such markets. With regard to PAA’s physical purchases and sales of crude oil, natural gas or NGL and any related hedging activities that it undertakes, PAA is required to observe the market-related regulations enforced by these agencies, which hold substantial enforcement authority. PAA’s purchases and sales may also be subject to certain reporting and other requirements. Additionally, to the extent that PAA enters into transportation contracts with common carrier pipelines that are subject to FERC regulation, it is subject to FERC requirements related to the use of such capacity. Any failure on PAA’s part to comply with the regulations and policies of the FERC, the FTC or the CFTC could result in the imposition of civil and criminal penalties. Failure to comply with such regulations, as interpreted and enforced, could have a material adverse effect on PAA’s business, results of operations, financial condition and its ability to make cash distributions to its unitholders.</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The enactment and implementation of derivatives legislation could have an adverse impact on PAA’s ability to use derivative instruments to reduce the effect of commodity price, interest rate and other risks associated with its business and increase the working capital requirement to conduct these hedging activities</w:t>
      </w:r>
      <w:r>
        <w:rPr>
          <w:rFonts w:ascii="Arial" w:cs="Arial" w:eastAsia="Arial" w:hAnsi="Arial"/>
          <w:sz w:val="18"/>
          <w:szCs w:val="18"/>
          <w:i w:val="1"/>
          <w:iCs w:val="1"/>
          <w:color w:val="auto"/>
        </w:rPr>
        <w:t>.</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Dodd-Frank Wall Street Reform and Consumer Protection Act (the “Dodd-Frank Act”), enacted on July 21, 2010, established federal oversight and regulation of derivative markets and entities, such as PAA, that participate in those markets. The Dodd-Frank Act requires the CFTC and the SEC to promulgate rules and regulations implementing the Dodd-Frank Act. Although the CFTC has finalized certain regulations, others remain to be finalized or implemented and it is not possible at this time to predict when this will be accomplished.</w:t>
      </w:r>
    </w:p>
    <w:p>
      <w:pPr>
        <w:spacing w:after="0" w:line="187"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In October 2011, the CFTC issued regulations to set position limits for certain futures and option contracts in the major energy markets. The initial position limits rule was vacated by the United States District Court for the District of Columbia in September 2012. However, in November 2013, the CFTC proposed new rules that would place limits on positions in certain core futures and equivalent swaps contracts for, or linked to, certain physical commodities, subject to exceptions for certain bona fide hedging transactions. As these new position limit rules are not yet final, the impact of those provisions on PAA is uncertain at this time.</w:t>
      </w:r>
    </w:p>
    <w:p>
      <w:pPr>
        <w:spacing w:after="0" w:line="18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CFTC has designated certain interest rate swaps and credit default swaps for mandatory clearing, and the associated rules require PAA, in connection with covered derivative activities, to comply with clearing and trade-execution requirements or take steps to qualify for an exemption from such requirements. PAA does not utilize credit default swaps and PAA qualifies for, and expects to continue to qualify for, the end-user exception from the mandatory clearing requirements for swaps entered into to hedge its interest rate risks. Should the CFTC designate commodity derivatives for mandatory clearing, PAA would expect to qualify for an end-user exception from the mandatory clearing requirements for swaps entered into to hedge its commodity price risk. However, the majority of PAA’s financial derivative transactions used for hedging commodity price risks are currently executed and cleared over exchanges that require the posting of margin or letters of credit based on initial and variation margin requirements. Pursuant to the Dodd Frank Act, however, the CFTC or federal banking regulators may require the posting of collateral with respect to uncleared interest rate and commodity derivative transactions.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Certain banking regulators and the CFTC have adopted final rules establishing minimum margin requirements for uncleared swaps. Although PAA qualifies for the end-user exception from margin requirements for swaps entered into to hedge commercial risks, if any of PAA’s swaps do not qualify for the commercial end-user exception, or if PAA is otherwise required to post additional cash margin or collateral it could reduce PAA’s ability to execute hedges necessary to reduce commodity price exposures and protect cash flows. Posting of additional cash margin or collateral could affect PAA’s liquidity (defined as unrestricted cash on hand plus available capacity under its credit facilities) and reduce PAA’s ability to use cash for capital expenditures or other partnership purposes.</w:t>
      </w:r>
    </w:p>
    <w:p>
      <w:pPr>
        <w:spacing w:after="0" w:line="19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Even if PAA itself is not required to post additional cash margin or collateral for its derivative contracts, the banks and other derivatives dealers who are PAA’s contractual counterparties will be required to comply with other new requirements under the Dodd-Frank Act and related rules. The costs of such compliance may be passed on to customers such as PAA, thus decreasing the benefits to PAA of hedging transactions or reducing its profitability. In addition, implementation of the Dodd-Frank Act and related rules and regulations could reduce the overall liquidity and depth of the markets for financial and other derivatives PAA utilizes in connection with its business, which could expose PAA to additional risks or limit the opportunities PAA is able to capture by limiting the extent to which PAA is able to execute its hedging strategies.</w:t>
      </w:r>
    </w:p>
    <w:p>
      <w:pPr>
        <w:spacing w:after="0" w:line="178"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Finally, the Dodd-Frank Act was intended, in part, to reduce the volatility of oil and gas prices, which some legislators attributed to speculative trading in derivatives and commodity instruments related to oil and gas. PAA’s financial results could be adversely affected if a consequence of the Dodd-Frank Act and implementing regulations is lower commodity prices.</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full impact of the Dodd-Frank Act and related regulatory requirements upon PAA’s business will not be known until the regulations are implemented and the market for derivatives contracts has adjusted. The Dodd-Frank Act and any new regulations could significantly increase the cost of derivative contracts, materially alter the terms of derivative contracts, reduce the availability of derivatives to protect against risks PAA encounters, reduce PAA’s ability to monetize or restructure its existing derivative contracts. If PAA reduces its use of derivatives as a result of the Dodd-Frank Act and regulations implementing the Dodd-Frank Act, PAA’s results of operations may become more volatile and its cash flows may be less predictable. Any of these consequences could have a material adverse effect on PAA, its financial condition and its results of operations.</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Legislation and regulatory initiatives relating to hydraulic fracturing or other drilling activities could reduce domestic production of crude oil and natural gas.</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Hydraulic fracturing is an important and common practice that is used to stimulate production of hydrocarbons from unconventional geological formations. Recent advances in hydraulic fracturing techniques have resulted in significant increases in crude oil and natural gas production in many basins in the United States and Canada. The process involves the injection of water, sand and chemicals under pressure into the formation to fracture the surrounding rock and stimulate production, and it is typically regulated by state and provincial oil and gas commissions. PAA does not perform hydraulic fracturing, but many of the producers using its pipelines do. Hydraulic fracturing has been subject to increased scrutiny due to public concerns that it could result in contamination of drinking water supplies, and there have been a variety of legislative and regulatory proposals to prohibit, restrict, or more closely regulate various forms of hydraulic fracturing. Any legislation or regulatory initiatives that curtail hydraulic fracturing or otherwise limit producers’ ability to drill or complete wells could reduce the production of crude oil and natural gas in the United States or Canada, and could thereby reduce demand for PAA’s transportation, terminalling and storage services as well as its supply and logistics services.</w:t>
      </w:r>
    </w:p>
    <w:p>
      <w:pPr>
        <w:spacing w:after="0" w:line="18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Climate change laws and regulations restricting emissions of greenhouse gases could result in increased operating costs and reduced demand for crude oil and natural gas, while potential physical effects of climate change could disrupt crude oil production and cause PAA to incur significant costs in preparing for or responding to those effects.</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response to findings that emissions of GHGs present an endangerment to public health and the environment, the EPA has adopted regulations under existing provisions of the federal Clean Air Act to reduce GHG emissions. For example, in June 2016, the EPA finalized new regulations, known as Subpart OOOOa, that set emissions standards for methane and volatile organic compounds from new and modified oil and natural gas production and natural gas processing and transmission facilities. However, there have been attempts to modify these regulations, and litigation concerning the regulations is ongoing.</w:t>
      </w:r>
    </w:p>
    <w:p>
      <w:pPr>
        <w:spacing w:after="0" w:line="188"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While Congress has from time to time considered legislation to reduce emissions of GHGs, no significant legislation to reduce GHG emissions has been adopted at the federal level. In the absence of federal climate legislation, a number of state and regional GHG restrictions have emerged. Analogous regulations are or may be implemented in Canada. Any future laws and regulations that limit emissions of GHGs could adversely affect demand for oil and natural gas that operators, some of whom are PAA’s customers, produce and could thereby reduce demand for PAA’s midstream services.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Moreover, activists concerned about the potential effects of climate change have directed their attention at sources of funding for fossil-fuel energy companies, which has resulted in certain sources of capital restricting or eliminating their investment in oil and natural gas activities. Additionally, activist shareholders have introduced proposals that may seek to force companies to adopt aggressive emission reduction targets or restrict more carbon-intensive activities. While PAA cannot predict the outcomes of such proposals, they could make it more difficult for operators to engage in exploration and production activities, ultimately reducing demand for PAA’s services. Finally, many scientists have concluded that increasing concentrations of GHGs in the Earth’s atmosphere may produce significant physical effects, such as increased frequency and severity of storms, droughts, floods and other climatic events; if any such effects were to occur, they have the potential to cause physical damage to PAA’s assets and thus could have an adverse effect on its financial condition and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may in the future encounter increased costs related to, and lack of availability of, insurance.</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Over the last several years, as the scale and scope of PAA’s business activities has expanded, the breadth and depth of available insurance markets has contracted. As a result of these factors and other market conditions, as well as the fact that PAA has experienced several incidents over the last 3 to 5 years, premiums and deductibles for certain insurance policies have increased substantially. Accordingly, PAA can give no assurance that it will be able to maintain adequate insurance in the future at rates or on other terms PAA considers commercially reasonable. In addition, although PAA believes that it currently maintains adequate insurance coverage, insurance will not cover many types of interruptions or events that might occur and will not cover all risks associated with its operations. In addition, the proceeds of any such insurance may not be paid in a timely manner and may be insufficient if such an event were to occur. The occurrence of a significant event, the consequences of which are either not covered by insurance or not fully insured, or a significant delay in the payment of a major insurance claim, could materially and adversely affect PAA’s financial position, results of operations and cash flows.</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terms of PAA’s indebtedness may limit its ability to borrow additional funds or capitalize on business opportunities. In addition, PAA’s future debt level may limit its future financial and operating flexibility.</w:t>
      </w:r>
    </w:p>
    <w:p>
      <w:pPr>
        <w:spacing w:after="0" w:line="17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As of December 31, 2018, the face value of PAA’s consolidated debt outstanding was approximately $9.3 billion, consisting of approximately $9.2 billion face value of long-term debt (including senior notes and long-term commercial paper and credit facility borrowings) and approximately $0.1 billion of short-term borrowings. As of December 31, 2018, PAA had approximately $2.9 billion of liquidity available, including cash and cash equivalents and available borrowing capacity under its senior unsecured revolving credit facility and its senior secured hedged inventory facility, subject to continued covenant compliance. Lower Adjusted EBITDA could increase PAA’s leverage ratios and effectively reduce its ability to incur additional indebtedness.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PAA’s current or future indebtedness could have significant effects on its operations, including, among other things:</w:t>
      </w:r>
    </w:p>
    <w:p>
      <w:pPr>
        <w:spacing w:after="0" w:line="117" w:lineRule="exact"/>
        <w:rPr>
          <w:sz w:val="20"/>
          <w:szCs w:val="20"/>
          <w:color w:val="auto"/>
        </w:rPr>
      </w:pPr>
    </w:p>
    <w:p>
      <w:pPr>
        <w:ind w:left="980" w:right="14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significant portion of PAA’s cash flow will be dedicated to the payment of principal and interest on its indebtedness and may not be available for other purposes, including the payment of distributions on its units and capital expenditures;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credit rating agencies may view PAA’s debt level negatively;</w:t>
      </w:r>
    </w:p>
    <w:p>
      <w:pPr>
        <w:spacing w:after="0" w:line="117" w:lineRule="exact"/>
        <w:rPr>
          <w:rFonts w:ascii="Arial" w:cs="Arial" w:eastAsia="Arial" w:hAnsi="Arial"/>
          <w:sz w:val="18"/>
          <w:szCs w:val="18"/>
          <w:color w:val="auto"/>
        </w:rPr>
      </w:pPr>
    </w:p>
    <w:p>
      <w:pPr>
        <w:ind w:left="980" w:right="74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covenants contained in PAA’s existing debt arrangements will require it to continue to meet financial tests that may adversely affect its flexibility in planning for and reacting to changes in its business;</w:t>
      </w:r>
    </w:p>
    <w:p>
      <w:pPr>
        <w:spacing w:after="0" w:line="62"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PAA’s ability to obtain additional financing for working capital, capital expenditures, acquisitions and general partnership purposes may be limited;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PAA may be at a competitive disadvantage relative to similar companies that have less debt;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PAA may be more vulnerable to adverse economic and industry conditions as a result of its significant debt level.</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PAA’s credit agreements prohibit distributions on, or purchases or redemptions of, units if any default or event of default is continuing. In addition, the agreements contain various covenants limiting PAA’s ability to, among other things, incur indebtedness if certain financial ratios are not maintained, grant liens, engage in transactions with affiliates, enter into sale-leaseback transactions, and sell substantially all of its assets or enter into a merger or consolidation. PAA’s credit facilities treat a change of control as an event of default and also requires PAA to maintain a certain debt coverage ratio. PAA’s senior notes do not restrict distributions to unitholders, but a default under its credit agreements will be treated as a default under the senior notes. Please read Item 7. “Management’s Discussion and Analysis of Financial Condition and Results of Operations—Liquidity and Capital Resources—Credit Agreements, Commercial Paper Program and Indentures.”</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PAA’s ability to access capital markets to raise capital on favorable terms will be affected by its debt level, its operating and financial performance, the amount of its current maturities and debt maturing in the next several years, and by prevailing market conditions. Moreover, if the rating agencies were to downgrade PAA’s credit ratings, then it could experience an increase in its borrowing costs, face difficulty accessing capital markets or incurring additional indebtedness, be unable to receive open credit from its suppliers and trade counterparties, be unable to benefit from swings in market prices and shifts in market structure during periods of volatility in the crude oil market or suffer a reduction in the market price of its common units. If PAA is unable to access the capital markets on favorable terms at the time a debt obligation becomes due in the future, it might be forced to refinance some of its debt obligations through bank credit, as opposed to long-term public debt securities or equity securities, or sell assets. The price and terms upon which PAA might receive such extensions or additional bank credit, if at all, could be more onerous than those contained in existing debt agreements. Any such arrangements could, in turn, increase the risk that PAA’s leverage may adversely affect its future financial and operating flexibility and thereby impact its ability to pay cash distributions at expected rates.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could adversely affect PAA’s business and the trading price of its units.</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As of December 31, 2018, the face value of PAA’s consolidated debt was approximately $9.3 billion, of which approximately $9.1 billion was at fixed interest rates and approximately $0.2 billion was at variable interest rates. PAA is exposed to market risk due to the short-term nature of its commercial paper borrowings and the floating interest rates on its credit facilities. PAA’s results of operations, cash flows and financial position could be adversely affected by significant increases in interest rates above current levels. Additionally, increases in interest rates could adversely affect PAA’s Supply and Logistics segment results by increasing interest costs associated with the storage of hedged crude oil and NGL inventory. Further, the trading price of PAA’s common units may be sensitive to changes in interest rates and any rise in interest rates could adversely impact such trading price.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currency exchange rates could adversely affect PAA’s operating results.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Because PAA is a U.S. dollar reporting company and also conducts operations in Canada, it is exposed to currency fluctuations and exchange rate risks that may adversely affect the U.S. dollar value of its earnings, cash flow and partners’ capital under applicable accounting rules. For example, as the U.S. dollar appreciates against the Canadian dollar, the U.S. dollar value of PAA’s Canadian dollar denominated earnings is reduced for U.S. reporting purposes.</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PAA’s business requires the retention and recruitment of a skilled workforce, and difficulties recruiting and retaining its workforce could result in a failure to implement PAA’s business plans.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PAA’s operations and management require the retention and recruitment of a skilled workforce, including engineers, technical personnel and other professionals. PAA and its affiliates compete with other companies in the energy industry for this skilled workforce. If PAA is unable to (i) retain current employees; and/or (ii) recruit new employees of comparable knowledge and experience, PAA’s business could be negatively impacted. In addition, PAA could experience increased costs to retain and recruit these professionals.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impairment of long-term assets could reduce PAA’s earnings.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At December 31, 2018, PAA had approximately $14.8 billion of net property and equipment, $916 million of linefill and base gas, $2.5 billion of goodwill, $2.7 billion of investments accounted for under the equity method of accounting and $772 million of net intangible assets capitalized on its balance sheet. GAAP requires an assessment for impairment on an annual basis or in certain circumstances, including when there is an indication that the carrying value of property and equipment may not be recoverable or a determination that it is more likely than not that a reporting unit’s carrying value is in excess of the reporting unit’s fair value. If PAA was to determine that any of its property and equipment, linefill and base gas, goodwill, intangibles or equity method investments was impaired, it could be required to take an immediate charge to earnings, which could adversely impact its operating results, with a corresponding reduction of partners’ capital and increase in balance sheet leverage as measured by debt-to-total capitalization. See Note 6 to our Consolidated Financial Statements for additional information regarding impairments.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 and marine transportation of crude oil have inherent operating risks.</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PAA’s supply and logistics operations include purchasing crude oil that is carried on railcars, tankers or barges. Such cargos are at risk of being damaged or lost because of events such as derailment, marine disaster, inclement weather, mechanical failures, grounding or collision, fire, explosion, environmental accidents, piracy, terrorism and political instability. Such occurrences could result in death or injury to persons, loss of property or environmental damage, delays in the delivery of cargo, loss of revenues, termination of contracts, governmental fines, penalties or restrictions on conducting business, higher insurance rates and damage to PAA’s reputation and customer relationships generally. Although certain of these risks may be covered under PAA’s insurance program, any of these circumstances or events could increase its costs or lower its revenues.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is dependent on the use or availability of third-party assets for certain of its operations.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Certain of PAA’s business activities require the use or availability of third-party assets over which it may have little or no control. If at any time the availability of these assets is limited or denied, and if access to alternative assets cannot be arranged, it could have an adverse effect on PAA’s business, results of operations and cash flow.</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Non-utilization of certain assets could significantly reduce its profitability due to fixed costs incurred to obtain the right to use such assets.</w:t>
      </w:r>
    </w:p>
    <w:p>
      <w:pPr>
        <w:spacing w:after="0" w:line="23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From time to time in connection with its business, PAA may lease or otherwise secure the right to use certain assets (such as railcars, trucks, barges, ships, pipeline capacity, storage capacity and other similar assets) with the expectation that the revenues it generates through the use of such assets will be greater than the fixed costs it incurs pursuant to the applicable leases or other arrangements. However, when such assets are not utilized or are under-utilized, PAA’s profitability could be negatively impacted because the revenues it earns are either non-existent or reduced, but it remains obligated to continue paying any applicable fixed charges, in addition to the potential of incurring other costs attributable to the non-utilization of such assets. Non-utilization of assets PAA leases or otherwise secures the right to use in connection with its business could have a significant negative impact on PAA’s profitability and cash flows.</w:t>
      </w:r>
    </w:p>
    <w:p>
      <w:pPr>
        <w:spacing w:after="0" w:line="1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Many of PAA’s assets have been in service for many years and require significant expenditures to maintain them. As a result, its maintenance or repair costs may increase in the future.</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PAA’s pipelines, terminals, storage and processing and fractionation assets are generally long-lived assets, and many of them have been in service for many years. The age and condition of its assets could result in increased maintenance or repair expenditures in the future. Any significant increase in these expenditures could adversely affect PAA’s results of operations, financial position or cash flows, as well as its ability to make cash distributions to our unitholders.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does not own all of the land on which its pipelines and facilities are located, which could result in disruptions to its operations.</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PAA does not own all of the land on which its pipelines and facilities have been constructed, and therefore are potentially subject to more onerous terms and/or increased costs to retain necessary land use if PAA does not have valid rights-of-way or if such rights-of-way lapse or terminate. In some instances, PAA obtains the rights to construct and operate its pipelines on land owned by third parties and governmental agencies for a specific period of time. Following a decision issued in May 2017 by the Tenth Circuit Court of Appeals, tribal ownership of even a very small fractional interest in tribal land owned or at one time owned by an individual Indian landowner, bars condemnation of any interest in the allotment. Consequently, the inability to condemn such allotted lands under circumstances where existing pipeline rights-of-way may soon lapse or terminate serves as an additional potential impediment for pipeline operations. In September 2018, the Fourth Circuit Court of Appeals reversed a decision of the United States Forest Service (“USFS”) issuing a permit for the construction of a pipeline and granting a right of way across the Appalachian Trail, ruling that the USFS lacked statutory authority. This decision may make it more difficult to obtain permits and rights of way on certain federal lands and may be used as precedent to challenge existing and future permits and rights of way. PAA cannot guarantee that it will always be able to renew existing rights-of-way or obtain new rights-of-way on favorable terms or without experiencing significant delays and costs. Any loss of rights with respect to real property, through PAA’s inability to renew right-of-way contracts or otherwise, could have a material adverse effect on its business, results of operations, and financial position.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For various operating and commercial reasons, PAA may not be able to perform all of its obligations under its contracts, which could lead to increased costs and negatively impact its financial results.</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Various operational and commercial factors could result in an inability on PAA’s part to satisfy its contractual commitments and obligations. For example, in connection with the provision of firm storage services and hub services to its natural gas storage customers, PAA enters into contracts that obligate PAA to honor its customers’ requests to inject gas into its storage facilities, withdraw gas from its facilities and wheel gas through its facilities, in each case subject to volume, timing and other limitations set forth in such contracts. The following factors could adversely impact PAA’s ability to perform its obligations under these contracts:</w:t>
      </w:r>
    </w:p>
    <w:p>
      <w:pPr>
        <w:spacing w:after="0" w:line="80" w:lineRule="exact"/>
        <w:rPr>
          <w:sz w:val="20"/>
          <w:szCs w:val="20"/>
          <w:color w:val="auto"/>
        </w:rPr>
      </w:pPr>
    </w:p>
    <w:p>
      <w:pPr>
        <w:ind w:left="980" w:right="66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failure on the part of PAA’s storage facilities to perform as it expects them to, whether due to malfunction of equipment or facilities or realization of other operational risks;</w:t>
      </w:r>
    </w:p>
    <w:p>
      <w:pPr>
        <w:spacing w:after="0" w:line="62"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operating pressure of PAA’s storage facilities (affected in varying degree, depending on the type of storage cavern, by total volume of working and base gas, and temperature);</w:t>
      </w:r>
    </w:p>
    <w:p>
      <w:pPr>
        <w:spacing w:after="0" w:line="62" w:lineRule="exact"/>
        <w:rPr>
          <w:rFonts w:ascii="Arial" w:cs="Arial" w:eastAsia="Arial" w:hAnsi="Arial"/>
          <w:sz w:val="18"/>
          <w:szCs w:val="18"/>
          <w:color w:val="auto"/>
        </w:rPr>
      </w:pPr>
    </w:p>
    <w:p>
      <w:pPr>
        <w:ind w:left="980" w:hanging="324"/>
        <w:spacing w:after="0" w:line="288" w:lineRule="auto"/>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variety of commercial decisions PAA makes from time to time in connection with the management and operation of its storage facilities. Examples include, without limitation, decisions with respect to matters such as (i) the aggregate amount of commitments PAA is willing to make with respect to wheeling, injection, and withdrawal services, which could exceed PAA’s capabilities at any given time for various reasons,</w:t>
      </w:r>
    </w:p>
    <w:p>
      <w:pPr>
        <w:ind w:left="980" w:right="20"/>
        <w:spacing w:after="0" w:line="252" w:lineRule="auto"/>
        <w:rPr>
          <w:rFonts w:ascii="Arial" w:cs="Arial" w:eastAsia="Arial" w:hAnsi="Arial"/>
          <w:sz w:val="16"/>
          <w:szCs w:val="16"/>
          <w:color w:val="auto"/>
        </w:rPr>
      </w:pPr>
      <w:r>
        <w:rPr>
          <w:rFonts w:ascii="Arial" w:cs="Arial" w:eastAsia="Arial" w:hAnsi="Arial"/>
          <w:sz w:val="18"/>
          <w:szCs w:val="18"/>
          <w:color w:val="auto"/>
        </w:rPr>
        <w:t>(ii) the timing of scheduled and unplanned maintenance or repairs, which can impact equipment availability and capacity, (iii) the schedule for and rate at which PAA conducts opportunistic leaching activities at its facilities in connection with the expansion of existing salt caverns, which can impact the amount of storage capacity PAA has available to satisfy its customers’ requests, (iv) the timing and aggregate volume of any base gas park and/or loan transactions PAA consummates, which can directly affect the operating pressure of PAA’s storage facilities and (v) the amount of compression capacity and other gas handling equipment that PAA installs at its facilities to support gas wheeling, injection and withdrawal activities; and</w:t>
      </w:r>
    </w:p>
    <w:p>
      <w:pPr>
        <w:spacing w:after="0" w:line="86" w:lineRule="exact"/>
        <w:rPr>
          <w:rFonts w:ascii="Arial" w:cs="Arial" w:eastAsia="Arial" w:hAnsi="Arial"/>
          <w:sz w:val="16"/>
          <w:szCs w:val="16"/>
          <w:color w:val="auto"/>
        </w:rPr>
      </w:pPr>
    </w:p>
    <w:p>
      <w:pPr>
        <w:ind w:left="980" w:right="54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adverse operating conditions due to hurricanes, extreme weather events or conditions, and operational problems or issues with third-party pipelines, storage or production facilities.</w:t>
      </w:r>
    </w:p>
    <w:p>
      <w:pPr>
        <w:spacing w:after="0" w:line="170"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Although PAA manages and monitors all of these various factors in connection with the ongoing operation of its natural gas storage facilities with the goal of performing all of its contractual commitments and obligations and optimizing its revenue, one or more of the above factors may adversely impact PAA’s ability to satisfy its injection, withdrawal or wheeling obligations under its storage contracts. In such event, PAA may be liable to its customers for losses or damages they suffer and/or PAA may need to incur costs or expenses in order to permit it to satisfy its obligations.</w:t>
      </w:r>
    </w:p>
    <w:p>
      <w:pPr>
        <w:spacing w:after="0" w:line="17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If PAA fails to obtain materials in the quantity and the quality it needs, and at commercially acceptable prices, whether due to tariffs, quotas or other factors, PAA’s results of operations, financial condition and cash flows could be materially and adversely affected.</w:t>
      </w:r>
    </w:p>
    <w:p>
      <w:pPr>
        <w:spacing w:after="0" w:line="14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PAA’s business requires access to steel and other materials to construct and maintain new and existing pipelines and facilities. If PAA experiences a shortage in the supply of these materials or is unable to source sufficient quantities of high quality materials at acceptable prices and in a timely manner, it could materially and adversely affect PAA’s ability to construct new infrastructure and maintain its existing assets.</w:t>
      </w:r>
    </w:p>
    <w:p>
      <w:pPr>
        <w:spacing w:after="0" w:line="166"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In addition, some of the materials used in PAA’s business are imported. Existing and future import duties and quotas could materially increase PAA’s costs of procuring imported or domestic steel and/or create shortages or difficulties in procuring sufficient quantities of steel meeting PAA’s required technical specifications. A material increase in PAA’s costs of construction and maintenance or any significant delays in its ability to complete its infrastructure projects could have a material adverse effect on PAA’s financial position, results of operations and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reimbursements due to PAA’s general partner may be substantial and will reduce PAA’s cash available for distribution to its unitholders.</w:t>
      </w:r>
    </w:p>
    <w:p>
      <w:pPr>
        <w:spacing w:after="0" w:line="24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Prior to making any distribution on its common units, PAA will reimburse its general partner and its affiliates, including officers and directors of its general partner, for all expenses incurred on PAA’s behalf. In addition, PAA is required to pay all direct and indirect expenses of the Plains Entities, other than income taxes of any of the PAGP Entities. The reimbursement of expenses and the payment of fees and expenses could adversely affect PAA’s ability to make distributions. PAA’s general partner has sole discretion to determine the amount of these expenses. In addition, PAA’s general partner and its affiliates may provide PAA with services for which PAA will be charged reasonable fees as determined by its general partner.</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are not guaranteed and may fluctuate with PAA’s performance and the establishment of financial reserves.</w:t>
      </w:r>
    </w:p>
    <w:p>
      <w:pPr>
        <w:spacing w:after="0" w:line="225" w:lineRule="exact"/>
        <w:rPr>
          <w:sz w:val="20"/>
          <w:szCs w:val="20"/>
          <w:color w:val="auto"/>
        </w:rPr>
      </w:pPr>
    </w:p>
    <w:p>
      <w:pPr>
        <w:ind w:right="320" w:firstLine="648"/>
        <w:spacing w:after="0" w:line="271" w:lineRule="auto"/>
        <w:rPr>
          <w:sz w:val="20"/>
          <w:szCs w:val="20"/>
          <w:color w:val="auto"/>
        </w:rPr>
      </w:pPr>
      <w:r>
        <w:rPr>
          <w:rFonts w:ascii="Arial" w:cs="Arial" w:eastAsia="Arial" w:hAnsi="Arial"/>
          <w:sz w:val="17"/>
          <w:szCs w:val="17"/>
          <w:color w:val="auto"/>
        </w:rPr>
        <w:t>Because distributions on PAA’s common units are dependent on the amount of cash it generates, distributions may fluctuate based on PAA’s performance, which will result in fluctuations in the amount of distributions ultimately received by AAP. The actual amount of cash that is available to be distributed each quarter will depend on numerous factors, some of which are beyond PAA’s control and the control of PAA’s general partner. Cash distributions are dependent primarily on cash flow, levels of financial reserves and working capital borrowings, and not solely on profitability, which is affected by non-cash items. PAA’s levels of financial reserves are established by its general partner and include reserves for the proper conduct of PAA’s business (including future capital expenditures and anticipated credit needs), compliance with law or contractual obligations and funding of future distributions to its Series A and Series B preferred unitholders. Therefore, cash distributions might be made during periods when PAA records losses and might not be made during periods when it records profits.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PAA’s preferred units have rights, preferences and privileges that are not held by, and are preferential to the rights of, holders of PAA’s common units.</w:t>
      </w:r>
    </w:p>
    <w:p>
      <w:pPr>
        <w:spacing w:after="0" w:line="26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PAA’s Series A preferred units and PAA’s Series B preferred units (together, “PAA’s preferred units”), rank senior to all of PAA’s other classes or series of equity securities with respect to distribution rights and rights upon liquidation. These preferences could adversely affect the market price for PAA’s common units, or could make it more difficult for PAA to sell its common units in the future.</w:t>
      </w:r>
    </w:p>
    <w:p>
      <w:pPr>
        <w:spacing w:after="0" w:line="181"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addition, distributions on PAA’s preferred units accrue and are cumulative, at the rate of 8% per annum with respect to PAA’s Series A preferred units and 6.125% with respect to PAA’s Series B preferred units on the original issue price. PAA’s Series A preferred units are convertible into PAA common units by the holders of such units or by PAA in certain circumstances. PAA’s Series B preferred units are not convertible into PAA common units, but are redeemable by PAA in certain circumstances. PAA’s obligation to pay distributions on PAA’s preferred units, or on the PAA common units issued following the conversion of PAA’s Series A preferred units, could impact its liquidity and reduce the amount of cash flow available for working capital, capital expenditures, growth opportunities, acquisitions, and other general partnership purposes. PAA’s obligations to the holders of PAA’s preferred units could also limit its ability to obtain additional financing or increase its borrowing costs, which could have an adverse effect on PAA’s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As our only cash-generating assets consist of our partnership interest in AAP and its related direct and indirect interests in PAA, our tax risks are primarily derivative of the tax risks associated with an investment in PAA.</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b w:val="1"/>
          <w:bCs w:val="1"/>
          <w:i w:val="1"/>
          <w:iCs w:val="1"/>
          <w:color w:val="auto"/>
        </w:rPr>
        <w:t>The tax treatment of PAA depends on its status as a partnership for U.S. federal income tax purposes, as well as it not being subject to a material amount of additional entity-level taxation by individual states. If the Internal Revenue Service (“IRS”) were to treat PAA as a corporation for federal income tax purposes or if PAA becomes subject to additional amounts of entity-level taxation for state or foreign tax purposes, it would reduce the amount of cash available for distribution to us and increase the portion of our distributions treated as taxable dividends.</w:t>
      </w:r>
    </w:p>
    <w:p>
      <w:pPr>
        <w:spacing w:after="0" w:line="15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At December 31, 2018, we owned an approximate 57% limited partner interest in AAP, which directly owned a limited partner interest in PAA through its ownership of 280,514,112 PAA common units (approximately 35% of PAA’s total Series A preferred units and common units). Accordingly, the value of our indirect investment in PAA, as well as the anticipated after-tax economic benefit of an investment in our Class A shares, depends largely on PAA being treated as a partnership for federal income tax purposes, which requires that 90% or more of PAA’s gross income for every taxable year consist of qualifying income, as defined in Section 7704 of the Internal Revenue Code of 1986, as amended (the “Code”). Based on PAA’s current operations, and current Treasury Regulations, PAA believes that it is treated as a partnership rather than a corporation for such purposes; however, a change in PAA’s business could cause it to be treated as a corporation for federal income tax purposes.</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Current law may change, causing PAA to be treated as a corporation for federal income tax purposes or otherwise subjecting PAA to additional entity-level taxation. In addition, several states are evaluating ways to subject partnerships to entity-level taxation through the imposition of state income, franchise and other forms of taxation. Imposition of any new or increased federal or state taxes on PAA may result in a decrease in the amount of distributions AAP receives from PAA and our resulting cash flows could be reduced substantially, which would adversely affect our ability to pay distributions to our shareholders.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5"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If PAA were treated as a corporation for federal income tax purposes, it would pay federal income tax on its taxable income at the corporate tax rate and would likely pay state income taxes at varying rates. Distributions to PAA’s partners, including AAP, would generally be taxed again as corporate distributions, and no income, gains, losses or deductions would flow through to PAA’s partners. Because a tax would be imposed upon PAA as a corporation, its cash available for distribution would be substantially reduced. Therefore, treatment of PAA as a corporation would result in a material reduction in the anticipated cash flow and after-tax return to us, likely causing a substantial reduction in the value of our Class A shares.</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Moreover, if PAA were treated as a corporation we would not be entitled to the deductions associated with our initial acquisition of interests in AAP or subsequent exchanges of retained AAP interests and Class B shares for our Class A shares. As a result, if PAA were treated as a corporation, (i) our liability for taxes would likely be higher, further reducing our cash available for distribution, and (ii) a greater portion of the cash we are able to distribute will be treated as a taxable dividend.</w:t>
      </w:r>
    </w:p>
    <w:p>
      <w:pPr>
        <w:spacing w:after="0" w:line="1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The tax treatment of publicly traded partnerships or an investment in PAA units could be subject to potential legislative, judicial or administrative changes or differing interpretations, possibly applied on a retroactive basis.</w:t>
      </w:r>
    </w:p>
    <w:p>
      <w:pPr>
        <w:spacing w:after="0" w:line="170"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present U.S. federal income tax treatment of publicly traded partnerships, including PAA, or an investment in PAA common units may be modified by administrative, legislative or judicial changes or differing interpretations at any time. From time to time, members of Congress have proposed and considered substantive changes to the existing U.S. federal income tax laws that would affect publicly traded partnerships, including a prior legislative proposal that would have eliminated the qualifying income exception to the treatment of all publicly-traded partnerships as corporations upon which PAA relies for its treatment as a partnership for U.S. federal income tax purposes. In addition, the Treasury Department has issued, and in the future may issue, regulations interpreting those laws that affect publicly traded partnerships. Although there are no current legislative or administrative proposals, there can be no assurance that there will not be further changes to U.S. federal income tax laws or the Treasury Department’s interpretation of the qualifying income rules in a manner that could impact PAA’s ability to qualify as a publicly traded partnership in the future.</w:t>
      </w:r>
    </w:p>
    <w:p>
      <w:pPr>
        <w:spacing w:after="0" w:line="166"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Any modification to the U.S. federal income tax laws may be applied retroactively and could make it more difficult or impossible for PAA to meet the exception for certain publicly traded partnerships to be treated as partnerships for U.S. federal income tax purposes. We are unable to predict whether any of these changes or other proposals will ultimately be enacted. Any such changes could negatively impact the value of our indirect investment in PAA.</w:t>
      </w:r>
    </w:p>
    <w:p>
      <w:pPr>
        <w:spacing w:after="0" w:line="147"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b w:val="1"/>
          <w:bCs w:val="1"/>
          <w:i w:val="1"/>
          <w:iCs w:val="1"/>
          <w:color w:val="auto"/>
        </w:rPr>
        <w:t>If the IRS makes audit adjustments to PAA’s income tax returns for tax years beginning after December 31, 2017, it (and some states) may assess and collect any taxes (including any applicable penalties and interest) resulting from such audit adjustments directly from PAA, in which case PAA’s cash distribution to AAP and our cash available for distribution to our shareholders might be substantially reduced.</w:t>
      </w:r>
    </w:p>
    <w:p>
      <w:pPr>
        <w:spacing w:after="0" w:line="14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Pursuant to the Bipartisan Budget Act of 2015, for tax years beginning after December 31, 2017, if the IRS makes audit adjustments to PAA’s income tax returns, it (and some states) may assess and collect any taxes (including any applicable penalties and interest) resulting from such audit adjustments directly from PAA. To the extent possible under the new rules, PAA’s general partner may elect to either pay the taxes (including any applicable penalties and interest) directly to the IRS or, if PAA is eligible, issue a revised information statement to each unitholder and former unitholder with respect to an audited and adjusted return. Although PAA’s general partner may elect to have PAA’s unitholders and former unitholders take such audit adjustment into account and pay any resulting taxes (including applicable penalties or interest) in accordance with their interests in PAA during the tax year under audit, there can be no assurance that such election will be practical, permissible or effective in all circumstances. As a result, PAA’s current unitholders, including us through AAP, may bear some or all of the tax liability resulting from such audit adjustment, even if such unitholders did not own units in PAA during the tax year under audit. If, as a result of any such audit adjustment, PAA or AAP is required to make payments of taxes, penalties and interest, then the amount of distributions we receive from AAP could be substantially reduced, which would adversely affect our ability to pay distributions to our shareholders. These rules are not applicable for tax years beginning on or prior to December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Taxable gain or loss on the sale of our Class A shares could be more or less than expected.</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If a holder sells our Class A shares, the holder will recognize a gain or loss equal to the difference between the amount realized and the holder’s tax basis in those Class A shares. To the extent that the amount of our distributions exceeds our current and accumulated earnings and profits, the distributions will be treated as a tax free return of capital and will reduce a holder’s tax basis in the Class A shares. We did not have any earnings and profits in 2018 and we do not expect to have any earnings and profits for an extended period of time, which we estimate will include, at a minimum, each of the periods ending December 31,</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5"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2019 through 2021. Because our distributions in excess of our earnings and profits decrease a holder’s tax basis in Class A shares, such excess distributions will result in a corresponding increase in the amount of gain, or a corresponding decrease in the amount of loss, recognized by the holder upon the sale of the Class A shares.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tax treatment may change, which could affect the value of our Class A shares or reduce our cash available for distribution.</w:t>
      </w:r>
    </w:p>
    <w:p>
      <w:pPr>
        <w:spacing w:after="0" w:line="23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expectation that tax deductions associated with our initial and subsequent acquisitions of interests in AAP (as a result of the exercise by Legacy Owners of their exchange rights) will offset all of our current taxable income for an extended period of time, and thus result in our distributions not constituting taxable dividends for an extended period of time, is based on current law with respect to the amortization of basis adjustments associated with our acquisition of interests in AAP. Changes in federal income tax law relating to such tax treatment could result in (i) our being subject to additional taxation at the entity level with the result that we would have less cash available for distribution, and (ii) a greater portion of our distributions being treated as taxable dividends. Moreover, we are subject to tax in numerous jurisdictions. Changes in current law in these jurisdictions, particularly relating to the treatment of deductions attributable to acquisitions of interests in AAP, could result in our being subject to additional taxation at the entity level with the result that we would have less cash available for distribution.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decrease in our Class A share price could adversely affect our amount of cash available for distribution.</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Changes in certain market conditions may cause our Class A share price to decrease. If our Legacy Owners exchange their retained interests in AAP and Class B shares in us for our Class A shares at a point in time when our Class A share price is below the price at which Class A shares were sold in our initial public offering or in any subsequent exchange, the ratio of our income tax deductions to gross income would decline. This decline could result in our being subject to tax sooner than expected, our tax liability being greater than expected, or a greater portion of our distributions being treated as taxable dividends.</w:t>
      </w:r>
    </w:p>
    <w:p>
      <w:pPr>
        <w:spacing w:after="0" w:line="188"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b w:val="1"/>
          <w:bCs w:val="1"/>
          <w:i w:val="1"/>
          <w:iCs w:val="1"/>
          <w:color w:val="auto"/>
        </w:rPr>
        <w:t>The IRS Forms 1099-DIV that our shareholders receive from their brokers may over-report dividend income with respect to our shares for U.S. federal income tax purposes, which may result in a shareholder’s overpayment of tax. In addition, failure to report dividend income in a manner consistent with the IRS Forms 1099-DIV may cause the IRS to assert audit adjustments to a shareholder’s U.S. federal income tax return. For non-U.S. holders of our shares, brokers or other withholding agents may overwithhold taxes from dividends paid, in which case a shareholder generally would have to timely file a U.S. tax return or an appropriate claim for refund in order to claim a refund of the overwithheld taxes.</w:t>
      </w:r>
    </w:p>
    <w:p>
      <w:pPr>
        <w:spacing w:after="0" w:line="15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Distributions we pay with respect to our shares will constitute “dividends” for U.S. federal income tax purposes only to the extent of our current and accumulated earnings and profits. Distributions we pay in excess of our earnings and profits will not be treated as “dividends” for U.S. federal income tax purposes; instead, they will be treated first as a tax-free return of capital to the extent of a shareholder’s tax basis in their shares and then as capital gain realized on the sale or exchange of such shares. We may be unable to timely determine the portion of our distributions that is a “dividend” for U.S. federal income tax purposes, which may result in a shareholder’s overpayment of tax with respect to distribution amounts that should have been classified as a tax-free return of capital. In such a case, a shareholder generally would have to timely file an amended U.S. tax return or an appropriate claim for refund in order to obtain a refund of the overpaid tax.</w:t>
      </w:r>
    </w:p>
    <w:p>
      <w:pPr>
        <w:spacing w:after="0" w:line="189" w:lineRule="exact"/>
        <w:rPr>
          <w:sz w:val="20"/>
          <w:szCs w:val="20"/>
          <w:color w:val="auto"/>
        </w:rPr>
      </w:pPr>
    </w:p>
    <w:p>
      <w:pPr>
        <w:jc w:val="both"/>
        <w:ind w:right="40" w:firstLine="648"/>
        <w:spacing w:after="0" w:line="297" w:lineRule="auto"/>
        <w:rPr>
          <w:sz w:val="20"/>
          <w:szCs w:val="20"/>
          <w:color w:val="auto"/>
        </w:rPr>
      </w:pPr>
      <w:r>
        <w:rPr>
          <w:rFonts w:ascii="Arial" w:cs="Arial" w:eastAsia="Arial" w:hAnsi="Arial"/>
          <w:sz w:val="16"/>
          <w:szCs w:val="16"/>
          <w:color w:val="auto"/>
        </w:rPr>
        <w:t>For a U.S. holder of our shares, the IRS Forms 1099-DIV may not be consistent with our determination of the amount that constitutes a “dividend” for U.S. federal income tax purposes or a shareholder may receive a corrected IRS Form 1099-DIV (and may therefore need to file an amended federal, state or local income tax return). We will attempt to timely notify our shareholders of available information to assist with income tax reporting (such as posting the correct information on our website). However, the information that we provide to our shareholders may be inconsistent with the amounts reported by a broker on IRS Form 1099-DIV, and the IRS may disagree with any such information and may make audit adjustments to a shareholder’s tax return.</w:t>
      </w:r>
    </w:p>
    <w:p>
      <w:pPr>
        <w:spacing w:after="0" w:line="15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For a non-U.S. holder of our shares, “dividends” for U.S. federal income tax purposes will be subject to withholding of U.S. federal income tax at a 30% rate (or such lower rate as may be specified by an applicable income tax treaty) unless the dividends are effectively connected with conduct of a U.S. trade or business. In the event that we are unable to timely determine the portion of our distributions that is a “dividend” for U.S. federal income tax purposes, or a shareholder’s broker or withholding agent chooses to withhold taxes from distributions in a manner inconsistent with our determination of the amount that constitutes a “dividend” for such purposes, a shareholder’s broker or other withholding agent may overwithhold taxes from distributions paid. In such a case, a shareholder generally would have to timely file a U.S. tax return or an appropriate claim for refund in order to obtain a refund of the overwithheld tax.</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included in Note 18 to our Consolidated Financial Statements, and is incorporated herein by reference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07" w:lineRule="exact"/>
        <w:rPr>
          <w:sz w:val="20"/>
          <w:szCs w:val="20"/>
          <w:color w:val="auto"/>
        </w:rPr>
      </w:pPr>
    </w:p>
    <w:p>
      <w:pPr>
        <w:jc w:val="center"/>
        <w:ind w:right="8520"/>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i w:val="1"/>
          <w:iCs w:val="1"/>
          <w:color w:val="auto"/>
        </w:rPr>
        <w:t>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20"/>
          </w:cols>
          <w:pgMar w:left="240" w:top="125" w:right="7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Shares, Related Shareholder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Holders and Distributions</w:t>
      </w:r>
    </w:p>
    <w:p>
      <w:pPr>
        <w:spacing w:after="0" w:line="229" w:lineRule="exact"/>
        <w:rPr>
          <w:sz w:val="20"/>
          <w:szCs w:val="20"/>
          <w:color w:val="auto"/>
        </w:rPr>
      </w:pPr>
    </w:p>
    <w:p>
      <w:pPr>
        <w:ind w:right="780" w:firstLine="648"/>
        <w:spacing w:after="0" w:line="308" w:lineRule="auto"/>
        <w:rPr>
          <w:sz w:val="20"/>
          <w:szCs w:val="20"/>
          <w:color w:val="auto"/>
        </w:rPr>
      </w:pPr>
      <w:r>
        <w:rPr>
          <w:rFonts w:ascii="Arial" w:cs="Arial" w:eastAsia="Arial" w:hAnsi="Arial"/>
          <w:sz w:val="17"/>
          <w:szCs w:val="17"/>
          <w:color w:val="auto"/>
        </w:rPr>
        <w:t>Our Class A shares are listed and traded on the New York Stock Exchange under the symbol “PAGP.” As of February 12, 2019, there were 159,485,588 Class A shares outstanding and approximately 32,000 record holders and beneficial owners (held in street name).</w:t>
      </w:r>
    </w:p>
    <w:p>
      <w:pPr>
        <w:spacing w:after="0" w:line="14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The following table presents cash distributions per Class A share pertaining to the quarter presented, which were declared and paid in the following calendar quarter (see the “Cash Distribution Policy” section below for a discussion of our policy regarding distribution payments):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First Quarter</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Second Quarter</w:t>
            </w:r>
          </w:p>
        </w:tc>
        <w:tc>
          <w:tcPr>
            <w:tcW w:w="26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Third Quarter</w:t>
            </w:r>
          </w:p>
        </w:tc>
        <w:tc>
          <w:tcPr>
            <w:tcW w:w="240" w:type="dxa"/>
            <w:vAlign w:val="bottom"/>
          </w:tcPr>
          <w:p>
            <w:pPr>
              <w:spacing w:after="0"/>
              <w:rPr>
                <w:sz w:val="16"/>
                <w:szCs w:val="16"/>
                <w:color w:val="auto"/>
              </w:rPr>
            </w:pPr>
          </w:p>
        </w:tc>
        <w:tc>
          <w:tcPr>
            <w:tcW w:w="1460" w:type="dxa"/>
            <w:vAlign w:val="bottom"/>
          </w:tcPr>
          <w:p>
            <w:pPr>
              <w:jc w:val="right"/>
              <w:ind w:right="296"/>
              <w:spacing w:after="0"/>
              <w:rPr>
                <w:sz w:val="20"/>
                <w:szCs w:val="20"/>
                <w:color w:val="auto"/>
              </w:rPr>
            </w:pPr>
            <w:r>
              <w:rPr>
                <w:rFonts w:ascii="Arial" w:cs="Arial" w:eastAsia="Arial" w:hAnsi="Arial"/>
                <w:sz w:val="14"/>
                <w:szCs w:val="14"/>
                <w:b w:val="1"/>
                <w:bCs w:val="1"/>
                <w:color w:val="auto"/>
              </w:rPr>
              <w:t>Fourth Quarter</w:t>
            </w:r>
          </w:p>
        </w:tc>
      </w:tr>
      <w:tr>
        <w:trPr>
          <w:trHeight w:val="250"/>
        </w:trPr>
        <w:tc>
          <w:tcPr>
            <w:tcW w:w="4200" w:type="dxa"/>
            <w:vAlign w:val="bottom"/>
            <w:tcBorders>
              <w:top w:val="single" w:sz="8" w:color="CCEEFF"/>
              <w:bottom w:val="single" w:sz="8" w:color="CCEEFF"/>
            </w:tcBorders>
            <w:shd w:val="clear" w:color="auto" w:fill="CCEEFF"/>
          </w:tcPr>
          <w:p>
            <w:pPr>
              <w:jc w:val="right"/>
              <w:ind w:right="3730"/>
              <w:spacing w:after="0"/>
              <w:rPr>
                <w:sz w:val="20"/>
                <w:szCs w:val="20"/>
                <w:color w:val="auto"/>
              </w:rPr>
            </w:pPr>
            <w:r>
              <w:rPr>
                <w:rFonts w:ascii="Arial" w:cs="Arial" w:eastAsia="Arial" w:hAnsi="Arial"/>
                <w:sz w:val="18"/>
                <w:szCs w:val="18"/>
                <w:b w:val="1"/>
                <w:bCs w:val="1"/>
                <w:color w:val="auto"/>
                <w:w w:val="89"/>
              </w:rPr>
              <w:t>2018</w:t>
            </w:r>
          </w:p>
        </w:tc>
        <w:tc>
          <w:tcPr>
            <w:tcW w:w="1300" w:type="dxa"/>
            <w:vAlign w:val="bottom"/>
            <w:tcBorders>
              <w:top w:val="single" w:sz="8" w:color="auto"/>
              <w:bottom w:val="single" w:sz="8" w:color="CCEEFF"/>
            </w:tcBorders>
            <w:shd w:val="clear" w:color="auto" w:fill="CCEEFF"/>
          </w:tcPr>
          <w:p>
            <w:pPr>
              <w:jc w:val="right"/>
              <w:ind w:right="109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0.30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0.30</w:t>
            </w:r>
          </w:p>
        </w:tc>
      </w:tr>
      <w:tr>
        <w:trPr>
          <w:trHeight w:val="243"/>
        </w:trPr>
        <w:tc>
          <w:tcPr>
            <w:tcW w:w="4200" w:type="dxa"/>
            <w:vAlign w:val="bottom"/>
          </w:tcPr>
          <w:p>
            <w:pPr>
              <w:jc w:val="right"/>
              <w:ind w:right="3730"/>
              <w:spacing w:after="0"/>
              <w:rPr>
                <w:sz w:val="20"/>
                <w:szCs w:val="20"/>
                <w:color w:val="auto"/>
              </w:rPr>
            </w:pPr>
            <w:r>
              <w:rPr>
                <w:rFonts w:ascii="Arial" w:cs="Arial" w:eastAsia="Arial" w:hAnsi="Arial"/>
                <w:sz w:val="18"/>
                <w:szCs w:val="18"/>
                <w:b w:val="1"/>
                <w:bCs w:val="1"/>
                <w:color w:val="auto"/>
                <w:w w:val="89"/>
              </w:rPr>
              <w:t>2017</w:t>
            </w:r>
          </w:p>
        </w:tc>
        <w:tc>
          <w:tcPr>
            <w:tcW w:w="1300" w:type="dxa"/>
            <w:vAlign w:val="bottom"/>
          </w:tcPr>
          <w:p>
            <w:pPr>
              <w:jc w:val="right"/>
              <w:ind w:right="109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0.55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0.30</w:t>
            </w:r>
          </w:p>
        </w:tc>
      </w:tr>
    </w:tbl>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Our Class A shares are also used as a form of compensation to our directors. See Note 17 to our Consolidated Financial Statements for additional information regarding our equity-indexed compensation plans.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Class B shares and Class C shares are not listed or traded on any stock exchange.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following graph compares the total unitholder return performance of our Class A shares with the performance of: (i) the Standard &amp; Poor’s 500 Stock Index (“S&amp;P 500”) and (ii) the Alerian MLP Index. The Alerian MLP Index is a composite of the most prominent energy master limited partnerships that provides investors with a comprehensive benchmark for this asset class. The graph assumes that $100 was invested in our Class A shares and each comparison index beginning on December 31, 2013 and that all distributions were reinvested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118110</wp:posOffset>
            </wp:positionV>
            <wp:extent cx="5848985" cy="29159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48985"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12/31/2013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12/31/2014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12/31/2015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12/31/2016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12/31/2017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12/31/2018</w:t>
            </w: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PAGP</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37.11</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S&amp;P 500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113.69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115.26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129.05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157.22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150.33</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Alerian MLP Index</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68.43</w:t>
            </w:r>
          </w:p>
        </w:tc>
      </w:tr>
      <w:tr>
        <w:trPr>
          <w:trHeight w:val="459"/>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color w:val="auto"/>
        </w:rPr>
        <w:t>This information shall not be deemed to be “soliciting material” or to be “filed” with the Commission or subject to Regulation 14A or 14C under the Exchange Act, other than as provided in Item 201(e) of Regulation S-K, or to the liabilities of Section 18 of the Exchange Act, and shall not be deemed to be incorporated by reference into any filing under the Securities Act of 1933, as amended, or the Exchange Act, except to the extent that we specifically request that such information be treated as soliciting material or specifically incorporate it by reference into a filing under the Securities Act or the Exchange Act.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connection with our IPO and related transactions, the Legacy Owners acquired the following interests (collectively, the “Stapled Interests”): (i) AAP units representing an economic limited partner interest in AAP; (ii) general partner units representing a non-economic membership interest in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As a result, the exercise by Legacy Owners of the Exchange Right is not dilutive. During the three months ended December 31, 2018, certain Legacy Owners or their permitted transferees exercised the Exchange Right, which resulted in the issuance of 324,803 Class A shares. The issuance of Class A shares in connection with the exercise of the Exchange Rights was exempt from the registration requirements of the Securities Act of 1933, as amended, pursuant to Section 4(a)(2) thereof.</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Simplification Transactions</w:t>
      </w:r>
    </w:p>
    <w:p>
      <w:pPr>
        <w:spacing w:after="0" w:line="229"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On November 15, 2016, the Plains Entities closed a series of transactions and executed several organizational and ancillary documents (the “Simplification Transactions”) intended to simplify our capital structure, better align the interests of our stakeholders and improve our overall credit profile. See Note 1 to our Consolidated Financial Statements for further discussion of the Simplification Transactions.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229"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Our partnership agreement requires that, within 55 days following the end of each quarter, we distribute all of our available cash to Class A shareholders of record on the applicable record date. Available cash generally means, for any quarter ending prior to liquidation, all cash on hand at the date of determination of available cash for the distribution in respect of such quarter (including expected distributions from AAP in respect of such quarter), less the amount of cash reserves established by our general partner, which will not be subject to a cap, to:</w:t>
      </w:r>
    </w:p>
    <w:p>
      <w:pPr>
        <w:spacing w:after="0" w:line="131"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comply with applicable law or any agreement binding upon us or our subsidiaries (exclusive of PAA and its subsidiaries);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funds for distributions to shareholders;</w:t>
      </w:r>
    </w:p>
    <w:p>
      <w:pPr>
        <w:spacing w:after="0" w:line="117"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for future capital expenditures, debt service and other credit needs as well as any federal, state, provincial or other income tax that may affect us in the future; or</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for the proper conduct of our business, including with respect to the matters described under our partnership agreement.</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available cash also includes cash on hand resulting from borrowings, if any, made after the end of the quarter.</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Our principal sources of cash flow are derived from our indirect investment in PAA. As of December 31, 2018, we directly and indirectly owned approximately 159.5 million AAP units, which represented an approximate 57% limited partner interest in AAP. AAP currently receives all of its cash flows from its ownership of PAA common units. Therefore, our cash flow and resulting ability to make distributions will be completely dependent upon the ability of PAA to make distributions to AAP in respect of the common units AAP owns. As of December 31, 2018, AAP owned approximately 280.5 million PAA common units. The actual amount of cash that PAA, and correspondingly AAP, will have available for distribution will primarily depend on the amount of cash PAA generates from its operations. Also, under the terms of the agreements governing PAA’s debt, PAA is prohibited from declaring or paying any distribution to unitholders if a default or event of default (as defined in such agreements) exists. No such default has occurred. See Item 7. “Management’s Discussion and Analysis of Financial Condition and Results of Operations—Liquidity and Capital Resources—Credit Agreements, Commercial Paper Program and Indentures.”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general partner owns a non-economic general partner interest in us, which does not entitle it to receive cash distributions.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historical financial information below was derived from our audited Consolidated Financial Statements as of December 31, 2018, 2017, 2016, 2015 and 2014 and for the years then ended.</w:t>
      </w:r>
    </w:p>
    <w:p>
      <w:pPr>
        <w:spacing w:after="0" w:line="170"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 selected financial data should be read in conjunction with Item 7. “Management’s Discussion and Analysis of Financial Condition and Results of Operations,” and the Consolidated Financial Statements, including the notes thereto, in Item 8. “Financial Statements and Supplementary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center"/>
              <w:ind w:left="573"/>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250"/>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78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w w:val="91"/>
              </w:rPr>
              <w:t>(in millions, except per share data and volumes)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34,055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26,223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20,182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23,152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43,464</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1,791</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Net income/(loss) </w:t>
            </w:r>
            <w:r>
              <w:rPr>
                <w:rFonts w:ascii="Arial" w:cs="Arial" w:eastAsia="Arial" w:hAnsi="Arial"/>
                <w:sz w:val="25"/>
                <w:szCs w:val="25"/>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2,107</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1,328</w:t>
            </w: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income/(loss) attributable to PAGP </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r>
      <w:tr>
        <w:trPr>
          <w:trHeight w:val="297"/>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Per share data:</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Basic net income/(loss) per Class A share </w:t>
            </w:r>
            <w:r>
              <w:rPr>
                <w:rFonts w:ascii="Arial" w:cs="Arial" w:eastAsia="Arial" w:hAnsi="Arial"/>
                <w:sz w:val="25"/>
                <w:szCs w:val="25"/>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1.28</w:t>
            </w: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Diluted net income/(loss) per Class A share </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0.94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Declared distributions per Class A share </w:t>
            </w:r>
            <w:r>
              <w:rPr>
                <w:rFonts w:ascii="Arial" w:cs="Arial" w:eastAsia="Arial" w:hAnsi="Arial"/>
                <w:sz w:val="25"/>
                <w:szCs w:val="25"/>
                <w:color w:val="auto"/>
                <w:vertAlign w:val="superscript"/>
              </w:rPr>
              <w:t>(2)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1.78</w:t>
            </w:r>
          </w:p>
        </w:tc>
      </w:tr>
      <w:tr>
        <w:trPr>
          <w:trHeight w:val="297"/>
        </w:trPr>
        <w:tc>
          <w:tcPr>
            <w:tcW w:w="4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Balance sheet data (at end of period):</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12,292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26,830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26,753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26,103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24,142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23,923</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9,238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9,209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9,920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11,839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11,931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10,525</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Partners’ capital:</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Partners’ capital (excluding Noncontrolling interests)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1,846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1,695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1,762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1,657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11,473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10,663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8,970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7,724</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Partners’ capital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13,319</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12,358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10,707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9,234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9,381</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97"/>
        </w:trPr>
        <w:tc>
          <w:tcPr>
            <w:tcW w:w="4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Other data:</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(1,570)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(3,296)</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by/(used in) financing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1,653</w:t>
            </w:r>
          </w:p>
        </w:tc>
      </w:tr>
      <w:tr>
        <w:trPr>
          <w:trHeight w:val="459"/>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capital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Expansion capital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1,888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1,135</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2,170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Maintenance capital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324"/>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Volumes </w:t>
            </w:r>
            <w:r>
              <w:rPr>
                <w:rFonts w:ascii="Arial" w:cs="Arial" w:eastAsia="Arial" w:hAnsi="Arial"/>
                <w:sz w:val="25"/>
                <w:szCs w:val="25"/>
                <w:b w:val="1"/>
                <w:bCs w:val="1"/>
                <w:color w:val="auto"/>
                <w:vertAlign w:val="superscript"/>
              </w:rPr>
              <w:t>(3) (4)</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1"/>
              </w:rPr>
              <w:t>Transportation segment (average daily volumes in thousands of</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barrels per day):</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Tariff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3,952</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Trucking</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Transportation segment total volumes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5,186</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Facilities segment: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rPr>
              <w:t>Liquids storage (average monthly capacity in millions of</w:t>
            </w:r>
          </w:p>
        </w:tc>
        <w:tc>
          <w:tcPr>
            <w:tcW w:w="300" w:type="dxa"/>
            <w:vAlign w:val="bottom"/>
          </w:tcPr>
          <w:p>
            <w:pPr>
              <w:spacing w:after="0"/>
              <w:rPr>
                <w:sz w:val="19"/>
                <w:szCs w:val="19"/>
                <w:color w:val="auto"/>
              </w:rPr>
            </w:pPr>
          </w:p>
        </w:tc>
        <w:tc>
          <w:tcPr>
            <w:tcW w:w="960" w:type="dxa"/>
            <w:vAlign w:val="bottom"/>
            <w:vMerge w:val="restart"/>
          </w:tcPr>
          <w:p>
            <w:pPr>
              <w:jc w:val="right"/>
              <w:ind w:right="11"/>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vMerge w:val="restart"/>
          </w:tcPr>
          <w:p>
            <w:pPr>
              <w:jc w:val="right"/>
              <w:ind w:right="31"/>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vMerge w:val="restart"/>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vMerge w:val="restart"/>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barrels)</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8"/>
              </w:rPr>
              <w:t>Natural gas storage (average monthly working capacity in</w:t>
            </w:r>
          </w:p>
        </w:tc>
        <w:tc>
          <w:tcPr>
            <w:tcW w:w="30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billions of cubic feet)</w:t>
            </w: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180"/>
              <w:spacing w:after="0"/>
              <w:rPr>
                <w:sz w:val="20"/>
                <w:szCs w:val="20"/>
                <w:color w:val="auto"/>
              </w:rPr>
            </w:pPr>
            <w:r>
              <w:rPr>
                <w:rFonts w:ascii="Arial" w:cs="Arial" w:eastAsia="Arial" w:hAnsi="Arial"/>
                <w:sz w:val="18"/>
                <w:szCs w:val="18"/>
                <w:color w:val="auto"/>
                <w:w w:val="94"/>
              </w:rPr>
              <w:t>NGL fractionation (average volumes in thousands of barrels</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ind w:right="11"/>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ind w:right="1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per day)</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w w:val="93"/>
              </w:rPr>
              <w:t>Facilities segment total volumes (average monthly volumes</w:t>
            </w:r>
          </w:p>
        </w:tc>
        <w:tc>
          <w:tcPr>
            <w:tcW w:w="30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 millions of barrels)</w:t>
            </w: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Supply and Logistics segment (average daily volumes in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thousands of barrels per day):</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Crude oil lease gathering purchases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Supply and Logistics segment total volumes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right="80" w:hanging="652"/>
        <w:spacing w:after="0" w:line="226" w:lineRule="auto"/>
        <w:tabs>
          <w:tab w:leader="none" w:pos="66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auto"/>
        </w:rPr>
        <w:t>During the year ended December 31, 2017, we recorded approximately $823 million related to the re-measurement of our existing deferred tax asset as a result of the reduction in our effective tax rate from the change in corporate federal income tax rate from 35% to 21%. See Note 14 to our Consolidated Financial Statements for additional information.</w:t>
      </w:r>
    </w:p>
    <w:p>
      <w:pPr>
        <w:spacing w:after="0" w:line="95" w:lineRule="exact"/>
        <w:rPr>
          <w:rFonts w:ascii="Arial" w:cs="Arial" w:eastAsia="Arial" w:hAnsi="Arial"/>
          <w:sz w:val="25"/>
          <w:szCs w:val="25"/>
          <w:color w:val="auto"/>
          <w:vertAlign w:val="superscript"/>
        </w:rPr>
      </w:pPr>
    </w:p>
    <w:p>
      <w:pPr>
        <w:ind w:left="660" w:hanging="652"/>
        <w:spacing w:after="0" w:line="216" w:lineRule="auto"/>
        <w:tabs>
          <w:tab w:leader="none" w:pos="66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auto"/>
        </w:rPr>
        <w:t>Represents cash distributions declared and paid per share during the year presented. See Note 12 to our Consolidated Financial Statements for further discussion regarding our distributions.</w:t>
      </w:r>
    </w:p>
    <w:p>
      <w:pPr>
        <w:spacing w:after="0" w:line="72"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47"/>
        </w:numPr>
        <w:rPr>
          <w:rFonts w:ascii="Arial" w:cs="Arial" w:eastAsia="Arial" w:hAnsi="Arial"/>
          <w:sz w:val="22"/>
          <w:szCs w:val="22"/>
          <w:color w:val="auto"/>
          <w:vertAlign w:val="superscript"/>
        </w:rPr>
      </w:pPr>
      <w:r>
        <w:rPr>
          <w:rFonts w:ascii="Arial" w:cs="Arial" w:eastAsia="Arial" w:hAnsi="Arial"/>
          <w:sz w:val="16"/>
          <w:szCs w:val="16"/>
          <w:color w:val="auto"/>
        </w:rPr>
        <w:t>Average volumes are calculated as the total volumes (attributable to our interest) for the year divided by the number of days or months in the year.</w:t>
      </w:r>
    </w:p>
    <w:p>
      <w:pPr>
        <w:spacing w:after="0" w:line="98" w:lineRule="exact"/>
        <w:rPr>
          <w:rFonts w:ascii="Arial" w:cs="Arial" w:eastAsia="Arial" w:hAnsi="Arial"/>
          <w:sz w:val="22"/>
          <w:szCs w:val="22"/>
          <w:color w:val="auto"/>
          <w:vertAlign w:val="superscript"/>
        </w:rPr>
      </w:pPr>
    </w:p>
    <w:p>
      <w:pPr>
        <w:ind w:left="660" w:right="160" w:hanging="652"/>
        <w:spacing w:after="0" w:line="230" w:lineRule="auto"/>
        <w:tabs>
          <w:tab w:leader="none" w:pos="66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auto"/>
        </w:rPr>
        <w:t>Facilities segment total is calculated as the sum of: (i) liquids storage capacity; (ii) natural gas storage working capacity divided by 6 to account for the 6:1 thousand cubic feet (“mcf”) of natural gas to crude British thermal unit (“Btu”) equivalent ratio and further divided by 1,000 to convert to monthly volumes in millions; and (iii) NGL fractionation volumes multiplied by the number of days in the year and divided by the number of months in the year.</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following discussion is intended to provide investors with an understanding of our financial condition and results of our operations and should be read in conjunction with our historical consolidated financial statements and accompanying notes. Unless the context otherwise requires, references to “we,” “us,” “our,” and “PAGP” are intended to mean the business and operations of PAGP and its consolidated subsidiaries.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333"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Outlook</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We are a Delaware limited partnership formed on July 17, 2013 that has elected to be taxed as a corporation for United States federal income tax purposes. As of December 31, 2018, our sole cash-generating assets consisted of (i) a 100% managing member interest in GP LLC, an entity that has also elected to be taxed as a corporation for United States federal income tax purposes and (ii) an approximate 57% limited partner interest in AAP through our direct ownership of approximately 158.5 million AAP units and indirect ownership of approximately 1.0 million AAP units through GP LLC. GP LLC is a Delaware limited liability company that also holds the non-economic general partner interest in AAP. AAP is a Delaware limited partnership that, as of December 31, 2018, directly owned a limited partner interest in PAA through its ownership of approximately 280.5 million PAA common units (approximately 35% of PAA Common Unit Equivalents). AAP is the sole member of PAA GP, a Delaware limited liability company that directly holds the non-economic general partner interest in PAA.</w:t>
      </w:r>
    </w:p>
    <w:p>
      <w:pPr>
        <w:spacing w:after="0" w:line="17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PAA owns and operates midstream energy infrastructure and provides logistics services primarily for crude oil, NGL and natural gas. PAA owns an extensive network of pipeline transportation, terminalling, storage, and gathering assets in key crude oil and NGL producing basins and transportation corridors and at major market hubs in the United States and Canada.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recognized net income of $2.1 billion in 2018 as compared to a net loss of $41 million recognized in 2017. The net loss in 2017 was primarily due to $823 million of deferred income tax expense recognized in the fourth quarter of 2017 related to the re-measurement of our deferred tax asset following the signing into law of the Tax Cuts and Jobs Act of 2017. The remaining variance between the comparative periods reflects:</w:t>
      </w:r>
    </w:p>
    <w:p>
      <w:pPr>
        <w:spacing w:after="0" w:line="166" w:lineRule="exact"/>
        <w:rPr>
          <w:sz w:val="20"/>
          <w:szCs w:val="20"/>
          <w:color w:val="auto"/>
        </w:rPr>
      </w:pPr>
    </w:p>
    <w:p>
      <w:pPr>
        <w:ind w:left="980" w:right="26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Favorable regional crude oil differentials and higher lease gathering and NGL margins in our Supply and Logistics segment, as well as more favorable impacts in the 2018 period from the mark-to-market of certain derivative instruments;</w:t>
      </w:r>
    </w:p>
    <w:p>
      <w:pPr>
        <w:spacing w:after="0" w:line="170"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Favorable results from our Transportation segment, primarily from our pipelines in the Permian Basin region, driven by higher volumes from increased production and our recently completed capital expansion projects, which more than offset the impact of asset sales;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60"/>
          </w:cols>
          <w:pgMar w:left="240" w:top="125" w:right="29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160" w:hanging="324"/>
        <w:spacing w:after="0" w:line="342" w:lineRule="auto"/>
        <w:tabs>
          <w:tab w:leader="none" w:pos="9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Net gains recognized during the 2018 period associated with asset sales (including a gain on the sale of a portion of our interest in BridgeTex), as compared to net losses recognized during the 2017 period associated with asset sales, impairments and accelerated depreciation; and</w:t>
      </w:r>
    </w:p>
    <w:p>
      <w:pPr>
        <w:spacing w:after="0" w:line="123" w:lineRule="exact"/>
        <w:rPr>
          <w:rFonts w:ascii="Arial" w:cs="Arial" w:eastAsia="Arial" w:hAnsi="Arial"/>
          <w:sz w:val="16"/>
          <w:szCs w:val="16"/>
          <w:color w:val="auto"/>
        </w:rPr>
      </w:pPr>
    </w:p>
    <w:p>
      <w:pPr>
        <w:ind w:left="980" w:right="8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Lower interest expense primarily driven by a lower weighted average debt balance in the 2018 period as a result of our efforts to implement the PAA Leverage Reduction Plan announced in August 2017 (discussed further below).</w:t>
      </w:r>
    </w:p>
    <w:p>
      <w:pPr>
        <w:spacing w:after="0" w:line="170"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See further discussion of our segment operating results in the “—Results of Operations—Analysis of Operating Segments” and “—Other Income and Expenses” sections below. See the “Outlook—Market Overview and Outlook” section below for a discussion of the market and our current outlook.</w:t>
      </w:r>
    </w:p>
    <w:p>
      <w:pPr>
        <w:spacing w:after="0" w:line="124"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We invested approximately $1.9 billion in midstream infrastructure projects during 2018, which primarily included takeaway pipelines in the Permian Basin and other complementary Permian Basin projects. See the “—Acquisitions, Capital Projects and Divestitures” section below for additional information.</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funded such capital activities primarily from proceeds received from asset sales as part of our divestiture program, which totaled approximately $1.3 billion for 2018. In addition, we progressed our Leverage Reduction Plan, as discussed further below. We also paid approximately $1.0 billion of cash distributions to our Class A Shareholders and noncontrolling interests during 2018.</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PAA Leverage Reduction Plan</w:t>
      </w:r>
    </w:p>
    <w:p>
      <w:pPr>
        <w:spacing w:after="0" w:line="229" w:lineRule="exact"/>
        <w:rPr>
          <w:sz w:val="20"/>
          <w:szCs w:val="20"/>
          <w:color w:val="auto"/>
        </w:rPr>
      </w:pPr>
    </w:p>
    <w:p>
      <w:pPr>
        <w:ind w:right="380" w:firstLine="648"/>
        <w:spacing w:after="0" w:line="272" w:lineRule="auto"/>
        <w:rPr>
          <w:sz w:val="20"/>
          <w:szCs w:val="20"/>
          <w:color w:val="auto"/>
        </w:rPr>
      </w:pPr>
      <w:r>
        <w:rPr>
          <w:rFonts w:ascii="Arial" w:cs="Arial" w:eastAsia="Arial" w:hAnsi="Arial"/>
          <w:sz w:val="17"/>
          <w:szCs w:val="17"/>
          <w:color w:val="auto"/>
        </w:rPr>
        <w:t>On August 25, 2017, PAA announced that it was implementing an action plan to strengthen its balance sheet, reduce leverage, enhance its distribution coverage, minimize new issuances of common equity and position PAA for future distribution growth. The action plan (“PAA Leverage Reduction Plan”), which was endorsed by our Board, included PAA’s intent to achieve certain objectives. During 2017 and 2018, PAA made meaningful progress in executing the PAA Leverage Reduction Plan and remains on track to achieve its objectives in the first half of 2019. However, there can be no assurance that the objectives of the PAA Leverage Reduction Plan remaining to be achieved will be achieved, or that they will be achieved within PAA’s desired time frame or in the desired amounts. Achievement of such objectives is subject to risks and uncertainties, many of which are outside of PAA’s control. Please see “Risk Factors—Risks Related to PAA’s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Capital Projects and 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Capital Projects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completed a number of acquisitions and capital projects in 2018, 2017 and 2016 that have impacted our results of operations. The following table summarizes our expenditures for acquisition capital, expansion capital and maintenance capital for such periods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70"/>
        </w:trPr>
        <w:tc>
          <w:tcPr>
            <w:tcW w:w="6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5"/>
                <w:szCs w:val="25"/>
                <w:color w:val="auto"/>
                <w:vertAlign w:val="superscript"/>
              </w:rPr>
              <w:t>(1)</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1,323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289</w:t>
            </w:r>
          </w:p>
        </w:tc>
      </w:tr>
      <w:tr>
        <w:trPr>
          <w:trHeight w:val="270"/>
        </w:trPr>
        <w:tc>
          <w:tcPr>
            <w:tcW w:w="6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5"/>
                <w:szCs w:val="25"/>
                <w:color w:val="auto"/>
                <w:vertAlign w:val="superscript"/>
              </w:rPr>
              <w:t>(1) (2)</w:t>
            </w:r>
          </w:p>
        </w:tc>
        <w:tc>
          <w:tcPr>
            <w:tcW w:w="900" w:type="dxa"/>
            <w:vAlign w:val="bottom"/>
          </w:tcPr>
          <w:p>
            <w:pPr>
              <w:spacing w:after="0"/>
              <w:rPr>
                <w:sz w:val="23"/>
                <w:szCs w:val="23"/>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1,888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1,405</w:t>
            </w:r>
          </w:p>
        </w:tc>
      </w:tr>
      <w:tr>
        <w:trPr>
          <w:trHeight w:val="270"/>
        </w:trPr>
        <w:tc>
          <w:tcPr>
            <w:tcW w:w="6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5"/>
                <w:szCs w:val="25"/>
                <w:color w:val="auto"/>
                <w:vertAlign w:val="superscript"/>
              </w:rPr>
              <w:t>(2)</w:t>
            </w:r>
          </w:p>
        </w:tc>
        <w:tc>
          <w:tcPr>
            <w:tcW w:w="90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186</w:t>
            </w:r>
          </w:p>
        </w:tc>
      </w:tr>
      <w:tr>
        <w:trPr>
          <w:trHeight w:val="237"/>
        </w:trPr>
        <w:tc>
          <w:tcPr>
            <w:tcW w:w="6620" w:type="dxa"/>
            <w:vAlign w:val="bottom"/>
          </w:tcPr>
          <w:p>
            <w:pPr>
              <w:spacing w:after="0"/>
              <w:rPr>
                <w:sz w:val="20"/>
                <w:szCs w:val="20"/>
                <w:color w:val="auto"/>
              </w:rPr>
            </w:pP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2,140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2,705</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1,880</w:t>
            </w:r>
          </w:p>
        </w:tc>
      </w:tr>
      <w:tr>
        <w:trPr>
          <w:trHeight w:val="27"/>
        </w:trPr>
        <w:tc>
          <w:tcPr>
            <w:tcW w:w="66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hanging="652"/>
        <w:spacing w:after="0" w:line="226" w:lineRule="auto"/>
        <w:tabs>
          <w:tab w:leader="none" w:pos="66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auto"/>
        </w:rPr>
        <w:t>Acquisitions of initial investments or additional interests in unconsolidated entities are included in “Acquisition capital.” Subsequent contributions to unconsolidated entities related to expansion projects of such entities are recognized in “Expansion capital.” We account for our investments in such entities under the equity method of accounting.</w:t>
      </w:r>
    </w:p>
    <w:p>
      <w:pPr>
        <w:spacing w:after="0" w:line="95" w:lineRule="exact"/>
        <w:rPr>
          <w:rFonts w:ascii="Arial" w:cs="Arial" w:eastAsia="Arial" w:hAnsi="Arial"/>
          <w:sz w:val="25"/>
          <w:szCs w:val="25"/>
          <w:color w:val="auto"/>
          <w:vertAlign w:val="superscript"/>
        </w:rPr>
      </w:pPr>
    </w:p>
    <w:p>
      <w:pPr>
        <w:jc w:val="both"/>
        <w:ind w:left="660" w:right="440" w:hanging="652"/>
        <w:spacing w:after="0" w:line="226" w:lineRule="auto"/>
        <w:tabs>
          <w:tab w:leader="none" w:pos="66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and/or refurbishment of partially or fully depreciated assets in order to maintain the operating and/or earnings capacity of our existing assets are classified as “Maintenance capital.”</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25"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Acquisitions are financed using a combination of equity and debt, including borrowings under the PAA commercial paper program or credit facilities and the issuance of PAA senior notes. In addition, we may also use excess cash flow from operations and proceeds from sales of assets for funding. Businesses acquired impact our results of operations commencing on the closing date of each acquisition. Our acquisition activities are discussed further in “—Liquidity and Capital Resources.” We did not complete any acquisitions during 2018. Information regarding acquisitions completed in 2017 and 2016 is set forth in the table below (in millions):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Acquisition</w:t>
            </w:r>
          </w:p>
        </w:tc>
        <w:tc>
          <w:tcPr>
            <w:tcW w:w="120" w:type="dxa"/>
            <w:vAlign w:val="bottom"/>
            <w:vMerge w:val="restart"/>
          </w:tcPr>
          <w:p>
            <w:pPr>
              <w:spacing w:after="0"/>
              <w:rPr>
                <w:sz w:val="14"/>
                <w:szCs w:val="14"/>
                <w:color w:val="auto"/>
              </w:rPr>
            </w:pPr>
          </w:p>
        </w:tc>
        <w:tc>
          <w:tcPr>
            <w:tcW w:w="1720" w:type="dxa"/>
            <w:vAlign w:val="bottom"/>
            <w:gridSpan w:val="2"/>
          </w:tcPr>
          <w:p>
            <w:pPr>
              <w:ind w:left="540"/>
              <w:spacing w:after="0"/>
              <w:rPr>
                <w:sz w:val="20"/>
                <w:szCs w:val="20"/>
                <w:color w:val="auto"/>
              </w:rPr>
            </w:pPr>
            <w:r>
              <w:rPr>
                <w:rFonts w:ascii="Arial" w:cs="Arial" w:eastAsia="Arial" w:hAnsi="Arial"/>
                <w:sz w:val="14"/>
                <w:szCs w:val="14"/>
                <w:b w:val="1"/>
                <w:bCs w:val="1"/>
                <w:color w:val="auto"/>
              </w:rPr>
              <w:t>Effective</w:t>
            </w:r>
          </w:p>
        </w:tc>
        <w:tc>
          <w:tcPr>
            <w:tcW w:w="260" w:type="dxa"/>
            <w:vAlign w:val="bottom"/>
          </w:tcPr>
          <w:p>
            <w:pPr>
              <w:spacing w:after="0"/>
              <w:rPr>
                <w:sz w:val="14"/>
                <w:szCs w:val="14"/>
                <w:color w:val="auto"/>
              </w:rPr>
            </w:pPr>
          </w:p>
        </w:tc>
        <w:tc>
          <w:tcPr>
            <w:tcW w:w="1220" w:type="dxa"/>
            <w:vAlign w:val="bottom"/>
          </w:tcPr>
          <w:p>
            <w:pPr>
              <w:jc w:val="right"/>
              <w:ind w:right="314"/>
              <w:spacing w:after="0"/>
              <w:rPr>
                <w:sz w:val="20"/>
                <w:szCs w:val="20"/>
                <w:color w:val="auto"/>
              </w:rPr>
            </w:pPr>
            <w:r>
              <w:rPr>
                <w:rFonts w:ascii="Arial" w:cs="Arial" w:eastAsia="Arial" w:hAnsi="Arial"/>
                <w:sz w:val="14"/>
                <w:szCs w:val="14"/>
                <w:b w:val="1"/>
                <w:bCs w:val="1"/>
                <w:color w:val="auto"/>
              </w:rPr>
              <w:t>Acquisition</w:t>
            </w:r>
          </w:p>
        </w:tc>
        <w:tc>
          <w:tcPr>
            <w:tcW w:w="100" w:type="dxa"/>
            <w:vAlign w:val="bottom"/>
          </w:tcPr>
          <w:p>
            <w:pPr>
              <w:spacing w:after="0"/>
              <w:rPr>
                <w:sz w:val="14"/>
                <w:szCs w:val="14"/>
                <w:color w:val="auto"/>
              </w:rPr>
            </w:pPr>
          </w:p>
        </w:tc>
        <w:tc>
          <w:tcPr>
            <w:tcW w:w="308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Operating Segment</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CCEEFF"/>
            </w:tcBorders>
          </w:tcPr>
          <w:p>
            <w:pPr>
              <w:spacing w:after="0"/>
              <w:rPr>
                <w:sz w:val="16"/>
                <w:szCs w:val="16"/>
                <w:color w:val="auto"/>
              </w:rPr>
            </w:pPr>
          </w:p>
        </w:tc>
        <w:tc>
          <w:tcPr>
            <w:tcW w:w="3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Alpha Crude Connector Gathering System</w:t>
            </w:r>
          </w:p>
        </w:tc>
        <w:tc>
          <w:tcPr>
            <w:tcW w:w="1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February 2017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Various</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Transportation and Facilities</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2017 Total</w:t>
            </w: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1,323</w:t>
            </w:r>
          </w:p>
        </w:tc>
        <w:tc>
          <w:tcPr>
            <w:tcW w:w="100" w:type="dxa"/>
            <w:vAlign w:val="bottom"/>
            <w:tcBorders>
              <w:bottom w:val="single" w:sz="8" w:color="CCEEFF"/>
            </w:tcBorders>
            <w:shd w:val="clear" w:color="auto" w:fill="CCEEFF"/>
          </w:tcPr>
          <w:p>
            <w:pPr>
              <w:spacing w:after="0"/>
              <w:rPr>
                <w:sz w:val="22"/>
                <w:szCs w:val="22"/>
                <w:color w:val="auto"/>
              </w:rPr>
            </w:pPr>
          </w:p>
        </w:tc>
        <w:tc>
          <w:tcPr>
            <w:tcW w:w="3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Western Canada NGL Assets</w:t>
            </w:r>
          </w:p>
        </w:tc>
        <w:tc>
          <w:tcPr>
            <w:tcW w:w="1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August 2016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 and Facilities</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Various</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2016 Total</w:t>
            </w: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2"/>
                <w:szCs w:val="22"/>
                <w:color w:val="auto"/>
              </w:rPr>
            </w:pPr>
          </w:p>
        </w:tc>
        <w:tc>
          <w:tcPr>
            <w:tcW w:w="3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Expansion Capital Projects</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Our 2018 projects primarily included the construction and expansion of pipeline systems and storage and terminal facilities. The following table summarizes our 2018, 2017 and 2016 projects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r>
      <w:tr>
        <w:trPr>
          <w:trHeight w:val="270"/>
        </w:trPr>
        <w:tc>
          <w:tcPr>
            <w:tcW w:w="72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Permian Basin Takeaway Pipeline Projects </w:t>
            </w:r>
            <w:r>
              <w:rPr>
                <w:rFonts w:ascii="Arial" w:cs="Arial" w:eastAsia="Arial" w:hAnsi="Arial"/>
                <w:sz w:val="25"/>
                <w:szCs w:val="25"/>
                <w:color w:val="auto"/>
                <w:vertAlign w:val="superscript"/>
              </w:rPr>
              <w:t>(1) (2)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r>
      <w:tr>
        <w:trPr>
          <w:trHeight w:val="270"/>
        </w:trPr>
        <w:tc>
          <w:tcPr>
            <w:tcW w:w="72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Complementary Permian Basin Projects </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224</w:t>
            </w:r>
          </w:p>
        </w:tc>
      </w:tr>
      <w:tr>
        <w:trPr>
          <w:trHeight w:val="270"/>
        </w:trPr>
        <w:tc>
          <w:tcPr>
            <w:tcW w:w="72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Selected Facilities Projects </w:t>
            </w:r>
            <w:r>
              <w:rPr>
                <w:rFonts w:ascii="Arial" w:cs="Arial" w:eastAsia="Arial" w:hAnsi="Arial"/>
                <w:sz w:val="25"/>
                <w:szCs w:val="25"/>
                <w:color w:val="auto"/>
                <w:vertAlign w:val="superscript"/>
              </w:rPr>
              <w:t>(3)</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313</w:t>
            </w:r>
          </w:p>
        </w:tc>
      </w:tr>
      <w:tr>
        <w:trPr>
          <w:trHeight w:val="243"/>
        </w:trPr>
        <w:tc>
          <w:tcPr>
            <w:tcW w:w="7260" w:type="dxa"/>
            <w:vAlign w:val="bottom"/>
            <w:gridSpan w:val="2"/>
          </w:tcPr>
          <w:p>
            <w:pPr>
              <w:ind w:left="40"/>
              <w:spacing w:after="0"/>
              <w:rPr>
                <w:sz w:val="20"/>
                <w:szCs w:val="20"/>
                <w:color w:val="auto"/>
              </w:rPr>
            </w:pPr>
            <w:r>
              <w:rPr>
                <w:rFonts w:ascii="Arial" w:cs="Arial" w:eastAsia="Arial" w:hAnsi="Arial"/>
                <w:sz w:val="18"/>
                <w:szCs w:val="18"/>
                <w:color w:val="auto"/>
              </w:rPr>
              <w:t>Red River Pipeline</w:t>
            </w: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306</w:t>
            </w:r>
          </w:p>
        </w:tc>
      </w:tr>
      <w:tr>
        <w:trPr>
          <w:trHeight w:val="27"/>
        </w:trPr>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2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Diamond Pipeline </w:t>
            </w:r>
            <w:r>
              <w:rPr>
                <w:rFonts w:ascii="Arial" w:cs="Arial" w:eastAsia="Arial" w:hAnsi="Arial"/>
                <w:sz w:val="25"/>
                <w:szCs w:val="25"/>
                <w:color w:val="auto"/>
                <w:vertAlign w:val="superscript"/>
              </w:rPr>
              <w:t>(4)</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r>
      <w:tr>
        <w:trPr>
          <w:trHeight w:val="243"/>
        </w:trPr>
        <w:tc>
          <w:tcPr>
            <w:tcW w:w="7260" w:type="dxa"/>
            <w:vAlign w:val="bottom"/>
            <w:gridSpan w:val="2"/>
          </w:tcPr>
          <w:p>
            <w:pPr>
              <w:ind w:left="40"/>
              <w:spacing w:after="0"/>
              <w:rPr>
                <w:sz w:val="20"/>
                <w:szCs w:val="20"/>
                <w:color w:val="auto"/>
              </w:rPr>
            </w:pPr>
            <w:r>
              <w:rPr>
                <w:rFonts w:ascii="Arial" w:cs="Arial" w:eastAsia="Arial" w:hAnsi="Arial"/>
                <w:sz w:val="18"/>
                <w:szCs w:val="18"/>
                <w:color w:val="auto"/>
              </w:rPr>
              <w:t>Other Projects</w:t>
            </w: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432</w:t>
            </w:r>
          </w:p>
        </w:tc>
      </w:tr>
      <w:tr>
        <w:trPr>
          <w:trHeight w:val="27"/>
        </w:trPr>
        <w:tc>
          <w:tcPr>
            <w:tcW w:w="7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7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1,405</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right="60" w:hanging="652"/>
        <w:spacing w:after="0" w:line="216" w:lineRule="auto"/>
        <w:tabs>
          <w:tab w:leader="none" w:pos="66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auto"/>
        </w:rPr>
        <w:t>Represents pipeline projects with takeaway capacity out of the Permian Basin, including our Sunrise expansion and our 65% interest in the Cactus II Pipeline.</w:t>
      </w:r>
    </w:p>
    <w:p>
      <w:pPr>
        <w:spacing w:after="0" w:line="95" w:lineRule="exact"/>
        <w:rPr>
          <w:rFonts w:ascii="Arial" w:cs="Arial" w:eastAsia="Arial" w:hAnsi="Arial"/>
          <w:sz w:val="25"/>
          <w:szCs w:val="25"/>
          <w:color w:val="auto"/>
          <w:vertAlign w:val="superscript"/>
        </w:rPr>
      </w:pPr>
    </w:p>
    <w:p>
      <w:pPr>
        <w:ind w:left="660" w:right="260" w:hanging="652"/>
        <w:spacing w:after="0" w:line="216" w:lineRule="auto"/>
        <w:tabs>
          <w:tab w:leader="none" w:pos="66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auto"/>
        </w:rPr>
        <w:t>These projects will continue into 2019. See “—Liquidity and Capital Resources—Acquisitions, Investments, Expansion Capital Expenditures and Divestitures —2019 Capital Projects.”</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auto"/>
        </w:rPr>
        <w:t>Includes projects at our St. James, Fort Saskatchewan and Cushing terminals.</w:t>
      </w:r>
    </w:p>
    <w:p>
      <w:pPr>
        <w:spacing w:after="0" w:line="98" w:lineRule="exact"/>
        <w:rPr>
          <w:rFonts w:ascii="Arial" w:cs="Arial" w:eastAsia="Arial" w:hAnsi="Arial"/>
          <w:sz w:val="25"/>
          <w:szCs w:val="25"/>
          <w:color w:val="auto"/>
          <w:vertAlign w:val="superscript"/>
        </w:rPr>
      </w:pPr>
    </w:p>
    <w:p>
      <w:pPr>
        <w:ind w:left="660" w:hanging="652"/>
        <w:spacing w:after="0" w:line="188" w:lineRule="auto"/>
        <w:tabs>
          <w:tab w:leader="none" w:pos="66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auto"/>
        </w:rPr>
        <w:t>Represents contributions related to our 50% interest in Diamond Pipeline LLC.</w:t>
      </w:r>
    </w:p>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recent expansion capital programs were primarily driven by investment in midstream infrastructure projects to address the need for additional takeaway capacity in regions impacted by the increase in crude oil and liquids-rich gas production growth in North America, as well as the long-term needs of both the upstream and downstream sectors of the crude oil space. Substantially all of the expansion capital spent in the years presented was invested in our fee-based Transportation and Facilities segments.</w:t>
      </w:r>
    </w:p>
    <w:p>
      <w:pPr>
        <w:spacing w:after="0" w:line="187"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We currently expect to spend approximately $1.1 billion for expansion capital in 2019. See “—Liquidity and Capital Resources—Acquisitions, Investments, Expansion Capital Expenditures and Divestitures —2019 Capital Projects” and “Outlook—Market Overview and Outlook” for additional information.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ind w:right="560" w:firstLine="648"/>
        <w:spacing w:after="0" w:line="279" w:lineRule="auto"/>
        <w:rPr>
          <w:sz w:val="20"/>
          <w:szCs w:val="20"/>
          <w:color w:val="auto"/>
        </w:rPr>
      </w:pPr>
      <w:r>
        <w:rPr>
          <w:rFonts w:ascii="Arial" w:cs="Arial" w:eastAsia="Arial" w:hAnsi="Arial"/>
          <w:sz w:val="17"/>
          <w:szCs w:val="17"/>
          <w:color w:val="auto"/>
        </w:rPr>
        <w:t>In 2016, we initiated a program to evaluate potential sales of non-core assets and/or sales of partial interests in assets to strategic joint venture partners to optimize our asset portfolio and strengthen our balance sheet and leverage metrics. As of December 31, 2018, we had completed asset sales totaling approximately $3.0 billion. The following table summarizes the proceeds received for sales of assets, which were previously reported in our Transportation and Facilities segments, during the years ended December 31, 2018, 2017 and 2016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CEEFF"/>
            </w:tcBorders>
          </w:tcPr>
          <w:p>
            <w:pPr>
              <w:spacing w:after="0"/>
              <w:rPr>
                <w:sz w:val="22"/>
                <w:szCs w:val="22"/>
                <w:color w:val="auto"/>
              </w:rPr>
            </w:pPr>
          </w:p>
        </w:tc>
      </w:tr>
      <w:tr>
        <w:trPr>
          <w:trHeight w:val="27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of assets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1,334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1,083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60"/>
              <w:spacing w:after="0" w:line="270" w:lineRule="exact"/>
              <w:rPr>
                <w:sz w:val="20"/>
                <w:szCs w:val="20"/>
                <w:color w:val="auto"/>
              </w:rPr>
            </w:pPr>
            <w:r>
              <w:rPr>
                <w:rFonts w:ascii="Arial" w:cs="Arial" w:eastAsia="Arial" w:hAnsi="Arial"/>
                <w:sz w:val="18"/>
                <w:szCs w:val="18"/>
                <w:color w:val="auto"/>
              </w:rPr>
              <w:t xml:space="preserve">569  </w:t>
            </w:r>
            <w:r>
              <w:rPr>
                <w:rFonts w:ascii="Arial" w:cs="Arial" w:eastAsia="Arial" w:hAnsi="Arial"/>
                <w:sz w:val="25"/>
                <w:szCs w:val="25"/>
                <w:color w:val="auto"/>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auto"/>
        </w:rPr>
        <w:t>Net of amounts paid for the remaining interest in a non-core pipeline that was subsequently sold.</w:t>
      </w:r>
    </w:p>
    <w:p>
      <w:pPr>
        <w:spacing w:after="0" w:line="98" w:lineRule="exact"/>
        <w:rPr>
          <w:sz w:val="20"/>
          <w:szCs w:val="20"/>
          <w:color w:val="auto"/>
        </w:rPr>
      </w:pPr>
    </w:p>
    <w:p>
      <w:pPr>
        <w:ind w:right="400" w:firstLine="648"/>
        <w:spacing w:after="0" w:line="272" w:lineRule="auto"/>
        <w:rPr>
          <w:sz w:val="20"/>
          <w:szCs w:val="20"/>
          <w:color w:val="auto"/>
        </w:rPr>
      </w:pPr>
      <w:r>
        <w:rPr>
          <w:rFonts w:ascii="Arial" w:cs="Arial" w:eastAsia="Arial" w:hAnsi="Arial"/>
          <w:sz w:val="18"/>
          <w:szCs w:val="18"/>
          <w:color w:val="auto"/>
        </w:rPr>
        <w:t>Proceeds from asset sales were used to fund our expansion capital program and reduce debt levels. See “—Liquidity and Capital Resources” for additional discussion of our divestiture activities.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preparation of financial statements in conformity with GAAP and rules and regulations of the SEC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On a regular basis, we evaluate our assumptions, judgments and estimates. We also discuss our critical accounting policies and estimates with the Audit Committee of the Board of Directors.</w:t>
      </w:r>
    </w:p>
    <w:p>
      <w:pPr>
        <w:spacing w:after="0" w:line="173"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believe that the assumptions, judgments and estimates involved in the accounting for our (i) estimated fair value of assets and liabilities acquired and identification of associated goodwill and intangible assets, (ii) impairment assessments of goodwill and intangible assets, (iii) fair value of derivatives,</w:t>
      </w:r>
    </w:p>
    <w:p>
      <w:pPr>
        <w:ind w:right="60" w:firstLine="8"/>
        <w:spacing w:after="0" w:line="271" w:lineRule="auto"/>
        <w:tabs>
          <w:tab w:leader="none" w:pos="305" w:val="left"/>
        </w:tabs>
        <w:numPr>
          <w:ilvl w:val="0"/>
          <w:numId w:val="54"/>
        </w:numPr>
        <w:rPr>
          <w:rFonts w:ascii="Arial" w:cs="Arial" w:eastAsia="Arial" w:hAnsi="Arial"/>
          <w:sz w:val="17"/>
          <w:szCs w:val="17"/>
          <w:color w:val="auto"/>
        </w:rPr>
      </w:pPr>
      <w:r>
        <w:rPr>
          <w:rFonts w:ascii="Arial" w:cs="Arial" w:eastAsia="Arial" w:hAnsi="Arial"/>
          <w:sz w:val="17"/>
          <w:szCs w:val="17"/>
          <w:color w:val="auto"/>
        </w:rPr>
        <w:t>accruals and contingent liabilities, (v) equity-indexed compensation plan accruals, (vi) property and equipment, depreciation and amortization expense, asset retirement obligations and impairments, (vii) allowance for doubtful accounts and (viii) inventory valuations have the greatest potential impact on our Consolidated Financial Statements. These areas are key components of our results of operations and are based on complex rules which require us to make judgments and estimates. Therefore, we consider these to be our critical accounting policies and estimates, which are discussed further as follows. For further information on all of our significant accounting policies, see Note 2 to our Consolidated Financial Statements.</w:t>
      </w:r>
    </w:p>
    <w:p>
      <w:pPr>
        <w:spacing w:after="0" w:line="17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i w:val="1"/>
          <w:iCs w:val="1"/>
          <w:color w:val="auto"/>
        </w:rPr>
        <w:t xml:space="preserve">Fair Value of Assets and Liabilities Acquired and Identification of Associated Goodwill and Intangible Assets. </w:t>
      </w:r>
      <w:r>
        <w:rPr>
          <w:rFonts w:ascii="Arial" w:cs="Arial" w:eastAsia="Arial" w:hAnsi="Arial"/>
          <w:sz w:val="17"/>
          <w:szCs w:val="17"/>
          <w:color w:val="auto"/>
        </w:rPr>
        <w:t>In accordance with FASB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business combinations, with each acquisition, we allocate the cost of the acquired entity to the assets and liabilities assumed based on their estimated fair values at the date of acquisition. If the initial accounting for the business combination is incomplete when the combination occurs, an estimate will be recorded. We also expense the transaction costs as incurred in connection with each acquisition, except for acquisitions of equity method investments. In addition, we are required to recognize intangible assets separately from goodwill.</w:t>
      </w:r>
    </w:p>
    <w:p>
      <w:pPr>
        <w:spacing w:after="0" w:line="173"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Determining the fair value of assets and liabilities acquired, as well as intangible assets that relate to such items as customer relationships, acreage dedications and other contracts, involves professional judgment and is ultimately based on acquisition models and management’s assessment of the value of the assets acquired and, to the extent available, third party assessments.</w:t>
      </w:r>
    </w:p>
    <w:p>
      <w:pPr>
        <w:spacing w:after="0" w:line="181"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i w:val="1"/>
          <w:iCs w:val="1"/>
          <w:color w:val="auto"/>
        </w:rPr>
        <w:t xml:space="preserve">Impairment Assessments of Goodwill and Intangible Assets. </w:t>
      </w:r>
      <w:r>
        <w:rPr>
          <w:rFonts w:ascii="Arial" w:cs="Arial" w:eastAsia="Arial" w:hAnsi="Arial"/>
          <w:sz w:val="18"/>
          <w:szCs w:val="18"/>
          <w:color w:val="auto"/>
        </w:rPr>
        <w:t>Goodwill and intangible assets with indefinite lives are not amortized but are instead</w:t>
      </w:r>
      <w:r>
        <w:rPr>
          <w:rFonts w:ascii="Arial" w:cs="Arial" w:eastAsia="Arial" w:hAnsi="Arial"/>
          <w:sz w:val="18"/>
          <w:szCs w:val="18"/>
          <w:i w:val="1"/>
          <w:iCs w:val="1"/>
          <w:color w:val="auto"/>
        </w:rPr>
        <w:t xml:space="preserve"> </w:t>
      </w:r>
      <w:r>
        <w:rPr>
          <w:rFonts w:ascii="Arial" w:cs="Arial" w:eastAsia="Arial" w:hAnsi="Arial"/>
          <w:sz w:val="18"/>
          <w:szCs w:val="18"/>
          <w:color w:val="auto"/>
        </w:rPr>
        <w:t>periodically assessed for impairment. See Note 8 to our Consolidated Financial Statements for further discussion of goodwill. Intangible assets with finite lives are amortized over their estimated useful life as determined by management.</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Impairment testing entails estimating future net cash flows relating to the business, based on management’s estimate of future revenues, future cash flows and market conditions including pricing, demand, competition, operating costs and other factors, such as weighted average cost of capital. Uncertainties associated with these estimates include changes in production decline rates, production interruptions, fluctuations in refinery capacity or product slates, economic obsolescence factors in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area and potential future sources of cash flow. We cannot provide assurance that actual amounts will not vary significantly from estimated amounts.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Resolutions of these uncertainties have resulted, and in the future may result, in impairments that impact our results of operations and financial condition.</w:t>
      </w:r>
    </w:p>
    <w:p>
      <w:pPr>
        <w:spacing w:after="0" w:line="234"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i w:val="1"/>
          <w:iCs w:val="1"/>
          <w:color w:val="auto"/>
        </w:rPr>
        <w:t xml:space="preserve">Fair Value of Derivatives. </w:t>
      </w:r>
      <w:r>
        <w:rPr>
          <w:rFonts w:ascii="Arial" w:cs="Arial" w:eastAsia="Arial" w:hAnsi="Arial"/>
          <w:sz w:val="17"/>
          <w:szCs w:val="17"/>
          <w:color w:val="auto"/>
        </w:rPr>
        <w:t>The fair value of a derivative at a particular period end does not reflect the end results of a particular transaction, and will</w:t>
      </w:r>
      <w:r>
        <w:rPr>
          <w:rFonts w:ascii="Arial" w:cs="Arial" w:eastAsia="Arial" w:hAnsi="Arial"/>
          <w:sz w:val="17"/>
          <w:szCs w:val="17"/>
          <w:i w:val="1"/>
          <w:iCs w:val="1"/>
          <w:color w:val="auto"/>
        </w:rPr>
        <w:t xml:space="preserve"> </w:t>
      </w:r>
      <w:r>
        <w:rPr>
          <w:rFonts w:ascii="Arial" w:cs="Arial" w:eastAsia="Arial" w:hAnsi="Arial"/>
          <w:sz w:val="17"/>
          <w:szCs w:val="17"/>
          <w:color w:val="auto"/>
        </w:rPr>
        <w:t>most likely not reflect the gain or loss at the conclusion of a transaction. We reflect estimates for these items based on our internal records and information from third parties. We have commodity derivatives, interest rate derivatives and foreign currency derivatives that are accounted for as assets and liabilities at fair value in our Consolidated Balance Sheets. The valuations of our derivatives that are exchange traded are based on market prices on the applicable exchange on the last day of the period. For our derivatives that are not exchange traded, the estimates we use are based on indicative broker quotations or an internal valuation model. Our valuation models utilize market observable inputs such as price, volatility, correlation and other factors and may not be reflective of the price at which they can be settled due to the lack of a liquid market. Less than 1% of total annual revenues are based on estimates derived from internal valuation models.</w:t>
      </w:r>
    </w:p>
    <w:p>
      <w:pPr>
        <w:spacing w:after="0" w:line="179" w:lineRule="exact"/>
        <w:rPr>
          <w:sz w:val="20"/>
          <w:szCs w:val="20"/>
          <w:color w:val="auto"/>
        </w:rPr>
      </w:pPr>
    </w:p>
    <w:p>
      <w:pPr>
        <w:ind w:right="780" w:firstLine="648"/>
        <w:spacing w:after="0" w:line="264" w:lineRule="auto"/>
        <w:rPr>
          <w:sz w:val="20"/>
          <w:szCs w:val="20"/>
          <w:color w:val="auto"/>
        </w:rPr>
      </w:pPr>
      <w:r>
        <w:rPr>
          <w:rFonts w:ascii="Arial" w:cs="Arial" w:eastAsia="Arial" w:hAnsi="Arial"/>
          <w:sz w:val="18"/>
          <w:szCs w:val="18"/>
          <w:color w:val="auto"/>
        </w:rPr>
        <w:t>We also have embedded derivatives in PAA’s Series A preferred units that are recorded at fair value on our Consolidated Balance Sheets. These embedded derivatives are valued using a model that contains inputs, including PAA common unit price, ten-year U.S. Treasury rates, default probabilities and timing estimates, some of which involve management judgment.</w:t>
      </w:r>
    </w:p>
    <w:p>
      <w:pPr>
        <w:spacing w:after="0" w:line="181"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Although the resolution of the uncertainties involved in these estimates has not historically had a material impact on our results of operations or financial condition, we cannot provide assurance that actual amounts will not vary significantly from estimated amounts. See Item 7A. Quantitative and Qualitative Disclosures About Market Risk and Note 13 to our Consolidated Financial Statements for a discussion regarding our derivatives and risk management activities.</w:t>
      </w:r>
    </w:p>
    <w:p>
      <w:pPr>
        <w:spacing w:after="0" w:line="18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i w:val="1"/>
          <w:iCs w:val="1"/>
          <w:color w:val="auto"/>
        </w:rPr>
        <w:t xml:space="preserve">Accruals and Contingent Liabilities. </w:t>
      </w:r>
      <w:r>
        <w:rPr>
          <w:rFonts w:ascii="Arial" w:cs="Arial" w:eastAsia="Arial" w:hAnsi="Arial"/>
          <w:sz w:val="16"/>
          <w:szCs w:val="16"/>
          <w:color w:val="auto"/>
        </w:rPr>
        <w:t>We record accruals or liabilities for, among other things, environmental remediation, natural resource damage</w:t>
      </w:r>
      <w:r>
        <w:rPr>
          <w:rFonts w:ascii="Arial" w:cs="Arial" w:eastAsia="Arial" w:hAnsi="Arial"/>
          <w:sz w:val="16"/>
          <w:szCs w:val="16"/>
          <w:i w:val="1"/>
          <w:iCs w:val="1"/>
          <w:color w:val="auto"/>
        </w:rPr>
        <w:t xml:space="preserve"> </w:t>
      </w:r>
      <w:r>
        <w:rPr>
          <w:rFonts w:ascii="Arial" w:cs="Arial" w:eastAsia="Arial" w:hAnsi="Arial"/>
          <w:sz w:val="16"/>
          <w:szCs w:val="16"/>
          <w:color w:val="auto"/>
        </w:rPr>
        <w:t>assessments, governmental fines and penalties, potential legal claims and fees for legal services associated with loss contingencies, and bonuses.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the duration of the natural resource damage assessment and the ultimate amount of damages determined, the determination and calculation of fines and penalties, the possibility of existing legal claims giving rise to additional claims and the nature, extent and cost of legal services that will be required in connection with lawsuits, claims and other matters. Our estimates for contingent liability accruals are increased or decreased as additional information is obtained or resolution is achieved. A hypothetical variance of 5% in our aggregate estimate for the accruals and contingent liabilities discussed above would have an impact on earnings of up to approximately $19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16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Equity-Indexed Compensation Plan Accruals. </w:t>
      </w:r>
      <w:r>
        <w:rPr>
          <w:rFonts w:ascii="Arial" w:cs="Arial" w:eastAsia="Arial" w:hAnsi="Arial"/>
          <w:sz w:val="17"/>
          <w:szCs w:val="17"/>
          <w:color w:val="auto"/>
        </w:rPr>
        <w:t>We accrue compensation expense (referred to herein as equity-indexed compensation expense) for</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equity-indexed compensation awards. Under GAAP, we are required to estimate the fair value of our outstanding equity-indexed compensation awards and recognize that fair value as compensation expense over the service period. For equity-indexed compensation awards that contain a performance condition, the fair value of the award is recognized as equity-indexed compensation expense only if the attainment of the performance condition is considered probable. Uncertainties involved in this estimate include future levels of four quarter trailing distributable cash flow (“DCF”) per PAA common unit and whether or not a performance condition will be attained. In addition, the PAA common unit price at the end of each period (and at the time of vesting) will impact the amount of compensation expense recorded in each period for certain awards. We cannot provide assurance that the actual fair value of our equity-indexed compensation awards will not vary significantly from estimated amounts.</w:t>
      </w:r>
    </w:p>
    <w:p>
      <w:pPr>
        <w:spacing w:after="0" w:line="17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recognized equity-indexed compensation expense of $79 million, $41 million and $60 million in 2018, 2017 and 2016, respectively, related to awards granted under our various equity-indexed compensation plans. A hypothetical variance of 5% in our aggregate estimate for the equity-indexed compensation expense would have an impact on our total costs and expenses of less than 1%. See Note 17 to our Consolidated Financial Statements for a discussion regarding our equity-indexed compensation plans.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125" w:right="27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i w:val="1"/>
          <w:iCs w:val="1"/>
          <w:color w:val="auto"/>
        </w:rPr>
        <w:t xml:space="preserve">Property and Equipment, Depreciation and Amortization Expense, Asset Retirement Obligations and Impairments. </w:t>
      </w:r>
      <w:r>
        <w:rPr>
          <w:rFonts w:ascii="Arial" w:cs="Arial" w:eastAsia="Arial" w:hAnsi="Arial"/>
          <w:sz w:val="16"/>
          <w:szCs w:val="16"/>
          <w:color w:val="auto"/>
        </w:rPr>
        <w:t>We compute depreciation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using the straight-line method based on estimated useful lives. These estimates are based on various factors including condition,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w:t>
      </w:r>
    </w:p>
    <w:p>
      <w:pPr>
        <w:spacing w:after="0" w:line="16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record retirement obligations associated with tangible long-lived assets based on estimates related to the costs associated with cleaning, purging and, in some cases, completely removing the assets and returning the land to its original state. In addition, our estimates include a determination of the settlement date or dates for the potential obligation, which may or may not be determinable. Uncertainties that impact these estimates include the costs associated with these activities and the timing of incurring such costs.</w:t>
      </w:r>
    </w:p>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periodically evaluate property and equipment for impairment when events or circumstances indicate that the carrying value of these assets may not be recoverable. Any evaluation is highly dependent on the underlying assumptions of related cash flows. We consider the fair value estimate used to calculate impairment of property and equipment a critical accounting estimate. In determining the existence of an impairment of carrying value, we make a number of subjective assumptions as to:</w:t>
      </w:r>
    </w:p>
    <w:p>
      <w:pPr>
        <w:spacing w:after="0" w:line="295" w:lineRule="exact"/>
        <w:rPr>
          <w:sz w:val="20"/>
          <w:szCs w:val="20"/>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there is an event or circumstance that may be indicative of an impairment;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grouping of assets;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intention of “holding”, “abandoning” or “selling” an asset;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forecast of undiscounted expected future cash flow over the asset’s estimated useful life;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an impairment exists, the fair value of the asset or asset group.</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In addition, when we evaluate property and equipment and other long-lived assets for recoverability, it may also be necessary to review related depreciation estimates and methods.</w:t>
      </w:r>
    </w:p>
    <w:p>
      <w:pPr>
        <w:spacing w:after="0" w:line="170"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A change in our outlook or use could result in impairments that may be material to our results of operations or financial condition. See the “— Outlook— Market Overview and Outlook” section below and Note 6 to our Consolidated Financial Statements for additional information.</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We perform credit evaluations of our customers and grant credit based on past payment history,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anticipated industry conditions. Customer payments are regularly monitored and a provision for doubtful accounts is established based on specific situations and overall industry conditions. Our history of bad debt losses has been minimal (less than $2 million in the aggregate over the years ended December 31, 2018, 2017 and 2016) and generally limited to specific customer circumstances; however, credit risks can change suddenly and without notice. See Note 2 to our Consolidated Financial Statements for additional discussion.</w:t>
      </w:r>
    </w:p>
    <w:p>
      <w:pPr>
        <w:spacing w:after="0" w:line="18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Inventory Valuations. </w:t>
      </w:r>
      <w:r>
        <w:rPr>
          <w:rFonts w:ascii="Arial" w:cs="Arial" w:eastAsia="Arial" w:hAnsi="Arial"/>
          <w:sz w:val="17"/>
          <w:szCs w:val="17"/>
          <w:color w:val="auto"/>
        </w:rPr>
        <w:t>Inventory, including long-term inventory, primarily consists of crude oil, NGL and natural gas and is valued at the lower of</w:t>
      </w:r>
      <w:r>
        <w:rPr>
          <w:rFonts w:ascii="Arial" w:cs="Arial" w:eastAsia="Arial" w:hAnsi="Arial"/>
          <w:sz w:val="17"/>
          <w:szCs w:val="17"/>
          <w:i w:val="1"/>
          <w:iCs w:val="1"/>
          <w:color w:val="auto"/>
        </w:rPr>
        <w:t xml:space="preserve"> </w:t>
      </w:r>
      <w:r>
        <w:rPr>
          <w:rFonts w:ascii="Arial" w:cs="Arial" w:eastAsia="Arial" w:hAnsi="Arial"/>
          <w:sz w:val="17"/>
          <w:szCs w:val="17"/>
          <w:color w:val="auto"/>
        </w:rPr>
        <w:t>cost or net realizable value, with cost determined using an average cost method within specific inventory pools. At the end of each reporting period, we assess the carrying value of our inventory and use estimates and judgment when making any adjustments necessary to reduce the carrying value to net realizable value. Among the uncertainties that impact our estimates are the applicable quality and location differentials to include in our net realizable value analysis. Additionally, we estimate the upcoming liquidation timing of the inventory. Changes in assumptions made as to the timing of a sale can materially impact net realizable value. During the years ended December 31, 2018, 2017 and 2016, we recorded charges of $8 million, $35 million and $3 million, respectively, related to the valuation adjustment of our crude oil, NGL and natural gas inventory due to declines in prices. See Note 5 to our Consolidated Financial Statements for further discussion regarding inventory.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See Note 2 to our Consolidated Financial Statements for information regarding the effect of recent accounting pronouncements on our Consolidated Financial Statements.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125"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sets forth an overview of our consolidated financial results calculated in accordance with GAAP (in millions,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Variance</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2018-2017</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2017-2016</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5"/>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Transportation Segment Adjusted EBITDA</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1,508</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1,287</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1,141</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17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(1)</w:t>
            </w:r>
          </w:p>
        </w:tc>
        <w:tc>
          <w:tcPr>
            <w:tcW w:w="220" w:type="dxa"/>
            <w:vAlign w:val="bottom"/>
            <w:tcBorders>
              <w:bottom w:val="single" w:sz="8" w:color="CCEEFF"/>
            </w:tcBorders>
            <w:vMerge w:val="continue"/>
            <w:shd w:val="clear" w:color="auto" w:fill="CCEEFF"/>
          </w:tcPr>
          <w:p>
            <w:pPr>
              <w:spacing w:after="0"/>
              <w:rPr>
                <w:sz w:val="14"/>
                <w:szCs w:val="14"/>
                <w:color w:val="auto"/>
              </w:rPr>
            </w:pPr>
          </w:p>
        </w:tc>
        <w:tc>
          <w:tcPr>
            <w:tcW w:w="76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vMerge w:val="continue"/>
            <w:shd w:val="clear" w:color="auto" w:fill="CCEEFF"/>
          </w:tcPr>
          <w:p>
            <w:pPr>
              <w:spacing w:after="0"/>
              <w:rPr>
                <w:sz w:val="14"/>
                <w:szCs w:val="14"/>
                <w:color w:val="auto"/>
              </w:rPr>
            </w:pPr>
          </w:p>
        </w:tc>
        <w:tc>
          <w:tcPr>
            <w:tcW w:w="74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vMerge w:val="continue"/>
            <w:shd w:val="clear" w:color="auto" w:fill="CCEEFF"/>
          </w:tcPr>
          <w:p>
            <w:pPr>
              <w:spacing w:after="0"/>
              <w:rPr>
                <w:sz w:val="14"/>
                <w:szCs w:val="14"/>
                <w:color w:val="auto"/>
              </w:rPr>
            </w:pPr>
          </w:p>
        </w:tc>
        <w:tc>
          <w:tcPr>
            <w:tcW w:w="7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vMerge w:val="continue"/>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Facilities Segment Adjusted EBITDA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667</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Supply and Logistics Segment Adjusted</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359</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unconsolidated entities</w:t>
            </w: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3340" w:type="dxa"/>
            <w:vAlign w:val="bottom"/>
          </w:tcPr>
          <w:p>
            <w:pPr>
              <w:ind w:left="200"/>
              <w:spacing w:after="0"/>
              <w:rPr>
                <w:sz w:val="20"/>
                <w:szCs w:val="20"/>
                <w:color w:val="auto"/>
              </w:rPr>
            </w:pPr>
            <w:r>
              <w:rPr>
                <w:rFonts w:ascii="Arial" w:cs="Arial" w:eastAsia="Arial" w:hAnsi="Arial"/>
                <w:sz w:val="18"/>
                <w:szCs w:val="18"/>
                <w:color w:val="auto"/>
                <w:w w:val="96"/>
              </w:rPr>
              <w:t>Selected items impacting comparability -</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360"/>
              <w:spacing w:after="0"/>
              <w:rPr>
                <w:sz w:val="20"/>
                <w:szCs w:val="20"/>
                <w:color w:val="auto"/>
              </w:rPr>
            </w:pPr>
            <w:r>
              <w:rPr>
                <w:rFonts w:ascii="Arial" w:cs="Arial" w:eastAsia="Arial" w:hAnsi="Arial"/>
                <w:sz w:val="18"/>
                <w:szCs w:val="18"/>
                <w:color w:val="auto"/>
              </w:rPr>
              <w:t>Segment Adjusted EBITDA</w:t>
            </w:r>
          </w:p>
        </w:tc>
        <w:tc>
          <w:tcPr>
            <w:tcW w:w="22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Unallocated general and</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administrative expenses</w:t>
            </w: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Gains/(losses) on asset sales and asset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impairments, net </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Gain on sale of investment in</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0"/>
              <w:spacing w:after="0"/>
              <w:rPr>
                <w:sz w:val="20"/>
                <w:szCs w:val="20"/>
                <w:color w:val="auto"/>
              </w:rPr>
            </w:pPr>
            <w:r>
              <w:rPr>
                <w:rFonts w:ascii="Arial" w:cs="Arial" w:eastAsia="Arial" w:hAnsi="Arial"/>
                <w:sz w:val="18"/>
                <w:szCs w:val="18"/>
                <w:color w:val="auto"/>
              </w:rPr>
              <w:t>unconsolidated entities</w:t>
            </w:r>
          </w:p>
        </w:tc>
        <w:tc>
          <w:tcPr>
            <w:tcW w:w="22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0"/>
                <w:szCs w:val="20"/>
                <w:color w:val="auto"/>
              </w:rPr>
            </w:pPr>
          </w:p>
        </w:tc>
        <w:tc>
          <w:tcPr>
            <w:tcW w:w="11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income/(expense), net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Net income/(loss)</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2,107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2,148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income/(loss) attributable to PAGP</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146 %</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w w:val="98"/>
              </w:rPr>
              <w:t>Basic net income/(loss) per Class A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0.94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142 %</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Diluted net income/(loss) per Class A share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Basic weighted average Class A shares</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22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99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Diluted weighted average Class A shares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99</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740" w:hanging="651"/>
        <w:spacing w:after="0"/>
        <w:tabs>
          <w:tab w:leader="none" w:pos="7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Indicates that variance as a percentage is not meaningful.</w:t>
      </w:r>
    </w:p>
    <w:p>
      <w:pPr>
        <w:spacing w:after="0" w:line="117" w:lineRule="exact"/>
        <w:rPr>
          <w:rFonts w:ascii="Arial" w:cs="Arial" w:eastAsia="Arial" w:hAnsi="Arial"/>
          <w:sz w:val="18"/>
          <w:szCs w:val="18"/>
          <w:color w:val="auto"/>
        </w:rPr>
      </w:pPr>
    </w:p>
    <w:p>
      <w:pPr>
        <w:ind w:left="640" w:right="360" w:hanging="632"/>
        <w:spacing w:after="0" w:line="232" w:lineRule="auto"/>
        <w:tabs>
          <w:tab w:leader="none" w:pos="64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auto"/>
        </w:rPr>
        <w:t>Segment Adjusted EBITDA is the measure of segment performance that is utilized by our Chief Operating Decision Maker (“CODM”) to assess performance and allocate resources among our operating segments. This measure is adjusted for certain items, including those that our CODM believes impact comparability of results across periods. See Note 20 to our Consolidated Financial Statements for additional discussion of such adjustments.</w:t>
      </w:r>
    </w:p>
    <w:p>
      <w:pPr>
        <w:spacing w:after="0" w:line="94" w:lineRule="exact"/>
        <w:rPr>
          <w:rFonts w:ascii="Arial" w:cs="Arial" w:eastAsia="Arial" w:hAnsi="Arial"/>
          <w:sz w:val="25"/>
          <w:szCs w:val="25"/>
          <w:color w:val="auto"/>
          <w:vertAlign w:val="superscript"/>
        </w:rPr>
      </w:pPr>
    </w:p>
    <w:p>
      <w:pPr>
        <w:ind w:left="660" w:right="100" w:hanging="652"/>
        <w:spacing w:after="0" w:line="238" w:lineRule="auto"/>
        <w:tabs>
          <w:tab w:leader="none" w:pos="660" w:val="left"/>
        </w:tabs>
        <w:numPr>
          <w:ilvl w:val="0"/>
          <w:numId w:val="56"/>
        </w:numPr>
        <w:rPr>
          <w:rFonts w:ascii="Arial" w:cs="Arial" w:eastAsia="Arial" w:hAnsi="Arial"/>
          <w:sz w:val="24"/>
          <w:szCs w:val="24"/>
          <w:color w:val="auto"/>
          <w:vertAlign w:val="superscript"/>
        </w:rPr>
      </w:pPr>
      <w:r>
        <w:rPr>
          <w:rFonts w:ascii="Arial" w:cs="Arial" w:eastAsia="Arial" w:hAnsi="Arial"/>
          <w:sz w:val="17"/>
          <w:szCs w:val="17"/>
          <w:color w:val="auto"/>
        </w:rPr>
        <w:t>Effective for the fourth quarter of 2018, we reclassified amounts related to gains and losses on asset sales and asset impairments from “Depreciation and amortization” to “(Gains)/losses on asset sales and asset impairments, net” on our Consolidated Statements of Operations. This change was applied retrospectively. See Note 1 to our Consolidated Financial Statements for additional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-1242060</wp:posOffset>
            </wp:positionV>
            <wp:extent cx="23323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known as “non-GAAP financial measures” in its evaluation of past performance and prospects for the future. The primary additional measure used by management is earnings before interest, taxes, depreciation and amortization (including our proportionate share of depreciation and amortization and gains and losses on significant asset sales of unconsolidated entities), gains and losses on asset sales and asset impairments, and gains on sales of investments in unconsolidated entities, adjusted for certain selected items impacting comparability (“Adjusted EBITDA”).</w:t>
      </w:r>
    </w:p>
    <w:p>
      <w:pPr>
        <w:spacing w:after="0" w:line="173"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Management believes that the presentation of such additional financial measure provides useful information to investors regarding our performance and results of operations because this measure, when used to supplement related GAAP financial measures, (i) provide additional information about our core operating performance, (ii) provide investors with the same financial analytical framework upon which management bases financial, operational, compensation and planning/budgeting decisions and (iii) present measurements that investors, rating agencies and debt holders have indicated are useful in assessing us and our results of operations. This non-GAAP measure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This measure may further be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6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as discussed, as applicable, in “Analysis of Operating Segments.”</w:t>
      </w:r>
    </w:p>
    <w:p>
      <w:pPr>
        <w:spacing w:after="0" w:line="187"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Our definition and calculation of certain non-GAAP financial measures may not be comparable to similarly-titled measures of other companies. Adjusted EBITDA is reconciled to Net Income, the most directly comparable measure as reported in accordance with GAAP, and should be viewed in addition to, and not in lieu of, our Consolidated Financial Statements and footnotes.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our non-GAAP financial performance measure from Net Income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Variance</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r>
      <w:tr>
        <w:trPr>
          <w:trHeight w:val="264"/>
        </w:trPr>
        <w:tc>
          <w:tcPr>
            <w:tcW w:w="40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2018-2017</w:t>
            </w:r>
          </w:p>
        </w:tc>
        <w:tc>
          <w:tcPr>
            <w:tcW w:w="6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2017-2016</w:t>
            </w:r>
          </w:p>
        </w:tc>
        <w:tc>
          <w:tcPr>
            <w:tcW w:w="640" w:type="dxa"/>
            <w:vAlign w:val="bottom"/>
            <w:tcBorders>
              <w:bottom w:val="single" w:sz="8" w:color="auto"/>
            </w:tcBorders>
          </w:tcPr>
          <w:p>
            <w:pPr>
              <w:spacing w:after="0"/>
              <w:rPr>
                <w:sz w:val="22"/>
                <w:szCs w:val="22"/>
                <w:color w:val="auto"/>
              </w:rPr>
            </w:pPr>
          </w:p>
        </w:tc>
      </w:tr>
      <w:tr>
        <w:trPr>
          <w:trHeight w:val="264"/>
        </w:trPr>
        <w:tc>
          <w:tcPr>
            <w:tcW w:w="40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6"/>
              </w:rPr>
              <w:t>2016</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(106)%</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Add/(Subtract):</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4080" w:type="dxa"/>
            <w:vAlign w:val="bottom"/>
          </w:tcPr>
          <w:p>
            <w:pPr>
              <w:ind w:left="180"/>
              <w:spacing w:after="0"/>
              <w:rPr>
                <w:sz w:val="20"/>
                <w:szCs w:val="20"/>
                <w:color w:val="auto"/>
              </w:rPr>
            </w:pPr>
            <w:r>
              <w:rPr>
                <w:rFonts w:ascii="Arial" w:cs="Arial" w:eastAsia="Arial" w:hAnsi="Arial"/>
                <w:sz w:val="18"/>
                <w:szCs w:val="18"/>
                <w:color w:val="auto"/>
                <w:w w:val="91"/>
              </w:rPr>
              <w:t>(Gains)/losses on asset sales and asset impairments,</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4080" w:type="dxa"/>
            <w:vAlign w:val="bottom"/>
          </w:tcPr>
          <w:p>
            <w:pPr>
              <w:ind w:left="340"/>
              <w:spacing w:after="0"/>
              <w:rPr>
                <w:sz w:val="20"/>
                <w:szCs w:val="20"/>
                <w:color w:val="auto"/>
              </w:rPr>
            </w:pPr>
            <w:r>
              <w:rPr>
                <w:rFonts w:ascii="Arial" w:cs="Arial" w:eastAsia="Arial" w:hAnsi="Arial"/>
                <w:sz w:val="18"/>
                <w:szCs w:val="18"/>
                <w:color w:val="auto"/>
              </w:rPr>
              <w:t>net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9"/>
              </w:rPr>
              <w:t>(205)%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9"/>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of unconsolidated</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57"/>
        </w:trPr>
        <w:tc>
          <w:tcPr>
            <w:tcW w:w="4080" w:type="dxa"/>
            <w:vAlign w:val="bottom"/>
            <w:shd w:val="clear" w:color="auto" w:fill="CCEEFF"/>
          </w:tcPr>
          <w:p>
            <w:pPr>
              <w:ind w:left="340"/>
              <w:spacing w:after="0" w:line="257" w:lineRule="exact"/>
              <w:rPr>
                <w:sz w:val="20"/>
                <w:szCs w:val="20"/>
                <w:color w:val="auto"/>
              </w:rPr>
            </w:pPr>
            <w:r>
              <w:rPr>
                <w:rFonts w:ascii="Arial" w:cs="Arial" w:eastAsia="Arial" w:hAnsi="Arial"/>
                <w:sz w:val="18"/>
                <w:szCs w:val="18"/>
                <w:color w:val="auto"/>
              </w:rPr>
              <w:t xml:space="preserve">entities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4080" w:type="dxa"/>
            <w:vAlign w:val="bottom"/>
          </w:tcPr>
          <w:p>
            <w:pPr>
              <w:ind w:left="180"/>
              <w:spacing w:after="0"/>
              <w:rPr>
                <w:sz w:val="20"/>
                <w:szCs w:val="20"/>
                <w:color w:val="auto"/>
              </w:rPr>
            </w:pPr>
            <w:r>
              <w:rPr>
                <w:rFonts w:ascii="Arial" w:cs="Arial" w:eastAsia="Arial" w:hAnsi="Arial"/>
                <w:sz w:val="18"/>
                <w:szCs w:val="18"/>
                <w:color w:val="auto"/>
              </w:rPr>
              <w:t>Gain on sale of investment in unconsolidated</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4080" w:type="dxa"/>
            <w:vAlign w:val="bottom"/>
          </w:tcPr>
          <w:p>
            <w:pPr>
              <w:ind w:left="340"/>
              <w:spacing w:after="0"/>
              <w:rPr>
                <w:sz w:val="20"/>
                <w:szCs w:val="20"/>
                <w:color w:val="auto"/>
              </w:rPr>
            </w:pPr>
            <w:r>
              <w:rPr>
                <w:rFonts w:ascii="Arial" w:cs="Arial" w:eastAsia="Arial" w:hAnsi="Arial"/>
                <w:sz w:val="18"/>
                <w:szCs w:val="18"/>
                <w:color w:val="auto"/>
              </w:rPr>
              <w:t>entities</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20"/>
                <w:szCs w:val="20"/>
                <w:color w:val="auto"/>
              </w:rPr>
            </w:pPr>
          </w:p>
        </w:tc>
        <w:tc>
          <w:tcPr>
            <w:tcW w:w="10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N/A</w:t>
            </w: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Selected Items Impacting Comparability:</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29"/>
        </w:trPr>
        <w:tc>
          <w:tcPr>
            <w:tcW w:w="4080" w:type="dxa"/>
            <w:vAlign w:val="bottom"/>
          </w:tcPr>
          <w:p>
            <w:pPr>
              <w:ind w:left="340"/>
              <w:spacing w:after="0"/>
              <w:rPr>
                <w:sz w:val="20"/>
                <w:szCs w:val="20"/>
                <w:color w:val="auto"/>
              </w:rPr>
            </w:pPr>
            <w:r>
              <w:rPr>
                <w:rFonts w:ascii="Arial" w:cs="Arial" w:eastAsia="Arial" w:hAnsi="Arial"/>
                <w:sz w:val="18"/>
                <w:szCs w:val="18"/>
                <w:color w:val="auto"/>
              </w:rPr>
              <w:t>(Gains)/losses from derivative activities net of</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7"/>
        </w:trPr>
        <w:tc>
          <w:tcPr>
            <w:tcW w:w="4080" w:type="dxa"/>
            <w:vAlign w:val="bottom"/>
          </w:tcPr>
          <w:p>
            <w:pPr>
              <w:ind w:left="500"/>
              <w:spacing w:after="0" w:line="257" w:lineRule="exact"/>
              <w:rPr>
                <w:sz w:val="20"/>
                <w:szCs w:val="20"/>
                <w:color w:val="auto"/>
              </w:rPr>
            </w:pPr>
            <w:r>
              <w:rPr>
                <w:rFonts w:ascii="Arial" w:cs="Arial" w:eastAsia="Arial" w:hAnsi="Arial"/>
                <w:sz w:val="18"/>
                <w:szCs w:val="18"/>
                <w:color w:val="auto"/>
              </w:rPr>
              <w:t xml:space="preserve">inventory valuation adjustments </w:t>
            </w:r>
            <w:r>
              <w:rPr>
                <w:rFonts w:ascii="Arial" w:cs="Arial" w:eastAsia="Arial" w:hAnsi="Arial"/>
                <w:sz w:val="25"/>
                <w:szCs w:val="25"/>
                <w:color w:val="auto"/>
                <w:vertAlign w:val="superscript"/>
              </w:rPr>
              <w:t>(2)</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404</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0"/>
        </w:trPr>
        <w:tc>
          <w:tcPr>
            <w:tcW w:w="408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(3)</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4080" w:type="dxa"/>
            <w:vAlign w:val="bottom"/>
          </w:tcPr>
          <w:p>
            <w:pPr>
              <w:ind w:left="340"/>
              <w:spacing w:after="0"/>
              <w:rPr>
                <w:sz w:val="20"/>
                <w:szCs w:val="20"/>
                <w:color w:val="auto"/>
              </w:rPr>
            </w:pPr>
            <w:r>
              <w:rPr>
                <w:rFonts w:ascii="Arial" w:cs="Arial" w:eastAsia="Arial" w:hAnsi="Arial"/>
                <w:sz w:val="18"/>
                <w:szCs w:val="18"/>
                <w:color w:val="auto"/>
              </w:rPr>
              <w:t>Deficiencies under minimum volume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7"/>
        </w:trPr>
        <w:tc>
          <w:tcPr>
            <w:tcW w:w="4080" w:type="dxa"/>
            <w:vAlign w:val="bottom"/>
          </w:tcPr>
          <w:p>
            <w:pPr>
              <w:ind w:left="500"/>
              <w:spacing w:after="0" w:line="257" w:lineRule="exact"/>
              <w:rPr>
                <w:sz w:val="20"/>
                <w:szCs w:val="20"/>
                <w:color w:val="auto"/>
              </w:rPr>
            </w:pPr>
            <w:r>
              <w:rPr>
                <w:rFonts w:ascii="Arial" w:cs="Arial" w:eastAsia="Arial" w:hAnsi="Arial"/>
                <w:sz w:val="18"/>
                <w:szCs w:val="18"/>
                <w:color w:val="auto"/>
              </w:rPr>
              <w:t xml:space="preserve">commitments, net </w:t>
            </w:r>
            <w:r>
              <w:rPr>
                <w:rFonts w:ascii="Arial" w:cs="Arial" w:eastAsia="Arial" w:hAnsi="Arial"/>
                <w:sz w:val="25"/>
                <w:szCs w:val="25"/>
                <w:color w:val="auto"/>
                <w:vertAlign w:val="superscript"/>
              </w:rPr>
              <w:t>(4)</w:t>
            </w:r>
          </w:p>
        </w:tc>
        <w:tc>
          <w:tcPr>
            <w:tcW w:w="220" w:type="dxa"/>
            <w:vAlign w:val="bottom"/>
          </w:tcPr>
          <w:p>
            <w:pPr>
              <w:spacing w:after="0"/>
              <w:rPr>
                <w:sz w:val="22"/>
                <w:szCs w:val="22"/>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0"/>
        </w:trPr>
        <w:tc>
          <w:tcPr>
            <w:tcW w:w="408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(5)</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70"/>
        </w:trPr>
        <w:tc>
          <w:tcPr>
            <w:tcW w:w="4080" w:type="dxa"/>
            <w:vAlign w:val="bottom"/>
          </w:tcPr>
          <w:p>
            <w:pPr>
              <w:ind w:left="340"/>
              <w:spacing w:after="0" w:line="270" w:lineRule="exact"/>
              <w:rPr>
                <w:sz w:val="20"/>
                <w:szCs w:val="20"/>
                <w:color w:val="auto"/>
              </w:rPr>
            </w:pPr>
            <w:r>
              <w:rPr>
                <w:rFonts w:ascii="Arial" w:cs="Arial" w:eastAsia="Arial" w:hAnsi="Arial"/>
                <w:sz w:val="18"/>
                <w:szCs w:val="18"/>
                <w:color w:val="auto"/>
                <w:w w:val="94"/>
              </w:rPr>
              <w:t xml:space="preserve">Net (gain)/loss on foreign currency revaluation </w:t>
            </w:r>
            <w:r>
              <w:rPr>
                <w:rFonts w:ascii="Arial" w:cs="Arial" w:eastAsia="Arial" w:hAnsi="Arial"/>
                <w:sz w:val="25"/>
                <w:szCs w:val="25"/>
                <w:color w:val="auto"/>
                <w:w w:val="94"/>
                <w:vertAlign w:val="superscript"/>
              </w:rPr>
              <w:t>(6)</w:t>
            </w:r>
          </w:p>
        </w:tc>
        <w:tc>
          <w:tcPr>
            <w:tcW w:w="22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0"/>
        </w:trPr>
        <w:tc>
          <w:tcPr>
            <w:tcW w:w="408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(7)</w:t>
            </w:r>
          </w:p>
        </w:tc>
        <w:tc>
          <w:tcPr>
            <w:tcW w:w="2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70"/>
        </w:trPr>
        <w:tc>
          <w:tcPr>
            <w:tcW w:w="4080" w:type="dxa"/>
            <w:vAlign w:val="bottom"/>
          </w:tcPr>
          <w:p>
            <w:pPr>
              <w:ind w:left="340"/>
              <w:spacing w:after="0" w:line="27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5"/>
                <w:szCs w:val="25"/>
                <w:color w:val="auto"/>
                <w:vertAlign w:val="superscript"/>
              </w:rPr>
              <w:t>(8)</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09"/>
        </w:trPr>
        <w:tc>
          <w:tcPr>
            <w:tcW w:w="40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5"/>
              </w:rPr>
              <w:t>Selected Items Impacting Comparability - Segment</w:t>
            </w: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37"/>
        </w:trPr>
        <w:tc>
          <w:tcPr>
            <w:tcW w:w="4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70"/>
        </w:trPr>
        <w:tc>
          <w:tcPr>
            <w:tcW w:w="4080" w:type="dxa"/>
            <w:vAlign w:val="bottom"/>
          </w:tcPr>
          <w:p>
            <w:pPr>
              <w:ind w:left="340"/>
              <w:spacing w:after="0" w:line="270" w:lineRule="exact"/>
              <w:rPr>
                <w:sz w:val="20"/>
                <w:szCs w:val="20"/>
                <w:color w:val="auto"/>
              </w:rPr>
            </w:pPr>
            <w:r>
              <w:rPr>
                <w:rFonts w:ascii="Arial" w:cs="Arial" w:eastAsia="Arial" w:hAnsi="Arial"/>
                <w:sz w:val="18"/>
                <w:szCs w:val="18"/>
                <w:color w:val="auto"/>
              </w:rPr>
              <w:t xml:space="preserve">(Gains)/losses from derivative activities </w:t>
            </w:r>
            <w:r>
              <w:rPr>
                <w:rFonts w:ascii="Arial" w:cs="Arial" w:eastAsia="Arial" w:hAnsi="Arial"/>
                <w:sz w:val="25"/>
                <w:szCs w:val="25"/>
                <w:color w:val="auto"/>
                <w:vertAlign w:val="superscript"/>
              </w:rPr>
              <w:t>(2)</w:t>
            </w:r>
          </w:p>
        </w:tc>
        <w:tc>
          <w:tcPr>
            <w:tcW w:w="22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0"/>
        </w:trPr>
        <w:tc>
          <w:tcPr>
            <w:tcW w:w="408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w w:val="94"/>
              </w:rPr>
              <w:t xml:space="preserve">Net (gain)/loss on foreign currency revaluation </w:t>
            </w:r>
            <w:r>
              <w:rPr>
                <w:rFonts w:ascii="Arial" w:cs="Arial" w:eastAsia="Arial" w:hAnsi="Arial"/>
                <w:sz w:val="25"/>
                <w:szCs w:val="25"/>
                <w:color w:val="auto"/>
                <w:w w:val="94"/>
                <w:vertAlign w:val="superscript"/>
              </w:rPr>
              <w:t>(6)</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4080" w:type="dxa"/>
            <w:vAlign w:val="bottom"/>
          </w:tcPr>
          <w:p>
            <w:pPr>
              <w:ind w:left="340"/>
              <w:spacing w:after="0"/>
              <w:rPr>
                <w:sz w:val="20"/>
                <w:szCs w:val="20"/>
                <w:color w:val="auto"/>
              </w:rPr>
            </w:pPr>
            <w:r>
              <w:rPr>
                <w:rFonts w:ascii="Arial" w:cs="Arial" w:eastAsia="Arial" w:hAnsi="Arial"/>
                <w:sz w:val="18"/>
                <w:szCs w:val="18"/>
                <w:color w:val="auto"/>
              </w:rPr>
              <w:t>Net loss on early repayment of senior</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7"/>
        </w:trPr>
        <w:tc>
          <w:tcPr>
            <w:tcW w:w="4080" w:type="dxa"/>
            <w:vAlign w:val="bottom"/>
          </w:tcPr>
          <w:p>
            <w:pPr>
              <w:ind w:left="500"/>
              <w:spacing w:after="0" w:line="257" w:lineRule="exact"/>
              <w:rPr>
                <w:sz w:val="20"/>
                <w:szCs w:val="20"/>
                <w:color w:val="auto"/>
              </w:rPr>
            </w:pPr>
            <w:r>
              <w:rPr>
                <w:rFonts w:ascii="Arial" w:cs="Arial" w:eastAsia="Arial" w:hAnsi="Arial"/>
                <w:sz w:val="18"/>
                <w:szCs w:val="18"/>
                <w:color w:val="auto"/>
              </w:rPr>
              <w:t xml:space="preserve">notes </w:t>
            </w:r>
            <w:r>
              <w:rPr>
                <w:rFonts w:ascii="Arial" w:cs="Arial" w:eastAsia="Arial" w:hAnsi="Arial"/>
                <w:sz w:val="25"/>
                <w:szCs w:val="25"/>
                <w:color w:val="auto"/>
                <w:vertAlign w:val="superscript"/>
              </w:rPr>
              <w:t>(9)</w:t>
            </w:r>
          </w:p>
        </w:tc>
        <w:tc>
          <w:tcPr>
            <w:tcW w:w="22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09"/>
        </w:trPr>
        <w:tc>
          <w:tcPr>
            <w:tcW w:w="40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5"/>
              </w:rPr>
              <w:t>Selected Items Impacting Comparability - Adjusted</w:t>
            </w: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57"/>
        </w:trPr>
        <w:tc>
          <w:tcPr>
            <w:tcW w:w="4080" w:type="dxa"/>
            <w:vAlign w:val="bottom"/>
            <w:shd w:val="clear" w:color="auto" w:fill="CCEEFF"/>
          </w:tcPr>
          <w:p>
            <w:pPr>
              <w:ind w:left="360"/>
              <w:spacing w:after="0" w:line="25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(10)</w:t>
            </w: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403</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64"/>
        </w:trPr>
        <w:tc>
          <w:tcPr>
            <w:tcW w:w="408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(10)</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2,078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2,166</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20" w:hanging="412"/>
        <w:spacing w:after="0"/>
        <w:tabs>
          <w:tab w:leader="none" w:pos="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Indicates that variance as a percentage is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5044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97" w:lineRule="exact"/>
        <w:rPr>
          <w:sz w:val="20"/>
          <w:szCs w:val="20"/>
          <w:color w:val="auto"/>
        </w:rPr>
      </w:pPr>
    </w:p>
    <w:p>
      <w:pPr>
        <w:ind w:left="660" w:right="60" w:hanging="652"/>
        <w:spacing w:after="0" w:line="226" w:lineRule="auto"/>
        <w:tabs>
          <w:tab w:leader="none" w:pos="660" w:val="left"/>
        </w:tabs>
        <w:numPr>
          <w:ilvl w:val="0"/>
          <w:numId w:val="58"/>
        </w:numPr>
        <w:rPr>
          <w:rFonts w:ascii="Arial" w:cs="Arial" w:eastAsia="Arial" w:hAnsi="Arial"/>
          <w:sz w:val="25"/>
          <w:szCs w:val="25"/>
          <w:color w:val="auto"/>
          <w:vertAlign w:val="superscript"/>
        </w:rPr>
      </w:pPr>
      <w:r>
        <w:rPr>
          <w:rFonts w:ascii="Arial" w:cs="Arial" w:eastAsia="Arial" w:hAnsi="Arial"/>
          <w:sz w:val="18"/>
          <w:szCs w:val="18"/>
          <w:color w:val="auto"/>
        </w:rPr>
        <w:t>Over the past several years, we have increased our participation in strategic pipeline joint ventures, which are accounted for under the equity method of accounting. We exclude our proportionate share of the depreciation and amortization expense and gains and losses on significant asset sales by such unconsolidated entities when reviewing Adjusted EBITDA, similar to our consolidated assets.</w:t>
      </w:r>
    </w:p>
    <w:p>
      <w:pPr>
        <w:spacing w:after="0" w:line="95" w:lineRule="exact"/>
        <w:rPr>
          <w:rFonts w:ascii="Arial" w:cs="Arial" w:eastAsia="Arial" w:hAnsi="Arial"/>
          <w:sz w:val="25"/>
          <w:szCs w:val="25"/>
          <w:color w:val="auto"/>
          <w:vertAlign w:val="superscript"/>
        </w:rPr>
      </w:pPr>
    </w:p>
    <w:p>
      <w:pPr>
        <w:ind w:left="660" w:right="40" w:hanging="652"/>
        <w:spacing w:after="0" w:line="241" w:lineRule="auto"/>
        <w:tabs>
          <w:tab w:leader="none" w:pos="660" w:val="left"/>
        </w:tabs>
        <w:numPr>
          <w:ilvl w:val="0"/>
          <w:numId w:val="58"/>
        </w:numPr>
        <w:rPr>
          <w:rFonts w:ascii="Arial" w:cs="Arial" w:eastAsia="Arial" w:hAnsi="Arial"/>
          <w:sz w:val="25"/>
          <w:szCs w:val="25"/>
          <w:color w:val="auto"/>
          <w:vertAlign w:val="superscript"/>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 See Note 13 to our Consolidated Financial</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right="480"/>
        <w:spacing w:after="0" w:line="324" w:lineRule="auto"/>
        <w:rPr>
          <w:sz w:val="20"/>
          <w:szCs w:val="20"/>
          <w:color w:val="auto"/>
        </w:rPr>
      </w:pPr>
      <w:r>
        <w:rPr>
          <w:rFonts w:ascii="Arial" w:cs="Arial" w:eastAsia="Arial" w:hAnsi="Arial"/>
          <w:sz w:val="18"/>
          <w:szCs w:val="18"/>
          <w:color w:val="auto"/>
        </w:rPr>
        <w:t>Statements for a comprehensive discussion regarding our derivatives and risk management activities and our Preferred Distribution Rate Reset Option.</w:t>
      </w:r>
    </w:p>
    <w:p>
      <w:pPr>
        <w:spacing w:after="0" w:line="35" w:lineRule="exact"/>
        <w:rPr>
          <w:sz w:val="20"/>
          <w:szCs w:val="20"/>
          <w:color w:val="auto"/>
        </w:rPr>
      </w:pPr>
    </w:p>
    <w:p>
      <w:pPr>
        <w:ind w:left="660" w:hanging="652"/>
        <w:spacing w:after="0" w:line="253" w:lineRule="auto"/>
        <w:tabs>
          <w:tab w:leader="none" w:pos="660" w:val="left"/>
        </w:tabs>
        <w:numPr>
          <w:ilvl w:val="0"/>
          <w:numId w:val="59"/>
        </w:numPr>
        <w:rPr>
          <w:rFonts w:ascii="Arial" w:cs="Arial" w:eastAsia="Arial" w:hAnsi="Arial"/>
          <w:sz w:val="24"/>
          <w:szCs w:val="24"/>
          <w:color w:val="auto"/>
          <w:vertAlign w:val="superscript"/>
        </w:rPr>
      </w:pPr>
      <w:r>
        <w:rPr>
          <w:rFonts w:ascii="Arial" w:cs="Arial" w:eastAsia="Arial" w:hAnsi="Arial"/>
          <w:sz w:val="17"/>
          <w:szCs w:val="17"/>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5 to our Consolidated Financial Statements for additional inventory disclosures.</w:t>
      </w:r>
    </w:p>
    <w:p>
      <w:pPr>
        <w:spacing w:after="0" w:line="83" w:lineRule="exact"/>
        <w:rPr>
          <w:rFonts w:ascii="Arial" w:cs="Arial" w:eastAsia="Arial" w:hAnsi="Arial"/>
          <w:sz w:val="24"/>
          <w:szCs w:val="24"/>
          <w:color w:val="auto"/>
          <w:vertAlign w:val="superscript"/>
        </w:rPr>
      </w:pPr>
    </w:p>
    <w:p>
      <w:pPr>
        <w:ind w:left="660" w:hanging="652"/>
        <w:spacing w:after="0" w:line="258" w:lineRule="auto"/>
        <w:tabs>
          <w:tab w:leader="none" w:pos="660" w:val="left"/>
        </w:tabs>
        <w:numPr>
          <w:ilvl w:val="0"/>
          <w:numId w:val="59"/>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86" w:lineRule="exact"/>
        <w:rPr>
          <w:rFonts w:ascii="Arial" w:cs="Arial" w:eastAsia="Arial" w:hAnsi="Arial"/>
          <w:sz w:val="24"/>
          <w:szCs w:val="24"/>
          <w:color w:val="auto"/>
          <w:vertAlign w:val="superscript"/>
        </w:rPr>
      </w:pPr>
    </w:p>
    <w:p>
      <w:pPr>
        <w:ind w:left="660" w:right="20" w:hanging="652"/>
        <w:spacing w:after="0" w:line="254" w:lineRule="auto"/>
        <w:tabs>
          <w:tab w:leader="none" w:pos="660" w:val="left"/>
        </w:tabs>
        <w:numPr>
          <w:ilvl w:val="0"/>
          <w:numId w:val="59"/>
        </w:numPr>
        <w:rPr>
          <w:rFonts w:ascii="Arial" w:cs="Arial" w:eastAsia="Arial" w:hAnsi="Arial"/>
          <w:sz w:val="24"/>
          <w:szCs w:val="24"/>
          <w:color w:val="auto"/>
          <w:vertAlign w:val="superscript"/>
        </w:rPr>
      </w:pPr>
      <w:r>
        <w:rPr>
          <w:rFonts w:ascii="Arial" w:cs="Arial" w:eastAsia="Arial" w:hAnsi="Arial"/>
          <w:sz w:val="17"/>
          <w:szCs w:val="17"/>
          <w:color w:val="auto"/>
        </w:rPr>
        <w:t>Our total equity-indexed compensation expense includes expense associated with awards that will or may be settled in PAA common units and awards that will or may be settled in cash. The awards that will or may be settled in PAA common units are included in PAA’s diluted net income per unit calculation when the applicable performance criteria have been met. We consider the compensation expense associated with these awards as a selected item impacting comparability as the dilutive impact of the outstanding awards is included in PAA’s diluted net income per unit calculation, as applicable, and the majority of the awards are expected to be settled in PAA common units. The portion of compensation expense associated with awards that are certain to be settled in cash is not considered a selected item impacting comparability. See Note 17 to our Consolidated Financial Statements for a comprehensive discussion regarding our equity-indexed compensation plans.</w:t>
      </w:r>
    </w:p>
    <w:p>
      <w:pPr>
        <w:spacing w:after="0" w:line="87" w:lineRule="exact"/>
        <w:rPr>
          <w:rFonts w:ascii="Arial" w:cs="Arial" w:eastAsia="Arial" w:hAnsi="Arial"/>
          <w:sz w:val="24"/>
          <w:szCs w:val="24"/>
          <w:color w:val="auto"/>
          <w:vertAlign w:val="superscript"/>
        </w:rPr>
      </w:pPr>
    </w:p>
    <w:p>
      <w:pPr>
        <w:ind w:left="660" w:right="80" w:hanging="652"/>
        <w:spacing w:after="0" w:line="262" w:lineRule="auto"/>
        <w:tabs>
          <w:tab w:leader="none" w:pos="660" w:val="left"/>
        </w:tabs>
        <w:numPr>
          <w:ilvl w:val="0"/>
          <w:numId w:val="59"/>
        </w:numPr>
        <w:rPr>
          <w:rFonts w:ascii="Arial" w:cs="Arial" w:eastAsia="Arial" w:hAnsi="Arial"/>
          <w:sz w:val="22"/>
          <w:szCs w:val="22"/>
          <w:color w:val="auto"/>
          <w:vertAlign w:val="superscript"/>
        </w:rPr>
      </w:pPr>
      <w:r>
        <w:rPr>
          <w:rFonts w:ascii="Arial" w:cs="Arial" w:eastAsia="Arial" w:hAnsi="Arial"/>
          <w:sz w:val="16"/>
          <w:szCs w:val="16"/>
          <w:color w:val="auto"/>
        </w:rPr>
        <w:t>During the periods presented, there were fluctuations in the value of the Canadian dollar (“CAD”) to the U.S. dollar (“USD”), resulting in gains and losses that were not related to our core operating results for the period and were thus classified as a selected item impacting comparability. See Note 13 to our Consolidated Financial Statements for discussion regarding our currency exchange rate risk hedging activities.</w:t>
      </w:r>
    </w:p>
    <w:p>
      <w:pPr>
        <w:spacing w:after="0" w:line="78" w:lineRule="exact"/>
        <w:rPr>
          <w:rFonts w:ascii="Arial" w:cs="Arial" w:eastAsia="Arial" w:hAnsi="Arial"/>
          <w:sz w:val="22"/>
          <w:szCs w:val="22"/>
          <w:color w:val="auto"/>
          <w:vertAlign w:val="superscript"/>
        </w:rPr>
      </w:pPr>
    </w:p>
    <w:p>
      <w:pPr>
        <w:ind w:left="660" w:right="240" w:hanging="652"/>
        <w:spacing w:after="0" w:line="252" w:lineRule="auto"/>
        <w:tabs>
          <w:tab w:leader="none" w:pos="660" w:val="left"/>
        </w:tabs>
        <w:numPr>
          <w:ilvl w:val="0"/>
          <w:numId w:val="59"/>
        </w:numPr>
        <w:rPr>
          <w:rFonts w:ascii="Arial" w:cs="Arial" w:eastAsia="Arial" w:hAnsi="Arial"/>
          <w:sz w:val="22"/>
          <w:szCs w:val="22"/>
          <w:color w:val="auto"/>
          <w:vertAlign w:val="superscript"/>
        </w:rPr>
      </w:pPr>
      <w:r>
        <w:rPr>
          <w:rFonts w:ascii="Arial" w:cs="Arial" w:eastAsia="Arial" w:hAnsi="Arial"/>
          <w:sz w:val="16"/>
          <w:szCs w:val="16"/>
          <w:color w:val="auto"/>
        </w:rPr>
        <w:t>Includes costs recognized during the period related to the Line 901 incident that occurred in May 2015, net of amounts we believe are probable of recovery from insurance. See Note 18 to our Consolidated Financial Statements for additional information regarding the Line 901 incident.</w:t>
      </w:r>
    </w:p>
    <w:p>
      <w:pPr>
        <w:spacing w:after="0" w:line="81" w:lineRule="exact"/>
        <w:rPr>
          <w:rFonts w:ascii="Arial" w:cs="Arial" w:eastAsia="Arial" w:hAnsi="Arial"/>
          <w:sz w:val="22"/>
          <w:szCs w:val="22"/>
          <w:color w:val="auto"/>
          <w:vertAlign w:val="superscript"/>
        </w:rPr>
      </w:pPr>
    </w:p>
    <w:p>
      <w:pPr>
        <w:ind w:left="660" w:right="160" w:hanging="652"/>
        <w:spacing w:after="0" w:line="216" w:lineRule="auto"/>
        <w:tabs>
          <w:tab w:leader="none" w:pos="660" w:val="left"/>
        </w:tabs>
        <w:numPr>
          <w:ilvl w:val="0"/>
          <w:numId w:val="59"/>
        </w:numPr>
        <w:rPr>
          <w:rFonts w:ascii="Arial" w:cs="Arial" w:eastAsia="Arial" w:hAnsi="Arial"/>
          <w:sz w:val="25"/>
          <w:szCs w:val="25"/>
          <w:color w:val="auto"/>
          <w:vertAlign w:val="superscript"/>
        </w:rPr>
      </w:pPr>
      <w:r>
        <w:rPr>
          <w:rFonts w:ascii="Arial" w:cs="Arial" w:eastAsia="Arial" w:hAnsi="Arial"/>
          <w:sz w:val="18"/>
          <w:szCs w:val="18"/>
          <w:color w:val="auto"/>
        </w:rPr>
        <w:t>Includes acquisition-related expenses associated with the ACC Acquisition in February 2017. See Note 7 to our Consolidated Financial Statements for additional information.</w:t>
      </w:r>
    </w:p>
    <w:p>
      <w:pPr>
        <w:spacing w:after="0" w:line="95" w:lineRule="exact"/>
        <w:rPr>
          <w:rFonts w:ascii="Arial" w:cs="Arial" w:eastAsia="Arial" w:hAnsi="Arial"/>
          <w:sz w:val="25"/>
          <w:szCs w:val="25"/>
          <w:color w:val="auto"/>
          <w:vertAlign w:val="superscript"/>
        </w:rPr>
      </w:pPr>
    </w:p>
    <w:p>
      <w:pPr>
        <w:ind w:left="660" w:right="40" w:hanging="652"/>
        <w:spacing w:after="0" w:line="216" w:lineRule="auto"/>
        <w:tabs>
          <w:tab w:leader="none" w:pos="660" w:val="left"/>
        </w:tabs>
        <w:numPr>
          <w:ilvl w:val="0"/>
          <w:numId w:val="59"/>
        </w:numPr>
        <w:rPr>
          <w:rFonts w:ascii="Arial" w:cs="Arial" w:eastAsia="Arial" w:hAnsi="Arial"/>
          <w:sz w:val="25"/>
          <w:szCs w:val="25"/>
          <w:color w:val="auto"/>
          <w:vertAlign w:val="superscript"/>
        </w:rPr>
      </w:pPr>
      <w:r>
        <w:rPr>
          <w:rFonts w:ascii="Arial" w:cs="Arial" w:eastAsia="Arial" w:hAnsi="Arial"/>
          <w:sz w:val="18"/>
          <w:szCs w:val="18"/>
          <w:color w:val="auto"/>
        </w:rPr>
        <w:t>Includes net losses incurred in connection with the early redemption of our (i) $600 million, 6.50% senior notes due May 2018 and (ii) $350 million, 8.75% senior notes due May 2019. See Note 11 to our Consolidated Financial Statements for additional information.</w:t>
      </w:r>
    </w:p>
    <w:p>
      <w:pPr>
        <w:spacing w:after="0" w:line="95" w:lineRule="exact"/>
        <w:rPr>
          <w:rFonts w:ascii="Arial" w:cs="Arial" w:eastAsia="Arial" w:hAnsi="Arial"/>
          <w:sz w:val="25"/>
          <w:szCs w:val="25"/>
          <w:color w:val="auto"/>
          <w:vertAlign w:val="superscript"/>
        </w:rPr>
      </w:pPr>
    </w:p>
    <w:p>
      <w:pPr>
        <w:jc w:val="both"/>
        <w:ind w:left="660" w:right="460" w:hanging="652"/>
        <w:spacing w:after="0" w:line="252" w:lineRule="auto"/>
        <w:tabs>
          <w:tab w:leader="none" w:pos="660" w:val="left"/>
        </w:tabs>
        <w:numPr>
          <w:ilvl w:val="0"/>
          <w:numId w:val="59"/>
        </w:numPr>
        <w:rPr>
          <w:rFonts w:ascii="Arial" w:cs="Arial" w:eastAsia="Arial" w:hAnsi="Arial"/>
          <w:sz w:val="22"/>
          <w:szCs w:val="22"/>
          <w:color w:val="auto"/>
          <w:vertAlign w:val="superscript"/>
        </w:rPr>
      </w:pPr>
      <w:r>
        <w:rPr>
          <w:rFonts w:ascii="Arial" w:cs="Arial" w:eastAsia="Arial" w:hAnsi="Arial"/>
          <w:sz w:val="16"/>
          <w:szCs w:val="16"/>
          <w:color w:val="auto"/>
        </w:rPr>
        <w:t>Adjusted EBITDA includes Other income/(expense), net per our Consolidated Statements of Operations, adjusted for selected items impacting comparability (“Adjusted Other income/(expense), net”). Segment Adjusted EBITDA does not include Adjusted Other income/(expense), net.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18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We define Segment Adjusted EBITDA as revenues and equity earnings in unconsolidated entities less (a) purchases and related costs, (b) field operating costs and (c) segment general and administrative expenses, plus our proportionate share of</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125"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depreciation and amortization expense and gains and losses on significant asset sales of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See Note 20 to our Consolidated Financial Statements for a reconciliation of Segment Adjusted EBITDA to net income attributable to PAGP.</w:t>
      </w:r>
    </w:p>
    <w:p>
      <w:pPr>
        <w:spacing w:after="0" w:line="16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segment analysis involves an element of judgment relating to the allocations between segments. In connection with its operations, the Supply and Logistics segment secures transportation and facilities services from our other two segments as well as third-party service providers under month-to-month and multi-year arrangements. Intersegment transportation service rates are conducted at posted tariff rates, rates similar to those charged to third parties or rates that we believe approximate market. Facilities segment services are also obtained at rates generally consistent with rates charged to third parties for similar services. Intersegment activities are eliminated in consolidation and we believe that the estimates with respect to these rates are reasonable. Also, our segment operating and general and administrative expenses reflect direct costs attributable to each segment; however, we also allocate certain operating expenses and general and administrative overhead expenses between segments based on management’s assessment of the business activities for the period. The proportional allocations by segment require judgment by management and may be adjusted in the future based on the business activities that exist during each period. We believe that the estimates with respect to these allocations are reasonable.</w:t>
      </w:r>
    </w:p>
    <w:p>
      <w:pPr>
        <w:spacing w:after="0" w:line="18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pipeline capacity agreements and other transportation fees.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Variance</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2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2018-2017</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2017-2016</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334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Segment general and administrative</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gridSpan w:val="2"/>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9"/>
              </w:rPr>
              <w:t>Equity earnings in unconsolidated entities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324"/>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 of</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340"/>
              <w:spacing w:after="0"/>
              <w:rPr>
                <w:sz w:val="20"/>
                <w:szCs w:val="20"/>
                <w:color w:val="auto"/>
              </w:rPr>
            </w:pPr>
            <w:r>
              <w:rPr>
                <w:rFonts w:ascii="Arial" w:cs="Arial" w:eastAsia="Arial" w:hAnsi="Arial"/>
                <w:sz w:val="18"/>
                <w:szCs w:val="18"/>
                <w:color w:val="auto"/>
              </w:rPr>
              <w:t>unconsolidated entities</w:t>
            </w:r>
          </w:p>
        </w:tc>
        <w:tc>
          <w:tcPr>
            <w:tcW w:w="24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(Gains)/losses from derivative activities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98"/>
              </w:rPr>
              <w:t>net of inventory valuation adjustments</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Deficiencies under minimum volume</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340"/>
              <w:spacing w:after="0"/>
              <w:rPr>
                <w:sz w:val="20"/>
                <w:szCs w:val="20"/>
                <w:color w:val="auto"/>
              </w:rPr>
            </w:pPr>
            <w:r>
              <w:rPr>
                <w:rFonts w:ascii="Arial" w:cs="Arial" w:eastAsia="Arial" w:hAnsi="Arial"/>
                <w:sz w:val="18"/>
                <w:szCs w:val="18"/>
                <w:color w:val="auto"/>
              </w:rPr>
              <w:t>commitments, net</w:t>
            </w:r>
          </w:p>
        </w:tc>
        <w:tc>
          <w:tcPr>
            <w:tcW w:w="24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Line 901 incident</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Significant acquisition-related expenses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1,508</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1,287</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1,141</w:t>
            </w: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51"/>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Segment Adjusted EBITDA per barrel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0.67</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89</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89"/>
              </w:rPr>
              <w:t>Variance</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Daily Volumes</w:t>
            </w:r>
          </w:p>
        </w:tc>
        <w:tc>
          <w:tcPr>
            <w:tcW w:w="248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w w:val="95"/>
              </w:rPr>
              <w:t>Year Ended December 31,</w:t>
            </w:r>
          </w:p>
        </w:tc>
        <w:tc>
          <w:tcPr>
            <w:tcW w:w="7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2018-2017</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2017-2016</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3380" w:type="dxa"/>
            <w:vAlign w:val="bottom"/>
            <w:gridSpan w:val="2"/>
            <w:vMerge w:val="continue"/>
          </w:tcPr>
          <w:p>
            <w:pPr>
              <w:spacing w:after="0"/>
              <w:rPr>
                <w:sz w:val="6"/>
                <w:szCs w:val="6"/>
                <w:color w:val="auto"/>
              </w:rPr>
            </w:pPr>
          </w:p>
        </w:tc>
        <w:tc>
          <w:tcPr>
            <w:tcW w:w="10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10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Volumes</w:t>
            </w:r>
          </w:p>
        </w:tc>
        <w:tc>
          <w:tcPr>
            <w:tcW w:w="100" w:type="dxa"/>
            <w:vAlign w:val="bottom"/>
            <w:vMerge w:val="restart"/>
          </w:tcPr>
          <w:p>
            <w:pPr>
              <w:spacing w:after="0"/>
              <w:rPr>
                <w:sz w:val="6"/>
                <w:szCs w:val="6"/>
                <w:color w:val="auto"/>
              </w:rPr>
            </w:pPr>
          </w:p>
        </w:tc>
        <w:tc>
          <w:tcPr>
            <w:tcW w:w="420" w:type="dxa"/>
            <w:vAlign w:val="bottom"/>
            <w:vMerge w:val="restart"/>
          </w:tcPr>
          <w:p>
            <w:pPr>
              <w:spacing w:after="0"/>
              <w:rPr>
                <w:sz w:val="6"/>
                <w:szCs w:val="6"/>
                <w:color w:val="auto"/>
              </w:rPr>
            </w:pPr>
          </w:p>
        </w:tc>
        <w:tc>
          <w:tcPr>
            <w:tcW w:w="7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89"/>
              </w:rPr>
              <w:t>Volumes</w:t>
            </w:r>
          </w:p>
        </w:tc>
        <w:tc>
          <w:tcPr>
            <w:tcW w:w="100" w:type="dxa"/>
            <w:vAlign w:val="bottom"/>
            <w:vMerge w:val="restart"/>
          </w:tcPr>
          <w:p>
            <w:pPr>
              <w:spacing w:after="0"/>
              <w:rPr>
                <w:sz w:val="6"/>
                <w:szCs w:val="6"/>
                <w:color w:val="auto"/>
              </w:rPr>
            </w:pPr>
          </w:p>
        </w:tc>
        <w:tc>
          <w:tcPr>
            <w:tcW w:w="420" w:type="dxa"/>
            <w:vAlign w:val="bottom"/>
            <w:vMerge w:val="restart"/>
          </w:tcPr>
          <w:p>
            <w:pPr>
              <w:spacing w:after="0"/>
              <w:rPr>
                <w:sz w:val="6"/>
                <w:szCs w:val="6"/>
                <w:color w:val="auto"/>
              </w:rPr>
            </w:pPr>
          </w:p>
        </w:tc>
        <w:tc>
          <w:tcPr>
            <w:tcW w:w="7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8"/>
                <w:szCs w:val="8"/>
                <w:b w:val="1"/>
                <w:bCs w:val="1"/>
                <w:color w:val="auto"/>
              </w:rPr>
              <w:t>(4)</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Tariff activities volumes</w:t>
            </w: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180"/>
              <w:spacing w:after="0"/>
              <w:rPr>
                <w:sz w:val="20"/>
                <w:szCs w:val="20"/>
                <w:color w:val="auto"/>
              </w:rPr>
            </w:pPr>
            <w:r>
              <w:rPr>
                <w:rFonts w:ascii="Arial" w:cs="Arial" w:eastAsia="Arial" w:hAnsi="Arial"/>
                <w:sz w:val="18"/>
                <w:szCs w:val="18"/>
                <w:color w:val="auto"/>
              </w:rPr>
              <w:t>Crude oil pipelines (by region):</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5"/>
                <w:szCs w:val="25"/>
                <w:color w:val="auto"/>
                <w:vertAlign w:val="superscript"/>
              </w:rPr>
              <w:t>(5)</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3,732</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2,855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2,146</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70"/>
        </w:trPr>
        <w:tc>
          <w:tcPr>
            <w:tcW w:w="3380" w:type="dxa"/>
            <w:vAlign w:val="bottom"/>
            <w:gridSpan w:val="2"/>
          </w:tcPr>
          <w:p>
            <w:pPr>
              <w:ind w:left="380"/>
              <w:spacing w:after="0" w:line="27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5"/>
                <w:szCs w:val="25"/>
                <w:color w:val="auto"/>
                <w:vertAlign w:val="superscript"/>
              </w:rPr>
              <w:t>(5)</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284</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70"/>
        </w:trPr>
        <w:tc>
          <w:tcPr>
            <w:tcW w:w="338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5"/>
                <w:szCs w:val="25"/>
                <w:color w:val="auto"/>
                <w:vertAlign w:val="superscript"/>
              </w:rPr>
              <w:t>(5)</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394</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3380" w:type="dxa"/>
            <w:vAlign w:val="bottom"/>
            <w:gridSpan w:val="2"/>
          </w:tcPr>
          <w:p>
            <w:pPr>
              <w:ind w:left="380"/>
              <w:spacing w:after="0"/>
              <w:rPr>
                <w:sz w:val="20"/>
                <w:szCs w:val="20"/>
                <w:color w:val="auto"/>
              </w:rPr>
            </w:pPr>
            <w:r>
              <w:rPr>
                <w:rFonts w:ascii="Arial" w:cs="Arial" w:eastAsia="Arial" w:hAnsi="Arial"/>
                <w:sz w:val="18"/>
                <w:szCs w:val="18"/>
                <w:color w:val="auto"/>
              </w:rPr>
              <w:t>Gulf Coast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497</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5"/>
                <w:szCs w:val="25"/>
                <w:color w:val="auto"/>
                <w:vertAlign w:val="superscript"/>
              </w:rPr>
              <w:t>(5)</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449</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380" w:type="dxa"/>
            <w:vAlign w:val="bottom"/>
            <w:gridSpan w:val="2"/>
          </w:tcPr>
          <w:p>
            <w:pPr>
              <w:ind w:left="380"/>
              <w:spacing w:after="0"/>
              <w:rPr>
                <w:sz w:val="20"/>
                <w:szCs w:val="20"/>
                <w:color w:val="auto"/>
              </w:rPr>
            </w:pPr>
            <w:r>
              <w:rPr>
                <w:rFonts w:ascii="Arial" w:cs="Arial" w:eastAsia="Arial" w:hAnsi="Arial"/>
                <w:sz w:val="18"/>
                <w:szCs w:val="18"/>
                <w:color w:val="auto"/>
              </w:rPr>
              <w:t>Western</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188</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Canada</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3380" w:type="dxa"/>
            <w:vAlign w:val="bottom"/>
            <w:gridSpan w:val="2"/>
          </w:tcPr>
          <w:p>
            <w:pPr>
              <w:ind w:left="180"/>
              <w:spacing w:after="0"/>
              <w:rPr>
                <w:sz w:val="20"/>
                <w:szCs w:val="20"/>
                <w:color w:val="auto"/>
              </w:rPr>
            </w:pPr>
            <w:r>
              <w:rPr>
                <w:rFonts w:ascii="Arial" w:cs="Arial" w:eastAsia="Arial" w:hAnsi="Arial"/>
                <w:sz w:val="18"/>
                <w:szCs w:val="18"/>
                <w:color w:val="auto"/>
              </w:rPr>
              <w:t>Crude oil pipelines</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5,608</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4,913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4,339</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NGL pipelines</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3380" w:type="dxa"/>
            <w:vAlign w:val="bottom"/>
            <w:gridSpan w:val="2"/>
          </w:tcPr>
          <w:p>
            <w:pPr>
              <w:ind w:left="40"/>
              <w:spacing w:after="0"/>
              <w:rPr>
                <w:sz w:val="20"/>
                <w:szCs w:val="20"/>
                <w:color w:val="auto"/>
              </w:rPr>
            </w:pPr>
            <w:r>
              <w:rPr>
                <w:rFonts w:ascii="Arial" w:cs="Arial" w:eastAsia="Arial" w:hAnsi="Arial"/>
                <w:sz w:val="18"/>
                <w:szCs w:val="18"/>
                <w:color w:val="auto"/>
              </w:rPr>
              <w:t>Tariff activities total volumes</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5,791</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5,083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4,523</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Trucking volumes</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3380" w:type="dxa"/>
            <w:vAlign w:val="bottom"/>
            <w:gridSpan w:val="2"/>
          </w:tcPr>
          <w:p>
            <w:pPr>
              <w:ind w:left="40"/>
              <w:spacing w:after="0"/>
              <w:rPr>
                <w:sz w:val="20"/>
                <w:szCs w:val="20"/>
                <w:color w:val="auto"/>
              </w:rPr>
            </w:pPr>
            <w:r>
              <w:rPr>
                <w:rFonts w:ascii="Arial" w:cs="Arial" w:eastAsia="Arial" w:hAnsi="Arial"/>
                <w:sz w:val="18"/>
                <w:szCs w:val="18"/>
                <w:color w:val="auto"/>
              </w:rPr>
              <w:t>Transportation segment total volumes</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5,889</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5,186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4,637</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that variance as a percentage is not meaningful.</w:t>
      </w:r>
    </w:p>
    <w:p>
      <w:pPr>
        <w:spacing w:after="0" w:line="60"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right="260" w:hanging="652"/>
        <w:spacing w:after="0" w:line="246" w:lineRule="auto"/>
        <w:tabs>
          <w:tab w:leader="none" w:pos="660" w:val="left"/>
        </w:tabs>
        <w:numPr>
          <w:ilvl w:val="0"/>
          <w:numId w:val="60"/>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7"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60"/>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20 to our Consolidated Financial Statements for additional discussion of such adjustments.</w:t>
      </w:r>
    </w:p>
    <w:p>
      <w:pPr>
        <w:spacing w:after="0" w:line="49"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60"/>
        </w:numPr>
        <w:rPr>
          <w:rFonts w:ascii="Arial" w:cs="Arial" w:eastAsia="Arial" w:hAnsi="Arial"/>
          <w:sz w:val="24"/>
          <w:szCs w:val="24"/>
          <w:color w:val="auto"/>
          <w:vertAlign w:val="superscript"/>
        </w:rPr>
      </w:pPr>
      <w:r>
        <w:rPr>
          <w:rFonts w:ascii="Arial" w:cs="Arial" w:eastAsia="Arial" w:hAnsi="Arial"/>
          <w:sz w:val="17"/>
          <w:szCs w:val="17"/>
          <w:color w:val="auto"/>
        </w:rPr>
        <w:t>Average daily volumes are calculated as the total volumes (attributable to our interest) for the year divided by the number of days in the year.</w:t>
      </w:r>
    </w:p>
    <w:p>
      <w:pPr>
        <w:spacing w:after="0" w:line="98" w:lineRule="exact"/>
        <w:rPr>
          <w:rFonts w:ascii="Arial" w:cs="Arial" w:eastAsia="Arial" w:hAnsi="Arial"/>
          <w:sz w:val="24"/>
          <w:szCs w:val="24"/>
          <w:color w:val="auto"/>
          <w:vertAlign w:val="superscript"/>
        </w:rPr>
      </w:pPr>
    </w:p>
    <w:p>
      <w:pPr>
        <w:ind w:left="660" w:hanging="652"/>
        <w:spacing w:after="0" w:line="188" w:lineRule="auto"/>
        <w:tabs>
          <w:tab w:leader="none" w:pos="660" w:val="left"/>
        </w:tabs>
        <w:numPr>
          <w:ilvl w:val="0"/>
          <w:numId w:val="60"/>
        </w:numPr>
        <w:rPr>
          <w:rFonts w:ascii="Arial" w:cs="Arial" w:eastAsia="Arial" w:hAnsi="Arial"/>
          <w:sz w:val="25"/>
          <w:szCs w:val="25"/>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02"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 As is common in the pipeline transportation industry, our tariffs incorporate a loss allowance factor. We recognize the allowance volumes collected at fair value.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Transportation segment operating results for the periods indicated.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40" w:firstLine="648"/>
        <w:spacing w:after="0" w:line="342" w:lineRule="auto"/>
        <w:rPr>
          <w:sz w:val="20"/>
          <w:szCs w:val="20"/>
          <w:color w:val="auto"/>
        </w:rPr>
      </w:pPr>
      <w:r>
        <w:rPr>
          <w:rFonts w:ascii="Arial" w:cs="Arial" w:eastAsia="Arial" w:hAnsi="Arial"/>
          <w:sz w:val="16"/>
          <w:szCs w:val="16"/>
          <w:i w:val="1"/>
          <w:iCs w:val="1"/>
          <w:color w:val="auto"/>
        </w:rPr>
        <w:t xml:space="preserve">Revenues, Purchases and Related Costs, Equity Earnings in Unconsolidated Entities and Volumes. </w:t>
      </w:r>
      <w:r>
        <w:rPr>
          <w:rFonts w:ascii="Arial" w:cs="Arial" w:eastAsia="Arial" w:hAnsi="Arial"/>
          <w:sz w:val="16"/>
          <w:szCs w:val="16"/>
          <w:color w:val="auto"/>
        </w:rPr>
        <w:t>The following table presents variances in</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purchases and related costs and equity earnings in unconsolidated entities by region for the comparative periods presented:</w:t>
      </w:r>
    </w:p>
    <w:p>
      <w:pPr>
        <w:spacing w:after="0" w:line="49"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00" w:type="dxa"/>
            <w:vAlign w:val="bottom"/>
            <w:gridSpan w:val="9"/>
          </w:tcPr>
          <w:p>
            <w:pPr>
              <w:jc w:val="center"/>
              <w:ind w:right="360"/>
              <w:spacing w:after="0"/>
              <w:rPr>
                <w:sz w:val="20"/>
                <w:szCs w:val="20"/>
                <w:color w:val="auto"/>
              </w:rPr>
            </w:pPr>
            <w:r>
              <w:rPr>
                <w:rFonts w:ascii="Arial" w:cs="Arial" w:eastAsia="Arial" w:hAnsi="Arial"/>
                <w:sz w:val="14"/>
                <w:szCs w:val="14"/>
                <w:b w:val="1"/>
                <w:bCs w:val="1"/>
                <w:color w:val="auto"/>
                <w:w w:val="94"/>
              </w:rPr>
              <w:t>Favorable/(Unfavorable) Variance</w:t>
            </w:r>
          </w:p>
        </w:tc>
        <w:tc>
          <w:tcPr>
            <w:tcW w:w="160" w:type="dxa"/>
            <w:vAlign w:val="bottom"/>
          </w:tcPr>
          <w:p>
            <w:pPr>
              <w:spacing w:after="0"/>
              <w:rPr>
                <w:sz w:val="14"/>
                <w:szCs w:val="14"/>
                <w:color w:val="auto"/>
              </w:rPr>
            </w:pPr>
          </w:p>
        </w:tc>
        <w:tc>
          <w:tcPr>
            <w:tcW w:w="3100" w:type="dxa"/>
            <w:vAlign w:val="bottom"/>
            <w:gridSpan w:val="7"/>
          </w:tcPr>
          <w:p>
            <w:pPr>
              <w:jc w:val="center"/>
              <w:ind w:right="54"/>
              <w:spacing w:after="0"/>
              <w:rPr>
                <w:sz w:val="20"/>
                <w:szCs w:val="20"/>
                <w:color w:val="auto"/>
              </w:rPr>
            </w:pPr>
            <w:r>
              <w:rPr>
                <w:rFonts w:ascii="Arial" w:cs="Arial" w:eastAsia="Arial" w:hAnsi="Arial"/>
                <w:sz w:val="14"/>
                <w:szCs w:val="14"/>
                <w:b w:val="1"/>
                <w:bCs w:val="1"/>
                <w:color w:val="auto"/>
                <w:w w:val="95"/>
              </w:rPr>
              <w:t>Favorable/(Unfavorable) Variance</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2"/>
              </w:rPr>
              <w:t>2018-2017</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5"/>
              </w:rPr>
              <w:t>2017-2016</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3"/>
              </w:rPr>
              <w:t>Revenues</w:t>
            </w:r>
          </w:p>
        </w:tc>
        <w:tc>
          <w:tcPr>
            <w:tcW w:w="120" w:type="dxa"/>
            <w:vAlign w:val="bottom"/>
            <w:vMerge w:val="restart"/>
          </w:tcPr>
          <w:p>
            <w:pPr>
              <w:spacing w:after="0"/>
              <w:rPr>
                <w:sz w:val="13"/>
                <w:szCs w:val="13"/>
                <w:color w:val="auto"/>
              </w:rPr>
            </w:pPr>
          </w:p>
        </w:tc>
        <w:tc>
          <w:tcPr>
            <w:tcW w:w="11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88"/>
              </w:rPr>
              <w:t>Purchases and</w:t>
            </w:r>
          </w:p>
        </w:tc>
        <w:tc>
          <w:tcPr>
            <w:tcW w:w="160" w:type="dxa"/>
            <w:vAlign w:val="bottom"/>
          </w:tcPr>
          <w:p>
            <w:pPr>
              <w:spacing w:after="0"/>
              <w:rPr>
                <w:sz w:val="13"/>
                <w:szCs w:val="13"/>
                <w:color w:val="auto"/>
              </w:rPr>
            </w:pPr>
          </w:p>
        </w:tc>
        <w:tc>
          <w:tcPr>
            <w:tcW w:w="1060" w:type="dxa"/>
            <w:vAlign w:val="bottom"/>
            <w:gridSpan w:val="3"/>
          </w:tcPr>
          <w:p>
            <w:pPr>
              <w:ind w:left="120"/>
              <w:spacing w:after="0" w:line="153" w:lineRule="exact"/>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3"/>
                <w:szCs w:val="13"/>
                <w:color w:val="auto"/>
              </w:rPr>
            </w:pPr>
          </w:p>
        </w:tc>
        <w:tc>
          <w:tcPr>
            <w:tcW w:w="8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3"/>
              </w:rPr>
              <w:t>Revenues</w:t>
            </w:r>
          </w:p>
        </w:tc>
        <w:tc>
          <w:tcPr>
            <w:tcW w:w="100" w:type="dxa"/>
            <w:vAlign w:val="bottom"/>
            <w:vMerge w:val="restart"/>
          </w:tcPr>
          <w:p>
            <w:pPr>
              <w:spacing w:after="0"/>
              <w:rPr>
                <w:sz w:val="13"/>
                <w:szCs w:val="13"/>
                <w:color w:val="auto"/>
              </w:rPr>
            </w:pPr>
          </w:p>
        </w:tc>
        <w:tc>
          <w:tcPr>
            <w:tcW w:w="11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Purchases and</w:t>
            </w:r>
          </w:p>
        </w:tc>
        <w:tc>
          <w:tcPr>
            <w:tcW w:w="180" w:type="dxa"/>
            <w:vAlign w:val="bottom"/>
          </w:tcPr>
          <w:p>
            <w:pPr>
              <w:spacing w:after="0"/>
              <w:rPr>
                <w:sz w:val="13"/>
                <w:szCs w:val="13"/>
                <w:color w:val="auto"/>
              </w:rPr>
            </w:pPr>
          </w:p>
        </w:tc>
        <w:tc>
          <w:tcPr>
            <w:tcW w:w="8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Related Costs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Related Costs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Earnings</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Permian Basin region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3280" w:type="dxa"/>
            <w:vAlign w:val="bottom"/>
            <w:gridSpan w:val="2"/>
          </w:tcPr>
          <w:p>
            <w:pPr>
              <w:ind w:left="160"/>
              <w:spacing w:after="0"/>
              <w:rPr>
                <w:sz w:val="20"/>
                <w:szCs w:val="20"/>
                <w:color w:val="auto"/>
              </w:rPr>
            </w:pPr>
            <w:r>
              <w:rPr>
                <w:rFonts w:ascii="Arial" w:cs="Arial" w:eastAsia="Arial" w:hAnsi="Arial"/>
                <w:sz w:val="18"/>
                <w:szCs w:val="18"/>
                <w:color w:val="auto"/>
              </w:rPr>
              <w:t>South Texas / Eagle Ford region</w:t>
            </w:r>
          </w:p>
        </w:tc>
        <w:tc>
          <w:tcPr>
            <w:tcW w:w="1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Central region</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280" w:type="dxa"/>
            <w:vAlign w:val="bottom"/>
            <w:gridSpan w:val="2"/>
          </w:tcPr>
          <w:p>
            <w:pPr>
              <w:ind w:left="160"/>
              <w:spacing w:after="0"/>
              <w:rPr>
                <w:sz w:val="20"/>
                <w:szCs w:val="20"/>
                <w:color w:val="auto"/>
              </w:rPr>
            </w:pPr>
            <w:r>
              <w:rPr>
                <w:rFonts w:ascii="Arial" w:cs="Arial" w:eastAsia="Arial" w:hAnsi="Arial"/>
                <w:sz w:val="18"/>
                <w:szCs w:val="18"/>
                <w:color w:val="auto"/>
              </w:rPr>
              <w:t>Gulf Coast region</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Rocky Mountain region</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3280" w:type="dxa"/>
            <w:vAlign w:val="bottom"/>
            <w:gridSpan w:val="2"/>
          </w:tcPr>
          <w:p>
            <w:pPr>
              <w:ind w:left="160"/>
              <w:spacing w:after="0"/>
              <w:rPr>
                <w:sz w:val="20"/>
                <w:szCs w:val="20"/>
                <w:color w:val="auto"/>
              </w:rPr>
            </w:pPr>
            <w:r>
              <w:rPr>
                <w:rFonts w:ascii="Arial" w:cs="Arial" w:eastAsia="Arial" w:hAnsi="Arial"/>
                <w:sz w:val="18"/>
                <w:szCs w:val="18"/>
                <w:color w:val="auto"/>
              </w:rPr>
              <w:t>Other regions (including trucking and</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ind w:left="320"/>
              <w:spacing w:after="0"/>
              <w:rPr>
                <w:sz w:val="20"/>
                <w:szCs w:val="20"/>
                <w:color w:val="auto"/>
              </w:rPr>
            </w:pPr>
            <w:r>
              <w:rPr>
                <w:rFonts w:ascii="Arial" w:cs="Arial" w:eastAsia="Arial" w:hAnsi="Arial"/>
                <w:sz w:val="18"/>
                <w:szCs w:val="18"/>
                <w:color w:val="auto"/>
              </w:rPr>
              <w:t>pipeline loss allowance revenue)</w:t>
            </w:r>
          </w:p>
        </w:tc>
        <w:tc>
          <w:tcPr>
            <w:tcW w:w="160" w:type="dxa"/>
            <w:vAlign w:val="bottom"/>
          </w:tcPr>
          <w:p>
            <w:pPr>
              <w:spacing w:after="0"/>
              <w:rPr>
                <w:sz w:val="20"/>
                <w:szCs w:val="20"/>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variance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Below is a discussion of the significant drivers impacting net revenues and equity earnings in unconsolidated entities for the comparative periods presented:</w:t>
      </w:r>
    </w:p>
    <w:p>
      <w:pPr>
        <w:spacing w:after="0" w:line="170" w:lineRule="exact"/>
        <w:rPr>
          <w:sz w:val="20"/>
          <w:szCs w:val="20"/>
          <w:color w:val="auto"/>
        </w:rPr>
      </w:pPr>
    </w:p>
    <w:p>
      <w:pPr>
        <w:ind w:left="980" w:hanging="324"/>
        <w:spacing w:after="0" w:line="254" w:lineRule="auto"/>
        <w:tabs>
          <w:tab w:leader="none" w:pos="98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Permian Basin region. </w:t>
      </w:r>
      <w:r>
        <w:rPr>
          <w:rFonts w:ascii="Arial" w:cs="Arial" w:eastAsia="Arial" w:hAnsi="Arial"/>
          <w:sz w:val="18"/>
          <w:szCs w:val="18"/>
          <w:color w:val="auto"/>
        </w:rPr>
        <w:t>Total revenues, net of purchases and related costs, increased by approximately $218 million for the year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2018 compared to the year ended December 31, 2017 and by approximately $174 million for the year ended December 31, 2017 compared to the year ended December 31, 2016 primarily due to higher volumes from increased production and our recently completed capital expansion projects. These increases included (i) higher volumes on our gathering systems of approximately 329,000 and 163,000 barrels per day, including our ACC system, which was acquired in February 2017, (ii) higher volumes of approximately 363,000 and 263,000 barrels per day on our intra-basin pipelines and (iii) a volume increase of approximately 185,000 and 283,000 barrels per day on our long-haul pipelines, including our Sunrise pipeline expansion, which was placed in service in the fourth quarter of 2018, as well as our equity interest in BridgeTex discussed further below.</w:t>
      </w:r>
    </w:p>
    <w:p>
      <w:pPr>
        <w:spacing w:after="0" w:line="192" w:lineRule="exact"/>
        <w:rPr>
          <w:rFonts w:ascii="Arial" w:cs="Arial" w:eastAsia="Arial" w:hAnsi="Arial"/>
          <w:sz w:val="18"/>
          <w:szCs w:val="18"/>
          <w:i w:val="1"/>
          <w:iCs w:val="1"/>
          <w:color w:val="auto"/>
        </w:rPr>
      </w:pPr>
    </w:p>
    <w:p>
      <w:pPr>
        <w:jc w:val="both"/>
        <w:ind w:left="980" w:right="6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Equity earnings increased in 2018 compared to 2017 primarily due to earnings from our 50% interest in Advantage, which we acquired in April 2017, and from our interest in BridgeTex due to increased volumes. Such favorable variances were partially offset by the impact of our sale of a 30% interest in BridgeTex in the third quarter of 2018.</w:t>
      </w:r>
    </w:p>
    <w:p>
      <w:pPr>
        <w:spacing w:after="0" w:line="181" w:lineRule="exact"/>
        <w:rPr>
          <w:rFonts w:ascii="Arial" w:cs="Arial" w:eastAsia="Arial" w:hAnsi="Arial"/>
          <w:sz w:val="18"/>
          <w:szCs w:val="18"/>
          <w:i w:val="1"/>
          <w:iCs w:val="1"/>
          <w:color w:val="auto"/>
        </w:rPr>
      </w:pPr>
    </w:p>
    <w:p>
      <w:pPr>
        <w:ind w:left="980" w:right="58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Equity earnings increased in 2017 compared to 2016 primarily due to earnings from our 50% interest in BridgeTex resulting from higher volumes.</w:t>
      </w:r>
    </w:p>
    <w:p>
      <w:pPr>
        <w:spacing w:after="0" w:line="170" w:lineRule="exact"/>
        <w:rPr>
          <w:rFonts w:ascii="Arial" w:cs="Arial" w:eastAsia="Arial" w:hAnsi="Arial"/>
          <w:sz w:val="18"/>
          <w:szCs w:val="18"/>
          <w:i w:val="1"/>
          <w:iCs w:val="1"/>
          <w:color w:val="auto"/>
        </w:rPr>
      </w:pPr>
    </w:p>
    <w:p>
      <w:pPr>
        <w:ind w:left="980" w:right="340" w:hanging="324"/>
        <w:spacing w:after="0" w:line="277" w:lineRule="auto"/>
        <w:tabs>
          <w:tab w:leader="none" w:pos="98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South Texas / Eagle Ford region. </w:t>
      </w:r>
      <w:r>
        <w:rPr>
          <w:rFonts w:ascii="Arial" w:cs="Arial" w:eastAsia="Arial" w:hAnsi="Arial"/>
          <w:sz w:val="18"/>
          <w:szCs w:val="18"/>
          <w:color w:val="auto"/>
        </w:rPr>
        <w:t>Equity earnings from our 50% interest in Eagle Ford Pipeline LLC was favorably impacted for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comparative periods by higher volumes from our Cactus pipeline.</w:t>
      </w:r>
    </w:p>
    <w:p>
      <w:pPr>
        <w:spacing w:after="0" w:line="170" w:lineRule="exact"/>
        <w:rPr>
          <w:rFonts w:ascii="Arial" w:cs="Arial" w:eastAsia="Arial" w:hAnsi="Arial"/>
          <w:sz w:val="18"/>
          <w:szCs w:val="18"/>
          <w:i w:val="1"/>
          <w:iCs w:val="1"/>
          <w:color w:val="auto"/>
        </w:rPr>
      </w:pPr>
    </w:p>
    <w:p>
      <w:pPr>
        <w:ind w:left="980" w:right="60" w:hanging="324"/>
        <w:spacing w:after="0" w:line="279" w:lineRule="auto"/>
        <w:tabs>
          <w:tab w:leader="none" w:pos="980" w:val="left"/>
        </w:tabs>
        <w:numPr>
          <w:ilvl w:val="0"/>
          <w:numId w:val="6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Central region. </w:t>
      </w:r>
      <w:r>
        <w:rPr>
          <w:rFonts w:ascii="Arial" w:cs="Arial" w:eastAsia="Arial" w:hAnsi="Arial"/>
          <w:sz w:val="17"/>
          <w:szCs w:val="17"/>
          <w:color w:val="auto"/>
        </w:rPr>
        <w:t>The decrease in revenues for the year ended December 31, 2018 compared to the year ended December 31, 2017 was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due to the sale of certain of our Mid-Continent Area System assets in the fourth quarter of 2017, including the sale of a portion of our interest in our Midway pipeline for which our remaining interest is now accounted for under the equity method of accounting. However, such unfavorable results were partially offset by additional movements on our Red River pipeline in 2018.</w:t>
      </w:r>
    </w:p>
    <w:p>
      <w:pPr>
        <w:spacing w:after="0" w:line="171" w:lineRule="exact"/>
        <w:rPr>
          <w:rFonts w:ascii="Arial" w:cs="Arial" w:eastAsia="Arial" w:hAnsi="Arial"/>
          <w:sz w:val="17"/>
          <w:szCs w:val="17"/>
          <w:i w:val="1"/>
          <w:iCs w:val="1"/>
          <w:color w:val="auto"/>
        </w:rPr>
      </w:pPr>
    </w:p>
    <w:p>
      <w:pPr>
        <w:jc w:val="both"/>
        <w:ind w:left="980" w:right="120"/>
        <w:spacing w:after="0" w:line="264" w:lineRule="auto"/>
        <w:rPr>
          <w:rFonts w:ascii="Arial" w:cs="Arial" w:eastAsia="Arial" w:hAnsi="Arial"/>
          <w:sz w:val="17"/>
          <w:szCs w:val="17"/>
          <w:i w:val="1"/>
          <w:iCs w:val="1"/>
          <w:color w:val="auto"/>
        </w:rPr>
      </w:pPr>
      <w:r>
        <w:rPr>
          <w:rFonts w:ascii="Arial" w:cs="Arial" w:eastAsia="Arial" w:hAnsi="Arial"/>
          <w:sz w:val="18"/>
          <w:szCs w:val="18"/>
          <w:color w:val="auto"/>
        </w:rPr>
        <w:t>Revenues for the year ended December 31, 2017 were flat compared to the year ended December 31, 2016, as increased revenues and volumes from the start-up of our Red River pipeline in December 2016 were offset by (i) lower volumes on certain pipelines due to production declines and (ii) volumes shifting to our recently formed joint venture pipelines.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125" w:right="2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40"/>
        <w:spacing w:after="0" w:line="286" w:lineRule="auto"/>
        <w:rPr>
          <w:sz w:val="20"/>
          <w:szCs w:val="20"/>
          <w:color w:val="auto"/>
        </w:rPr>
      </w:pPr>
      <w:r>
        <w:rPr>
          <w:rFonts w:ascii="Arial" w:cs="Arial" w:eastAsia="Arial" w:hAnsi="Arial"/>
          <w:sz w:val="17"/>
          <w:szCs w:val="17"/>
          <w:color w:val="auto"/>
        </w:rPr>
        <w:t>Equity earnings increased in 2018 compared to 2017 primarily due to earnings from (i) our 50% interest in the Diamond joint venture pipeline, which was placed in service in late 2017, and (ii) our 50% interest in Midway pipeline, which we account for under the equity method of accounting following the sale of a portion of our interest in the pipeline in the fourth quarter of 2017, as discussed above.</w:t>
      </w:r>
    </w:p>
    <w:p>
      <w:pPr>
        <w:spacing w:after="0" w:line="166" w:lineRule="exact"/>
        <w:rPr>
          <w:sz w:val="20"/>
          <w:szCs w:val="20"/>
          <w:color w:val="auto"/>
        </w:rPr>
      </w:pPr>
    </w:p>
    <w:p>
      <w:pPr>
        <w:ind w:left="980" w:right="40"/>
        <w:spacing w:after="0" w:line="312" w:lineRule="auto"/>
        <w:rPr>
          <w:sz w:val="20"/>
          <w:szCs w:val="20"/>
          <w:color w:val="auto"/>
        </w:rPr>
      </w:pPr>
      <w:r>
        <w:rPr>
          <w:rFonts w:ascii="Arial" w:cs="Arial" w:eastAsia="Arial" w:hAnsi="Arial"/>
          <w:sz w:val="16"/>
          <w:szCs w:val="16"/>
          <w:color w:val="auto"/>
        </w:rPr>
        <w:t>Equity earnings increased in 2017 compared to 2016 primarily due to earnings from (i) our 50% interest in STACK, which was formed in mid-2016 and which completed extensions of the joint venture pipeline in 2017, (ii) our 50% interest in Caddo, which placed the joint venture pipeline in service in late 2016, and (iii) our 50% interest in Diamond, which placed the joint venture pipeline in service in late 2017.</w:t>
      </w:r>
    </w:p>
    <w:p>
      <w:pPr>
        <w:spacing w:after="0" w:line="147" w:lineRule="exact"/>
        <w:rPr>
          <w:sz w:val="20"/>
          <w:szCs w:val="20"/>
          <w:color w:val="auto"/>
        </w:rPr>
      </w:pPr>
    </w:p>
    <w:p>
      <w:pPr>
        <w:ind w:left="980" w:right="60" w:hanging="324"/>
        <w:spacing w:after="0" w:line="302" w:lineRule="auto"/>
        <w:tabs>
          <w:tab w:leader="none" w:pos="980" w:val="left"/>
        </w:tabs>
        <w:numPr>
          <w:ilvl w:val="0"/>
          <w:numId w:val="6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Gulf Coast region. </w:t>
      </w:r>
      <w:r>
        <w:rPr>
          <w:rFonts w:ascii="Arial" w:cs="Arial" w:eastAsia="Arial" w:hAnsi="Arial"/>
          <w:sz w:val="16"/>
          <w:szCs w:val="16"/>
          <w:color w:val="auto"/>
        </w:rPr>
        <w:t>The decrease in revenues for the year ended December 31, 2018 compared to the year ended December 31, 2017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(i) lower volumes on the Capline pipeline once the Diamond joint venture pipeline was placed in service in late 2017 and (ii) taking the Capline pipeline out of service beginning in the fourth quarter of 2018. We are currently pursuing an opportunity to reverse the flow of the pipeline. See the “Outlook—Outlook for Certain Idled and Underutilized Assets” section below for additional information.</w:t>
      </w:r>
    </w:p>
    <w:p>
      <w:pPr>
        <w:spacing w:after="0" w:line="167" w:lineRule="exact"/>
        <w:rPr>
          <w:rFonts w:ascii="Arial" w:cs="Arial" w:eastAsia="Arial" w:hAnsi="Arial"/>
          <w:sz w:val="16"/>
          <w:szCs w:val="16"/>
          <w:i w:val="1"/>
          <w:iCs w:val="1"/>
          <w:color w:val="auto"/>
        </w:rPr>
      </w:pPr>
    </w:p>
    <w:p>
      <w:pPr>
        <w:ind w:left="980" w:right="160"/>
        <w:spacing w:after="0" w:line="277" w:lineRule="auto"/>
        <w:rPr>
          <w:rFonts w:ascii="Arial" w:cs="Arial" w:eastAsia="Arial" w:hAnsi="Arial"/>
          <w:sz w:val="16"/>
          <w:szCs w:val="16"/>
          <w:i w:val="1"/>
          <w:iCs w:val="1"/>
          <w:color w:val="auto"/>
        </w:rPr>
      </w:pPr>
      <w:r>
        <w:rPr>
          <w:rFonts w:ascii="Arial" w:cs="Arial" w:eastAsia="Arial" w:hAnsi="Arial"/>
          <w:sz w:val="18"/>
          <w:szCs w:val="18"/>
          <w:color w:val="auto"/>
        </w:rPr>
        <w:t>Revenues and volumes decreased for the year ended December 31, 2017 compared to the year ended December 31, 2016 primarily due to the sale of certain of our Gulf Coast pipelines in March and July 2016.</w:t>
      </w:r>
    </w:p>
    <w:p>
      <w:pPr>
        <w:spacing w:after="0" w:line="170" w:lineRule="exact"/>
        <w:rPr>
          <w:rFonts w:ascii="Arial" w:cs="Arial" w:eastAsia="Arial" w:hAnsi="Arial"/>
          <w:sz w:val="16"/>
          <w:szCs w:val="16"/>
          <w:i w:val="1"/>
          <w:iCs w:val="1"/>
          <w:color w:val="auto"/>
        </w:rPr>
      </w:pPr>
    </w:p>
    <w:p>
      <w:pPr>
        <w:ind w:left="980" w:right="160" w:hanging="324"/>
        <w:spacing w:after="0" w:line="264" w:lineRule="auto"/>
        <w:tabs>
          <w:tab w:leader="none" w:pos="980"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Rocky Mountain region. </w:t>
      </w:r>
      <w:r>
        <w:rPr>
          <w:rFonts w:ascii="Arial" w:cs="Arial" w:eastAsia="Arial" w:hAnsi="Arial"/>
          <w:sz w:val="18"/>
          <w:szCs w:val="18"/>
          <w:color w:val="auto"/>
        </w:rPr>
        <w:t>The decrease in revenues and volumes for the year ended December 31, 2018 compared to the year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2017 was primarily due to the sale of certain pipelines and related assets in the fourth quarter of 2017 and the second quarter of 2018, partially offset by higher volumes on certain of our remaining pipelines.</w:t>
      </w:r>
    </w:p>
    <w:p>
      <w:pPr>
        <w:spacing w:after="0" w:line="181" w:lineRule="exact"/>
        <w:rPr>
          <w:rFonts w:ascii="Arial" w:cs="Arial" w:eastAsia="Arial" w:hAnsi="Arial"/>
          <w:sz w:val="18"/>
          <w:szCs w:val="18"/>
          <w:i w:val="1"/>
          <w:iCs w:val="1"/>
          <w:color w:val="auto"/>
        </w:rPr>
      </w:pPr>
    </w:p>
    <w:p>
      <w:pPr>
        <w:ind w:left="980" w:right="20"/>
        <w:spacing w:after="0" w:line="257" w:lineRule="auto"/>
        <w:rPr>
          <w:rFonts w:ascii="Arial" w:cs="Arial" w:eastAsia="Arial" w:hAnsi="Arial"/>
          <w:sz w:val="18"/>
          <w:szCs w:val="18"/>
          <w:i w:val="1"/>
          <w:iCs w:val="1"/>
          <w:color w:val="auto"/>
        </w:rPr>
      </w:pPr>
      <w:r>
        <w:rPr>
          <w:rFonts w:ascii="Arial" w:cs="Arial" w:eastAsia="Arial" w:hAnsi="Arial"/>
          <w:sz w:val="18"/>
          <w:szCs w:val="18"/>
          <w:color w:val="auto"/>
        </w:rPr>
        <w:t>The decrease in revenues in 2017 compared to 2016 was largely driven by (i) lower volumes on certain Salt Lake City area pipelines due to proactively shutting down our Wahsatch pipeline for approximately 30 days during the first quarter of 2017 as a precautionary measure in response to indications of soil movement identified by our monitoring systems, (ii) the sale of certain Bakken and Salt Lake City area pipelines in October 2017 and (iii) the sale of 50% of our investment in Cheyenne in June 2016, subsequent to which it was accounted for under the equity method of accounting.</w:t>
      </w:r>
    </w:p>
    <w:p>
      <w:pPr>
        <w:spacing w:after="0" w:line="188" w:lineRule="exact"/>
        <w:rPr>
          <w:rFonts w:ascii="Arial" w:cs="Arial" w:eastAsia="Arial" w:hAnsi="Arial"/>
          <w:sz w:val="18"/>
          <w:szCs w:val="18"/>
          <w:i w:val="1"/>
          <w:iCs w:val="1"/>
          <w:color w:val="auto"/>
        </w:rPr>
      </w:pPr>
    </w:p>
    <w:p>
      <w:pPr>
        <w:ind w:left="980" w:right="6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Equity earnings increased for the year ended December 31, 2017 compared to the year ended December 31, 2016 due to earnings from (i) our 40% investment in Saddlehorn, which began operations in the third quarter of 2016, and (ii) our 50% investment in Cheyenne, as discussed above. Such increases were partially offset by decreased equity earnings from our 35.67% interest in White Cliffs due to lower volumes on the joint venture pipeline.</w:t>
      </w:r>
    </w:p>
    <w:p>
      <w:pPr>
        <w:spacing w:after="0" w:line="186" w:lineRule="exact"/>
        <w:rPr>
          <w:rFonts w:ascii="Arial" w:cs="Arial" w:eastAsia="Arial" w:hAnsi="Arial"/>
          <w:sz w:val="18"/>
          <w:szCs w:val="18"/>
          <w:i w:val="1"/>
          <w:iCs w:val="1"/>
          <w:color w:val="auto"/>
        </w:rPr>
      </w:pPr>
    </w:p>
    <w:p>
      <w:pPr>
        <w:ind w:left="980" w:right="20" w:hanging="324"/>
        <w:spacing w:after="0" w:line="279" w:lineRule="auto"/>
        <w:tabs>
          <w:tab w:leader="none" w:pos="980" w:val="left"/>
        </w:tabs>
        <w:numPr>
          <w:ilvl w:val="0"/>
          <w:numId w:val="6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The increase in other revenue for the year ended December 31, 2018 compared to the year ended December 31, 2017 was primarily due</w:t>
      </w:r>
      <w:r>
        <w:rPr>
          <w:rFonts w:ascii="Arial" w:cs="Arial" w:eastAsia="Arial" w:hAnsi="Arial"/>
          <w:sz w:val="17"/>
          <w:szCs w:val="17"/>
          <w:i w:val="1"/>
          <w:iCs w:val="1"/>
          <w:color w:val="auto"/>
        </w:rPr>
        <w:t xml:space="preserve"> </w:t>
      </w:r>
      <w:r>
        <w:rPr>
          <w:rFonts w:ascii="Arial" w:cs="Arial" w:eastAsia="Arial" w:hAnsi="Arial"/>
          <w:sz w:val="17"/>
          <w:szCs w:val="17"/>
          <w:color w:val="auto"/>
        </w:rPr>
        <w:t>to greater loss allowance revenue driven by higher volumes and prices in 2018. The decrease in volumes on our Canadian crude oil pipelines in 2018 compared to 2017 was partially due to the temporary outage of a connecting carrier. Additionally, the impact on revenues from the decrease in volumes was partially offset by increased tariff rates on certain of the pipelines.</w:t>
      </w:r>
    </w:p>
    <w:p>
      <w:pPr>
        <w:spacing w:after="0" w:line="17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 xml:space="preserve">Adjustments: Deficiencies under minimum volume commitments, net. </w:t>
      </w:r>
      <w:r>
        <w:rPr>
          <w:rFonts w:ascii="Arial" w:cs="Arial" w:eastAsia="Arial" w:hAnsi="Arial"/>
          <w:sz w:val="17"/>
          <w:szCs w:val="17"/>
          <w:color w:val="auto"/>
        </w:rPr>
        <w:t>Many industry infrastructure projects developed and completed over the last</w:t>
      </w:r>
      <w:r>
        <w:rPr>
          <w:rFonts w:ascii="Arial" w:cs="Arial" w:eastAsia="Arial" w:hAnsi="Arial"/>
          <w:sz w:val="17"/>
          <w:szCs w:val="17"/>
          <w:i w:val="1"/>
          <w:iCs w:val="1"/>
          <w:color w:val="auto"/>
        </w:rPr>
        <w:t xml:space="preserve"> </w:t>
      </w:r>
      <w:r>
        <w:rPr>
          <w:rFonts w:ascii="Arial" w:cs="Arial" w:eastAsia="Arial" w:hAnsi="Arial"/>
          <w:sz w:val="17"/>
          <w:szCs w:val="17"/>
          <w:color w:val="auto"/>
        </w:rPr>
        <w:t>several years were underpinned by long-term minimum volume commitment contracts whereby the shipper, based on an expectation of continued production growth, agreed to either: (i) ship and pay for certain stated volumes or (ii) pay the agreed upon price for a minimum contract quantity.</w:t>
      </w:r>
    </w:p>
    <w:p>
      <w:pPr>
        <w:spacing w:after="0" w:line="166"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During 2018, 2017 and 2016, we had net collections for deficiencies under minimum volume commitments resulting in deferred revenues and an increase to Segment Adjusted EBITDA. Such collections in 2018 were partially offset and in 2017 were substantially offset by (i) shippers utilizing credits associated with previous deficiencies or (ii) credits expiring resulting in the recognition of previously deferred revenue.</w:t>
      </w: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20"/>
          </w:cols>
          <w:pgMar w:left="240" w:top="125" w:right="3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Field operating costs for the year ended December 31, 2018 compared to the year ended December 31, 2017 were impacted</w:t>
      </w:r>
      <w:r>
        <w:rPr>
          <w:rFonts w:ascii="Arial" w:cs="Arial" w:eastAsia="Arial" w:hAnsi="Arial"/>
          <w:sz w:val="17"/>
          <w:szCs w:val="17"/>
          <w:i w:val="1"/>
          <w:iCs w:val="1"/>
          <w:color w:val="auto"/>
        </w:rPr>
        <w:t xml:space="preserve"> </w:t>
      </w:r>
      <w:r>
        <w:rPr>
          <w:rFonts w:ascii="Arial" w:cs="Arial" w:eastAsia="Arial" w:hAnsi="Arial"/>
          <w:sz w:val="17"/>
          <w:szCs w:val="17"/>
          <w:color w:val="auto"/>
        </w:rPr>
        <w:t>by (i) an increase in power related costs, primarily from temporary sources, resulting from higher volumes, and (ii) increases in performance-based compensation costs. Such increases were partially offset by (i) the sale of assets in the Rocky Mountain region in the fourth quarter of 2017 and the second quarter of 2018 and (ii) the impact of an increase of estimated costs recognized in 2017 associated with the Line 901 incident (which impact our field operating costs but are excluded from Segment Adjusted EBITDA and thus are reflected as an “Adjustment” in the table above). See Note 18 to our Consolidated Financial Statements for additional information regarding the Line 901 incident.</w:t>
      </w:r>
    </w:p>
    <w:p>
      <w:pPr>
        <w:spacing w:after="0" w:line="178" w:lineRule="exact"/>
        <w:rPr>
          <w:sz w:val="20"/>
          <w:szCs w:val="20"/>
          <w:color w:val="auto"/>
        </w:rPr>
      </w:pPr>
    </w:p>
    <w:p>
      <w:pPr>
        <w:jc w:val="both"/>
        <w:ind w:right="100" w:firstLine="648"/>
        <w:spacing w:after="0" w:line="276" w:lineRule="auto"/>
        <w:rPr>
          <w:sz w:val="20"/>
          <w:szCs w:val="20"/>
          <w:color w:val="auto"/>
        </w:rPr>
      </w:pPr>
      <w:r>
        <w:rPr>
          <w:rFonts w:ascii="Arial" w:cs="Arial" w:eastAsia="Arial" w:hAnsi="Arial"/>
          <w:sz w:val="17"/>
          <w:szCs w:val="17"/>
          <w:color w:val="auto"/>
        </w:rPr>
        <w:t>The increase in field operating costs for the year ended December 31, 2017 compared to the year ended December 31, 2016 was primarily due to an increase in estimated costs associated with the Line 901 incident (which impact our field operating costs but are excluded from Segment Adjusted EBITDA and thus are reflected as an “Adjustment” in the table above). The increase in field operating costs was further driven by an increase in power costs resulting from higher volumes and incremental operating costs from the ACC gathering system acquisition in February 2017, partially offset by cost reduction efforts and decreased costs due to the sale of certain Gulf Coast pipelines in March and July 2016.</w:t>
      </w:r>
    </w:p>
    <w:p>
      <w:pPr>
        <w:spacing w:after="0" w:line="17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Segment General and Administrative Expenses. </w:t>
      </w:r>
      <w:r>
        <w:rPr>
          <w:rFonts w:ascii="Arial" w:cs="Arial" w:eastAsia="Arial" w:hAnsi="Arial"/>
          <w:sz w:val="17"/>
          <w:szCs w:val="17"/>
          <w:color w:val="auto"/>
        </w:rPr>
        <w:t>The increase in segment general and administrative expenses for the year ended December 31, 2018</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year ended December 31, 2017 was primarily driven by an increase in equity-indexed compensation expense due to a smaller impact from the decrease in PAA unit price for the 2018 period compared to the decrease in PAA unit price for the 2017 period as well as shorter service periods for awards outstanding during 2018 compared to 2017. A portion of equity-indexed compensation expense was associated with awards that will or may be settled in PAA common units (which impact our general and administrative expenses but are excluded from Segment Adjusted EBITDA and thus are reflected as an “Adjustment” in the table above). This increase was partially offset by acquisition costs incurred in the 2017 period related to the ACC gathering system acquisition (which impact our segment general and administrative expenses but are excluded from Segment Adjusted EBITDA and thus are reflected as an “Adjustment” in the table above).</w:t>
      </w:r>
    </w:p>
    <w:p>
      <w:pPr>
        <w:spacing w:after="0" w:line="17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Maintenance capital consists of capital expenditures for the replacement and/or refurbishment of partially or fully depreciated</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in order to maintain the operating and/or earnings capacity of our existing assets. The increase in maintenance capital for the year ended December 31, 2018 compared to the year ended December 31, 2017 was primarily due to increased investment in our integrity management program and an operational tank replacement project.</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125"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Variance</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2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2018-2017</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2017-2016</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334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Segment general and administrative</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gridSpan w:val="2"/>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3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(Gains)/losses from derivative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Deficiencies under minimum volume</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340"/>
              <w:spacing w:after="0"/>
              <w:rPr>
                <w:sz w:val="20"/>
                <w:szCs w:val="20"/>
                <w:color w:val="auto"/>
              </w:rPr>
            </w:pPr>
            <w:r>
              <w:rPr>
                <w:rFonts w:ascii="Arial" w:cs="Arial" w:eastAsia="Arial" w:hAnsi="Arial"/>
                <w:sz w:val="18"/>
                <w:szCs w:val="18"/>
                <w:color w:val="auto"/>
              </w:rPr>
              <w:t>commitments, net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gridSpan w:val="2"/>
          </w:tcPr>
          <w:p>
            <w:pPr>
              <w:ind w:left="180"/>
              <w:spacing w:after="0"/>
              <w:rPr>
                <w:sz w:val="20"/>
                <w:szCs w:val="20"/>
                <w:color w:val="auto"/>
              </w:rPr>
            </w:pPr>
            <w:r>
              <w:rPr>
                <w:rFonts w:ascii="Arial" w:cs="Arial" w:eastAsia="Arial" w:hAnsi="Arial"/>
                <w:sz w:val="18"/>
                <w:szCs w:val="18"/>
                <w:color w:val="auto"/>
                <w:w w:val="98"/>
              </w:rPr>
              <w:t>Net gain on foreign currency revaluation</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3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Maintenance capital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51"/>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 per barrel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8"/>
          <w:szCs w:val="8"/>
          <w:b w:val="1"/>
          <w:bCs w:val="1"/>
          <w:color w:val="auto"/>
        </w:rPr>
        <w:t>(4)</w:t>
      </w:r>
    </w:p>
    <w:p>
      <w:pPr>
        <w:spacing w:after="0" w:line="63" w:lineRule="exact"/>
        <w:rPr>
          <w:sz w:val="20"/>
          <w:szCs w:val="20"/>
          <w:color w:val="auto"/>
        </w:rPr>
      </w:pPr>
    </w:p>
    <w:p>
      <w:pPr>
        <w:ind w:left="220" w:hanging="161"/>
        <w:spacing w:after="0" w:line="277" w:lineRule="auto"/>
        <w:rPr>
          <w:sz w:val="20"/>
          <w:szCs w:val="20"/>
          <w:color w:val="auto"/>
        </w:rPr>
      </w:pPr>
      <w:r>
        <w:rPr>
          <w:rFonts w:ascii="Arial" w:cs="Arial" w:eastAsia="Arial" w:hAnsi="Arial"/>
          <w:sz w:val="18"/>
          <w:szCs w:val="18"/>
          <w:color w:val="auto"/>
        </w:rPr>
        <w:t>Liquids storage (average monthly capacity in millions of barrels)</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Natural gas storage (average</w:t>
      </w:r>
    </w:p>
    <w:p>
      <w:pPr>
        <w:spacing w:after="0" w:line="23" w:lineRule="exact"/>
        <w:rPr>
          <w:sz w:val="20"/>
          <w:szCs w:val="20"/>
          <w:color w:val="auto"/>
        </w:rPr>
      </w:pPr>
    </w:p>
    <w:p>
      <w:pPr>
        <w:ind w:left="220" w:right="60"/>
        <w:spacing w:after="0" w:line="236" w:lineRule="auto"/>
        <w:rPr>
          <w:sz w:val="20"/>
          <w:szCs w:val="20"/>
          <w:color w:val="auto"/>
        </w:rPr>
      </w:pPr>
      <w:r>
        <w:rPr>
          <w:rFonts w:ascii="Arial" w:cs="Arial" w:eastAsia="Arial" w:hAnsi="Arial"/>
          <w:sz w:val="18"/>
          <w:szCs w:val="18"/>
          <w:color w:val="auto"/>
        </w:rPr>
        <w:t xml:space="preserve">monthly working capacity in billions of cubic feet) </w:t>
      </w:r>
      <w:r>
        <w:rPr>
          <w:rFonts w:ascii="Arial" w:cs="Arial" w:eastAsia="Arial" w:hAnsi="Arial"/>
          <w:sz w:val="25"/>
          <w:szCs w:val="25"/>
          <w:color w:val="auto"/>
          <w:vertAlign w:val="superscript"/>
        </w:rPr>
        <w:t>(5)</w:t>
      </w:r>
    </w:p>
    <w:p>
      <w:pPr>
        <w:spacing w:after="0" w:line="2" w:lineRule="exact"/>
        <w:rPr>
          <w:sz w:val="20"/>
          <w:szCs w:val="20"/>
          <w:color w:val="auto"/>
        </w:rPr>
      </w:pPr>
    </w:p>
    <w:p>
      <w:pPr>
        <w:ind w:left="220" w:right="420" w:hanging="161"/>
        <w:spacing w:after="0" w:line="306" w:lineRule="auto"/>
        <w:rPr>
          <w:sz w:val="20"/>
          <w:szCs w:val="20"/>
          <w:color w:val="auto"/>
        </w:rPr>
      </w:pPr>
      <w:r>
        <w:rPr>
          <w:rFonts w:ascii="Arial" w:cs="Arial" w:eastAsia="Arial" w:hAnsi="Arial"/>
          <w:sz w:val="16"/>
          <w:szCs w:val="16"/>
          <w:color w:val="auto"/>
        </w:rPr>
        <w:t>NGL fractionation (average volumes in thousands of barrels per day)</w:t>
      </w:r>
    </w:p>
    <w:p>
      <w:pPr>
        <w:spacing w:after="0" w:line="1" w:lineRule="exact"/>
        <w:rPr>
          <w:sz w:val="20"/>
          <w:szCs w:val="20"/>
          <w:color w:val="auto"/>
        </w:rPr>
      </w:pPr>
    </w:p>
    <w:p>
      <w:pPr>
        <w:jc w:val="right"/>
        <w:ind w:left="60" w:right="60"/>
        <w:spacing w:after="0" w:line="288" w:lineRule="auto"/>
        <w:rPr>
          <w:sz w:val="20"/>
          <w:szCs w:val="20"/>
          <w:color w:val="auto"/>
        </w:rPr>
      </w:pPr>
      <w:r>
        <w:rPr>
          <w:rFonts w:ascii="Arial" w:cs="Arial" w:eastAsia="Arial" w:hAnsi="Arial"/>
          <w:sz w:val="16"/>
          <w:szCs w:val="16"/>
          <w:color w:val="auto"/>
        </w:rPr>
        <w:t>Facilities segment total volumes (average monthly volumes in millions of barrels)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23323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89"/>
              </w:rPr>
              <w:t>Variance</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264"/>
        </w:trPr>
        <w:tc>
          <w:tcPr>
            <w:tcW w:w="250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w w:val="96"/>
              </w:rPr>
              <w:t>Year Ended December 31,</w:t>
            </w:r>
          </w:p>
        </w:tc>
        <w:tc>
          <w:tcPr>
            <w:tcW w:w="7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2018-2017</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2017-2016</w:t>
            </w:r>
          </w:p>
        </w:tc>
        <w:tc>
          <w:tcPr>
            <w:tcW w:w="720" w:type="dxa"/>
            <w:vAlign w:val="bottom"/>
            <w:tcBorders>
              <w:bottom w:val="single" w:sz="8" w:color="auto"/>
            </w:tcBorders>
          </w:tcPr>
          <w:p>
            <w:pPr>
              <w:spacing w:after="0"/>
              <w:rPr>
                <w:sz w:val="22"/>
                <w:szCs w:val="22"/>
                <w:color w:val="auto"/>
              </w:rPr>
            </w:pPr>
          </w:p>
        </w:tc>
      </w:tr>
      <w:tr>
        <w:trPr>
          <w:trHeight w:val="264"/>
        </w:trPr>
        <w:tc>
          <w:tcPr>
            <w:tcW w:w="1000" w:type="dxa"/>
            <w:vAlign w:val="bottom"/>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000" w:type="dxa"/>
            <w:vAlign w:val="bottom"/>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Volumes</w:t>
            </w:r>
          </w:p>
        </w:tc>
        <w:tc>
          <w:tcPr>
            <w:tcW w:w="700" w:type="dxa"/>
            <w:vAlign w:val="bottom"/>
          </w:tcPr>
          <w:p>
            <w:pPr>
              <w:jc w:val="right"/>
              <w:ind w:right="39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85"/>
              </w:rPr>
              <w:t>Volumes</w:t>
            </w:r>
          </w:p>
        </w:tc>
        <w:tc>
          <w:tcPr>
            <w:tcW w:w="720" w:type="dxa"/>
            <w:vAlign w:val="bottom"/>
          </w:tcPr>
          <w:p>
            <w:pPr>
              <w:jc w:val="right"/>
              <w:ind w:right="414"/>
              <w:spacing w:after="0"/>
              <w:rPr>
                <w:sz w:val="20"/>
                <w:szCs w:val="20"/>
                <w:color w:val="auto"/>
              </w:rPr>
            </w:pPr>
            <w:r>
              <w:rPr>
                <w:rFonts w:ascii="Arial" w:cs="Arial" w:eastAsia="Arial" w:hAnsi="Arial"/>
                <w:sz w:val="14"/>
                <w:szCs w:val="14"/>
                <w:b w:val="1"/>
                <w:bCs w:val="1"/>
                <w:color w:val="auto"/>
              </w:rPr>
              <w:t>%</w:t>
            </w:r>
          </w:p>
        </w:tc>
      </w:tr>
      <w:tr>
        <w:trPr>
          <w:trHeight w:val="445"/>
        </w:trPr>
        <w:tc>
          <w:tcPr>
            <w:tcW w:w="10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107</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615"/>
        </w:trPr>
        <w:tc>
          <w:tcPr>
            <w:tcW w:w="1000" w:type="dxa"/>
            <w:vAlign w:val="bottom"/>
          </w:tcPr>
          <w:p>
            <w:pPr>
              <w:jc w:val="right"/>
              <w:ind w:right="16"/>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4"/>
                <w:szCs w:val="24"/>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97</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99"/>
        </w:trPr>
        <w:tc>
          <w:tcPr>
            <w:tcW w:w="1000" w:type="dxa"/>
            <w:vAlign w:val="bottom"/>
          </w:tcPr>
          <w:p>
            <w:pPr>
              <w:jc w:val="right"/>
              <w:ind w:right="16"/>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4"/>
                <w:szCs w:val="24"/>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115</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548"/>
        </w:trPr>
        <w:tc>
          <w:tcPr>
            <w:tcW w:w="1000" w:type="dxa"/>
            <w:vAlign w:val="bottom"/>
          </w:tcPr>
          <w:p>
            <w:pPr>
              <w:jc w:val="right"/>
              <w:ind w:right="16"/>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4"/>
                <w:szCs w:val="24"/>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127</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-728345</wp:posOffset>
            </wp:positionV>
            <wp:extent cx="7212330" cy="308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2330" cy="30861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-1491615</wp:posOffset>
            </wp:positionV>
            <wp:extent cx="7212330" cy="3175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2330" cy="317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200"/>
            <w:col w:w="8080"/>
          </w:cols>
          <w:pgMar w:left="240" w:top="125" w:right="239" w:bottom="1440" w:gutter="0" w:footer="0" w:header="0"/>
          <w:type w:val="continuous"/>
        </w:sectPr>
      </w:pPr>
    </w:p>
    <w:p>
      <w:pPr>
        <w:spacing w:after="0" w:line="16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that variance as a percentage is not meaningful.</w:t>
      </w:r>
    </w:p>
    <w:p>
      <w:pPr>
        <w:spacing w:after="0" w:line="60"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hanging="652"/>
        <w:spacing w:after="0" w:line="196" w:lineRule="auto"/>
        <w:tabs>
          <w:tab w:leader="none" w:pos="660" w:val="left"/>
        </w:tabs>
        <w:numPr>
          <w:ilvl w:val="0"/>
          <w:numId w:val="63"/>
        </w:numPr>
        <w:rPr>
          <w:rFonts w:ascii="Arial" w:cs="Arial" w:eastAsia="Arial" w:hAnsi="Arial"/>
          <w:sz w:val="24"/>
          <w:szCs w:val="24"/>
          <w:color w:val="auto"/>
          <w:vertAlign w:val="superscript"/>
        </w:rPr>
      </w:pPr>
      <w:r>
        <w:rPr>
          <w:rFonts w:ascii="Arial" w:cs="Arial" w:eastAsia="Arial" w:hAnsi="Arial"/>
          <w:sz w:val="17"/>
          <w:szCs w:val="17"/>
          <w:color w:val="auto"/>
        </w:rPr>
        <w:t>Segment general and administrative expenses reflect direct costs attributable to each segment and an allocation of other expenses to the</w:t>
      </w:r>
    </w:p>
    <w:p>
      <w:pPr>
        <w:spacing w:after="0" w:line="2" w:lineRule="exact"/>
        <w:rPr>
          <w:rFonts w:ascii="Arial" w:cs="Arial" w:eastAsia="Arial" w:hAnsi="Arial"/>
          <w:sz w:val="24"/>
          <w:szCs w:val="24"/>
          <w:color w:val="auto"/>
          <w:vertAlign w:val="superscript"/>
        </w:rPr>
      </w:pPr>
    </w:p>
    <w:p>
      <w:pPr>
        <w:ind w:left="660" w:right="180"/>
        <w:spacing w:after="0" w:line="259" w:lineRule="auto"/>
        <w:rPr>
          <w:rFonts w:ascii="Arial" w:cs="Arial" w:eastAsia="Arial" w:hAnsi="Arial"/>
          <w:sz w:val="24"/>
          <w:szCs w:val="24"/>
          <w:color w:val="auto"/>
          <w:vertAlign w:val="superscript"/>
        </w:rPr>
      </w:pPr>
      <w:r>
        <w:rPr>
          <w:rFonts w:ascii="Arial" w:cs="Arial" w:eastAsia="Arial" w:hAnsi="Arial"/>
          <w:sz w:val="18"/>
          <w:szCs w:val="18"/>
          <w:color w:val="auto"/>
        </w:rPr>
        <w:t>segments. The proportional allocations by segment require judgment by management and are based on the business activities that exist during each period.</w:t>
      </w:r>
    </w:p>
    <w:p>
      <w:pPr>
        <w:spacing w:after="0" w:line="77" w:lineRule="exact"/>
        <w:rPr>
          <w:rFonts w:ascii="Arial" w:cs="Arial" w:eastAsia="Arial" w:hAnsi="Arial"/>
          <w:sz w:val="24"/>
          <w:szCs w:val="24"/>
          <w:color w:val="auto"/>
          <w:vertAlign w:val="superscript"/>
        </w:rPr>
      </w:pPr>
    </w:p>
    <w:p>
      <w:pPr>
        <w:ind w:left="660" w:right="640" w:hanging="652"/>
        <w:spacing w:after="0" w:line="216" w:lineRule="auto"/>
        <w:tabs>
          <w:tab w:leader="none" w:pos="660" w:val="left"/>
        </w:tabs>
        <w:numPr>
          <w:ilvl w:val="0"/>
          <w:numId w:val="63"/>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20 to our Consolidated Financial Statements for additional discussion of such adjustments.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3"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25"/>
          <w:szCs w:val="25"/>
          <w:color w:val="auto"/>
          <w:vertAlign w:val="superscript"/>
        </w:rPr>
      </w:pPr>
      <w:r>
        <w:rPr>
          <w:rFonts w:ascii="Arial" w:cs="Arial" w:eastAsia="Arial" w:hAnsi="Arial"/>
          <w:sz w:val="18"/>
          <w:szCs w:val="18"/>
          <w:color w:val="auto"/>
        </w:rPr>
        <w:t>Average monthly volumes are calculated as total volumes for the year divided by the number of months in the year.</w:t>
      </w:r>
    </w:p>
    <w:p>
      <w:pPr>
        <w:spacing w:after="0" w:line="98" w:lineRule="exact"/>
        <w:rPr>
          <w:rFonts w:ascii="Arial" w:cs="Arial" w:eastAsia="Arial" w:hAnsi="Arial"/>
          <w:sz w:val="25"/>
          <w:szCs w:val="25"/>
          <w:color w:val="auto"/>
          <w:vertAlign w:val="superscript"/>
        </w:rPr>
      </w:pPr>
    </w:p>
    <w:p>
      <w:pPr>
        <w:ind w:left="660" w:hanging="652"/>
        <w:spacing w:after="0" w:line="225" w:lineRule="auto"/>
        <w:tabs>
          <w:tab w:leader="none" w:pos="660" w:val="left"/>
        </w:tabs>
        <w:numPr>
          <w:ilvl w:val="0"/>
          <w:numId w:val="64"/>
        </w:numPr>
        <w:rPr>
          <w:rFonts w:ascii="Arial" w:cs="Arial" w:eastAsia="Arial" w:hAnsi="Arial"/>
          <w:sz w:val="25"/>
          <w:szCs w:val="25"/>
          <w:color w:val="auto"/>
          <w:vertAlign w:val="superscript"/>
        </w:rPr>
      </w:pPr>
      <w:r>
        <w:rPr>
          <w:rFonts w:ascii="Arial" w:cs="Arial" w:eastAsia="Arial" w:hAnsi="Arial"/>
          <w:sz w:val="18"/>
          <w:szCs w:val="18"/>
          <w:color w:val="auto"/>
        </w:rPr>
        <w:t>The decrease in average monthly working capacity of natural gas storage facilities over the comparative periods was driven by adjustments for (i) the sale of our Bluewater natural gas storage facility in June 2017, (ii) changes in base gas and (iii) the net capacity change between capacity additions from fill and dewater operations and capacity losses from salt creep.</w:t>
      </w:r>
    </w:p>
    <w:p>
      <w:pPr>
        <w:spacing w:after="0" w:line="94" w:lineRule="exact"/>
        <w:rPr>
          <w:rFonts w:ascii="Arial" w:cs="Arial" w:eastAsia="Arial" w:hAnsi="Arial"/>
          <w:sz w:val="25"/>
          <w:szCs w:val="25"/>
          <w:color w:val="auto"/>
          <w:vertAlign w:val="superscript"/>
        </w:rPr>
      </w:pPr>
    </w:p>
    <w:p>
      <w:pPr>
        <w:ind w:left="660" w:right="360" w:hanging="652"/>
        <w:spacing w:after="0" w:line="238" w:lineRule="auto"/>
        <w:tabs>
          <w:tab w:leader="none" w:pos="660" w:val="left"/>
        </w:tabs>
        <w:numPr>
          <w:ilvl w:val="0"/>
          <w:numId w:val="64"/>
        </w:numPr>
        <w:rPr>
          <w:rFonts w:ascii="Arial" w:cs="Arial" w:eastAsia="Arial" w:hAnsi="Arial"/>
          <w:sz w:val="24"/>
          <w:szCs w:val="24"/>
          <w:color w:val="auto"/>
          <w:vertAlign w:val="superscript"/>
        </w:rPr>
      </w:pPr>
      <w:r>
        <w:rPr>
          <w:rFonts w:ascii="Arial" w:cs="Arial" w:eastAsia="Arial" w:hAnsi="Arial"/>
          <w:sz w:val="17"/>
          <w:szCs w:val="17"/>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year and divided by the number of months in the year.</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Facilities segment operating results for the periods indicated.</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and Volumes. </w:t>
      </w:r>
      <w:r>
        <w:rPr>
          <w:rFonts w:ascii="Arial" w:cs="Arial" w:eastAsia="Arial" w:hAnsi="Arial"/>
          <w:sz w:val="18"/>
          <w:szCs w:val="18"/>
          <w:color w:val="auto"/>
        </w:rPr>
        <w:t>Variances in revenues, purchases and related costs and average monthly volumes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comparative periods were primarily driven by:</w:t>
      </w:r>
    </w:p>
    <w:p>
      <w:pPr>
        <w:spacing w:after="0" w:line="170" w:lineRule="exact"/>
        <w:rPr>
          <w:sz w:val="20"/>
          <w:szCs w:val="20"/>
          <w:color w:val="auto"/>
        </w:rPr>
      </w:pPr>
    </w:p>
    <w:p>
      <w:pPr>
        <w:ind w:left="660" w:right="220" w:hanging="328"/>
        <w:spacing w:after="0" w:line="288" w:lineRule="auto"/>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 xml:space="preserve">NGL Storage, NGL Fractionation and Canadian Gas Processing. </w:t>
      </w:r>
      <w:r>
        <w:rPr>
          <w:rFonts w:ascii="Arial" w:cs="Arial" w:eastAsia="Arial" w:hAnsi="Arial"/>
          <w:sz w:val="16"/>
          <w:szCs w:val="16"/>
          <w:color w:val="auto"/>
        </w:rPr>
        <w:t>Revenues decreased by $14 million for the year ended December 31, 2018</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year ended December 31, 2017 primarily due to the sale of a natural gas processing facility in the second quarter of 2018 and decreases in fees at certain of our storage and fractionation facilities. These unfavorable variances were partially offset by the favorable impacts of</w:t>
      </w:r>
    </w:p>
    <w:p>
      <w:pPr>
        <w:ind w:left="660" w:right="280"/>
        <w:spacing w:after="0" w:line="261" w:lineRule="auto"/>
        <w:rPr>
          <w:rFonts w:ascii="Arial" w:cs="Arial" w:eastAsia="Arial" w:hAnsi="Arial"/>
          <w:sz w:val="16"/>
          <w:szCs w:val="16"/>
          <w:color w:val="auto"/>
        </w:rPr>
      </w:pPr>
      <w:r>
        <w:rPr>
          <w:rFonts w:ascii="Arial" w:cs="Arial" w:eastAsia="Arial" w:hAnsi="Arial"/>
          <w:sz w:val="18"/>
          <w:szCs w:val="18"/>
          <w:color w:val="auto"/>
        </w:rPr>
        <w:t>(i) increased volumes and fees associated with placing an additional 1.6 million barrels of NGL storage capacity into service in the second half of 2017 at our Fort Saskatchewan facility and (ii) higher volumetric gains at certain facilities in the 2018 period.</w:t>
      </w:r>
    </w:p>
    <w:p>
      <w:pPr>
        <w:spacing w:after="0" w:line="184" w:lineRule="exact"/>
        <w:rPr>
          <w:sz w:val="20"/>
          <w:szCs w:val="20"/>
          <w:color w:val="auto"/>
        </w:rPr>
      </w:pPr>
    </w:p>
    <w:p>
      <w:pPr>
        <w:ind w:left="660" w:right="120"/>
        <w:spacing w:after="0" w:line="286" w:lineRule="auto"/>
        <w:rPr>
          <w:sz w:val="20"/>
          <w:szCs w:val="20"/>
          <w:color w:val="auto"/>
        </w:rPr>
      </w:pPr>
      <w:r>
        <w:rPr>
          <w:rFonts w:ascii="Arial" w:cs="Arial" w:eastAsia="Arial" w:hAnsi="Arial"/>
          <w:sz w:val="17"/>
          <w:szCs w:val="17"/>
          <w:color w:val="auto"/>
        </w:rPr>
        <w:t>Revenues increased by $99 million for the year ended December 31, 2017 compared to the year ended December 31, 2016 primarily due to contributions from (i) the Western Canada NGL assets we acquired in August 2016, (ii) expansion projects at our Fort Saskatchewan facility, which have increased storage and fractionation capacity, and (iii) increases in fees at certain of our NGL storage and fractionation facilities.</w:t>
      </w:r>
    </w:p>
    <w:p>
      <w:pPr>
        <w:spacing w:after="0" w:line="166" w:lineRule="exact"/>
        <w:rPr>
          <w:sz w:val="20"/>
          <w:szCs w:val="20"/>
          <w:color w:val="auto"/>
        </w:rPr>
      </w:pPr>
    </w:p>
    <w:p>
      <w:pPr>
        <w:ind w:left="660" w:right="60" w:hanging="328"/>
        <w:spacing w:after="0" w:line="26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Crude Oil Storage. </w:t>
      </w:r>
      <w:r>
        <w:rPr>
          <w:rFonts w:ascii="Arial" w:cs="Arial" w:eastAsia="Arial" w:hAnsi="Arial"/>
          <w:sz w:val="18"/>
          <w:szCs w:val="18"/>
          <w:color w:val="auto"/>
        </w:rPr>
        <w:t>Revenues decreased by $16 million for the year ended December 31, 2018 compared to the year ended December 31, 2017</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the sale of certain of our Bay Area, California terminal assets in December 2017. These lower results were partially offset by higher revenues from increased activity at our Cushing and St. James terminals.</w:t>
      </w:r>
    </w:p>
    <w:p>
      <w:pPr>
        <w:spacing w:after="0" w:line="181" w:lineRule="exact"/>
        <w:rPr>
          <w:rFonts w:ascii="Arial" w:cs="Arial" w:eastAsia="Arial" w:hAnsi="Arial"/>
          <w:sz w:val="18"/>
          <w:szCs w:val="18"/>
          <w:color w:val="auto"/>
        </w:rPr>
      </w:pPr>
    </w:p>
    <w:p>
      <w:pPr>
        <w:ind w:left="660" w:right="280"/>
        <w:spacing w:after="0" w:line="312" w:lineRule="auto"/>
        <w:rPr>
          <w:rFonts w:ascii="Arial" w:cs="Arial" w:eastAsia="Arial" w:hAnsi="Arial"/>
          <w:sz w:val="18"/>
          <w:szCs w:val="18"/>
          <w:color w:val="auto"/>
        </w:rPr>
      </w:pPr>
      <w:r>
        <w:rPr>
          <w:rFonts w:ascii="Arial" w:cs="Arial" w:eastAsia="Arial" w:hAnsi="Arial"/>
          <w:sz w:val="16"/>
          <w:szCs w:val="16"/>
          <w:color w:val="auto"/>
        </w:rPr>
        <w:t>Revenues for the year ended December 31, 2017 were relatively flat compared to the year ended December 31, 2016. Higher 2017 revenues from our Cushing terminal driven by increased terminal throughput and capacity expansions of approximately 2 million barrels were offset by (i) decreased utilization at certain of our Southern California terminals and (ii) the sale of certain of our East Coast terminals in April 2016.</w:t>
      </w:r>
    </w:p>
    <w:p>
      <w:pPr>
        <w:spacing w:after="0" w:line="146" w:lineRule="exact"/>
        <w:rPr>
          <w:rFonts w:ascii="Arial" w:cs="Arial" w:eastAsia="Arial" w:hAnsi="Arial"/>
          <w:sz w:val="18"/>
          <w:szCs w:val="18"/>
          <w:color w:val="auto"/>
        </w:rPr>
      </w:pPr>
    </w:p>
    <w:p>
      <w:pPr>
        <w:ind w:left="660" w:right="60" w:hanging="328"/>
        <w:spacing w:after="0" w:line="297"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Natural Gas Storage. </w:t>
      </w:r>
      <w:r>
        <w:rPr>
          <w:rFonts w:ascii="Arial" w:cs="Arial" w:eastAsia="Arial" w:hAnsi="Arial"/>
          <w:sz w:val="16"/>
          <w:szCs w:val="16"/>
          <w:color w:val="auto"/>
        </w:rPr>
        <w:t>Revenues, net of purchases and related costs, decreased by $2 million for the year ended December 31, 2018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31, 2017 primarily due to (i) the June 2017 sale of our Bluewater natural gas storage facility, (ii) the absence of a one-time fee recognized during the first quarter of 2017 related to the early termination of a storage contract at our Pine Prairie facility and (iii) increased storage costs incurred to manage customer activity in 2018. These unfavorable impacts were partially offset by the favorable impact of expiring contracts replaced at higher rates and more favorable market conditions for hub services at certain of our natural gas storage facilities.</w:t>
      </w:r>
    </w:p>
    <w:p>
      <w:pPr>
        <w:spacing w:after="0" w:line="158" w:lineRule="exact"/>
        <w:rPr>
          <w:rFonts w:ascii="Arial" w:cs="Arial" w:eastAsia="Arial" w:hAnsi="Arial"/>
          <w:sz w:val="16"/>
          <w:szCs w:val="16"/>
          <w:color w:val="auto"/>
        </w:rPr>
      </w:pPr>
    </w:p>
    <w:p>
      <w:pPr>
        <w:jc w:val="both"/>
        <w:ind w:left="660" w:right="260"/>
        <w:spacing w:after="0" w:line="264" w:lineRule="auto"/>
        <w:rPr>
          <w:rFonts w:ascii="Arial" w:cs="Arial" w:eastAsia="Arial" w:hAnsi="Arial"/>
          <w:sz w:val="16"/>
          <w:szCs w:val="16"/>
          <w:color w:val="auto"/>
        </w:rPr>
      </w:pPr>
      <w:r>
        <w:rPr>
          <w:rFonts w:ascii="Arial" w:cs="Arial" w:eastAsia="Arial" w:hAnsi="Arial"/>
          <w:sz w:val="18"/>
          <w:szCs w:val="18"/>
          <w:color w:val="auto"/>
        </w:rPr>
        <w:t>Revenues decreased slightly for the year ended December 31, 2017 compared to the same 2016 period. Lower results due to the June 2017 sale of our Bluewater natural gas storage facility were largely offset by contributions from higher rates on new contracts replacing expiring contracts and more favorable market conditions for hub services.</w:t>
      </w:r>
    </w:p>
    <w:p>
      <w:pPr>
        <w:spacing w:after="0" w:line="181" w:lineRule="exact"/>
        <w:rPr>
          <w:rFonts w:ascii="Arial" w:cs="Arial" w:eastAsia="Arial" w:hAnsi="Arial"/>
          <w:sz w:val="16"/>
          <w:szCs w:val="16"/>
          <w:color w:val="auto"/>
        </w:rPr>
      </w:pPr>
    </w:p>
    <w:p>
      <w:pPr>
        <w:ind w:left="660" w:right="6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Rail Terminals. </w:t>
      </w:r>
      <w:r>
        <w:rPr>
          <w:rFonts w:ascii="Arial" w:cs="Arial" w:eastAsia="Arial" w:hAnsi="Arial"/>
          <w:sz w:val="18"/>
          <w:szCs w:val="18"/>
          <w:color w:val="auto"/>
        </w:rPr>
        <w:t>Revenues increased by $26 million for the year ended December 31, 2018 compared to the year ended December 31, 2017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higher activity at certain of our rail terminals resulting from more favorable market conditions.</w:t>
      </w:r>
    </w:p>
    <w:p>
      <w:pPr>
        <w:spacing w:after="0" w:line="170" w:lineRule="exact"/>
        <w:rPr>
          <w:rFonts w:ascii="Arial" w:cs="Arial" w:eastAsia="Arial" w:hAnsi="Arial"/>
          <w:sz w:val="18"/>
          <w:szCs w:val="18"/>
          <w:color w:val="auto"/>
        </w:rPr>
      </w:pPr>
    </w:p>
    <w:p>
      <w:pPr>
        <w:ind w:left="660" w:right="80"/>
        <w:spacing w:after="0" w:line="264" w:lineRule="auto"/>
        <w:rPr>
          <w:rFonts w:ascii="Arial" w:cs="Arial" w:eastAsia="Arial" w:hAnsi="Arial"/>
          <w:sz w:val="18"/>
          <w:szCs w:val="18"/>
          <w:color w:val="auto"/>
        </w:rPr>
      </w:pPr>
      <w:r>
        <w:rPr>
          <w:rFonts w:ascii="Arial" w:cs="Arial" w:eastAsia="Arial" w:hAnsi="Arial"/>
          <w:sz w:val="18"/>
          <w:szCs w:val="18"/>
          <w:color w:val="auto"/>
        </w:rPr>
        <w:t>Revenues decreased by $26 million for the year ended December 31, 2017 compared to the year ended December 31, 2016 primarily due to lower activity at our U.S. terminals resulting from less favorable market conditions, partially offset by revenues and volumes from our Fort Saskatchewan, Alberta rail terminal that came online in April 2016.</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increase in field operating costs for the year ended December 31, 2018 compared to the year ended December 31, 2017</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an increase in performance-based compensation costs as well as higher personnel costs at our rail terminals as a result of increased activity, partially offset by lower costs due to sales of assets.</w:t>
      </w:r>
    </w:p>
    <w:p>
      <w:pPr>
        <w:spacing w:after="0" w:line="181"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decrease in field operating costs for the year ended December 31, 2017 compared to the same 2016 period due to reduced rail activity, cost reduction efforts and the sales of our Bluewater natural gas storage facility in June 2017 and certain of our East Coast terminals in April 2016. Such decreases were largely offset by an increase in operating costs associated with the Western Canada NGL assets acquired in August 2016 and increased power costs.</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Segment General and Administrative Expenses. </w:t>
      </w:r>
      <w:r>
        <w:rPr>
          <w:rFonts w:ascii="Arial" w:cs="Arial" w:eastAsia="Arial" w:hAnsi="Arial"/>
          <w:sz w:val="18"/>
          <w:szCs w:val="18"/>
          <w:color w:val="auto"/>
        </w:rPr>
        <w:t>The increase in segment general and administrative expenses for the year ended December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2017 was primarily driven by an increase in equity-indexed compensation expense due to a smaller impact from the decrease in PAA unit price for the 2018 period compared to the decrease in PAA unit price for the 2017 period as well as shorter service periods for awards outstanding during 2018 compared to 2017. A portion of equity-indexed compensation expense was associated with awards that will or may be settled in PAA common units (which impact our general and administrative expenses but are excluded from Segment Adjusted EBITDA and thus are reflected as an “Adjustment” in the table above).</w:t>
      </w:r>
    </w:p>
    <w:p>
      <w:pPr>
        <w:spacing w:after="0" w:line="193"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i w:val="1"/>
          <w:iCs w:val="1"/>
          <w:color w:val="auto"/>
        </w:rPr>
        <w:t xml:space="preserve">Maintenance Capital. </w:t>
      </w:r>
      <w:r>
        <w:rPr>
          <w:rFonts w:ascii="Arial" w:cs="Arial" w:eastAsia="Arial" w:hAnsi="Arial"/>
          <w:sz w:val="16"/>
          <w:szCs w:val="16"/>
          <w:color w:val="auto"/>
        </w:rPr>
        <w:t>For the year ended December 31, 2018 compared to the year ended December 31, 2017, maintenance capital spending</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decreased primarily due to the impact of higher expenditures related to our integrity management program in 2017 compared to 2018, primarily on assets at our Southern California terminals. Total maintenance costs related to our integrity management program at these terminals decreased by approximately $46 million for the year ended December 31, 2018 compared to the year ended December 31, 2017. This decrease in maintenance capital spending in 2018 compared to 2017 was partially offset by increased costs at our NGL processing facilities located in Western Canada in 2018.</w:t>
      </w:r>
    </w:p>
    <w:p>
      <w:pPr>
        <w:spacing w:after="0" w:line="15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increase in maintenance capital for 2017 compared to 2016 was primarily due to increased investment in our integrity management program, primarily on assets at our Southern California terminals. Total maintenance costs related to our integrity management program at these terminals increased by approximately $49 million for 2017 compared to 2016.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125"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Revenues from our Supply and Logistics segment activities reflect the sale of gathered and bulk-purchased crude oil, as well as sales of NGL volumes. Generally, our segment results are impacted by (i) increases or decreases in our Supply and Logistics segment volumes (which consist of lease gathering crude oil purchases volumes and NGL sales volumes), (ii) the overall strength, weakness and volatility of market conditions and the allocation of our assets among our various risk management strategies and (iii) the effects of competition on our lease gathering and NGL margins. In addition, the execution of our risk management strategies in conjunction with our assets can provide upside in certain markets. Our crude oil and NGL supply, logistics and distribution operations are not directly affected by the absolute level of prices, but are affected by overall levels of supply and demand for crude oil and NGL, market structure and relative fluctuations in market-related indices and regional differentials.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Variance</w:t>
            </w:r>
          </w:p>
        </w:tc>
        <w:tc>
          <w:tcPr>
            <w:tcW w:w="7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22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9"/>
          </w:tcPr>
          <w:p>
            <w:pPr>
              <w:jc w:val="center"/>
              <w:ind w:left="434"/>
              <w:spacing w:after="0"/>
              <w:rPr>
                <w:sz w:val="20"/>
                <w:szCs w:val="20"/>
                <w:color w:val="auto"/>
              </w:rPr>
            </w:pPr>
            <w:r>
              <w:rPr>
                <w:rFonts w:ascii="Arial" w:cs="Arial" w:eastAsia="Arial" w:hAnsi="Arial"/>
                <w:sz w:val="14"/>
                <w:szCs w:val="14"/>
                <w:b w:val="1"/>
                <w:bCs w:val="1"/>
                <w:color w:val="auto"/>
                <w:w w:val="91"/>
              </w:rPr>
              <w:t>Year Ended December 31,</w:t>
            </w:r>
          </w:p>
        </w:tc>
        <w:tc>
          <w:tcPr>
            <w:tcW w:w="7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2018-2017</w:t>
            </w:r>
          </w:p>
        </w:tc>
        <w:tc>
          <w:tcPr>
            <w:tcW w:w="70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2017-2016</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334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restart"/>
          </w:tcPr>
          <w:p>
            <w:pPr>
              <w:jc w:val="center"/>
              <w:ind w:right="132"/>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20" w:type="dxa"/>
            <w:vAlign w:val="bottom"/>
            <w:tcBorders>
              <w:bottom w:val="single" w:sz="8" w:color="CCEEFF"/>
            </w:tcBorders>
            <w:gridSpan w:val="2"/>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32,822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25,065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19,018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7,757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6,047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43"/>
        </w:trPr>
        <w:tc>
          <w:tcPr>
            <w:tcW w:w="3340" w:type="dxa"/>
            <w:vAlign w:val="bottom"/>
            <w:gridSpan w:val="3"/>
          </w:tcPr>
          <w:p>
            <w:pPr>
              <w:ind w:left="20"/>
              <w:spacing w:after="0"/>
              <w:rPr>
                <w:sz w:val="20"/>
                <w:szCs w:val="20"/>
                <w:color w:val="auto"/>
              </w:rPr>
            </w:pPr>
            <w:r>
              <w:rPr>
                <w:rFonts w:ascii="Arial" w:cs="Arial" w:eastAsia="Arial" w:hAnsi="Arial"/>
                <w:sz w:val="18"/>
                <w:szCs w:val="18"/>
                <w:color w:val="auto"/>
              </w:rPr>
              <w:t>Purchases and related costs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(31,487)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(24,557)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(18,627)</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(5,930)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9"/>
        </w:trPr>
        <w:tc>
          <w:tcPr>
            <w:tcW w:w="3340" w:type="dxa"/>
            <w:vAlign w:val="bottom"/>
            <w:gridSpan w:val="3"/>
          </w:tcPr>
          <w:p>
            <w:pPr>
              <w:ind w:left="20"/>
              <w:spacing w:after="0"/>
              <w:rPr>
                <w:sz w:val="20"/>
                <w:szCs w:val="20"/>
                <w:color w:val="auto"/>
              </w:rPr>
            </w:pPr>
            <w:r>
              <w:rPr>
                <w:rFonts w:ascii="Arial" w:cs="Arial" w:eastAsia="Arial" w:hAnsi="Arial"/>
                <w:sz w:val="18"/>
                <w:szCs w:val="18"/>
                <w:color w:val="auto"/>
              </w:rPr>
              <w:t>Segment general and administrative</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gridSpan w:val="3"/>
          </w:tcPr>
          <w:p>
            <w:pPr>
              <w:ind w:left="18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w:t>
            </w: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324"/>
        </w:trPr>
        <w:tc>
          <w:tcPr>
            <w:tcW w:w="3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gridSpan w:val="3"/>
          </w:tcPr>
          <w:p>
            <w:pPr>
              <w:ind w:left="2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(Gains)/losses from derivative activities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w w:val="99"/>
              </w:rPr>
              <w:t>net of inventory valuation adjustments</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gridSpan w:val="3"/>
          </w:tcPr>
          <w:p>
            <w:pPr>
              <w:ind w:left="160"/>
              <w:spacing w:after="0"/>
              <w:rPr>
                <w:sz w:val="20"/>
                <w:szCs w:val="20"/>
                <w:color w:val="auto"/>
              </w:rPr>
            </w:pPr>
            <w:r>
              <w:rPr>
                <w:rFonts w:ascii="Arial" w:cs="Arial" w:eastAsia="Arial" w:hAnsi="Arial"/>
                <w:sz w:val="18"/>
                <w:szCs w:val="18"/>
                <w:color w:val="auto"/>
                <w:w w:val="97"/>
              </w:rPr>
              <w:t>Long-term inventory costing adjustments</w:t>
            </w:r>
          </w:p>
        </w:tc>
        <w:tc>
          <w:tcPr>
            <w:tcW w:w="22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Equity-indexed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gridSpan w:val="3"/>
          </w:tcPr>
          <w:p>
            <w:pPr>
              <w:ind w:left="160"/>
              <w:spacing w:after="0"/>
              <w:rPr>
                <w:sz w:val="20"/>
                <w:szCs w:val="20"/>
                <w:color w:val="auto"/>
              </w:rPr>
            </w:pPr>
            <w:r>
              <w:rPr>
                <w:rFonts w:ascii="Arial" w:cs="Arial" w:eastAsia="Arial" w:hAnsi="Arial"/>
                <w:sz w:val="18"/>
                <w:szCs w:val="18"/>
                <w:color w:val="auto"/>
              </w:rPr>
              <w:t>Net (gain)/loss on foreign currency</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3"/>
          </w:tcPr>
          <w:p>
            <w:pPr>
              <w:ind w:left="320"/>
              <w:spacing w:after="0"/>
              <w:rPr>
                <w:sz w:val="20"/>
                <w:szCs w:val="20"/>
                <w:color w:val="auto"/>
              </w:rPr>
            </w:pPr>
            <w:r>
              <w:rPr>
                <w:rFonts w:ascii="Arial" w:cs="Arial" w:eastAsia="Arial" w:hAnsi="Arial"/>
                <w:sz w:val="18"/>
                <w:szCs w:val="18"/>
                <w:color w:val="auto"/>
              </w:rPr>
              <w:t>revaluation</w:t>
            </w:r>
          </w:p>
        </w:tc>
        <w:tc>
          <w:tcPr>
            <w:tcW w:w="220" w:type="dxa"/>
            <w:vAlign w:val="bottom"/>
          </w:tcPr>
          <w:p>
            <w:pPr>
              <w:spacing w:after="0"/>
              <w:rPr>
                <w:sz w:val="20"/>
                <w:szCs w:val="20"/>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359</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402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340" w:type="dxa"/>
            <w:vAlign w:val="bottom"/>
            <w:gridSpan w:val="3"/>
          </w:tcPr>
          <w:p>
            <w:pPr>
              <w:ind w:left="20"/>
              <w:spacing w:after="0"/>
              <w:rPr>
                <w:sz w:val="20"/>
                <w:szCs w:val="20"/>
                <w:color w:val="auto"/>
              </w:rPr>
            </w:pPr>
            <w:r>
              <w:rPr>
                <w:rFonts w:ascii="Arial" w:cs="Arial" w:eastAsia="Arial" w:hAnsi="Arial"/>
                <w:sz w:val="18"/>
                <w:szCs w:val="18"/>
                <w:color w:val="auto"/>
              </w:rPr>
              <w:t>Maintenance capital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5"/>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3"/>
          </w:tcPr>
          <w:p>
            <w:pPr>
              <w:ind w:left="280"/>
              <w:spacing w:after="0"/>
              <w:rPr>
                <w:sz w:val="20"/>
                <w:szCs w:val="20"/>
                <w:color w:val="auto"/>
              </w:rPr>
            </w:pPr>
            <w:r>
              <w:rPr>
                <w:rFonts w:ascii="Arial" w:cs="Arial" w:eastAsia="Arial" w:hAnsi="Arial"/>
                <w:sz w:val="18"/>
                <w:szCs w:val="18"/>
                <w:color w:val="auto"/>
              </w:rPr>
              <w:t>— %</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51"/>
        </w:trPr>
        <w:tc>
          <w:tcPr>
            <w:tcW w:w="33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Segment Adjusted EBITDA per barrel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0.13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0.85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0.84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Average Daily Volumes </w:t>
            </w:r>
            <w:r>
              <w:rPr>
                <w:rFonts w:ascii="Arial" w:cs="Arial" w:eastAsia="Arial" w:hAnsi="Arial"/>
                <w:sz w:val="8"/>
                <w:szCs w:val="8"/>
                <w:b w:val="1"/>
                <w:bCs w:val="1"/>
                <w:color w:val="auto"/>
              </w:rPr>
              <w:t>(4)</w:t>
            </w: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9"/>
          </w:tcPr>
          <w:p>
            <w:pPr>
              <w:jc w:val="center"/>
              <w:ind w:left="454"/>
              <w:spacing w:after="0"/>
              <w:rPr>
                <w:sz w:val="20"/>
                <w:szCs w:val="20"/>
                <w:color w:val="auto"/>
              </w:rPr>
            </w:pPr>
            <w:r>
              <w:rPr>
                <w:rFonts w:ascii="Arial" w:cs="Arial" w:eastAsia="Arial" w:hAnsi="Arial"/>
                <w:sz w:val="14"/>
                <w:szCs w:val="14"/>
                <w:b w:val="1"/>
                <w:bCs w:val="1"/>
                <w:color w:val="auto"/>
                <w:w w:val="93"/>
              </w:rPr>
              <w:t>Year Ended December 31,</w:t>
            </w: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2018-2017</w:t>
            </w: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2017-2016</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334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restart"/>
          </w:tcPr>
          <w:p>
            <w:pPr>
              <w:jc w:val="center"/>
              <w:ind w:right="112"/>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Volume</w:t>
            </w:r>
          </w:p>
        </w:tc>
        <w:tc>
          <w:tcPr>
            <w:tcW w:w="100" w:type="dxa"/>
            <w:vAlign w:val="bottom"/>
            <w:gridSpan w:val="2"/>
            <w:vMerge w:val="restart"/>
          </w:tcPr>
          <w:p>
            <w:pPr>
              <w:spacing w:after="0"/>
              <w:rPr>
                <w:sz w:val="6"/>
                <w:szCs w:val="6"/>
                <w:color w:val="auto"/>
              </w:rPr>
            </w:pPr>
          </w:p>
        </w:tc>
        <w:tc>
          <w:tcPr>
            <w:tcW w:w="400" w:type="dxa"/>
            <w:vAlign w:val="bottom"/>
            <w:vMerge w:val="restart"/>
          </w:tcPr>
          <w:p>
            <w:pPr>
              <w:spacing w:after="0"/>
              <w:rPr>
                <w:sz w:val="6"/>
                <w:szCs w:val="6"/>
                <w:color w:val="auto"/>
              </w:rPr>
            </w:pPr>
          </w:p>
        </w:tc>
        <w:tc>
          <w:tcPr>
            <w:tcW w:w="70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Volume</w:t>
            </w:r>
          </w:p>
        </w:tc>
        <w:tc>
          <w:tcPr>
            <w:tcW w:w="120" w:type="dxa"/>
            <w:vAlign w:val="bottom"/>
            <w:gridSpan w:val="2"/>
            <w:vMerge w:val="restart"/>
          </w:tcPr>
          <w:p>
            <w:pPr>
              <w:spacing w:after="0"/>
              <w:rPr>
                <w:sz w:val="6"/>
                <w:szCs w:val="6"/>
                <w:color w:val="auto"/>
              </w:rPr>
            </w:pPr>
          </w:p>
        </w:tc>
        <w:tc>
          <w:tcPr>
            <w:tcW w:w="360" w:type="dxa"/>
            <w:vAlign w:val="bottom"/>
            <w:vMerge w:val="restart"/>
          </w:tcPr>
          <w:p>
            <w:pPr>
              <w:spacing w:after="0"/>
              <w:rPr>
                <w:sz w:val="6"/>
                <w:szCs w:val="6"/>
                <w:color w:val="auto"/>
              </w:rPr>
            </w:pPr>
          </w:p>
        </w:tc>
        <w:tc>
          <w:tcPr>
            <w:tcW w:w="72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 of barrels per day)</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Crude oil lease gathering purchases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3340" w:type="dxa"/>
            <w:vAlign w:val="bottom"/>
            <w:gridSpan w:val="3"/>
          </w:tcPr>
          <w:p>
            <w:pPr>
              <w:ind w:left="20"/>
              <w:spacing w:after="0"/>
              <w:rPr>
                <w:sz w:val="20"/>
                <w:szCs w:val="20"/>
                <w:color w:val="auto"/>
              </w:rPr>
            </w:pPr>
            <w:r>
              <w:rPr>
                <w:rFonts w:ascii="Arial" w:cs="Arial" w:eastAsia="Arial" w:hAnsi="Arial"/>
                <w:sz w:val="18"/>
                <w:szCs w:val="18"/>
                <w:color w:val="auto"/>
              </w:rPr>
              <w:t>NGL sales</w:t>
            </w: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Supply and Logistics segment total</w:t>
            </w:r>
          </w:p>
        </w:tc>
        <w:tc>
          <w:tcPr>
            <w:tcW w:w="22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1,219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volumes</w:t>
            </w: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that variance as a percentage is not meaningful.</w:t>
      </w:r>
    </w:p>
    <w:p>
      <w:pPr>
        <w:spacing w:after="0" w:line="60"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25"/>
          <w:szCs w:val="25"/>
          <w:color w:val="auto"/>
          <w:vertAlign w:val="superscript"/>
        </w:rPr>
      </w:pPr>
      <w:r>
        <w:rPr>
          <w:rFonts w:ascii="Arial" w:cs="Arial" w:eastAsia="Arial" w:hAnsi="Arial"/>
          <w:sz w:val="18"/>
          <w:szCs w:val="18"/>
          <w:color w:val="auto"/>
        </w:rPr>
        <w:t>Revenues and costs include intersegment amounts.</w:t>
      </w:r>
    </w:p>
    <w:p>
      <w:pPr>
        <w:spacing w:after="0" w:line="98" w:lineRule="exact"/>
        <w:rPr>
          <w:rFonts w:ascii="Arial" w:cs="Arial" w:eastAsia="Arial" w:hAnsi="Arial"/>
          <w:sz w:val="25"/>
          <w:szCs w:val="25"/>
          <w:color w:val="auto"/>
          <w:vertAlign w:val="superscript"/>
        </w:rPr>
      </w:pPr>
    </w:p>
    <w:p>
      <w:pPr>
        <w:ind w:left="660" w:hanging="652"/>
        <w:spacing w:after="0" w:line="196" w:lineRule="auto"/>
        <w:tabs>
          <w:tab w:leader="none" w:pos="660" w:val="left"/>
        </w:tabs>
        <w:numPr>
          <w:ilvl w:val="0"/>
          <w:numId w:val="67"/>
        </w:numPr>
        <w:rPr>
          <w:rFonts w:ascii="Arial" w:cs="Arial" w:eastAsia="Arial" w:hAnsi="Arial"/>
          <w:sz w:val="24"/>
          <w:szCs w:val="24"/>
          <w:color w:val="auto"/>
          <w:vertAlign w:val="superscript"/>
        </w:rPr>
      </w:pPr>
      <w:r>
        <w:rPr>
          <w:rFonts w:ascii="Arial" w:cs="Arial" w:eastAsia="Arial" w:hAnsi="Arial"/>
          <w:sz w:val="17"/>
          <w:szCs w:val="17"/>
          <w:color w:val="auto"/>
        </w:rPr>
        <w:t>Segment general and administrative expenses reflect direct costs attributable to each segment and an allocation of other expenses to the</w:t>
      </w:r>
    </w:p>
    <w:p>
      <w:pPr>
        <w:spacing w:after="0" w:line="2" w:lineRule="exact"/>
        <w:rPr>
          <w:rFonts w:ascii="Arial" w:cs="Arial" w:eastAsia="Arial" w:hAnsi="Arial"/>
          <w:sz w:val="24"/>
          <w:szCs w:val="24"/>
          <w:color w:val="auto"/>
          <w:vertAlign w:val="superscript"/>
        </w:rPr>
      </w:pPr>
    </w:p>
    <w:p>
      <w:pPr>
        <w:ind w:left="660" w:right="160"/>
        <w:spacing w:after="0" w:line="259" w:lineRule="auto"/>
        <w:rPr>
          <w:rFonts w:ascii="Arial" w:cs="Arial" w:eastAsia="Arial" w:hAnsi="Arial"/>
          <w:sz w:val="24"/>
          <w:szCs w:val="24"/>
          <w:color w:val="auto"/>
          <w:vertAlign w:val="superscript"/>
        </w:rPr>
      </w:pPr>
      <w:r>
        <w:rPr>
          <w:rFonts w:ascii="Arial" w:cs="Arial" w:eastAsia="Arial" w:hAnsi="Arial"/>
          <w:sz w:val="18"/>
          <w:szCs w:val="18"/>
          <w:color w:val="auto"/>
        </w:rPr>
        <w:t>segments. The proportional allocations by segment require judgment by management and are based on the business activities that exist during each period.</w:t>
      </w:r>
    </w:p>
    <w:p>
      <w:pPr>
        <w:spacing w:after="0" w:line="77" w:lineRule="exact"/>
        <w:rPr>
          <w:rFonts w:ascii="Arial" w:cs="Arial" w:eastAsia="Arial" w:hAnsi="Arial"/>
          <w:sz w:val="24"/>
          <w:szCs w:val="24"/>
          <w:color w:val="auto"/>
          <w:vertAlign w:val="superscript"/>
        </w:rPr>
      </w:pPr>
    </w:p>
    <w:p>
      <w:pPr>
        <w:ind w:left="660" w:right="620" w:hanging="652"/>
        <w:spacing w:after="0" w:line="216" w:lineRule="auto"/>
        <w:tabs>
          <w:tab w:leader="none" w:pos="660" w:val="left"/>
        </w:tabs>
        <w:numPr>
          <w:ilvl w:val="0"/>
          <w:numId w:val="67"/>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20 to our Consolidated Financial Statements for additional discussion of such adjustments.</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67"/>
        </w:numPr>
        <w:rPr>
          <w:rFonts w:ascii="Arial" w:cs="Arial" w:eastAsia="Arial" w:hAnsi="Arial"/>
          <w:sz w:val="25"/>
          <w:szCs w:val="25"/>
          <w:color w:val="auto"/>
          <w:vertAlign w:val="superscript"/>
        </w:rPr>
      </w:pPr>
      <w:r>
        <w:rPr>
          <w:rFonts w:ascii="Arial" w:cs="Arial" w:eastAsia="Arial" w:hAnsi="Arial"/>
          <w:sz w:val="18"/>
          <w:szCs w:val="18"/>
          <w:color w:val="auto"/>
        </w:rPr>
        <w:t>Average daily volumes are calculated as the total volumes for the period divided by the number of days in the period.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125" w:right="2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range of the NYMEX West Texas Intermediate benchmark price of crude oil (in dollars per barrel):</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NYMEX WTI</w:t>
            </w:r>
          </w:p>
        </w:tc>
        <w:tc>
          <w:tcPr>
            <w:tcW w:w="960" w:type="dxa"/>
            <w:vAlign w:val="bottom"/>
          </w:tcPr>
          <w:p>
            <w:pPr>
              <w:spacing w:after="0"/>
              <w:rPr>
                <w:sz w:val="14"/>
                <w:szCs w:val="14"/>
                <w:color w:val="auto"/>
              </w:rPr>
            </w:pPr>
          </w:p>
        </w:tc>
      </w:t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Crude Oil Price</w:t>
            </w:r>
          </w:p>
        </w:tc>
        <w:tc>
          <w:tcPr>
            <w:tcW w:w="960" w:type="dxa"/>
            <w:vAlign w:val="bottom"/>
            <w:tcBorders>
              <w:bottom w:val="single" w:sz="8" w:color="auto"/>
            </w:tcBorders>
          </w:tcPr>
          <w:p>
            <w:pPr>
              <w:spacing w:after="0"/>
              <w:rPr>
                <w:sz w:val="16"/>
                <w:szCs w:val="16"/>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4"/>
                <w:szCs w:val="14"/>
                <w:b w:val="1"/>
                <w:bCs w:val="1"/>
                <w:color w:val="auto"/>
              </w:rPr>
              <w:t>During the Year Ended December 31,</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Low</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494"/>
              <w:spacing w:after="0"/>
              <w:rPr>
                <w:sz w:val="20"/>
                <w:szCs w:val="20"/>
                <w:color w:val="auto"/>
              </w:rPr>
            </w:pPr>
            <w:r>
              <w:rPr>
                <w:rFonts w:ascii="Arial" w:cs="Arial" w:eastAsia="Arial" w:hAnsi="Arial"/>
                <w:sz w:val="14"/>
                <w:szCs w:val="14"/>
                <w:b w:val="1"/>
                <w:bCs w:val="1"/>
                <w:color w:val="auto"/>
              </w:rPr>
              <w:t>High</w:t>
            </w:r>
          </w:p>
        </w:tc>
      </w:tr>
      <w:tr>
        <w:trPr>
          <w:trHeight w:val="250"/>
        </w:trPr>
        <w:tc>
          <w:tcPr>
            <w:tcW w:w="82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7"/>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w:t>
            </w:r>
          </w:p>
        </w:tc>
      </w:tr>
      <w:tr>
        <w:trPr>
          <w:trHeight w:val="27"/>
        </w:trPr>
        <w:tc>
          <w:tcPr>
            <w:tcW w:w="8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The absolute amount of our revenues and purchases increased for each of the years presented primarily due to higher crude oil prices and volumes during the comparative periods. Additionally, revenues were impacted by net gains and losses from certain derivative activities during the periods.</w:t>
      </w:r>
    </w:p>
    <w:p>
      <w:pPr>
        <w:spacing w:after="0" w:line="188" w:lineRule="exact"/>
        <w:rPr>
          <w:sz w:val="20"/>
          <w:szCs w:val="20"/>
          <w:color w:val="auto"/>
        </w:rPr>
      </w:pPr>
    </w:p>
    <w:p>
      <w:pPr>
        <w:ind w:right="840" w:firstLine="648"/>
        <w:spacing w:after="0" w:line="264" w:lineRule="auto"/>
        <w:rPr>
          <w:sz w:val="20"/>
          <w:szCs w:val="20"/>
          <w:color w:val="auto"/>
        </w:rPr>
      </w:pPr>
      <w:r>
        <w:rPr>
          <w:rFonts w:ascii="Arial" w:cs="Arial" w:eastAsia="Arial" w:hAnsi="Arial"/>
          <w:sz w:val="18"/>
          <w:szCs w:val="18"/>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Supply and Logistics segment operating results for the periods indicated.</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i w:val="1"/>
          <w:iCs w:val="1"/>
          <w:color w:val="auto"/>
        </w:rPr>
        <w:t xml:space="preserve">Segment Adjusted EBITDA and Volumes. </w:t>
      </w:r>
      <w:r>
        <w:rPr>
          <w:rFonts w:ascii="Arial" w:cs="Arial" w:eastAsia="Arial" w:hAnsi="Arial"/>
          <w:sz w:val="18"/>
          <w:szCs w:val="18"/>
          <w:color w:val="auto"/>
        </w:rPr>
        <w:t>The following summarizes the significant items impacting our Supply and Logistics Segment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EBITDA for the comparative periods:</w:t>
      </w:r>
    </w:p>
    <w:p>
      <w:pPr>
        <w:spacing w:after="0" w:line="170" w:lineRule="exact"/>
        <w:rPr>
          <w:sz w:val="20"/>
          <w:szCs w:val="20"/>
          <w:color w:val="auto"/>
        </w:rPr>
      </w:pPr>
    </w:p>
    <w:p>
      <w:pPr>
        <w:ind w:left="660" w:right="40" w:hanging="328"/>
        <w:spacing w:after="0" w:line="259"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Crude Oil Operations. </w:t>
      </w:r>
      <w:r>
        <w:rPr>
          <w:rFonts w:ascii="Arial" w:cs="Arial" w:eastAsia="Arial" w:hAnsi="Arial"/>
          <w:sz w:val="18"/>
          <w:szCs w:val="18"/>
          <w:color w:val="auto"/>
        </w:rPr>
        <w:t>Net revenues from our crude oil supply and logistics operations increased for the year ended December 31, 2018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2017 primarily due to favorable grade differentials, primarily in the Permian Basin and Western Canada. Such favorable impacts more than offset the benefit to the 2017 period of the contango market conditions. See the “Market Overview and Outlook” section below for additional discussion of recent market conditions.</w:t>
      </w:r>
    </w:p>
    <w:p>
      <w:pPr>
        <w:spacing w:after="0" w:line="186" w:lineRule="exact"/>
        <w:rPr>
          <w:rFonts w:ascii="Arial" w:cs="Arial" w:eastAsia="Arial" w:hAnsi="Arial"/>
          <w:sz w:val="18"/>
          <w:szCs w:val="18"/>
          <w:color w:val="auto"/>
        </w:rPr>
      </w:pPr>
    </w:p>
    <w:p>
      <w:pPr>
        <w:ind w:left="660" w:right="120"/>
        <w:spacing w:after="0" w:line="259" w:lineRule="auto"/>
        <w:rPr>
          <w:rFonts w:ascii="Arial" w:cs="Arial" w:eastAsia="Arial" w:hAnsi="Arial"/>
          <w:sz w:val="18"/>
          <w:szCs w:val="18"/>
          <w:color w:val="auto"/>
        </w:rPr>
      </w:pPr>
      <w:r>
        <w:rPr>
          <w:rFonts w:ascii="Arial" w:cs="Arial" w:eastAsia="Arial" w:hAnsi="Arial"/>
          <w:sz w:val="18"/>
          <w:szCs w:val="18"/>
          <w:color w:val="auto"/>
        </w:rPr>
        <w:t>Net revenues from our crude oil supply and logistics operations decreased for the year ended December 31, 2017 compared to the year ended December 31, 2016 primarily due to lower unit margins, largely due to the negative impact from overbuilt infrastructure, underwritten by volume commitments, and the effect of such on differentials, which, in turn, reduced arbitrage opportunities. Such unfavorable impacts were partially offset by the favorable impact of contango market conditions in 2017.</w:t>
      </w:r>
    </w:p>
    <w:p>
      <w:pPr>
        <w:spacing w:after="0" w:line="186" w:lineRule="exact"/>
        <w:rPr>
          <w:rFonts w:ascii="Arial" w:cs="Arial" w:eastAsia="Arial" w:hAnsi="Arial"/>
          <w:sz w:val="18"/>
          <w:szCs w:val="18"/>
          <w:color w:val="auto"/>
        </w:rPr>
      </w:pPr>
    </w:p>
    <w:p>
      <w:pPr>
        <w:ind w:left="660" w:right="260" w:hanging="328"/>
        <w:spacing w:after="0" w:line="259"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NGL Operations. </w:t>
      </w:r>
      <w:r>
        <w:rPr>
          <w:rFonts w:ascii="Arial" w:cs="Arial" w:eastAsia="Arial" w:hAnsi="Arial"/>
          <w:sz w:val="18"/>
          <w:szCs w:val="18"/>
          <w:color w:val="auto"/>
        </w:rPr>
        <w:t>Net revenues from our NGL operations increased for the year ended December 31, 2018 compared to the same period in 2017</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(i) an audit recovery in 2018 related to a profit-sharing arrangement, (ii) lower supply costs at our straddle plants relative to NGL values, (iii) favorable impacts from a wider isobutane/normal butane differential and (iv) modifications made to our contracting strategies in the 2017-2018 heating season.</w:t>
      </w:r>
    </w:p>
    <w:p>
      <w:pPr>
        <w:spacing w:after="0" w:line="186" w:lineRule="exact"/>
        <w:rPr>
          <w:rFonts w:ascii="Arial" w:cs="Arial" w:eastAsia="Arial" w:hAnsi="Arial"/>
          <w:sz w:val="18"/>
          <w:szCs w:val="18"/>
          <w:color w:val="auto"/>
        </w:rPr>
      </w:pPr>
    </w:p>
    <w:p>
      <w:pPr>
        <w:ind w:left="660"/>
        <w:spacing w:after="0" w:line="259" w:lineRule="auto"/>
        <w:rPr>
          <w:rFonts w:ascii="Arial" w:cs="Arial" w:eastAsia="Arial" w:hAnsi="Arial"/>
          <w:sz w:val="18"/>
          <w:szCs w:val="18"/>
          <w:color w:val="auto"/>
        </w:rPr>
      </w:pPr>
      <w:r>
        <w:rPr>
          <w:rFonts w:ascii="Arial" w:cs="Arial" w:eastAsia="Arial" w:hAnsi="Arial"/>
          <w:sz w:val="18"/>
          <w:szCs w:val="18"/>
          <w:color w:val="auto"/>
        </w:rPr>
        <w:t>Net revenues from our NGL operations decreased for the year ended December 31, 2017 compared to the year ended December 31, 2016, largely due to (i) higher supply costs and tighter differentials driven by competition, which more than offset higher sales volume from the Western Canada NGL assets acquired in August 2016, (ii) warmer weather during the first-quarter 2017 heating season and (iii) higher storage and processing fees for the 2017 period, which were largely offset in our Facilities segment results.</w:t>
      </w:r>
    </w:p>
    <w:p>
      <w:pPr>
        <w:spacing w:after="0" w:line="186" w:lineRule="exact"/>
        <w:rPr>
          <w:rFonts w:ascii="Arial" w:cs="Arial" w:eastAsia="Arial" w:hAnsi="Arial"/>
          <w:sz w:val="18"/>
          <w:szCs w:val="18"/>
          <w:color w:val="auto"/>
        </w:rPr>
      </w:pPr>
    </w:p>
    <w:p>
      <w:pPr>
        <w:ind w:left="660" w:right="100" w:hanging="328"/>
        <w:spacing w:after="0" w:line="297"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 xml:space="preserve">Impact from Certain Derivative Activities, Net of Inventory Valuation Adjustments. </w:t>
      </w:r>
      <w:r>
        <w:rPr>
          <w:rFonts w:ascii="Arial" w:cs="Arial" w:eastAsia="Arial" w:hAnsi="Arial"/>
          <w:sz w:val="16"/>
          <w:szCs w:val="16"/>
          <w:color w:val="auto"/>
        </w:rPr>
        <w:t>The impact from certain derivative activities on our net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includes mark-to-market and other gains and losses resulting from certain derivative instruments that are related to underlying activities in another period (or the reversal of mark-to-market gains and losses from a prior period), losses on derivatives that are related to investing activities (such as the purchase of linefill) and inventory valuation adjustments, as applicable. See Note 13 to our Consolidated Financial Statements for a comprehensive discussion regarding our derivatives and risk management activities. These gains and losses impact our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revenues but are excluded from Segment Adjusted EBITDA and thus are reflected as an “Adjustment” in the table above.</w:t>
      </w:r>
    </w:p>
    <w:p>
      <w:pPr>
        <w:spacing w:after="0" w:line="239" w:lineRule="exact"/>
        <w:rPr>
          <w:sz w:val="20"/>
          <w:szCs w:val="20"/>
          <w:color w:val="auto"/>
        </w:rPr>
      </w:pPr>
    </w:p>
    <w:p>
      <w:pPr>
        <w:ind w:left="660" w:right="40" w:hanging="328"/>
        <w:spacing w:after="0" w:line="297"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 xml:space="preserve">Long-Term Inventory Costing Adjustments. </w:t>
      </w:r>
      <w:r>
        <w:rPr>
          <w:rFonts w:ascii="Arial" w:cs="Arial" w:eastAsia="Arial" w:hAnsi="Arial"/>
          <w:sz w:val="16"/>
          <w:szCs w:val="16"/>
          <w:color w:val="auto"/>
        </w:rPr>
        <w:t>Our net revenues are impacted by changes in the weighted average cost of our crude oil and NGL</w:t>
      </w:r>
      <w:r>
        <w:rPr>
          <w:rFonts w:ascii="Arial" w:cs="Arial" w:eastAsia="Arial" w:hAnsi="Arial"/>
          <w:sz w:val="16"/>
          <w:szCs w:val="16"/>
          <w:i w:val="1"/>
          <w:iCs w:val="1"/>
          <w:color w:val="auto"/>
        </w:rPr>
        <w:t xml:space="preserve"> </w:t>
      </w:r>
      <w:r>
        <w:rPr>
          <w:rFonts w:ascii="Arial" w:cs="Arial" w:eastAsia="Arial" w:hAnsi="Arial"/>
          <w:sz w:val="16"/>
          <w:szCs w:val="16"/>
          <w:color w:val="auto"/>
        </w:rPr>
        <w:t>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158" w:lineRule="exact"/>
        <w:rPr>
          <w:rFonts w:ascii="Arial" w:cs="Arial" w:eastAsia="Arial" w:hAnsi="Arial"/>
          <w:sz w:val="16"/>
          <w:szCs w:val="16"/>
          <w:color w:val="auto"/>
        </w:rPr>
      </w:pPr>
    </w:p>
    <w:p>
      <w:pPr>
        <w:ind w:left="660" w:right="400" w:hanging="328"/>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Foreign Exchange Impacts. </w:t>
      </w:r>
      <w:r>
        <w:rPr>
          <w:rFonts w:ascii="Arial" w:cs="Arial" w:eastAsia="Arial" w:hAnsi="Arial"/>
          <w:sz w:val="18"/>
          <w:szCs w:val="18"/>
          <w:color w:val="auto"/>
        </w:rPr>
        <w:t>Our net revenues are impacted by fluctuations in the value of CAD to USD, resulting in foreign exchange gains and</w:t>
      </w:r>
      <w:r>
        <w:rPr>
          <w:rFonts w:ascii="Arial" w:cs="Arial" w:eastAsia="Arial" w:hAnsi="Arial"/>
          <w:sz w:val="18"/>
          <w:szCs w:val="18"/>
          <w:i w:val="1"/>
          <w:iCs w:val="1"/>
          <w:color w:val="auto"/>
        </w:rPr>
        <w:t xml:space="preserve"> </w:t>
      </w:r>
      <w:r>
        <w:rPr>
          <w:rFonts w:ascii="Arial" w:cs="Arial" w:eastAsia="Arial" w:hAnsi="Arial"/>
          <w:sz w:val="18"/>
          <w:szCs w:val="18"/>
          <w:color w:val="auto"/>
        </w:rPr>
        <w:t>losses on U.S. denominated net assets within our Canadian operations. These gains and losses impact our net revenues but are excluded from Segment Adjusted EBITDA and thus are reflected as an “Adjustment” in the table above.</w:t>
      </w:r>
    </w:p>
    <w:p>
      <w:pPr>
        <w:spacing w:after="0" w:line="181"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6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increase in field operating costs for the year ended December 31, 2018 compared to the year ended December 31, 2017</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driven by higher third-party trucking costs due to an increase in lease gathering volumes and higher fuel costs due to longer hauls and increased volumes.</w:t>
      </w:r>
    </w:p>
    <w:p>
      <w:pPr>
        <w:spacing w:after="0" w:line="181" w:lineRule="exact"/>
        <w:rPr>
          <w:rFonts w:ascii="Arial" w:cs="Arial" w:eastAsia="Arial" w:hAnsi="Arial"/>
          <w:sz w:val="18"/>
          <w:szCs w:val="18"/>
          <w:i w:val="1"/>
          <w:iCs w:val="1"/>
          <w:color w:val="auto"/>
        </w:rPr>
      </w:pPr>
    </w:p>
    <w:p>
      <w:pPr>
        <w:ind w:left="660" w:right="300"/>
        <w:spacing w:after="0" w:line="342" w:lineRule="auto"/>
        <w:rPr>
          <w:rFonts w:ascii="Arial" w:cs="Arial" w:eastAsia="Arial" w:hAnsi="Arial"/>
          <w:sz w:val="18"/>
          <w:szCs w:val="18"/>
          <w:i w:val="1"/>
          <w:iCs w:val="1"/>
          <w:color w:val="auto"/>
        </w:rPr>
      </w:pPr>
      <w:r>
        <w:rPr>
          <w:rFonts w:ascii="Arial" w:cs="Arial" w:eastAsia="Arial" w:hAnsi="Arial"/>
          <w:sz w:val="16"/>
          <w:szCs w:val="16"/>
          <w:color w:val="auto"/>
        </w:rPr>
        <w:t>The decrease in field operating costs for the year ended December 31, 2017 compared to the year ended December 31, 2016 was primarily due to lower trucking costs as pipeline expansion projects were placed into service and lease gathering volumes shifted from trucks to pipelines.</w:t>
      </w:r>
    </w:p>
    <w:p>
      <w:pPr>
        <w:spacing w:after="0" w:line="123" w:lineRule="exact"/>
        <w:rPr>
          <w:rFonts w:ascii="Arial" w:cs="Arial" w:eastAsia="Arial" w:hAnsi="Arial"/>
          <w:sz w:val="18"/>
          <w:szCs w:val="18"/>
          <w:i w:val="1"/>
          <w:iCs w:val="1"/>
          <w:color w:val="auto"/>
        </w:rPr>
      </w:pPr>
    </w:p>
    <w:p>
      <w:pPr>
        <w:ind w:left="660" w:hanging="328"/>
        <w:spacing w:after="0" w:line="272" w:lineRule="auto"/>
        <w:tabs>
          <w:tab w:leader="none" w:pos="660" w:val="left"/>
        </w:tabs>
        <w:numPr>
          <w:ilvl w:val="0"/>
          <w:numId w:val="6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Segment General and Administrative Expenses. </w:t>
      </w:r>
      <w:r>
        <w:rPr>
          <w:rFonts w:ascii="Arial" w:cs="Arial" w:eastAsia="Arial" w:hAnsi="Arial"/>
          <w:sz w:val="17"/>
          <w:szCs w:val="17"/>
          <w:color w:val="auto"/>
        </w:rPr>
        <w:t>The increase in segment general and administrative expenses for the year ended December 31, 2018</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year ended December 31, 2017 was primarily driven by (i) an increase in equity-indexed compensation expense due to a smaller impact from the decrease in PAA unit price for the 2018 period compared to the decrease in PAA unit price for the 2017 period as well as shorter service periods for awards outstanding during 2018 compared to 2017 and (ii) an increase in personnel costs due primarily to general salary increases and employee severance costs associated with personnel reductions. A portion of equity-indexed compensation expense was associated with awards that will or may be settled in PAA common units (which impact our general and administrative expenses but are excluded from Segment Adjusted EBITDA and thus are reflected as an “Adjustment” in the table above).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Depreciation and amortization expense increased for the year ended December 31, 2018 compared to the same period in 2017 largely driven by additional depreciation associated with the completion of various capital expansion projects, partially offset by the impact of asset sales in the Rocky Mountain region in the fourth quarter of 2017 and the second quarter of 2018.</w:t>
      </w:r>
    </w:p>
    <w:p>
      <w:pPr>
        <w:spacing w:after="0" w:line="18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Depreciation and amortization expense increased for the year ended December 31, 2017 compared to the same period in 2016 largely driven by additional depreciation associated with acquisitions and the completion of various capital expansion projects.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6 to our Consolidated Financial Statements for additional information.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Gains/Losses on Asset Sales and Asset Impairments, Net</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Net gains/losses on asset sales and asset impairments reflects a gain for the year ended December 31, 2018 as compared to a loss for the same period in 2017, and was largely driven by (i) gains on 2018 asset sales, primarily in the Rocky Mountain region and including the sale of an undivided joint interest in a capital expansion project in the Permian Basin region, and (ii) the impact of impairments and accelerated depreciation during 2017 associated with certain of our rail and terminal assets, partially offset by smaller net gains from non-core asset sales and joint venture formations.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Net gains/losses on asset sales and asset impairments reflects a loss for the year ended December 31, 2017 as compared to a gain for the same period in 2016, and was largely driven by the impact of impairments and accelerated depreciation recognized during 2017 associated with certain of our rail and terminal assets, partially offset by smaller net gains from non-core asset sales and joint venture formations.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 Sale of Investment in Unconsolidated Entities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During the third quarter of 2018, we sold a 30% interest in BridgeTex for proceeds of $868 million, resulting in a gain of $200 million. We retained a 20% interest in BridgeTex.</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is primarily impacted by:</w:t>
      </w:r>
    </w:p>
    <w:p>
      <w:pPr>
        <w:spacing w:after="0" w:line="333" w:lineRule="exact"/>
        <w:rPr>
          <w:sz w:val="20"/>
          <w:szCs w:val="20"/>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weighted average debt balances;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level and maturity of fixed rate debt and interest rates associated therewith;</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market interest rates and our interest rate hedging activities;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interest capitalized on capital projects.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the interest expense variance (in millions, except percentages):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Average</w:t>
            </w:r>
          </w:p>
        </w:tc>
        <w:tc>
          <w:tcPr>
            <w:tcW w:w="1560" w:type="dxa"/>
            <w:vAlign w:val="bottom"/>
          </w:tcPr>
          <w:p>
            <w:pPr>
              <w:jc w:val="right"/>
              <w:ind w:right="137"/>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766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LIBOR</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 xml:space="preserve">Interest Rate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for the year ended December 31, 2016</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180"/>
              <w:spacing w:after="0"/>
              <w:rPr>
                <w:sz w:val="20"/>
                <w:szCs w:val="20"/>
                <w:color w:val="auto"/>
              </w:rPr>
            </w:pPr>
            <w:r>
              <w:rPr>
                <w:rFonts w:ascii="Arial" w:cs="Arial" w:eastAsia="Arial" w:hAnsi="Arial"/>
                <w:sz w:val="18"/>
                <w:szCs w:val="18"/>
                <w:color w:val="auto"/>
              </w:rPr>
              <w:t>Impact of borrowings under credit facilities and PAA commercial paper program</w:t>
            </w: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Impact of lower capitalized interest</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for the year ended December 31, 2017</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tcPr>
          <w:p>
            <w:pPr>
              <w:ind w:left="180"/>
              <w:spacing w:after="0"/>
              <w:rPr>
                <w:sz w:val="20"/>
                <w:szCs w:val="20"/>
                <w:color w:val="auto"/>
              </w:rPr>
            </w:pPr>
            <w:r>
              <w:rPr>
                <w:rFonts w:ascii="Arial" w:cs="Arial" w:eastAsia="Arial" w:hAnsi="Arial"/>
                <w:sz w:val="18"/>
                <w:szCs w:val="18"/>
                <w:color w:val="auto"/>
              </w:rPr>
              <w:t>Impact of retirement of PAA senior notes</w:t>
            </w:r>
          </w:p>
        </w:tc>
        <w:tc>
          <w:tcPr>
            <w:tcW w:w="4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Interest expense for the year ended December 31, 2018</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25"/>
          <w:szCs w:val="25"/>
          <w:color w:val="auto"/>
          <w:vertAlign w:val="superscript"/>
        </w:rPr>
      </w:pPr>
      <w:r>
        <w:rPr>
          <w:rFonts w:ascii="Arial" w:cs="Arial" w:eastAsia="Arial" w:hAnsi="Arial"/>
          <w:sz w:val="18"/>
          <w:szCs w:val="18"/>
          <w:color w:val="auto"/>
        </w:rPr>
        <w:t>Excludes commitment and other fees.</w:t>
      </w:r>
    </w:p>
    <w:p>
      <w:pPr>
        <w:spacing w:after="0" w:line="202"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Interest expense decreased for the year ended December 31, 2018 compared to the year ended December 31, 2017 primarily due to a lower weighted average debt balance during the 2018 period, largely resulting from the repayment of an aggregate of $950 million of PAA senior notes in December 2017.</w:t>
      </w:r>
    </w:p>
    <w:p>
      <w:pPr>
        <w:spacing w:after="0" w:line="124"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Interest expense increased for the year ended December 31, 2017 compared to the year ended December 31, 2016 primarily due to (i) a higher weighted average debt balance during the 2017 period and (ii) lower capitalized interest in the 2017 period due to fewer capital projects under construction.</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11 to our Consolidated Financial Statements for additional information regarding our debt activities during the periods presented.</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Other income/(expense), net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4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2016</w:t>
            </w:r>
          </w:p>
        </w:tc>
      </w:tr>
      <w:tr>
        <w:trPr>
          <w:trHeight w:val="270"/>
        </w:trPr>
        <w:tc>
          <w:tcPr>
            <w:tcW w:w="5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Loss on early redemption of senior notes </w:t>
            </w:r>
            <w:r>
              <w:rPr>
                <w:rFonts w:ascii="Arial" w:cs="Arial" w:eastAsia="Arial" w:hAnsi="Arial"/>
                <w:sz w:val="25"/>
                <w:szCs w:val="25"/>
                <w:color w:val="auto"/>
                <w:vertAlign w:val="superscript"/>
              </w:rPr>
              <w:t>(1)</w:t>
            </w:r>
          </w:p>
        </w:tc>
        <w:tc>
          <w:tcPr>
            <w:tcW w:w="126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29"/>
        </w:trPr>
        <w:tc>
          <w:tcPr>
            <w:tcW w:w="5740" w:type="dxa"/>
            <w:vAlign w:val="bottom"/>
          </w:tcPr>
          <w:p>
            <w:pPr>
              <w:ind w:left="40"/>
              <w:spacing w:after="0"/>
              <w:rPr>
                <w:sz w:val="20"/>
                <w:szCs w:val="20"/>
                <w:color w:val="auto"/>
              </w:rPr>
            </w:pPr>
            <w:r>
              <w:rPr>
                <w:rFonts w:ascii="Arial" w:cs="Arial" w:eastAsia="Arial" w:hAnsi="Arial"/>
                <w:sz w:val="18"/>
                <w:szCs w:val="18"/>
                <w:color w:val="auto"/>
              </w:rPr>
              <w:t>Gains/(losses) related to mark-to-market adjustment of the Preferred</w:t>
            </w:r>
          </w:p>
        </w:tc>
        <w:tc>
          <w:tcPr>
            <w:tcW w:w="1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7"/>
        </w:trPr>
        <w:tc>
          <w:tcPr>
            <w:tcW w:w="5740" w:type="dxa"/>
            <w:vAlign w:val="bottom"/>
          </w:tcPr>
          <w:p>
            <w:pPr>
              <w:ind w:left="200"/>
              <w:spacing w:after="0" w:line="257" w:lineRule="exact"/>
              <w:rPr>
                <w:sz w:val="20"/>
                <w:szCs w:val="20"/>
                <w:color w:val="auto"/>
              </w:rPr>
            </w:pPr>
            <w:r>
              <w:rPr>
                <w:rFonts w:ascii="Arial" w:cs="Arial" w:eastAsia="Arial" w:hAnsi="Arial"/>
                <w:sz w:val="18"/>
                <w:szCs w:val="18"/>
                <w:color w:val="auto"/>
              </w:rPr>
              <w:t xml:space="preserve">Distribution Rate Reset Option </w:t>
            </w:r>
            <w:r>
              <w:rPr>
                <w:rFonts w:ascii="Arial" w:cs="Arial" w:eastAsia="Arial" w:hAnsi="Arial"/>
                <w:sz w:val="25"/>
                <w:szCs w:val="25"/>
                <w:color w:val="auto"/>
                <w:vertAlign w:val="superscript"/>
              </w:rPr>
              <w:t>(2)</w:t>
            </w:r>
          </w:p>
        </w:tc>
        <w:tc>
          <w:tcPr>
            <w:tcW w:w="12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30</w:t>
            </w: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r>
      <w:tr>
        <w:trPr>
          <w:trHeight w:val="237"/>
        </w:trPr>
        <w:tc>
          <w:tcPr>
            <w:tcW w:w="5740" w:type="dxa"/>
            <w:vAlign w:val="bottom"/>
          </w:tcPr>
          <w:p>
            <w:pPr>
              <w:spacing w:after="0"/>
              <w:rPr>
                <w:sz w:val="20"/>
                <w:szCs w:val="20"/>
                <w:color w:val="auto"/>
              </w:rPr>
            </w:pPr>
          </w:p>
        </w:tc>
        <w:tc>
          <w:tcPr>
            <w:tcW w:w="1260" w:type="dxa"/>
            <w:vAlign w:val="bottom"/>
            <w:tcBorders>
              <w:top w:val="single" w:sz="8" w:color="auto"/>
            </w:tcBorders>
          </w:tcPr>
          <w:p>
            <w:pPr>
              <w:jc w:val="right"/>
              <w:ind w:right="105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w:t>
            </w:r>
          </w:p>
        </w:tc>
      </w:tr>
      <w:tr>
        <w:trPr>
          <w:trHeight w:val="27"/>
        </w:trPr>
        <w:tc>
          <w:tcPr>
            <w:tcW w:w="57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57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25"/>
          <w:szCs w:val="25"/>
          <w:color w:val="auto"/>
          <w:vertAlign w:val="superscript"/>
        </w:rPr>
      </w:pPr>
      <w:r>
        <w:rPr>
          <w:rFonts w:ascii="Arial" w:cs="Arial" w:eastAsia="Arial" w:hAnsi="Arial"/>
          <w:sz w:val="18"/>
          <w:szCs w:val="18"/>
          <w:color w:val="auto"/>
        </w:rPr>
        <w:t>See Note 11 to our Consolidated Financial Statements for additional information.</w:t>
      </w:r>
    </w:p>
    <w:p>
      <w:pPr>
        <w:spacing w:after="0" w:line="98" w:lineRule="exact"/>
        <w:rPr>
          <w:rFonts w:ascii="Arial" w:cs="Arial" w:eastAsia="Arial" w:hAnsi="Arial"/>
          <w:sz w:val="25"/>
          <w:szCs w:val="25"/>
          <w:color w:val="auto"/>
          <w:vertAlign w:val="superscript"/>
        </w:rPr>
      </w:pPr>
    </w:p>
    <w:p>
      <w:pPr>
        <w:ind w:left="660" w:hanging="652"/>
        <w:spacing w:after="0" w:line="188" w:lineRule="auto"/>
        <w:tabs>
          <w:tab w:leader="none" w:pos="660" w:val="left"/>
        </w:tabs>
        <w:numPr>
          <w:ilvl w:val="0"/>
          <w:numId w:val="72"/>
        </w:numPr>
        <w:rPr>
          <w:rFonts w:ascii="Arial" w:cs="Arial" w:eastAsia="Arial" w:hAnsi="Arial"/>
          <w:sz w:val="25"/>
          <w:szCs w:val="25"/>
          <w:color w:val="auto"/>
          <w:vertAlign w:val="superscript"/>
        </w:rPr>
      </w:pPr>
      <w:r>
        <w:rPr>
          <w:rFonts w:ascii="Arial" w:cs="Arial" w:eastAsia="Arial" w:hAnsi="Arial"/>
          <w:sz w:val="18"/>
          <w:szCs w:val="18"/>
          <w:color w:val="auto"/>
        </w:rPr>
        <w:t>See Note 13 to our Consolidated Financial Statements for additional information.</w:t>
      </w:r>
    </w:p>
    <w:p>
      <w:pPr>
        <w:spacing w:after="0" w:line="198"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Income tax expense decreased for the year ended December 31, 2018 compared to the year ended December 31, 2017 due to deferred tax expense recorded in the fourth quarter of 2017 related to the re-measurement of our deferred tax asset as a result of the enactment on December 22, 2017 of the Tax Cuts and Jobs Act, partially offset by (i) higher tax expense as a result of higher year-over-year income as impacted by fluctuations in derivative mark-to-market valuations in our Canadian operations during the 2018 period and (ii) higher deferred tax expense recorded in the first quarter of 2018 related to a change in our effective tax rate. See Note 14 to our Consolidated Financial Statements for additional information regarding the re-measurement of our deferred tax asset.</w:t>
      </w:r>
    </w:p>
    <w:p>
      <w:pPr>
        <w:spacing w:after="0" w:line="193"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Income tax expense increased for the year ended December 31, 2017 compared to the year ended December 31, 2016 due to (i) deferred tax expense recorded in the fourth quarter of 2017 related to the re-measurement of our deferred tax asset as a result of the enactment on December 22, 2017 of the Tax Cuts and Jobs Act, (ii) higher year-over-year income as impacted by fluctuations in derivative mark-to-market valuations in our Canadian operations during the 2017 period and (iii) higher deferred tax expense recorded in the first quarter of 2017 related to a change in our effective tax rate.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Overview and Outlook</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2018 marked a year of generally favorable fundamentals supporting our business versus the previous three years of relative cyclical lows. Brent and WTI Crude oil prices were largely constructive for our producer customers throughout the year ranging from a high of $86/$76 to a low of $50/$43, averaging $72/$65, respectively, but ended the year toward the low end of these ranges. 2018 average horizontal rig count in the U.S. increased more than 20% versus 2017, and crude oil production grew in every U.S. basin in which we have a meaningful presence.</w:t>
      </w:r>
    </w:p>
    <w:p>
      <w:pPr>
        <w:spacing w:after="0" w:line="17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late 2018, as crude oil inventories rose, crude oil prices declined, prompting concerns that the crude oil market was over supplied. In December alone, WTI crude prices dipped below $50 per barrel, Permian Basin wellhead prices dipped below $40 per barrel, OPEC and Russia announced plans to curb oil production by approximately 1.2 million barrels per day in the first half of 2019 and in Canada, the province of Alberta took the unprecedented step of mandating curtailment of crude oil production by 325,000 barrels per day in 2019 (such production limits were relaxed in February 2019 to allow an additional 75,000 barrels per day of production). Although crude oil prices have recovered and regional basis differentials have narrowed, the combination of the previously mentioned factors appears to have induced a level of caution among our producer customers and may result in lower capital investment year-over-year and less production growth than previously forecast.</w:t>
      </w:r>
    </w:p>
    <w:p>
      <w:pPr>
        <w:spacing w:after="0" w:line="18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With respect to the crude oil midstream sector, production growth and limited pipeline take-away capacity caused pipelines in many basins to operate at high levels of utilization during 2018, which was favorable for results in both our Transportation and Supply and Logistics segments. Specifically, regional production increases created concerns regarding pipeline take-away capacity, particularly in the Permian Basin and Western Canada, which in turn caused crude oil location differentials in these areas to widen relative to historical norms. This environment created opportunities for our Supply and Logistics segment to generate additional margin. Entering 2019, regional basis differentials have narrowed, and while we may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experience periods of volatility in 2019, we do not expect regional basis differentials to be as wide as they were in 2018 due to mandated production curtailments in Canada and the commissioning of new pipeline takeaway capacity from the Permian Basin in 2019.</w:t>
      </w:r>
    </w:p>
    <w:p>
      <w:pPr>
        <w:spacing w:after="0" w:line="14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Looking forward, we believe the fundamental outlook for the crude oil production in the U.S. to be constructive. Underpinned by technological advancements, and assuming a reasonable crude oil price. U.S. Lower 48 crude oil production is positioned to grow significantly over the next several years, with the Permian Basin representing the most attractive and significant growth region. We believe we are well positioned to grow our fee-based businesses as production in the U.S. increases.</w:t>
      </w:r>
    </w:p>
    <w:p>
      <w:pPr>
        <w:spacing w:after="0" w:line="18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Although the fundamental crude oil production growth outlook is favorable, midstream competition remains high, particularly in the crude oil transportation and terminalling businesses, leading to potential infrastructure overbuild in multiple basins in the U.S. An overbuild of crude oil pipelines could result in location differentials being in-line with or below pipeline tariffs (similar to the impact experienced in recent years). Additionally, although our positioning for the next few years remains solid, we expect to experience continued competitive pressures that could negatively impact our Supply and Logistics activities and certain of our legacy pipelines that are not supported by shipper commitments.</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With respect to the financial markets for our equity securities, investor sentiment for energy investments appeared to be at a relative low throughout 2018. Capital inflows in the upstream and midstream sectors have been historically low, and stock performance has lagged broader markets. As a result, access to conventional financial markets historically relied upon by master limited partnerships (“MLP”) to finance growth-oriented projects and manage debt levels has been both challenging and limited.</w:t>
      </w:r>
    </w:p>
    <w:p>
      <w:pPr>
        <w:spacing w:after="0" w:line="18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August 2017, we announced a plan to reduce our leverage and improve our financial flexibility. Since August of 2017, we have completed a combination of actions, including: reducing our distributions to unitholders, issuing approximately $800 million of preferred equity, completing approximately $2 billion of divestitures, and managing our working capital lower, while funding an expanded capital investment program and growing cash flow. The combination of these factors enabled us to reduce total debt since June 2017 by approximately $2 billion and meaningfully improve our leverage metrics. For the foreseeable future, we plan to fund the equity portion of our routine organic growth capital program with cash flow in excess of distributions, while targeting lower leverage and giving us the opportunity to consider increasing distributions to unitholders over time.</w:t>
      </w:r>
    </w:p>
    <w:p>
      <w:pPr>
        <w:spacing w:after="0" w:line="178" w:lineRule="exact"/>
        <w:rPr>
          <w:sz w:val="20"/>
          <w:szCs w:val="20"/>
          <w:color w:val="auto"/>
        </w:rPr>
      </w:pPr>
    </w:p>
    <w:p>
      <w:pPr>
        <w:ind w:right="240" w:firstLine="180"/>
        <w:spacing w:after="0" w:line="277" w:lineRule="auto"/>
        <w:rPr>
          <w:sz w:val="20"/>
          <w:szCs w:val="20"/>
          <w:color w:val="auto"/>
        </w:rPr>
      </w:pPr>
      <w:r>
        <w:rPr>
          <w:rFonts w:ascii="Arial" w:cs="Arial" w:eastAsia="Arial" w:hAnsi="Arial"/>
          <w:sz w:val="18"/>
          <w:szCs w:val="18"/>
          <w:color w:val="auto"/>
        </w:rPr>
        <w:t>However, we can provide no assurance that we will be able to achieve the objectives set forth above or that our efforts will generate targeted results. See Item 1A. “Risk Factors—Risks Related to PAA’s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 for Certain Idled and Underutilized Assets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During 2015, we shut down Line 901 and a portion of Line 903 in California following the release of crude oil from Line 901 (see Note 18 to our Consolidated Financial Statements for additional information). During the period since these pipelines were idled, we have been assessing potential alternatives in order to return them to operation. Some of the alternatives under consideration could result in incurring costs associated with retiring certain assets or an impairment of some or all of the carrying value of the idled property and equipment, which was approximately $120 million as of December 31, 2018.</w:t>
      </w:r>
    </w:p>
    <w:p>
      <w:pPr>
        <w:spacing w:after="0" w:line="18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As of December 31, 2018, we owned a 54% undivided joint interest in the Capline system, which originates in St. James, Louisiana and terminates in Patoka, Illinois. The construction of new crude oil pipeline infrastructure and the ongoing changing crude oil flows in the United States has resulted in a decline in volumes on the Capline system to levels that cannot sustain operations. Northbound service has been discontinued and the operator is in the process of purging the oil from the system and idling the pipeline. In January 2019, the owners converted their undivided joint interests into a limited liability company and launched a binding open season to solicit shipper interest for a reversal of Capline and the initiation of southbound service on Capline from Patoka, Illinois to St. James, Louisiana and potentially on our Diamond Pipeline and Capline from Cushing, Oklahoma to St. James. If Capline does not secure a sufficient amount of shipper interest to support a reversal of the pipeline system, we could incur costs associated with retiring the system and an impairment of the carrying value of our interest in the Capline system, which was $178 million, exclusive of linefill, as of December 31, 2018.</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125"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a consolidated basis, our primary sources of liquidity are (i) cash flow from operating activities as further discussed below in the section entitled “—Cash Flow from Operating Activities,” (ii) borrowings under PAA’s credit facilities or the PAA commercial paper program and (iii) funds received from sales of equity and debt securities. In addition, we may supplement these sources of liquidity with proceeds from our divestiture program, as further discussed below in the section entitled “—Acquisitions, Investments, Expansion Capital Expenditures and Divestitures.” Our primary cash requirements include, but are not limited to, (i) ordinary course of business uses, such as the payment of amounts related to the purchase of crude oil, NGL and other products, other expenses and interest payments on outstanding debt, (ii) expansion and maintenance activities, (iii) acquisitions of assets or businesses, (iv) repayment of principal on long-term debt and (v) distributions to our Class A shareholders and noncontrolling interests. We generally expect to fund our short-term cash requirements through cash flow generated from operating activities and/or borrowings under the PAA commercial paper program or PAA’s credit facilities. In addition, we generally expect to fund our long-term needs, such as those resulting from expansion activities or acquisitions and refinancing long-term debt, through a variety of sources (either separately or in combination), which may include the sources mentioned above as funding for short-term needs and/or the issuance of additional equity or debt securities and the sale of assets. As of December 31, 2018, we had a working capital surplus of $78 million and approximately $2.9 billion of liquidity available to meet our ongoing operating, investing and financing needs, subject to continued covenant compliance, as noted below (in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right"/>
              <w:ind w:right="595"/>
              <w:spacing w:after="0"/>
              <w:rPr>
                <w:sz w:val="20"/>
                <w:szCs w:val="20"/>
                <w:color w:val="auto"/>
              </w:rPr>
            </w:pPr>
            <w:r>
              <w:rPr>
                <w:rFonts w:ascii="Arial" w:cs="Arial" w:eastAsia="Arial" w:hAnsi="Arial"/>
                <w:sz w:val="14"/>
                <w:szCs w:val="14"/>
                <w:b w:val="1"/>
                <w:bCs w:val="1"/>
                <w:color w:val="auto"/>
              </w:rPr>
              <w:t>As of</w:t>
            </w:r>
          </w:p>
        </w:tc>
      </w:tr>
      <w:tr>
        <w:trPr>
          <w:trHeight w:val="192"/>
        </w:trPr>
        <w:tc>
          <w:tcPr>
            <w:tcW w:w="96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6"/>
              </w:rPr>
              <w:t>December 31, 2018</w:t>
            </w:r>
          </w:p>
        </w:tc>
      </w:tr>
      <w:tr>
        <w:trPr>
          <w:trHeight w:val="270"/>
        </w:trPr>
        <w:tc>
          <w:tcPr>
            <w:tcW w:w="9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25"/>
                <w:szCs w:val="25"/>
                <w:color w:val="auto"/>
                <w:vertAlign w:val="superscript"/>
              </w:rPr>
              <w:t>(1) (2)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1,434</w:t>
            </w:r>
          </w:p>
        </w:tc>
      </w:tr>
      <w:tr>
        <w:trPr>
          <w:trHeight w:val="270"/>
        </w:trPr>
        <w:tc>
          <w:tcPr>
            <w:tcW w:w="96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25"/>
                <w:szCs w:val="25"/>
                <w:color w:val="auto"/>
                <w:vertAlign w:val="superscript"/>
              </w:rPr>
              <w:t>(1) (2)</w:t>
            </w: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1,382</w:t>
            </w:r>
          </w:p>
        </w:tc>
      </w:tr>
      <w:tr>
        <w:trPr>
          <w:trHeight w:val="244"/>
        </w:trPr>
        <w:tc>
          <w:tcPr>
            <w:tcW w:w="9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2,816</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69</w:t>
            </w:r>
          </w:p>
        </w:tc>
      </w:tr>
      <w:tr>
        <w:trPr>
          <w:trHeight w:val="27"/>
        </w:trPr>
        <w:tc>
          <w:tcPr>
            <w:tcW w:w="9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9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2,885</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44" w:lineRule="exact"/>
        <w:rPr>
          <w:sz w:val="20"/>
          <w:szCs w:val="20"/>
          <w:color w:val="auto"/>
        </w:rPr>
      </w:pPr>
    </w:p>
    <w:p>
      <w:pPr>
        <w:ind w:left="640" w:right="480" w:hanging="632"/>
        <w:spacing w:after="0" w:line="216" w:lineRule="auto"/>
        <w:tabs>
          <w:tab w:leader="none" w:pos="640" w:val="left"/>
        </w:tabs>
        <w:numPr>
          <w:ilvl w:val="0"/>
          <w:numId w:val="73"/>
        </w:numPr>
        <w:rPr>
          <w:rFonts w:ascii="Arial" w:cs="Arial" w:eastAsia="Arial" w:hAnsi="Arial"/>
          <w:sz w:val="25"/>
          <w:szCs w:val="25"/>
          <w:color w:val="auto"/>
          <w:vertAlign w:val="superscript"/>
        </w:rPr>
      </w:pPr>
      <w:r>
        <w:rPr>
          <w:rFonts w:ascii="Arial" w:cs="Arial" w:eastAsia="Arial" w:hAnsi="Arial"/>
          <w:sz w:val="18"/>
          <w:szCs w:val="18"/>
          <w:color w:val="auto"/>
        </w:rPr>
        <w:t>Amounts outstanding under the PAA commercial paper program reduce available capacity under the facilities. There were no outstanding PAA commercial paper borrowings at December 31, 2018.</w:t>
      </w:r>
    </w:p>
    <w:p>
      <w:pPr>
        <w:spacing w:after="0" w:line="95" w:lineRule="exact"/>
        <w:rPr>
          <w:rFonts w:ascii="Arial" w:cs="Arial" w:eastAsia="Arial" w:hAnsi="Arial"/>
          <w:sz w:val="25"/>
          <w:szCs w:val="25"/>
          <w:color w:val="auto"/>
          <w:vertAlign w:val="superscript"/>
        </w:rPr>
      </w:pPr>
    </w:p>
    <w:p>
      <w:pPr>
        <w:ind w:left="640" w:right="280" w:hanging="632"/>
        <w:spacing w:after="0" w:line="216" w:lineRule="auto"/>
        <w:tabs>
          <w:tab w:leader="none" w:pos="640" w:val="left"/>
        </w:tabs>
        <w:numPr>
          <w:ilvl w:val="0"/>
          <w:numId w:val="73"/>
        </w:numPr>
        <w:rPr>
          <w:rFonts w:ascii="Arial" w:cs="Arial" w:eastAsia="Arial" w:hAnsi="Arial"/>
          <w:sz w:val="25"/>
          <w:szCs w:val="25"/>
          <w:color w:val="auto"/>
          <w:vertAlign w:val="superscript"/>
        </w:rPr>
      </w:pPr>
      <w:r>
        <w:rPr>
          <w:rFonts w:ascii="Arial" w:cs="Arial" w:eastAsia="Arial" w:hAnsi="Arial"/>
          <w:sz w:val="18"/>
          <w:szCs w:val="18"/>
          <w:color w:val="auto"/>
        </w:rPr>
        <w:t>Available capacity under the PAA senior unsecured revolving credit facility and the PAA senior secured hedged inventory facility was reduced by outstanding letters of credit of $166 million and $18 million, respectively.</w:t>
      </w:r>
    </w:p>
    <w:p>
      <w:pPr>
        <w:spacing w:after="0" w:line="203"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believe that we have, and will continue to have, the ability to access the PAA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In addition, usage of the PAA credit facilities, which provide the financial backstop for the PAA commercial paper program, is subject to ongoing compliance with covenants. As of December 31, 2018, PAA was in compliance with all such covenants. Also, see Item 1A. “Risk Factors” for further discussion regarding such risks that may impact our liquidity and capital resources.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primary drivers of cash flow from operating activities are (i) the collection of amounts related to the sale of crude oil, NGL and other products, the transportation of crude oil and other products for a fee, and the provision of storage and terminalling services for a fee and (ii) the payment of amounts related to the purchase of crude oil, NGL and other products and other expenses, principally field operating costs, general and administrative expenses and interest expense.</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Cash flow from operating activities can be materially impacted by the storage of crude oil in periods of a contango market, when the price of crude oil for future deliveries is higher than current prices. In the month we pay for the stored crude oil, we borrow under the credit facilities or the PAA commercial paper program (or use cash on hand) to pay for the crude oil, which negatively impacts operating cash flow. Conversely, cash flow from operating activities increases during the period in which we collect the cash from the sale of the stored crude oil. Similarly, the level of NGL and other product inventory stored and held for resale at period end affects our cash flow from operating activities.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In periods when the market is not in contango, we typically sell our crude oil during the same month in which we purchase it and we do not rely on borrowings under the credit facilities or the PAA commercial paper program to pay for the crude oil. During such market conditions, our accounts payable and accounts receivable generally move in tandem as we make payments and receive payments for the purchase and sale of crude oil in the same month, which is the month following such activity. In periods during which we build inventory, regardless of market structure, we may rely on the credit facilities or the PAA commercial paper program to pay for the inventory. In addition, we use derivative instruments to manage the risks associated with the purchase and sale of our commodities. Therefore, our cash flow from operating activities may be impacted by the margin deposit requirements related to our derivative activities. See Note 13 to our Consolidated Financial Statements for a discussion regarding our derivatives and risk management activities.</w:t>
      </w:r>
    </w:p>
    <w:p>
      <w:pPr>
        <w:spacing w:after="0" w:line="167"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Net cash provided by operating activities for the years ended December 31, 2018, 2017 and 2016 was approximately $2.6 billion, $2.5 billion and $0.7 billion, respectively, and primarily resulted from earnings from our operations. Additionally, as discussed further below, changes during these periods in our inventory levels and associated margin balances required as part of our hedging activities impacted our cash flow from operating activities.</w:t>
      </w:r>
    </w:p>
    <w:p>
      <w:pPr>
        <w:spacing w:after="0" w:line="14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During 2018, our cash provided by operating activities was favorably impacted by approximately $250 million of cash received for transactions for which the revenue has been deferred pending the completion of future performance obligations. See Note 3 to our Consolidated Financial Statements for additional information. The favorable impact was partially offset by an increase in the volume of crude oil inventory that we held, which was funded from earnings from our operations and proceeds from asset sales.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2017, net cash provided by operating activities was positively impacted by decreases in (i) the volume of crude oil inventory that we held and</w:t>
      </w:r>
    </w:p>
    <w:p>
      <w:pPr>
        <w:spacing w:after="0" w:line="46" w:lineRule="exact"/>
        <w:rPr>
          <w:sz w:val="20"/>
          <w:szCs w:val="20"/>
          <w:color w:val="auto"/>
        </w:rPr>
      </w:pPr>
    </w:p>
    <w:p>
      <w:pPr>
        <w:ind w:right="320" w:firstLine="8"/>
        <w:spacing w:after="0" w:line="273" w:lineRule="auto"/>
        <w:tabs>
          <w:tab w:leader="none" w:pos="265"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margin balances required as part of our hedging activities, both of which had been funded by short-term debt. This was consistent with our plan to reduce our hedged inventory volumes, and the cash inflows associated with these items resulted in a favorable impact on our cash provided by operating activities. However, the favorable effects from such activities were partially offset by higher weighted average prices and volumes for NGL inventory that was purchased and stored at the end of the 2017 period in anticipation of the 2017-2018 heating season.</w:t>
      </w:r>
    </w:p>
    <w:p>
      <w:pPr>
        <w:spacing w:after="0" w:line="17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During 2016, we increased our inventory levels and margin balances required as part of our hedging activities that were funded by short-term debt, resulting in an unfavorable impact on our cash provided by operating activities. Furthermore, cash provided by operating activities as compared to prior periods was unfavorably impacted by the decrease in cash from overall earnings.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Investments, Expansion Capital Expenditures and Divestitures</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addition to our operating needs discussed above, on a consolidated basis, we also use cash for our acquisition activities and expansion capital projects. Historically, we have financed these expenditures primarily with cash generated by operating activities and the financing activities discussed in “— Equity and Debt Financing Activities” below. In recent years, we have also used proceeds from our divestiture program, as discussed further below. We have made and will continue to make capital expenditures for acquisitions, expansion capital projects and maintenance activities. Also see “—Acquisitions, Capital Projects and Divestitures” for further discussion of such capital expenditures.</w:t>
      </w:r>
    </w:p>
    <w:p>
      <w:pPr>
        <w:spacing w:after="0" w:line="17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 xml:space="preserve">Acquisitions. </w:t>
      </w:r>
      <w:r>
        <w:rPr>
          <w:rFonts w:ascii="Arial" w:cs="Arial" w:eastAsia="Arial" w:hAnsi="Arial"/>
          <w:sz w:val="17"/>
          <w:szCs w:val="17"/>
          <w:color w:val="auto"/>
        </w:rPr>
        <w:t>The price of acquisitions includes cash paid, assumed liabilities and net working capital items. Because of the non-cash items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total price of the acquisition and the timing of certain cash payments, the net cash paid may differ significantly from the total price of the acquisitions completed during the year. We did not acquire any assets in 2018. During the years ended December 31, 2017 and 2016, we paid cash of $1.280 billion (net of cash acquired of $4 million), and $282 million (net of cash acquired of $7 million), respectively, for acquisitions.</w:t>
      </w:r>
    </w:p>
    <w:p>
      <w:pPr>
        <w:spacing w:after="0" w:line="17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Divestitures</w:t>
      </w:r>
      <w:r>
        <w:rPr>
          <w:rFonts w:ascii="Arial" w:cs="Arial" w:eastAsia="Arial" w:hAnsi="Arial"/>
          <w:sz w:val="18"/>
          <w:szCs w:val="18"/>
          <w:color w:val="auto"/>
        </w:rPr>
        <w:t>. In 2016, we initiated a program to evaluate potential sales of non-core assets and/or sales of partial interests in assets to strategic joint</w:t>
      </w:r>
      <w:r>
        <w:rPr>
          <w:rFonts w:ascii="Arial" w:cs="Arial" w:eastAsia="Arial" w:hAnsi="Arial"/>
          <w:sz w:val="18"/>
          <w:szCs w:val="18"/>
          <w:i w:val="1"/>
          <w:iCs w:val="1"/>
          <w:color w:val="auto"/>
        </w:rPr>
        <w:t xml:space="preserve"> </w:t>
      </w:r>
      <w:r>
        <w:rPr>
          <w:rFonts w:ascii="Arial" w:cs="Arial" w:eastAsia="Arial" w:hAnsi="Arial"/>
          <w:sz w:val="18"/>
          <w:szCs w:val="18"/>
          <w:color w:val="auto"/>
        </w:rPr>
        <w:t>venture partners to optimize our asset portfolio and strengthen our balance sheet and leverage metrics. During the years ended December 31, 2017 and 2016, we received proceeds of $1.083 billion and $569 million (net of $85 million paid for a remaining interest in a pipeline that was subsequently sold during 2016), respectively. As part of our funding plans for our 2018 expansion capital program, we set a target to raise $700 million through divestitures in 2018. We exceeded this target, receiving proceeds of approximately $1.3 billion during 2018, which included proceeds from the sale of a portion of our interest in BridgeTex in the third quarter of 2018. Excess proceeds above our targeted amounts were used to reduce debt and fund incremental expansion opportunities. We expect to continue these efforts in 2019.</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 xml:space="preserve">2019 Capital Projects. </w:t>
      </w:r>
      <w:r>
        <w:rPr>
          <w:rFonts w:ascii="Arial" w:cs="Arial" w:eastAsia="Arial" w:hAnsi="Arial"/>
          <w:sz w:val="18"/>
          <w:szCs w:val="18"/>
          <w:color w:val="auto"/>
        </w:rPr>
        <w:t>The majority of our 2019 expansion capital program will be invested in our fee-based Transportation and Facilities segments.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expect that our investments will have minimal contributions to our 2019 results, but will provide growth for 2020 and beyond. Our 2019 capital program includes the following projects as of February 2019 with the estimated cost for the entire year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2019</w:t>
            </w: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Permian Basin Takeaway Pipeline Projects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630</w:t>
            </w: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Complementary Permian Basin Projects</w:t>
            </w:r>
          </w:p>
        </w:tc>
        <w:tc>
          <w:tcPr>
            <w:tcW w:w="50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285</w:t>
            </w: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Projects</w:t>
            </w: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w:t>
            </w:r>
          </w:p>
        </w:tc>
      </w:tr>
      <w:tr>
        <w:trPr>
          <w:trHeight w:val="264"/>
        </w:trPr>
        <w:tc>
          <w:tcPr>
            <w:tcW w:w="9360" w:type="dxa"/>
            <w:vAlign w:val="bottom"/>
            <w:gridSpan w:val="2"/>
          </w:tcPr>
          <w:p>
            <w:pPr>
              <w:ind w:left="180"/>
              <w:spacing w:after="0" w:line="264" w:lineRule="exact"/>
              <w:rPr>
                <w:sz w:val="20"/>
                <w:szCs w:val="20"/>
                <w:color w:val="auto"/>
              </w:rPr>
            </w:pPr>
            <w:r>
              <w:rPr>
                <w:rFonts w:ascii="Arial" w:cs="Arial" w:eastAsia="Arial" w:hAnsi="Arial"/>
                <w:sz w:val="18"/>
                <w:szCs w:val="18"/>
                <w:color w:val="auto"/>
              </w:rPr>
              <w:t xml:space="preserve">Total Projected 2019 Expansion Capital Expenditures </w:t>
            </w:r>
            <w:r>
              <w:rPr>
                <w:rFonts w:ascii="Arial" w:cs="Arial" w:eastAsia="Arial" w:hAnsi="Arial"/>
                <w:sz w:val="25"/>
                <w:szCs w:val="25"/>
                <w:color w:val="auto"/>
                <w:vertAlign w:val="superscript"/>
              </w:rPr>
              <w:t>(1)</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1,100</w:t>
            </w:r>
          </w:p>
        </w:tc>
      </w:tr>
      <w:tr>
        <w:trPr>
          <w:trHeight w:val="20"/>
        </w:trPr>
        <w:tc>
          <w:tcPr>
            <w:tcW w:w="9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44" w:lineRule="exact"/>
        <w:rPr>
          <w:sz w:val="20"/>
          <w:szCs w:val="20"/>
          <w:color w:val="auto"/>
        </w:rPr>
      </w:pPr>
    </w:p>
    <w:p>
      <w:pPr>
        <w:ind w:left="660" w:right="700" w:hanging="652"/>
        <w:spacing w:after="0" w:line="216" w:lineRule="auto"/>
        <w:tabs>
          <w:tab w:leader="none" w:pos="660" w:val="left"/>
        </w:tabs>
        <w:numPr>
          <w:ilvl w:val="0"/>
          <w:numId w:val="75"/>
        </w:numPr>
        <w:rPr>
          <w:rFonts w:ascii="Arial" w:cs="Arial" w:eastAsia="Arial" w:hAnsi="Arial"/>
          <w:sz w:val="25"/>
          <w:szCs w:val="25"/>
          <w:color w:val="auto"/>
          <w:vertAlign w:val="superscript"/>
        </w:rPr>
      </w:pPr>
      <w:r>
        <w:rPr>
          <w:rFonts w:ascii="Arial" w:cs="Arial" w:eastAsia="Arial" w:hAnsi="Arial"/>
          <w:sz w:val="18"/>
          <w:szCs w:val="18"/>
          <w:color w:val="auto"/>
        </w:rPr>
        <w:t>Amounts reflect our expectation that certain projects will be owned in a joint venture structure with a proportionate share of the project cost dispersed among the partners.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Agreements, Commercial Paper Program and Indentures</w:t>
      </w:r>
    </w:p>
    <w:p>
      <w:pPr>
        <w:spacing w:after="0" w:line="22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At December 31, 2018, PAA had three primary credit arrangements. These include a $1.6 billion senior unsecured revolving credit facility maturing in 2023, a $1.4 billion senior secured hedged inventory facility maturing in 2021 and a $3.0 billion unsecured commercial paper program that is backstopped by its revolving credit facility and its hedged inventory facility. Additionally, PAA has two $100 million GO Zone term loans as discussed further below. The credit agreements for PAA’s revolving credit facilities (which impact its ability to access its commercial paper program because they provide the financial backstop that supports our short-term credit ratings) and its term loans and the indentures governing its senior notes contain cross-default provisions. A default under PAA’s credit agreements or indentures would permit the lenders to accelerate the maturity of the outstanding debt. As long as PAA is in compliance with the provisions in its credit agreements, PAA’s ability to make distributions of available cash is not restricted. PAA was in compliance with the covenants contained in its credit agreements and indentures as of December 31, 2018.</w:t>
      </w:r>
    </w:p>
    <w:p>
      <w:pPr>
        <w:spacing w:after="0" w:line="179"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In August 2018, PAA entered into an agreement for two $100 million GO Zone term loans from the remarketing of its GO Bonds. The GO Zone term loans accrue interest in accordance with the interest payable on the related GO Bonds as provided in the GO Bonds Indenture pursuant to which such GO Bonds are issued and governed. The purchasers of the two GO Zone term loans have the right to put, at par, the GO Zone term loans in July 2023. The GO Bonds mature by their terms in May 2032 and August 2035, respectively. See Note 11 to our Consolidated Financial Statements for additional information.</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During the year ended December 31, 2018, we had net repayments on the credit facilities and PAA commercial paper program of $901 million. The net repayments resulted primarily from cash flow from operating activities and proceeds from asset sales, which offset borrowings during the period related to funding needs for capital investments, inventory purchases and other general partnership purposes.</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During the year ended December 31, 2017, we had net repayments on the credit facilities and PAA commercial paper program of $654 million. The net repayments resulted primarily from cash flow from operating activities and cash received from PAA’s equity activities and asset divestitures, which offset borrowings during the period related to funding needs for (i) acquisition and capital investments, (ii) repayment of PAA’s $400 million, 6.13% senior notes in January 2017, (iii) repayment of PAA’s $600 million, 6.50% senior notes and $350 million, 8.75% senior notes in December 2017 and (iv) other general partnership purposes.</w:t>
      </w:r>
    </w:p>
    <w:p>
      <w:pPr>
        <w:spacing w:after="0" w:line="188" w:lineRule="exact"/>
        <w:rPr>
          <w:sz w:val="20"/>
          <w:szCs w:val="20"/>
          <w:color w:val="auto"/>
        </w:rPr>
      </w:pPr>
    </w:p>
    <w:p>
      <w:pPr>
        <w:jc w:val="both"/>
        <w:ind w:right="60" w:firstLine="648"/>
        <w:spacing w:after="0" w:line="288" w:lineRule="auto"/>
        <w:rPr>
          <w:sz w:val="20"/>
          <w:szCs w:val="20"/>
          <w:color w:val="auto"/>
        </w:rPr>
      </w:pPr>
      <w:r>
        <w:rPr>
          <w:rFonts w:ascii="Arial" w:cs="Arial" w:eastAsia="Arial" w:hAnsi="Arial"/>
          <w:sz w:val="16"/>
          <w:szCs w:val="16"/>
          <w:color w:val="auto"/>
        </w:rPr>
        <w:t>During the year ended December 31, 2016, we had net repayments on the credit facilities and PAA commercial paper program of $676 million. The net repayments resulted primarily from cash flow from operating activities as well as cash received from PAA’s equity issuances and asset divestitures, which offset borrowings during the period related to funding needs for (i) inventory purchases and related margin balances required as part of our hedging activities,</w:t>
      </w:r>
    </w:p>
    <w:p>
      <w:pPr>
        <w:ind w:right="140" w:firstLine="8"/>
        <w:spacing w:after="0" w:line="290" w:lineRule="auto"/>
        <w:tabs>
          <w:tab w:leader="none" w:pos="265" w:val="left"/>
        </w:tabs>
        <w:numPr>
          <w:ilvl w:val="0"/>
          <w:numId w:val="76"/>
        </w:numPr>
        <w:rPr>
          <w:rFonts w:ascii="Arial" w:cs="Arial" w:eastAsia="Arial" w:hAnsi="Arial"/>
          <w:sz w:val="17"/>
          <w:szCs w:val="17"/>
          <w:color w:val="auto"/>
        </w:rPr>
      </w:pPr>
      <w:r>
        <w:rPr>
          <w:rFonts w:ascii="Arial" w:cs="Arial" w:eastAsia="Arial" w:hAnsi="Arial"/>
          <w:sz w:val="17"/>
          <w:szCs w:val="17"/>
          <w:color w:val="auto"/>
        </w:rPr>
        <w:t>capital investments, (iii) repayment of PAA’s $175 million senior notes in August 2016, (iv) repayment of $642 million of borrowings that PAA assumed under AAP’s senior secured credit agreement in connection with the Simplification Transactions and (v) other general partnership purposes.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a consolidated basis, our financing activities primarily relate to funding expansion capital projects, acquisitions and refinancing of debt maturities, as well as short-term working capital (including borrowings for NYMEX and ICE margin deposits) and hedged inventory borrowings related to our NGL business and contango market activities. Our financing activities have primarily consisted of PAA equity offerings, PAA senior notes offerings and borrowings and repayments under the credit facilities or the PAA commercial paper program and other debt agreements, as well as payment of distributions to our Class A shareholders and noncontrolling interests.</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PAGP Registration Statements. </w:t>
      </w:r>
      <w:r>
        <w:rPr>
          <w:rFonts w:ascii="Arial" w:cs="Arial" w:eastAsia="Arial" w:hAnsi="Arial"/>
          <w:sz w:val="18"/>
          <w:szCs w:val="18"/>
          <w:color w:val="auto"/>
        </w:rPr>
        <w:t>We have filed with the SEC a shelf registration statement that, subject to effectiveness at the time of use, allows us to</w:t>
      </w:r>
      <w:r>
        <w:rPr>
          <w:rFonts w:ascii="Arial" w:cs="Arial" w:eastAsia="Arial" w:hAnsi="Arial"/>
          <w:sz w:val="18"/>
          <w:szCs w:val="18"/>
          <w:i w:val="1"/>
          <w:iCs w:val="1"/>
          <w:color w:val="auto"/>
        </w:rPr>
        <w:t xml:space="preserve"> </w:t>
      </w:r>
      <w:r>
        <w:rPr>
          <w:rFonts w:ascii="Arial" w:cs="Arial" w:eastAsia="Arial" w:hAnsi="Arial"/>
          <w:sz w:val="18"/>
          <w:szCs w:val="18"/>
          <w:color w:val="auto"/>
        </w:rPr>
        <w:t>issue up to an aggregate of $1.0 billion of equity securities ( the “PAGP Traditional Shelf”). Our issuances of equity securities associated with our continuous offering program have been issued pursuant to the PAGP Traditional Shelf. At December 31, 2018, we had approximately $939 million of unsold securities available under the PAGP Traditional Shelf. We also have access to a universal shelf registration statement (the “PAGP WKSI Shelf”), which provides us with the ability to offer and sell an unlimited amount of equity securities, subject to market conditions and capital needs. Our 2017 underwritten equity offering was conducted under the PAGP WKSI Shelf.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Sales of Class A Shares</w:t>
      </w:r>
      <w:r>
        <w:rPr>
          <w:rFonts w:ascii="Arial" w:cs="Arial" w:eastAsia="Arial" w:hAnsi="Arial"/>
          <w:sz w:val="18"/>
          <w:szCs w:val="18"/>
          <w:color w:val="auto"/>
        </w:rPr>
        <w:t>. The following table summarizes our sales of Class A shares during the year ended December 31, 2017, all of which</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occurred in the first four months of the year (net proceeds in millions). We did not sell any Class A shares during the years ended December 31, 2018 or 2016.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Type of Offering</w:t>
            </w:r>
          </w:p>
        </w:tc>
        <w:tc>
          <w:tcPr>
            <w:tcW w:w="120" w:type="dxa"/>
            <w:vAlign w:val="bottom"/>
            <w:tcBorders>
              <w:bottom w:val="single" w:sz="8" w:color="CCEEFF"/>
            </w:tcBorders>
          </w:tcPr>
          <w:p>
            <w:pPr>
              <w:spacing w:after="0"/>
              <w:rPr>
                <w:sz w:val="16"/>
                <w:szCs w:val="16"/>
                <w:color w:val="auto"/>
              </w:rPr>
            </w:pPr>
          </w:p>
        </w:tc>
        <w:tc>
          <w:tcPr>
            <w:tcW w:w="332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rPr>
              <w:t>Class A Shares Issued</w:t>
            </w:r>
          </w:p>
        </w:tc>
        <w:tc>
          <w:tcPr>
            <w:tcW w:w="2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tcPr>
          <w:p>
            <w:pPr>
              <w:jc w:val="right"/>
              <w:ind w:right="1094"/>
              <w:spacing w:after="0"/>
              <w:rPr>
                <w:sz w:val="20"/>
                <w:szCs w:val="20"/>
                <w:color w:val="auto"/>
              </w:rPr>
            </w:pPr>
            <w:r>
              <w:rPr>
                <w:rFonts w:ascii="Arial" w:cs="Arial" w:eastAsia="Arial" w:hAnsi="Arial"/>
                <w:sz w:val="14"/>
                <w:szCs w:val="14"/>
                <w:b w:val="1"/>
                <w:bCs w:val="1"/>
                <w:color w:val="auto"/>
              </w:rPr>
              <w:t xml:space="preserve">Net Proceeds </w:t>
            </w:r>
            <w:r>
              <w:rPr>
                <w:rFonts w:ascii="Arial" w:cs="Arial" w:eastAsia="Arial" w:hAnsi="Arial"/>
                <w:sz w:val="8"/>
                <w:szCs w:val="8"/>
                <w:b w:val="1"/>
                <w:bCs w:val="1"/>
                <w:color w:val="auto"/>
              </w:rPr>
              <w:t>(1)</w:t>
            </w:r>
          </w:p>
        </w:tc>
        <w:tc>
          <w:tcPr>
            <w:tcW w:w="560" w:type="dxa"/>
            <w:vAlign w:val="bottom"/>
            <w:tcBorders>
              <w:bottom w:val="single" w:sz="8" w:color="auto"/>
            </w:tcBorders>
          </w:tcPr>
          <w:p>
            <w:pPr>
              <w:spacing w:after="0"/>
              <w:rPr>
                <w:sz w:val="16"/>
                <w:szCs w:val="16"/>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Continuous Offering Program</w:t>
            </w:r>
          </w:p>
        </w:tc>
        <w:tc>
          <w:tcPr>
            <w:tcW w:w="3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1,786,326</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2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(2) (3)</w:t>
            </w: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Underwritten Offering</w:t>
            </w:r>
          </w:p>
        </w:tc>
        <w:tc>
          <w:tcPr>
            <w:tcW w:w="3320" w:type="dxa"/>
            <w:vAlign w:val="bottom"/>
          </w:tcPr>
          <w:p>
            <w:pPr>
              <w:jc w:val="right"/>
              <w:ind w:right="34"/>
              <w:spacing w:after="0"/>
              <w:rPr>
                <w:sz w:val="20"/>
                <w:szCs w:val="20"/>
                <w:color w:val="auto"/>
              </w:rPr>
            </w:pPr>
            <w:r>
              <w:rPr>
                <w:rFonts w:ascii="Arial" w:cs="Arial" w:eastAsia="Arial" w:hAnsi="Arial"/>
                <w:sz w:val="18"/>
                <w:szCs w:val="18"/>
                <w:color w:val="auto"/>
              </w:rPr>
              <w:t>48,300,000</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40" w:type="dxa"/>
            <w:vAlign w:val="bottom"/>
          </w:tcPr>
          <w:p>
            <w:pPr>
              <w:jc w:val="right"/>
              <w:ind w:right="14"/>
              <w:spacing w:after="0"/>
              <w:rPr>
                <w:sz w:val="20"/>
                <w:szCs w:val="20"/>
                <w:color w:val="auto"/>
              </w:rPr>
            </w:pPr>
            <w:r>
              <w:rPr>
                <w:rFonts w:ascii="Arial" w:cs="Arial" w:eastAsia="Arial" w:hAnsi="Arial"/>
                <w:sz w:val="18"/>
                <w:szCs w:val="18"/>
                <w:color w:val="auto"/>
              </w:rPr>
              <w:t>1,474</w:t>
            </w:r>
          </w:p>
        </w:tc>
        <w:tc>
          <w:tcPr>
            <w:tcW w:w="560" w:type="dxa"/>
            <w:vAlign w:val="bottom"/>
          </w:tcPr>
          <w:p>
            <w:pPr>
              <w:ind w:left="20"/>
              <w:spacing w:after="0"/>
              <w:rPr>
                <w:sz w:val="20"/>
                <w:szCs w:val="20"/>
                <w:color w:val="auto"/>
              </w:rPr>
            </w:pPr>
            <w:r>
              <w:rPr>
                <w:rFonts w:ascii="Arial" w:cs="Arial" w:eastAsia="Arial" w:hAnsi="Arial"/>
                <w:sz w:val="13"/>
                <w:szCs w:val="13"/>
                <w:color w:val="auto"/>
              </w:rPr>
              <w:t>(3)</w:t>
            </w:r>
          </w:p>
        </w:tc>
      </w:tr>
      <w:tr>
        <w:trPr>
          <w:trHeight w:val="27"/>
        </w:trPr>
        <w:tc>
          <w:tcPr>
            <w:tcW w:w="3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r>
      <w:tr>
        <w:trPr>
          <w:trHeight w:val="269"/>
        </w:trPr>
        <w:tc>
          <w:tcPr>
            <w:tcW w:w="3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50,086,326</w:t>
            </w: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99"/>
              </w:rPr>
              <w:t>$</w:t>
            </w:r>
          </w:p>
        </w:tc>
        <w:tc>
          <w:tcPr>
            <w:tcW w:w="2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1,535</w:t>
            </w:r>
          </w:p>
        </w:tc>
        <w:tc>
          <w:tcPr>
            <w:tcW w:w="560" w:type="dxa"/>
            <w:vAlign w:val="bottom"/>
            <w:tcBorders>
              <w:bottom w:val="single" w:sz="8" w:color="CCEEFF"/>
            </w:tcBorders>
            <w:shd w:val="clear" w:color="auto" w:fill="CCEEFF"/>
          </w:tcPr>
          <w:p>
            <w:pPr>
              <w:spacing w:after="0"/>
              <w:rPr>
                <w:sz w:val="22"/>
                <w:szCs w:val="22"/>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25"/>
          <w:szCs w:val="25"/>
          <w:color w:val="auto"/>
          <w:vertAlign w:val="superscript"/>
        </w:rPr>
      </w:pPr>
      <w:r>
        <w:rPr>
          <w:rFonts w:ascii="Arial" w:cs="Arial" w:eastAsia="Arial" w:hAnsi="Arial"/>
          <w:sz w:val="18"/>
          <w:szCs w:val="18"/>
          <w:color w:val="auto"/>
        </w:rPr>
        <w:t>Amounts are net of costs associated with the offerings.</w:t>
      </w:r>
    </w:p>
    <w:p>
      <w:pPr>
        <w:spacing w:after="0" w:line="98" w:lineRule="exact"/>
        <w:rPr>
          <w:rFonts w:ascii="Arial" w:cs="Arial" w:eastAsia="Arial" w:hAnsi="Arial"/>
          <w:sz w:val="25"/>
          <w:szCs w:val="25"/>
          <w:color w:val="auto"/>
          <w:vertAlign w:val="superscript"/>
        </w:rPr>
      </w:pPr>
    </w:p>
    <w:p>
      <w:pPr>
        <w:ind w:left="660" w:right="40" w:hanging="652"/>
        <w:spacing w:after="0" w:line="214" w:lineRule="auto"/>
        <w:tabs>
          <w:tab w:leader="none" w:pos="660" w:val="left"/>
        </w:tabs>
        <w:numPr>
          <w:ilvl w:val="0"/>
          <w:numId w:val="77"/>
        </w:numPr>
        <w:rPr>
          <w:rFonts w:ascii="Arial" w:cs="Arial" w:eastAsia="Arial" w:hAnsi="Arial"/>
          <w:sz w:val="25"/>
          <w:szCs w:val="25"/>
          <w:color w:val="auto"/>
          <w:vertAlign w:val="superscript"/>
        </w:rPr>
      </w:pPr>
      <w:r>
        <w:rPr>
          <w:rFonts w:ascii="Arial" w:cs="Arial" w:eastAsia="Arial" w:hAnsi="Arial"/>
          <w:sz w:val="18"/>
          <w:szCs w:val="18"/>
          <w:color w:val="auto"/>
        </w:rPr>
        <w:t>We pay commissions to our sales agents in connection with issuances of Class A shares under our Continuous Offering Program. We paid $1 million of such commissions during the year ended December 31, 2017.</w:t>
      </w:r>
    </w:p>
    <w:p>
      <w:pPr>
        <w:spacing w:after="0" w:line="94" w:lineRule="exact"/>
        <w:rPr>
          <w:rFonts w:ascii="Arial" w:cs="Arial" w:eastAsia="Arial" w:hAnsi="Arial"/>
          <w:sz w:val="25"/>
          <w:szCs w:val="25"/>
          <w:color w:val="auto"/>
          <w:vertAlign w:val="superscript"/>
        </w:rPr>
      </w:pPr>
    </w:p>
    <w:p>
      <w:pPr>
        <w:ind w:left="660" w:right="140" w:hanging="652"/>
        <w:spacing w:after="0" w:line="235" w:lineRule="auto"/>
        <w:tabs>
          <w:tab w:leader="none" w:pos="660" w:val="left"/>
        </w:tabs>
        <w:numPr>
          <w:ilvl w:val="0"/>
          <w:numId w:val="77"/>
        </w:numPr>
        <w:rPr>
          <w:rFonts w:ascii="Arial" w:cs="Arial" w:eastAsia="Arial" w:hAnsi="Arial"/>
          <w:sz w:val="25"/>
          <w:szCs w:val="25"/>
          <w:color w:val="auto"/>
          <w:vertAlign w:val="superscript"/>
        </w:rPr>
      </w:pPr>
      <w:r>
        <w:rPr>
          <w:rFonts w:ascii="Arial" w:cs="Arial" w:eastAsia="Arial" w:hAnsi="Arial"/>
          <w:sz w:val="18"/>
          <w:szCs w:val="18"/>
          <w:color w:val="auto"/>
        </w:rPr>
        <w:t>Pursuant to the Omnibus Agreement entered into in conjunction with the Simplification Transactions, we used the net proceeds from the sale of our Class A shares, after deducting the sales agents’ commissions and offering expenses, to purchase from AAP a number of AAP units equal to the number of Class A shares sold in such offering at a price equal to the net proceeds from such offering. Also pursuant to the Omnibus Agreement, immediately following such purchase and sale, AAP used the net proceeds it received from such sale of AAP units to us to purchase from PAA an equivalent number of common units of PAA.</w:t>
      </w:r>
    </w:p>
    <w:p>
      <w:pPr>
        <w:spacing w:after="0" w:line="204"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i w:val="1"/>
          <w:iCs w:val="1"/>
          <w:color w:val="auto"/>
        </w:rPr>
        <w:t>PAA Registration Statements</w:t>
      </w:r>
      <w:r>
        <w:rPr>
          <w:rFonts w:ascii="Arial" w:cs="Arial" w:eastAsia="Arial" w:hAnsi="Arial"/>
          <w:sz w:val="18"/>
          <w:szCs w:val="18"/>
          <w:color w:val="auto"/>
        </w:rPr>
        <w:t>. PAA periodically accesses the capital markets for both equity and debt financing. PAA has filed with the SEC a</w:t>
      </w:r>
      <w:r>
        <w:rPr>
          <w:rFonts w:ascii="Arial" w:cs="Arial" w:eastAsia="Arial" w:hAnsi="Arial"/>
          <w:sz w:val="18"/>
          <w:szCs w:val="18"/>
          <w:i w:val="1"/>
          <w:iCs w:val="1"/>
          <w:color w:val="auto"/>
        </w:rPr>
        <w:t xml:space="preserve"> </w:t>
      </w:r>
      <w:r>
        <w:rPr>
          <w:rFonts w:ascii="Arial" w:cs="Arial" w:eastAsia="Arial" w:hAnsi="Arial"/>
          <w:sz w:val="18"/>
          <w:szCs w:val="18"/>
          <w:color w:val="auto"/>
        </w:rPr>
        <w:t>universal shelf registration statement that, subject to effectiveness at the time of use, allows PAA to issue up to an aggregate of $1.1 billion of debt or equity securities (the “ PAA Traditional Shelf”). All issuances of PAA equity securities associated with PAA’s continuous offering program have been issued pursuant to the PAA Traditional Shelf. At December 31, 2018, PAA had approximately $1.1 billion of unsold securities available under the PAA Traditional Shelf. PAA also has access to a universal shelf registration statement (“PAA WKSI Shelf”), which provides it with the ability to offer and sell an unlimited amount of debt and equity securities, subject to market conditions and capital needs. The issuance of PAA’s Series B preferred units in October 2017, discussed below, was conducted under the PAA WKSI Shelf.</w:t>
      </w:r>
    </w:p>
    <w:p>
      <w:pPr>
        <w:spacing w:after="0" w:line="18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i w:val="1"/>
          <w:iCs w:val="1"/>
          <w:color w:val="auto"/>
        </w:rPr>
        <w:t>PAA Series A Preferred Units</w:t>
      </w:r>
      <w:r>
        <w:rPr>
          <w:rFonts w:ascii="Arial" w:cs="Arial" w:eastAsia="Arial" w:hAnsi="Arial"/>
          <w:sz w:val="17"/>
          <w:szCs w:val="17"/>
          <w:color w:val="auto"/>
        </w:rPr>
        <w:t>. In January 2016, PAA completed the private placement of approximately 61.0 million Series A preferred units at a</w:t>
      </w:r>
      <w:r>
        <w:rPr>
          <w:rFonts w:ascii="Arial" w:cs="Arial" w:eastAsia="Arial" w:hAnsi="Arial"/>
          <w:sz w:val="17"/>
          <w:szCs w:val="17"/>
          <w:i w:val="1"/>
          <w:iCs w:val="1"/>
          <w:color w:val="auto"/>
        </w:rPr>
        <w:t xml:space="preserve"> </w:t>
      </w:r>
      <w:r>
        <w:rPr>
          <w:rFonts w:ascii="Arial" w:cs="Arial" w:eastAsia="Arial" w:hAnsi="Arial"/>
          <w:sz w:val="17"/>
          <w:szCs w:val="17"/>
          <w:color w:val="auto"/>
        </w:rPr>
        <w:t>price of $26.25 per unit resulting in total net proceeds, after deducting offering expenses and the 2% transaction fee due to the purchasers, of approximately $1.6 billion. The net proceeds were used for capital expenditures, repayment of debt and general partnership purposes.</w:t>
      </w:r>
    </w:p>
    <w:p>
      <w:pPr>
        <w:spacing w:after="0" w:line="166"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Commencing on January 28, 2018, the Series A preferred units are convertible at the purchasers’ option into PAA common units on a one-for-one basis, subject to certain conditions, and will be convertible at PAA’s option in certain circumstances commencing January 28, 2019. See “Distributions to Noncontrolling Interests” below and Note 12 to our Consolidated Financial Statements for additional information regarding PAA’s Series A preferred units.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i w:val="1"/>
          <w:iCs w:val="1"/>
          <w:color w:val="auto"/>
        </w:rPr>
        <w:t>PAA Series B Preferred Units</w:t>
      </w:r>
      <w:r>
        <w:rPr>
          <w:rFonts w:ascii="Arial" w:cs="Arial" w:eastAsia="Arial" w:hAnsi="Arial"/>
          <w:sz w:val="18"/>
          <w:szCs w:val="18"/>
          <w:color w:val="auto"/>
        </w:rPr>
        <w:t>. On October 10, 2017, PAA issued 800,000 Series B preferred units at a price to the public of $1,000 per unit. PAA</w:t>
      </w:r>
      <w:r>
        <w:rPr>
          <w:rFonts w:ascii="Arial" w:cs="Arial" w:eastAsia="Arial" w:hAnsi="Arial"/>
          <w:sz w:val="18"/>
          <w:szCs w:val="18"/>
          <w:i w:val="1"/>
          <w:iCs w:val="1"/>
          <w:color w:val="auto"/>
        </w:rPr>
        <w:t xml:space="preserve"> </w:t>
      </w:r>
      <w:r>
        <w:rPr>
          <w:rFonts w:ascii="Arial" w:cs="Arial" w:eastAsia="Arial" w:hAnsi="Arial"/>
          <w:sz w:val="18"/>
          <w:szCs w:val="18"/>
          <w:color w:val="auto"/>
        </w:rPr>
        <w:t>used the net proceeds of $788 million, after deducting the underwriters’ discounts and offering expenses, from the issuance of the Series B preferred units to repay amounts outstanding under its credit facilities and commercial paper program and for general partnership purposes, including expenditures for our capital program. See “Distributions to Noncontrolling Interests” below and Note 12 to our Consolidated Financial Statements for additional information regarding PAA’s Series B preferred units.</w:t>
      </w:r>
    </w:p>
    <w:p>
      <w:pPr>
        <w:spacing w:after="0" w:line="188"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While PAA’s Series A and Series B preferred units are considered equity securities and are classified within partners’ capital on our Consolidated Balance Sheet, the two out of the three rating agencies that rate PAA as investment grade only ascribe 50% equity credit with the remaining 50% considered debt for purposes of determining PAA’s credit ratings. The remaining rating agency ascribes 100% equity credit while PAA is rated below investment grade, but will change its approach to 50% equity credit and 50% debt if the rating agency changes PAA’s rating to investment grade.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PAA Sales of Common Units</w:t>
      </w:r>
      <w:r>
        <w:rPr>
          <w:rFonts w:ascii="Arial" w:cs="Arial" w:eastAsia="Arial" w:hAnsi="Arial"/>
          <w:sz w:val="16"/>
          <w:szCs w:val="16"/>
          <w:color w:val="auto"/>
        </w:rPr>
        <w:t>. PAA did not issue any common units during the year ended December 31, 2018. The following table summarizes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PAA’s issuance of common units during the years ended December 31, 2017 and 2016 (net proceeds in millions):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20" w:type="dxa"/>
            <w:vAlign w:val="bottom"/>
            <w:tcBorders>
              <w:bottom w:val="single" w:sz="8" w:color="CCEEFF"/>
            </w:tcBorders>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Type of Offering</w:t>
            </w:r>
          </w:p>
        </w:tc>
        <w:tc>
          <w:tcPr>
            <w:tcW w:w="12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Units Issued</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 xml:space="preserve">Net Proceeds </w:t>
            </w:r>
            <w:r>
              <w:rPr>
                <w:rFonts w:ascii="Arial" w:cs="Arial" w:eastAsia="Arial" w:hAnsi="Arial"/>
                <w:sz w:val="8"/>
                <w:szCs w:val="8"/>
                <w:b w:val="1"/>
                <w:bCs w:val="1"/>
                <w:color w:val="auto"/>
              </w:rPr>
              <w:t>(1)</w:t>
            </w:r>
          </w:p>
        </w:tc>
        <w:tc>
          <w:tcPr>
            <w:tcW w:w="340" w:type="dxa"/>
            <w:vAlign w:val="bottom"/>
            <w:tcBorders>
              <w:bottom w:val="single" w:sz="8" w:color="CCEEFF"/>
            </w:tcBorders>
          </w:tcPr>
          <w:p>
            <w:pPr>
              <w:spacing w:after="0"/>
              <w:rPr>
                <w:sz w:val="16"/>
                <w:szCs w:val="16"/>
                <w:color w:val="auto"/>
              </w:rPr>
            </w:pPr>
          </w:p>
        </w:tc>
      </w:tr>
      <w:tr>
        <w:trPr>
          <w:trHeight w:val="263"/>
        </w:trPr>
        <w:tc>
          <w:tcPr>
            <w:tcW w:w="29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90"/>
              </w:rPr>
              <w:t>2017 Total</w:t>
            </w:r>
          </w:p>
        </w:tc>
        <w:tc>
          <w:tcPr>
            <w:tcW w:w="3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1"/>
              </w:rPr>
              <w:t>Continuous Offering Program</w:t>
            </w:r>
          </w:p>
        </w:tc>
        <w:tc>
          <w:tcPr>
            <w:tcW w:w="2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4,033,567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129</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7"/>
              </w:rPr>
              <w:t>(2)</w:t>
            </w:r>
          </w:p>
        </w:tc>
      </w:tr>
      <w:tr>
        <w:trPr>
          <w:trHeight w:val="20"/>
        </w:trPr>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11"/>
        </w:trPr>
        <w:tc>
          <w:tcPr>
            <w:tcW w:w="28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5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r>
      <w:tr>
        <w:trPr>
          <w:trHeight w:val="257"/>
        </w:trPr>
        <w:tc>
          <w:tcPr>
            <w:tcW w:w="29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90"/>
              </w:rPr>
              <w:t>2016 Total</w:t>
            </w:r>
          </w:p>
        </w:tc>
        <w:tc>
          <w:tcPr>
            <w:tcW w:w="3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1"/>
              </w:rPr>
              <w:t>Continuous Offering Program</w:t>
            </w:r>
          </w:p>
        </w:tc>
        <w:tc>
          <w:tcPr>
            <w:tcW w:w="2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26,278,288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796</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7"/>
              </w:rPr>
              <w:t>(2)</w:t>
            </w:r>
          </w:p>
        </w:tc>
      </w:tr>
      <w:tr>
        <w:trPr>
          <w:trHeight w:val="20"/>
        </w:trPr>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25"/>
          <w:szCs w:val="25"/>
          <w:color w:val="auto"/>
          <w:vertAlign w:val="superscript"/>
        </w:rPr>
      </w:pPr>
      <w:r>
        <w:rPr>
          <w:rFonts w:ascii="Arial" w:cs="Arial" w:eastAsia="Arial" w:hAnsi="Arial"/>
          <w:sz w:val="18"/>
          <w:szCs w:val="18"/>
          <w:color w:val="auto"/>
        </w:rPr>
        <w:t>Amounts are net of costs associated with the offerings.</w:t>
      </w:r>
    </w:p>
    <w:p>
      <w:pPr>
        <w:spacing w:after="0" w:line="98" w:lineRule="exact"/>
        <w:rPr>
          <w:rFonts w:ascii="Arial" w:cs="Arial" w:eastAsia="Arial" w:hAnsi="Arial"/>
          <w:sz w:val="25"/>
          <w:szCs w:val="25"/>
          <w:color w:val="auto"/>
          <w:vertAlign w:val="superscript"/>
        </w:rPr>
      </w:pPr>
    </w:p>
    <w:p>
      <w:pPr>
        <w:ind w:left="660" w:right="180" w:hanging="652"/>
        <w:spacing w:after="0" w:line="225" w:lineRule="auto"/>
        <w:tabs>
          <w:tab w:leader="none" w:pos="660" w:val="left"/>
        </w:tabs>
        <w:numPr>
          <w:ilvl w:val="0"/>
          <w:numId w:val="78"/>
        </w:numPr>
        <w:rPr>
          <w:rFonts w:ascii="Arial" w:cs="Arial" w:eastAsia="Arial" w:hAnsi="Arial"/>
          <w:sz w:val="25"/>
          <w:szCs w:val="25"/>
          <w:color w:val="auto"/>
          <w:vertAlign w:val="superscript"/>
        </w:rPr>
      </w:pPr>
      <w:r>
        <w:rPr>
          <w:rFonts w:ascii="Arial" w:cs="Arial" w:eastAsia="Arial" w:hAnsi="Arial"/>
          <w:sz w:val="18"/>
          <w:szCs w:val="18"/>
          <w:color w:val="auto"/>
        </w:rPr>
        <w:t>PAA pays commissions to its sales agents in connection with common unit issuances under its Continuous Offering Program. PAA paid $1 million and $8 million of such commissions during 2017 and 2016, respectively. The net proceeds from these offerings were used for general partnership purposes.</w:t>
      </w:r>
    </w:p>
    <w:p>
      <w:pPr>
        <w:spacing w:after="0" w:line="202" w:lineRule="exact"/>
        <w:rPr>
          <w:sz w:val="20"/>
          <w:szCs w:val="20"/>
          <w:color w:val="auto"/>
        </w:rPr>
      </w:pPr>
    </w:p>
    <w:p>
      <w:pPr>
        <w:ind w:right="120" w:firstLine="716"/>
        <w:spacing w:after="0" w:line="259" w:lineRule="auto"/>
        <w:rPr>
          <w:sz w:val="20"/>
          <w:szCs w:val="20"/>
          <w:color w:val="auto"/>
        </w:rPr>
      </w:pPr>
      <w:r>
        <w:rPr>
          <w:rFonts w:ascii="Arial" w:cs="Arial" w:eastAsia="Arial" w:hAnsi="Arial"/>
          <w:sz w:val="18"/>
          <w:szCs w:val="18"/>
          <w:i w:val="1"/>
          <w:iCs w:val="1"/>
          <w:color w:val="auto"/>
        </w:rPr>
        <w:t xml:space="preserve">Omnibus Agreement. </w:t>
      </w:r>
      <w:r>
        <w:rPr>
          <w:rFonts w:ascii="Arial" w:cs="Arial" w:eastAsia="Arial" w:hAnsi="Arial"/>
          <w:sz w:val="18"/>
          <w:szCs w:val="18"/>
          <w:color w:val="auto"/>
        </w:rPr>
        <w:t>PAA may sell common units to AAP pursuant to the Omnibus Agreement entered into by the Plains Entities. During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2017, pursuant to the Omnibus Agreement, PAA sold (i) approximately 1.8 million common units to AAP in connection with our issuance of Class A shares under our Continuous Offering Program and (ii) 48.3 million common units to AAP in connection with our March 2017 underwritten offering. See Note 12 to our Consolidated Financial Statements for additional information.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Issuances of PAA Senior Notes. </w:t>
      </w:r>
      <w:r>
        <w:rPr>
          <w:rFonts w:ascii="Arial" w:cs="Arial" w:eastAsia="Arial" w:hAnsi="Arial"/>
          <w:sz w:val="16"/>
          <w:szCs w:val="16"/>
          <w:color w:val="auto"/>
        </w:rPr>
        <w:t>PAA did not issue any senior unsecured notes during the years ended December 31, 2018 or 2017. During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PAA issued senior unsecured notes as summarized in the table below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120" w:type="dxa"/>
            <w:vAlign w:val="bottom"/>
            <w:vMerge w:val="restart"/>
          </w:tcPr>
          <w:p>
            <w:pPr>
              <w:spacing w:after="0"/>
              <w:rPr>
                <w:sz w:val="14"/>
                <w:szCs w:val="14"/>
                <w:color w:val="auto"/>
              </w:rPr>
            </w:pPr>
          </w:p>
        </w:tc>
        <w:tc>
          <w:tcPr>
            <w:tcW w:w="5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120" w:type="dxa"/>
            <w:vAlign w:val="bottom"/>
            <w:vMerge w:val="restart"/>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2"/>
              </w:rPr>
              <w:t>Face Value</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4"/>
                <w:szCs w:val="14"/>
                <w:color w:val="auto"/>
              </w:rPr>
            </w:pPr>
          </w:p>
        </w:tc>
        <w:tc>
          <w:tcPr>
            <w:tcW w:w="860" w:type="dxa"/>
            <w:vAlign w:val="bottom"/>
          </w:tcPr>
          <w:p>
            <w:pPr>
              <w:jc w:val="center"/>
              <w:ind w:right="82"/>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92"/>
        </w:trPr>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0"/>
              </w:rPr>
              <w:t>Proceeds</w:t>
            </w:r>
            <w:r>
              <w:rPr>
                <w:rFonts w:ascii="Arial" w:cs="Arial" w:eastAsia="Arial" w:hAnsi="Arial"/>
                <w:sz w:val="8"/>
                <w:szCs w:val="8"/>
                <w:b w:val="1"/>
                <w:bCs w:val="1"/>
                <w:color w:val="auto"/>
                <w:w w:val="90"/>
              </w:rPr>
              <w:t>(1)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7"/>
              </w:rPr>
              <w:t>Proceeds</w:t>
            </w:r>
            <w:r>
              <w:rPr>
                <w:rFonts w:ascii="Arial" w:cs="Arial" w:eastAsia="Arial" w:hAnsi="Arial"/>
                <w:sz w:val="8"/>
                <w:szCs w:val="8"/>
                <w:b w:val="1"/>
                <w:bCs w:val="1"/>
                <w:color w:val="auto"/>
                <w:w w:val="87"/>
              </w:rPr>
              <w:t>(2)</w:t>
            </w:r>
          </w:p>
        </w:tc>
        <w:tc>
          <w:tcPr>
            <w:tcW w:w="0" w:type="dxa"/>
            <w:vAlign w:val="bottom"/>
          </w:tcPr>
          <w:p>
            <w:pPr>
              <w:spacing w:after="0"/>
              <w:rPr>
                <w:sz w:val="1"/>
                <w:szCs w:val="1"/>
                <w:color w:val="auto"/>
              </w:rPr>
            </w:pPr>
          </w:p>
        </w:tc>
      </w:tr>
      <w:tr>
        <w:trPr>
          <w:trHeight w:val="243"/>
        </w:trPr>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1"/>
                <w:szCs w:val="21"/>
                <w:color w:val="auto"/>
              </w:rPr>
            </w:pPr>
          </w:p>
        </w:tc>
        <w:tc>
          <w:tcPr>
            <w:tcW w:w="5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4.50% PAA Senior Notes issued at 99.716% of face value</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December 2026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7"/>
        </w:trPr>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21"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22"/>
          <w:szCs w:val="22"/>
          <w:color w:val="auto"/>
          <w:vertAlign w:val="superscript"/>
        </w:rPr>
      </w:pPr>
      <w:r>
        <w:rPr>
          <w:rFonts w:ascii="Arial" w:cs="Arial" w:eastAsia="Arial" w:hAnsi="Arial"/>
          <w:sz w:val="16"/>
          <w:szCs w:val="16"/>
          <w:color w:val="auto"/>
        </w:rPr>
        <w:t>Face value of notes less the applicable premium or discount (before deducting for initial purchaser discounts, commissions and offering expenses).</w:t>
      </w:r>
    </w:p>
    <w:p>
      <w:pPr>
        <w:spacing w:after="0" w:line="98" w:lineRule="exact"/>
        <w:rPr>
          <w:rFonts w:ascii="Arial" w:cs="Arial" w:eastAsia="Arial" w:hAnsi="Arial"/>
          <w:sz w:val="22"/>
          <w:szCs w:val="22"/>
          <w:color w:val="auto"/>
          <w:vertAlign w:val="superscript"/>
        </w:rPr>
      </w:pPr>
    </w:p>
    <w:p>
      <w:pPr>
        <w:jc w:val="both"/>
        <w:ind w:left="660" w:right="80" w:hanging="652"/>
        <w:spacing w:after="0" w:line="225" w:lineRule="auto"/>
        <w:tabs>
          <w:tab w:leader="none" w:pos="660" w:val="left"/>
        </w:tabs>
        <w:numPr>
          <w:ilvl w:val="0"/>
          <w:numId w:val="79"/>
        </w:numPr>
        <w:rPr>
          <w:rFonts w:ascii="Arial" w:cs="Arial" w:eastAsia="Arial" w:hAnsi="Arial"/>
          <w:sz w:val="25"/>
          <w:szCs w:val="25"/>
          <w:color w:val="auto"/>
          <w:vertAlign w:val="superscript"/>
        </w:rPr>
      </w:pPr>
      <w:r>
        <w:rPr>
          <w:rFonts w:ascii="Arial" w:cs="Arial" w:eastAsia="Arial" w:hAnsi="Arial"/>
          <w:sz w:val="18"/>
          <w:szCs w:val="18"/>
          <w:color w:val="auto"/>
        </w:rPr>
        <w:t>Face value of notes less the applicable premium or discount, initial purchaser discounts, commissions and offering expenses. The net proceeds from the offering were used to repay outstanding borrowings under the credit facilities or the PAA commercial paper program and for general partnership purposes.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125" w:right="2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i w:val="1"/>
          <w:iCs w:val="1"/>
          <w:color w:val="auto"/>
        </w:rPr>
        <w:t xml:space="preserve">Repayments of PAA Senior Notes. </w:t>
      </w:r>
      <w:r>
        <w:rPr>
          <w:rFonts w:ascii="Arial" w:cs="Arial" w:eastAsia="Arial" w:hAnsi="Arial"/>
          <w:sz w:val="18"/>
          <w:szCs w:val="18"/>
          <w:color w:val="auto"/>
        </w:rPr>
        <w:t>PAA did not repay any senior unsecured notes during 2018. During 2017 and 2016, PAA repaid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senior unsecured notes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Borders>
              <w:bottom w:val="single" w:sz="8" w:color="CCEEFF"/>
            </w:tcBorders>
          </w:tcPr>
          <w:p>
            <w:pPr>
              <w:spacing w:after="0"/>
              <w:rPr>
                <w:sz w:val="16"/>
                <w:szCs w:val="16"/>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100" w:type="dxa"/>
            <w:vAlign w:val="bottom"/>
            <w:tcBorders>
              <w:bottom w:val="single" w:sz="8" w:color="CCEEFF"/>
            </w:tcBorders>
          </w:tcPr>
          <w:p>
            <w:pPr>
              <w:spacing w:after="0"/>
              <w:rPr>
                <w:sz w:val="16"/>
                <w:szCs w:val="16"/>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Repayment Date</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250"/>
        </w:trPr>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$400 million 6.13% PAA Senior Notes due January 2017</w:t>
            </w: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January 2017</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w:t>
            </w:r>
          </w:p>
        </w:tc>
      </w:tr>
      <w:tr>
        <w:trPr>
          <w:trHeight w:val="243"/>
        </w:trPr>
        <w:tc>
          <w:tcPr>
            <w:tcW w:w="21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1"/>
                <w:szCs w:val="21"/>
                <w:color w:val="auto"/>
              </w:rPr>
            </w:pPr>
          </w:p>
        </w:tc>
        <w:tc>
          <w:tcPr>
            <w:tcW w:w="57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$600 million 6.50% PAA Senior Notes due May 2018</w:t>
            </w: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2017</w:t>
            </w:r>
          </w:p>
        </w:tc>
        <w:tc>
          <w:tcPr>
            <w:tcW w:w="560" w:type="dxa"/>
            <w:vAlign w:val="bottom"/>
          </w:tcPr>
          <w:p>
            <w:pPr>
              <w:ind w:left="20"/>
              <w:spacing w:after="0"/>
              <w:rPr>
                <w:sz w:val="20"/>
                <w:szCs w:val="20"/>
                <w:color w:val="auto"/>
              </w:rPr>
            </w:pPr>
            <w:r>
              <w:rPr>
                <w:rFonts w:ascii="Arial" w:cs="Arial" w:eastAsia="Arial" w:hAnsi="Arial"/>
                <w:sz w:val="13"/>
                <w:szCs w:val="13"/>
                <w:color w:val="auto"/>
              </w:rPr>
              <w:t>(1) (2)</w:t>
            </w: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$350 million 8.75% PAA Senior Notes due May 2019</w:t>
            </w:r>
          </w:p>
        </w:tc>
        <w:tc>
          <w:tcPr>
            <w:tcW w:w="28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December 2017</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 (2)</w:t>
            </w:r>
          </w:p>
        </w:tc>
      </w:tr>
      <w:tr>
        <w:trPr>
          <w:trHeight w:val="324"/>
        </w:trPr>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43"/>
        </w:trPr>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shd w:val="clear" w:color="auto" w:fill="CCEEFF"/>
          </w:tcPr>
          <w:p>
            <w:pPr>
              <w:spacing w:after="0"/>
              <w:rPr>
                <w:sz w:val="21"/>
                <w:szCs w:val="21"/>
                <w:color w:val="auto"/>
              </w:rPr>
            </w:pPr>
          </w:p>
        </w:tc>
        <w:tc>
          <w:tcPr>
            <w:tcW w:w="5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$175 million 5.88% PAA Senior Notes due August 2016</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August 2016</w:t>
            </w:r>
          </w:p>
        </w:tc>
        <w:tc>
          <w:tcPr>
            <w:tcW w:w="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(1)</w:t>
            </w:r>
          </w:p>
        </w:tc>
      </w:tr>
      <w:tr>
        <w:trPr>
          <w:trHeight w:val="27"/>
        </w:trPr>
        <w:tc>
          <w:tcPr>
            <w:tcW w:w="2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21"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22"/>
          <w:szCs w:val="22"/>
          <w:color w:val="auto"/>
          <w:vertAlign w:val="superscript"/>
        </w:rPr>
      </w:pPr>
      <w:r>
        <w:rPr>
          <w:rFonts w:ascii="Arial" w:cs="Arial" w:eastAsia="Arial" w:hAnsi="Arial"/>
          <w:sz w:val="16"/>
          <w:szCs w:val="16"/>
          <w:color w:val="auto"/>
        </w:rPr>
        <w:t>These senior notes were repaid with cash on hand and proceeds from borrowings under the PAA credit facilities and commercial paper program.</w:t>
      </w:r>
    </w:p>
    <w:p>
      <w:pPr>
        <w:spacing w:after="0" w:line="98" w:lineRule="exact"/>
        <w:rPr>
          <w:rFonts w:ascii="Arial" w:cs="Arial" w:eastAsia="Arial" w:hAnsi="Arial"/>
          <w:sz w:val="22"/>
          <w:szCs w:val="22"/>
          <w:color w:val="auto"/>
          <w:vertAlign w:val="superscript"/>
        </w:rPr>
      </w:pPr>
    </w:p>
    <w:p>
      <w:pPr>
        <w:ind w:left="660" w:right="660" w:hanging="652"/>
        <w:spacing w:after="0" w:line="214" w:lineRule="auto"/>
        <w:tabs>
          <w:tab w:leader="none" w:pos="660" w:val="left"/>
        </w:tabs>
        <w:numPr>
          <w:ilvl w:val="0"/>
          <w:numId w:val="80"/>
        </w:numPr>
        <w:rPr>
          <w:rFonts w:ascii="Arial" w:cs="Arial" w:eastAsia="Arial" w:hAnsi="Arial"/>
          <w:sz w:val="25"/>
          <w:szCs w:val="25"/>
          <w:color w:val="auto"/>
          <w:vertAlign w:val="superscript"/>
        </w:rPr>
      </w:pPr>
      <w:r>
        <w:rPr>
          <w:rFonts w:ascii="Arial" w:cs="Arial" w:eastAsia="Arial" w:hAnsi="Arial"/>
          <w:sz w:val="18"/>
          <w:szCs w:val="18"/>
          <w:color w:val="auto"/>
        </w:rPr>
        <w:t>In conjunction with the early redemptions of these PAA senior notes, we recognized a loss of approximately $40 million, recorded to “Other income/(expense), net” in our Consolidated Statement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our Class A shareholders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distribute 100% of our available cash within 55 days following the end of each quarter to Class A shareholders of record.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law or contractual obligations and funding of future distributions to our shareholders. On February 14, 2019, we paid a quarterly distribution of $0.30 per Class A share ($1.20 per Class A share on an annualized basis). See Note 12 to our Consolidated Financial Statements for details of distributions paid during the three years ended December 31, 2018. Also, see Item 5. “Market for Registrant’s Shares, Related Shareholder Matters and Issuer Purchases of Equity Securities—Cash Distribution Policy” for additional discussion regarding distributions.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Noncontrolling Interests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Distributions to noncontrolling interests represent amounts paid on interests in consolidated entities that are not owned by us. As of December 31, 2018, noncontrolling interests in our subsidiaries consisted of (i) limited partner interests in PAA including a 65% interest in PAA’s common units and PAA’s Series A preferred units combined and 100% of PAA’s Series B preferred units and (ii) an approximate 43% limited partner interest in AAP.</w:t>
      </w:r>
    </w:p>
    <w:p>
      <w:pPr>
        <w:spacing w:after="0" w:line="16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Distributions to PAA’s Series A preferred unitholders. </w:t>
      </w:r>
      <w:r>
        <w:rPr>
          <w:rFonts w:ascii="Arial" w:cs="Arial" w:eastAsia="Arial" w:hAnsi="Arial"/>
          <w:sz w:val="17"/>
          <w:szCs w:val="17"/>
          <w:color w:val="auto"/>
        </w:rPr>
        <w:t>Holders of PAA’s Series A preferred units are entitled to receive quarterly distributions,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to customary anti-dilution adjustments, of $0.525 per unit ($2.10 per unit annualized), which commenced with the quarter ending March 31, 2016. With respect to each quarter ending on or prior to December 31, 2017, PAA elected to pay distributions on its Series A preferred units in additional Series A preferred units. Beginning with the distribution with respect to the quarter ended March 31, 2018, distributions on PAA’s Series A preferred units are paid in cash. Subject to certain limitations, following January 28, 2021, the holders of PAA’s Series A preferred units may make a one-time election to reset the distribution rate. See Note 12 to our Consolidated Financial Statements for additional information.</w:t>
      </w:r>
    </w:p>
    <w:p>
      <w:pPr>
        <w:spacing w:after="0" w:line="178" w:lineRule="exact"/>
        <w:rPr>
          <w:sz w:val="20"/>
          <w:szCs w:val="20"/>
          <w:color w:val="auto"/>
        </w:rPr>
      </w:pPr>
    </w:p>
    <w:p>
      <w:pPr>
        <w:ind w:right="200" w:firstLine="648"/>
        <w:spacing w:after="0" w:line="288" w:lineRule="auto"/>
        <w:rPr>
          <w:sz w:val="20"/>
          <w:szCs w:val="20"/>
          <w:color w:val="auto"/>
        </w:rPr>
      </w:pPr>
      <w:r>
        <w:rPr>
          <w:rFonts w:ascii="Arial" w:cs="Arial" w:eastAsia="Arial" w:hAnsi="Arial"/>
          <w:sz w:val="16"/>
          <w:szCs w:val="16"/>
          <w:i w:val="1"/>
          <w:iCs w:val="1"/>
          <w:color w:val="auto"/>
        </w:rPr>
        <w:t xml:space="preserve">Distributions to PAA’s Series B preferred unitholders. </w:t>
      </w:r>
      <w:r>
        <w:rPr>
          <w:rFonts w:ascii="Arial" w:cs="Arial" w:eastAsia="Arial" w:hAnsi="Arial"/>
          <w:sz w:val="16"/>
          <w:szCs w:val="16"/>
          <w:color w:val="auto"/>
        </w:rPr>
        <w:t>Holders of PAA’s Series B preferred units are entitled to receive, when, as and if declared by</w:t>
      </w:r>
      <w:r>
        <w:rPr>
          <w:rFonts w:ascii="Arial" w:cs="Arial" w:eastAsia="Arial" w:hAnsi="Arial"/>
          <w:sz w:val="16"/>
          <w:szCs w:val="16"/>
          <w:i w:val="1"/>
          <w:iCs w:val="1"/>
          <w:color w:val="auto"/>
        </w:rPr>
        <w:t xml:space="preserve"> </w:t>
      </w:r>
      <w:r>
        <w:rPr>
          <w:rFonts w:ascii="Arial" w:cs="Arial" w:eastAsia="Arial" w:hAnsi="Arial"/>
          <w:sz w:val="16"/>
          <w:szCs w:val="16"/>
          <w:color w:val="auto"/>
        </w:rPr>
        <w:t>PAA’s general partner out of legally available funds for such purpose, cumulative cash distributions, as applicable. Through and including November 15, 2022, holders are entitled to a distribution equal to $61.25 per unit per year, payable semiannually in arrears on the 15th day of May and November.</w:t>
      </w:r>
    </w:p>
    <w:p>
      <w:pPr>
        <w:ind w:right="80"/>
        <w:spacing w:after="0" w:line="261" w:lineRule="auto"/>
        <w:rPr>
          <w:sz w:val="20"/>
          <w:szCs w:val="20"/>
          <w:color w:val="auto"/>
        </w:rPr>
      </w:pPr>
      <w:r>
        <w:rPr>
          <w:rFonts w:ascii="Arial" w:cs="Arial" w:eastAsia="Arial" w:hAnsi="Arial"/>
          <w:sz w:val="18"/>
          <w:szCs w:val="18"/>
          <w:color w:val="auto"/>
        </w:rPr>
        <w:t>See Note 12 to our Consolidated Financial Statements for further discussion of PAA’s Series B preferred units, including distribution rates and payment dates after November 15, 2022.</w:t>
      </w:r>
    </w:p>
    <w:p>
      <w:pPr>
        <w:spacing w:after="0" w:line="18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i w:val="1"/>
          <w:iCs w:val="1"/>
          <w:color w:val="auto"/>
        </w:rPr>
        <w:t xml:space="preserve">Distributions to PAA’s common unitholders. </w:t>
      </w:r>
      <w:r>
        <w:rPr>
          <w:rFonts w:ascii="Arial" w:cs="Arial" w:eastAsia="Arial" w:hAnsi="Arial"/>
          <w:sz w:val="18"/>
          <w:szCs w:val="18"/>
          <w:color w:val="auto"/>
        </w:rPr>
        <w:t>On February 14, 2019, PAA paid a quarterly distribution of $0.30 per common unit ($1.20 per unit on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annualized basis). The total distribution of $218 million was paid to unitholders of record as of January 31, 2019, with respect to the quarter ending December 31, 2018.</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the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18 to our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 parties under contracts, the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range in term from thirty-day evergreen to five years, with a limited number of contracts with remaining terms extending up to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7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 amounts due under the specified contractual obligations as of December 31, 2018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2024 and</w:t>
            </w:r>
          </w:p>
        </w:tc>
        <w:tc>
          <w:tcPr>
            <w:tcW w:w="240" w:type="dxa"/>
            <w:vAlign w:val="bottom"/>
          </w:tcPr>
          <w:p>
            <w:pPr>
              <w:spacing w:after="0"/>
              <w:rPr>
                <w:sz w:val="14"/>
                <w:szCs w:val="14"/>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Long-term debt and related interest payments</w:t>
            </w: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918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878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949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1,079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1,599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8,593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14,016</w:t>
            </w:r>
          </w:p>
        </w:tc>
        <w:tc>
          <w:tcPr>
            <w:tcW w:w="0" w:type="dxa"/>
            <w:vAlign w:val="bottom"/>
          </w:tcPr>
          <w:p>
            <w:pPr>
              <w:spacing w:after="0"/>
              <w:rPr>
                <w:sz w:val="1"/>
                <w:szCs w:val="1"/>
                <w:color w:val="auto"/>
              </w:rPr>
            </w:pPr>
          </w:p>
        </w:tc>
      </w:tr>
      <w:tr>
        <w:trPr>
          <w:trHeight w:val="1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(1)</w:t>
            </w: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80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76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76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76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vMerge w:val="continue"/>
            <w:shd w:val="clear" w:color="auto" w:fill="CCEEFF"/>
          </w:tcPr>
          <w:p>
            <w:pPr>
              <w:spacing w:after="0"/>
              <w:rPr>
                <w:sz w:val="14"/>
                <w:szCs w:val="14"/>
                <w:color w:val="auto"/>
              </w:rPr>
            </w:pPr>
          </w:p>
        </w:tc>
        <w:tc>
          <w:tcPr>
            <w:tcW w:w="8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w w:val="93"/>
              </w:rPr>
              <w:t xml:space="preserve">Leases, rights-of-way easements and other </w:t>
            </w:r>
            <w:r>
              <w:rPr>
                <w:rFonts w:ascii="Arial" w:cs="Arial" w:eastAsia="Arial" w:hAnsi="Arial"/>
                <w:sz w:val="25"/>
                <w:szCs w:val="25"/>
                <w:color w:val="auto"/>
                <w:w w:val="93"/>
                <w:vertAlign w:val="superscript"/>
              </w:rPr>
              <w:t>(2)</w:t>
            </w:r>
          </w:p>
        </w:tc>
        <w:tc>
          <w:tcPr>
            <w:tcW w:w="24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5"/>
                <w:szCs w:val="25"/>
                <w:color w:val="auto"/>
                <w:vertAlign w:val="superscript"/>
              </w:rPr>
              <w:t>(3)</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Subtotal</w:t>
            </w:r>
          </w:p>
        </w:tc>
        <w:tc>
          <w:tcPr>
            <w:tcW w:w="24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1,713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1,206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9,279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16,547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5"/>
                <w:szCs w:val="25"/>
                <w:color w:val="auto"/>
                <w:vertAlign w:val="superscript"/>
              </w:rPr>
              <w:t>(4)</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7,231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5,262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4,950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4,279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3,931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9,082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34,735</w:t>
            </w:r>
          </w:p>
        </w:tc>
        <w:tc>
          <w:tcPr>
            <w:tcW w:w="0" w:type="dxa"/>
            <w:vAlign w:val="bottom"/>
          </w:tcPr>
          <w:p>
            <w:pPr>
              <w:spacing w:after="0"/>
              <w:rPr>
                <w:sz w:val="1"/>
                <w:szCs w:val="1"/>
                <w:color w:val="auto"/>
              </w:rPr>
            </w:pPr>
          </w:p>
        </w:tc>
      </w:tr>
      <w:tr>
        <w:trPr>
          <w:trHeight w:val="257"/>
        </w:trPr>
        <w:tc>
          <w:tcPr>
            <w:tcW w:w="3540" w:type="dxa"/>
            <w:vAlign w:val="bottom"/>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8,944</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6,468</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6,200</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5,588</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5,721</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18,361</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51,282</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44" w:lineRule="exact"/>
        <w:rPr>
          <w:sz w:val="20"/>
          <w:szCs w:val="20"/>
          <w:color w:val="auto"/>
        </w:rPr>
      </w:pPr>
    </w:p>
    <w:p>
      <w:pPr>
        <w:ind w:left="660" w:hanging="652"/>
        <w:spacing w:after="0" w:line="237" w:lineRule="auto"/>
        <w:tabs>
          <w:tab w:leader="none" w:pos="660" w:val="left"/>
        </w:tabs>
        <w:numPr>
          <w:ilvl w:val="0"/>
          <w:numId w:val="81"/>
        </w:numPr>
        <w:rPr>
          <w:rFonts w:ascii="Arial" w:cs="Arial" w:eastAsia="Arial" w:hAnsi="Arial"/>
          <w:sz w:val="25"/>
          <w:szCs w:val="25"/>
          <w:color w:val="auto"/>
          <w:vertAlign w:val="superscript"/>
        </w:rPr>
      </w:pPr>
      <w:r>
        <w:rPr>
          <w:rFonts w:ascii="Arial" w:cs="Arial" w:eastAsia="Arial" w:hAnsi="Arial"/>
          <w:sz w:val="18"/>
          <w:szCs w:val="18"/>
          <w:color w:val="auto"/>
        </w:rPr>
        <w:t>Includes debt service payments, interest payments due on PAA’s senior notes and the commitment fee on assumed available capacity under the PAA credit facilities, as well as long-term borrowings under the credit agreements and the PAA commercial paper program, if any. Although there may be short-term borrowings under the PAA credit agreements and the PAA commercial paper program, we historically repay and borrow at varying amounts. As such, we have included only the maximum commitment fee (as if no short-term borrowings were outstanding on the PAA credit agreements or the PAA commercial paper program) in the amounts above. For additional information regarding our debt obligations, see Note 11 to our Consolidated Financial Statements.</w:t>
      </w:r>
    </w:p>
    <w:p>
      <w:pPr>
        <w:spacing w:after="0" w:line="98" w:lineRule="exact"/>
        <w:rPr>
          <w:rFonts w:ascii="Arial" w:cs="Arial" w:eastAsia="Arial" w:hAnsi="Arial"/>
          <w:sz w:val="25"/>
          <w:szCs w:val="25"/>
          <w:color w:val="auto"/>
          <w:vertAlign w:val="superscript"/>
        </w:rPr>
      </w:pPr>
    </w:p>
    <w:p>
      <w:pPr>
        <w:ind w:left="660" w:right="420" w:hanging="652"/>
        <w:spacing w:after="0" w:line="216" w:lineRule="auto"/>
        <w:tabs>
          <w:tab w:leader="none" w:pos="660" w:val="left"/>
        </w:tabs>
        <w:numPr>
          <w:ilvl w:val="0"/>
          <w:numId w:val="81"/>
        </w:numPr>
        <w:rPr>
          <w:rFonts w:ascii="Arial" w:cs="Arial" w:eastAsia="Arial" w:hAnsi="Arial"/>
          <w:sz w:val="25"/>
          <w:szCs w:val="25"/>
          <w:color w:val="auto"/>
          <w:vertAlign w:val="superscript"/>
        </w:rPr>
      </w:pPr>
      <w:r>
        <w:rPr>
          <w:rFonts w:ascii="Arial" w:cs="Arial" w:eastAsia="Arial" w:hAnsi="Arial"/>
          <w:sz w:val="18"/>
          <w:szCs w:val="18"/>
          <w:color w:val="auto"/>
        </w:rPr>
        <w:t>Leases are primarily for (i) railcars, (ii) land and surface rentals, (iii) office buildings, (iv) pipeline assets and (v) vehicles and trailers. Includes operating and capital leases as defined by FASB guidance, as well as obligations for rights-of-way easements.</w:t>
      </w:r>
    </w:p>
    <w:p>
      <w:pPr>
        <w:spacing w:after="0" w:line="95" w:lineRule="exact"/>
        <w:rPr>
          <w:rFonts w:ascii="Arial" w:cs="Arial" w:eastAsia="Arial" w:hAnsi="Arial"/>
          <w:sz w:val="25"/>
          <w:szCs w:val="25"/>
          <w:color w:val="auto"/>
          <w:vertAlign w:val="superscript"/>
        </w:rPr>
      </w:pPr>
    </w:p>
    <w:p>
      <w:pPr>
        <w:ind w:left="660" w:right="60" w:hanging="652"/>
        <w:spacing w:after="0" w:line="235" w:lineRule="auto"/>
        <w:tabs>
          <w:tab w:leader="none" w:pos="660" w:val="left"/>
        </w:tabs>
        <w:numPr>
          <w:ilvl w:val="0"/>
          <w:numId w:val="81"/>
        </w:numPr>
        <w:rPr>
          <w:rFonts w:ascii="Arial" w:cs="Arial" w:eastAsia="Arial" w:hAnsi="Arial"/>
          <w:sz w:val="25"/>
          <w:szCs w:val="25"/>
          <w:color w:val="auto"/>
          <w:vertAlign w:val="superscript"/>
        </w:rPr>
      </w:pPr>
      <w:r>
        <w:rPr>
          <w:rFonts w:ascii="Arial" w:cs="Arial" w:eastAsia="Arial" w:hAnsi="Arial"/>
          <w:sz w:val="18"/>
          <w:szCs w:val="18"/>
          <w:color w:val="auto"/>
        </w:rPr>
        <w:t>Includes (i) other long-term liabilities, (ii) storage, processing and transportation agreements and (iii) noncancelable commitments related to our capital expansion projects, including projected contributions for our share of the capital spending of our equity method investments. The transportation agreements include approximately $750 million associated with an agreement to transport crude oil at posted tariff rates on a pipeline that is owned by an equity method investee, in which we own a 50% interest. Our commitment to transport is supported by crude oil buy/sell agreements with third parties (including Oxy) with commensurate quantities.</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60"/>
          </w:cols>
          <w:pgMar w:left="240" w:top="125" w:right="29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right="80" w:hanging="652"/>
        <w:spacing w:after="0" w:line="238" w:lineRule="auto"/>
        <w:tabs>
          <w:tab w:leader="none" w:pos="660" w:val="left"/>
        </w:tabs>
        <w:numPr>
          <w:ilvl w:val="0"/>
          <w:numId w:val="82"/>
        </w:numPr>
        <w:rPr>
          <w:rFonts w:ascii="Arial" w:cs="Arial" w:eastAsia="Arial" w:hAnsi="Arial"/>
          <w:sz w:val="24"/>
          <w:szCs w:val="24"/>
          <w:color w:val="auto"/>
          <w:vertAlign w:val="superscript"/>
        </w:rPr>
      </w:pPr>
      <w:r>
        <w:rPr>
          <w:rFonts w:ascii="Arial" w:cs="Arial" w:eastAsia="Arial" w:hAnsi="Arial"/>
          <w:sz w:val="17"/>
          <w:szCs w:val="17"/>
          <w:color w:val="auto"/>
        </w:rPr>
        <w:t>Amounts are primarily based on estimated volumes and market prices based on average activity during December 2018.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0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2018 and 2017, we had outstanding letters of credit of approximately $184 million and $166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Entities</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We have invested in entities that are not consolidated in our financial statements. None of these entities are borrowers under credit facilities, and we are neither a co-borrower nor a guarantor under any facilities of such entities. We may elect at any time to make additional capital contributions to any of these entities. The following table sets forth selected information regarding these entities as of December 31, 2018 (unaudited, dollars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Our</w:t>
            </w:r>
          </w:p>
        </w:tc>
        <w:tc>
          <w:tcPr>
            <w:tcW w:w="220" w:type="dxa"/>
            <w:vAlign w:val="bottom"/>
          </w:tcPr>
          <w:p>
            <w:pPr>
              <w:spacing w:after="0"/>
              <w:rPr>
                <w:sz w:val="14"/>
                <w:szCs w:val="1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Total Cash</w:t>
            </w:r>
          </w:p>
        </w:tc>
        <w:tc>
          <w:tcPr>
            <w:tcW w:w="220" w:type="dxa"/>
            <w:vAlign w:val="bottom"/>
          </w:tcPr>
          <w:p>
            <w:pPr>
              <w:spacing w:after="0"/>
              <w:rPr>
                <w:sz w:val="14"/>
                <w:szCs w:val="14"/>
                <w:color w:val="auto"/>
              </w:rPr>
            </w:pPr>
          </w:p>
        </w:tc>
        <w:tc>
          <w:tcPr>
            <w:tcW w:w="8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w:t>
            </w: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Entity</w:t>
            </w:r>
          </w:p>
        </w:tc>
        <w:tc>
          <w:tcPr>
            <w:tcW w:w="120" w:type="dxa"/>
            <w:vAlign w:val="bottom"/>
            <w:vMerge w:val="restart"/>
          </w:tcPr>
          <w:p>
            <w:pPr>
              <w:spacing w:after="0"/>
              <w:rPr>
                <w:sz w:val="12"/>
                <w:szCs w:val="12"/>
                <w:color w:val="auto"/>
              </w:rPr>
            </w:pPr>
          </w:p>
        </w:tc>
        <w:tc>
          <w:tcPr>
            <w:tcW w:w="2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Type of Operation</w:t>
            </w:r>
          </w:p>
        </w:tc>
        <w:tc>
          <w:tcPr>
            <w:tcW w:w="140" w:type="dxa"/>
            <w:vAlign w:val="bottom"/>
            <w:vMerge w:val="restart"/>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Ownership</w:t>
            </w:r>
          </w:p>
        </w:tc>
        <w:tc>
          <w:tcPr>
            <w:tcW w:w="220" w:type="dxa"/>
            <w:vAlign w:val="bottom"/>
          </w:tcPr>
          <w:p>
            <w:pPr>
              <w:spacing w:after="0"/>
              <w:rPr>
                <w:sz w:val="12"/>
                <w:szCs w:val="12"/>
                <w:color w:val="auto"/>
              </w:rPr>
            </w:pPr>
          </w:p>
        </w:tc>
        <w:tc>
          <w:tcPr>
            <w:tcW w:w="9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Entity</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Restricted</w:t>
            </w:r>
          </w:p>
        </w:tc>
        <w:tc>
          <w:tcPr>
            <w:tcW w:w="220" w:type="dxa"/>
            <w:vAlign w:val="bottom"/>
          </w:tcPr>
          <w:p>
            <w:pPr>
              <w:spacing w:after="0"/>
              <w:rPr>
                <w:sz w:val="12"/>
                <w:szCs w:val="12"/>
                <w:color w:val="auto"/>
              </w:rPr>
            </w:pPr>
          </w:p>
        </w:tc>
        <w:tc>
          <w:tcPr>
            <w:tcW w:w="8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Entity</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9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7"/>
              </w:rPr>
              <w:t>Cash</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Debt</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Advantage Pipeline, L.L.C.</w:t>
            </w:r>
          </w:p>
        </w:tc>
        <w:tc>
          <w:tcPr>
            <w:tcW w:w="31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Crude Oil Pipeline</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BridgeTex Pipeline Company, LLC</w:t>
            </w:r>
          </w:p>
        </w:tc>
        <w:tc>
          <w:tcPr>
            <w:tcW w:w="31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Crude Oil Pipeline</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Cactus II Pipeline LLC</w:t>
            </w:r>
          </w:p>
        </w:tc>
        <w:tc>
          <w:tcPr>
            <w:tcW w:w="3100" w:type="dxa"/>
            <w:vAlign w:val="bottom"/>
            <w:gridSpan w:val="2"/>
            <w:shd w:val="clear" w:color="auto" w:fill="CCEEFF"/>
          </w:tcPr>
          <w:p>
            <w:pPr>
              <w:jc w:val="center"/>
              <w:ind w:right="120"/>
              <w:spacing w:after="0" w:line="27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5"/>
                <w:szCs w:val="25"/>
                <w:color w:val="auto"/>
                <w:w w:val="90"/>
                <w:vertAlign w:val="superscript"/>
              </w:rPr>
              <w:t>(1)</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Caddo Pipeline LLC</w:t>
            </w:r>
          </w:p>
        </w:tc>
        <w:tc>
          <w:tcPr>
            <w:tcW w:w="3100" w:type="dxa"/>
            <w:vAlign w:val="bottom"/>
            <w:gridSpan w:val="2"/>
          </w:tcPr>
          <w:p>
            <w:pPr>
              <w:jc w:val="center"/>
              <w:ind w:right="120"/>
              <w:spacing w:after="0" w:line="27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5"/>
                <w:szCs w:val="25"/>
                <w:color w:val="auto"/>
                <w:w w:val="90"/>
                <w:vertAlign w:val="superscript"/>
              </w:rPr>
              <w:t>(2)</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Cheyenne Pipeline LLC</w:t>
            </w:r>
          </w:p>
        </w:tc>
        <w:tc>
          <w:tcPr>
            <w:tcW w:w="3100" w:type="dxa"/>
            <w:vAlign w:val="bottom"/>
            <w:gridSpan w:val="2"/>
            <w:shd w:val="clear" w:color="auto" w:fill="CCEEFF"/>
          </w:tcPr>
          <w:p>
            <w:pPr>
              <w:jc w:val="center"/>
              <w:ind w:right="120"/>
              <w:spacing w:after="0" w:line="27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5"/>
                <w:szCs w:val="25"/>
                <w:color w:val="auto"/>
                <w:w w:val="90"/>
                <w:vertAlign w:val="superscript"/>
              </w:rPr>
              <w:t>(2)</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Diamond Pipeline LLC</w:t>
            </w:r>
          </w:p>
        </w:tc>
        <w:tc>
          <w:tcPr>
            <w:tcW w:w="3100" w:type="dxa"/>
            <w:vAlign w:val="bottom"/>
            <w:gridSpan w:val="2"/>
          </w:tcPr>
          <w:p>
            <w:pPr>
              <w:jc w:val="center"/>
              <w:ind w:right="120"/>
              <w:spacing w:after="0" w:line="27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5"/>
                <w:szCs w:val="25"/>
                <w:color w:val="auto"/>
                <w:w w:val="90"/>
                <w:vertAlign w:val="superscript"/>
              </w:rPr>
              <w:t>(2)</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Eagle Ford Pipeline LLC</w:t>
            </w:r>
          </w:p>
        </w:tc>
        <w:tc>
          <w:tcPr>
            <w:tcW w:w="3100" w:type="dxa"/>
            <w:vAlign w:val="bottom"/>
            <w:gridSpan w:val="2"/>
            <w:shd w:val="clear" w:color="auto" w:fill="CCEEFF"/>
          </w:tcPr>
          <w:p>
            <w:pPr>
              <w:jc w:val="center"/>
              <w:ind w:right="120"/>
              <w:spacing w:after="0" w:line="27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5"/>
                <w:szCs w:val="25"/>
                <w:color w:val="auto"/>
                <w:w w:val="90"/>
                <w:vertAlign w:val="superscript"/>
              </w:rPr>
              <w:t>(2)</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Eagle Ford Terminals Corpus Christi LLC</w:t>
            </w:r>
          </w:p>
        </w:tc>
        <w:tc>
          <w:tcPr>
            <w:tcW w:w="3100" w:type="dxa"/>
            <w:vAlign w:val="bottom"/>
            <w:gridSpan w:val="2"/>
          </w:tcPr>
          <w:p>
            <w:pPr>
              <w:jc w:val="center"/>
              <w:ind w:right="140"/>
              <w:spacing w:after="0" w:line="270" w:lineRule="exact"/>
              <w:rPr>
                <w:sz w:val="20"/>
                <w:szCs w:val="20"/>
                <w:color w:val="auto"/>
              </w:rPr>
            </w:pPr>
            <w:r>
              <w:rPr>
                <w:rFonts w:ascii="Arial" w:cs="Arial" w:eastAsia="Arial" w:hAnsi="Arial"/>
                <w:sz w:val="18"/>
                <w:szCs w:val="18"/>
                <w:color w:val="auto"/>
                <w:w w:val="90"/>
              </w:rPr>
              <w:t xml:space="preserve">Crude Oil Terminal and Dock </w:t>
            </w:r>
            <w:r>
              <w:rPr>
                <w:rFonts w:ascii="Arial" w:cs="Arial" w:eastAsia="Arial" w:hAnsi="Arial"/>
                <w:sz w:val="25"/>
                <w:szCs w:val="25"/>
                <w:color w:val="auto"/>
                <w:w w:val="90"/>
                <w:vertAlign w:val="superscript"/>
              </w:rPr>
              <w:t>(1)</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Midway Pipeline LLC</w:t>
            </w:r>
          </w:p>
        </w:tc>
        <w:tc>
          <w:tcPr>
            <w:tcW w:w="3100" w:type="dxa"/>
            <w:vAlign w:val="bottom"/>
            <w:gridSpan w:val="2"/>
            <w:shd w:val="clear" w:color="auto" w:fill="CCEEFF"/>
          </w:tcPr>
          <w:p>
            <w:pPr>
              <w:jc w:val="center"/>
              <w:ind w:right="120"/>
              <w:spacing w:after="0" w:line="27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5"/>
                <w:szCs w:val="25"/>
                <w:color w:val="auto"/>
                <w:w w:val="90"/>
                <w:vertAlign w:val="superscript"/>
              </w:rPr>
              <w:t>(2)</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Saddlehorn Pipeline Company, LLC</w:t>
            </w:r>
          </w:p>
        </w:tc>
        <w:tc>
          <w:tcPr>
            <w:tcW w:w="31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Crude Oil Pipeline</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40%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Settoon Towing, LLC</w:t>
            </w:r>
          </w:p>
        </w:tc>
        <w:tc>
          <w:tcPr>
            <w:tcW w:w="31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Barge Transportation Services</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STACK Pipeline LLC</w:t>
            </w:r>
          </w:p>
        </w:tc>
        <w:tc>
          <w:tcPr>
            <w:tcW w:w="3100" w:type="dxa"/>
            <w:vAlign w:val="bottom"/>
            <w:gridSpan w:val="2"/>
          </w:tcPr>
          <w:p>
            <w:pPr>
              <w:jc w:val="center"/>
              <w:ind w:right="120"/>
              <w:spacing w:after="0" w:line="27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5"/>
                <w:szCs w:val="25"/>
                <w:color w:val="auto"/>
                <w:w w:val="90"/>
                <w:vertAlign w:val="superscript"/>
              </w:rPr>
              <w:t>(2)</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White Cliffs Pipeline, L.L.C.</w:t>
            </w:r>
          </w:p>
        </w:tc>
        <w:tc>
          <w:tcPr>
            <w:tcW w:w="31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Crude Oil Pipeline</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25"/>
          <w:szCs w:val="25"/>
          <w:color w:val="auto"/>
          <w:vertAlign w:val="superscript"/>
        </w:rPr>
      </w:pPr>
      <w:r>
        <w:rPr>
          <w:rFonts w:ascii="Arial" w:cs="Arial" w:eastAsia="Arial" w:hAnsi="Arial"/>
          <w:sz w:val="18"/>
          <w:szCs w:val="18"/>
          <w:color w:val="auto"/>
        </w:rPr>
        <w:t>Asset is currently under construction by the entity and has not yet been placed in service.</w:t>
      </w:r>
    </w:p>
    <w:p>
      <w:pPr>
        <w:spacing w:after="0" w:line="98" w:lineRule="exact"/>
        <w:rPr>
          <w:rFonts w:ascii="Arial" w:cs="Arial" w:eastAsia="Arial" w:hAnsi="Arial"/>
          <w:sz w:val="25"/>
          <w:szCs w:val="25"/>
          <w:color w:val="auto"/>
          <w:vertAlign w:val="superscript"/>
        </w:rPr>
      </w:pPr>
    </w:p>
    <w:p>
      <w:pPr>
        <w:ind w:left="660" w:hanging="652"/>
        <w:spacing w:after="0" w:line="188" w:lineRule="auto"/>
        <w:tabs>
          <w:tab w:leader="none" w:pos="660" w:val="left"/>
        </w:tabs>
        <w:numPr>
          <w:ilvl w:val="0"/>
          <w:numId w:val="83"/>
        </w:numPr>
        <w:rPr>
          <w:rFonts w:ascii="Arial" w:cs="Arial" w:eastAsia="Arial" w:hAnsi="Arial"/>
          <w:sz w:val="25"/>
          <w:szCs w:val="25"/>
          <w:color w:val="auto"/>
          <w:vertAlign w:val="superscript"/>
        </w:rPr>
      </w:pPr>
      <w:r>
        <w:rPr>
          <w:rFonts w:ascii="Arial" w:cs="Arial" w:eastAsia="Arial" w:hAnsi="Arial"/>
          <w:sz w:val="18"/>
          <w:szCs w:val="18"/>
          <w:color w:val="auto"/>
        </w:rPr>
        <w:t>We serve as operator of the pipeline.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117" w:lineRule="exact"/>
        <w:rPr>
          <w:sz w:val="20"/>
          <w:szCs w:val="20"/>
          <w:color w:val="auto"/>
        </w:rPr>
      </w:pPr>
    </w:p>
    <w:p>
      <w:pPr>
        <w:ind w:left="980" w:hanging="324"/>
        <w:spacing w:after="0"/>
        <w:tabs>
          <w:tab w:leader="none" w:pos="980" w:val="left"/>
        </w:tabs>
        <w:numPr>
          <w:ilvl w:val="0"/>
          <w:numId w:val="84"/>
        </w:numPr>
        <w:rPr>
          <w:rFonts w:ascii="Arial" w:cs="Arial" w:eastAsia="Arial" w:hAnsi="Arial"/>
          <w:sz w:val="13"/>
          <w:szCs w:val="13"/>
          <w:i w:val="1"/>
          <w:iCs w:val="1"/>
          <w:color w:val="auto"/>
        </w:rPr>
      </w:pPr>
      <w:r>
        <w:rPr>
          <w:rFonts w:ascii="Arial" w:cs="Arial" w:eastAsia="Arial" w:hAnsi="Arial"/>
          <w:sz w:val="18"/>
          <w:szCs w:val="18"/>
          <w:i w:val="1"/>
          <w:iCs w:val="1"/>
          <w:u w:val="single" w:color="auto"/>
          <w:color w:val="auto"/>
        </w:rPr>
        <w:t>Crude oil</w:t>
      </w:r>
    </w:p>
    <w:p>
      <w:pPr>
        <w:spacing w:after="0" w:line="117" w:lineRule="exact"/>
        <w:rPr>
          <w:rFonts w:ascii="Arial" w:cs="Arial" w:eastAsia="Arial" w:hAnsi="Arial"/>
          <w:sz w:val="13"/>
          <w:szCs w:val="13"/>
          <w:i w:val="1"/>
          <w:iCs w:val="1"/>
          <w:color w:val="auto"/>
        </w:rPr>
      </w:pPr>
    </w:p>
    <w:p>
      <w:pPr>
        <w:ind w:left="980" w:right="580"/>
        <w:spacing w:after="0" w:line="286" w:lineRule="auto"/>
        <w:rPr>
          <w:rFonts w:ascii="Arial" w:cs="Arial" w:eastAsia="Arial" w:hAnsi="Arial"/>
          <w:sz w:val="13"/>
          <w:szCs w:val="13"/>
          <w:i w:val="1"/>
          <w:iCs w:val="1"/>
          <w:color w:val="auto"/>
        </w:rPr>
      </w:pPr>
      <w:r>
        <w:rPr>
          <w:rFonts w:ascii="Arial" w:cs="Arial" w:eastAsia="Arial" w:hAnsi="Arial"/>
          <w:sz w:val="17"/>
          <w:szCs w:val="17"/>
          <w:color w:val="auto"/>
        </w:rPr>
        <w:t>We utilize crude oil derivatives to hedge commodity price risk inherent in our Supply and Logistics and Transportation segments. Our objectives for these derivatives include hedging anticipated purchases and sales, stored inventory, basis differentials and storage capacity utilization. We manage these exposures with various instruments including futures, forwards, swaps and options.</w:t>
      </w:r>
    </w:p>
    <w:p>
      <w:pPr>
        <w:spacing w:after="0" w:line="57" w:lineRule="exact"/>
        <w:rPr>
          <w:rFonts w:ascii="Arial" w:cs="Arial" w:eastAsia="Arial" w:hAnsi="Arial"/>
          <w:sz w:val="13"/>
          <w:szCs w:val="13"/>
          <w:i w:val="1"/>
          <w:iCs w:val="1"/>
          <w:color w:val="auto"/>
        </w:rPr>
      </w:pPr>
    </w:p>
    <w:p>
      <w:pPr>
        <w:ind w:left="980" w:hanging="324"/>
        <w:spacing w:after="0"/>
        <w:tabs>
          <w:tab w:leader="none" w:pos="980" w:val="left"/>
        </w:tabs>
        <w:numPr>
          <w:ilvl w:val="0"/>
          <w:numId w:val="84"/>
        </w:numPr>
        <w:rPr>
          <w:rFonts w:ascii="Arial" w:cs="Arial" w:eastAsia="Arial" w:hAnsi="Arial"/>
          <w:sz w:val="13"/>
          <w:szCs w:val="13"/>
          <w:color w:val="auto"/>
        </w:rPr>
      </w:pPr>
      <w:r>
        <w:rPr>
          <w:rFonts w:ascii="Arial" w:cs="Arial" w:eastAsia="Arial" w:hAnsi="Arial"/>
          <w:sz w:val="18"/>
          <w:szCs w:val="18"/>
          <w:i w:val="1"/>
          <w:iCs w:val="1"/>
          <w:u w:val="single" w:color="auto"/>
          <w:color w:val="auto"/>
        </w:rPr>
        <w:t>Natural gas</w:t>
      </w:r>
    </w:p>
    <w:p>
      <w:pPr>
        <w:spacing w:after="0" w:line="117" w:lineRule="exact"/>
        <w:rPr>
          <w:rFonts w:ascii="Arial" w:cs="Arial" w:eastAsia="Arial" w:hAnsi="Arial"/>
          <w:sz w:val="13"/>
          <w:szCs w:val="13"/>
          <w:color w:val="auto"/>
        </w:rPr>
      </w:pPr>
    </w:p>
    <w:p>
      <w:pPr>
        <w:ind w:left="980" w:right="220"/>
        <w:spacing w:after="0" w:line="264" w:lineRule="auto"/>
        <w:rPr>
          <w:rFonts w:ascii="Arial" w:cs="Arial" w:eastAsia="Arial" w:hAnsi="Arial"/>
          <w:sz w:val="13"/>
          <w:szCs w:val="13"/>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of natural gas. We manage these exposures with various instruments including futures, swaps and options.</w:t>
      </w:r>
    </w:p>
    <w:p>
      <w:pPr>
        <w:spacing w:after="0" w:line="73" w:lineRule="exact"/>
        <w:rPr>
          <w:rFonts w:ascii="Arial" w:cs="Arial" w:eastAsia="Arial" w:hAnsi="Arial"/>
          <w:sz w:val="13"/>
          <w:szCs w:val="13"/>
          <w:color w:val="auto"/>
        </w:rPr>
      </w:pPr>
    </w:p>
    <w:p>
      <w:pPr>
        <w:ind w:left="980" w:hanging="324"/>
        <w:spacing w:after="0"/>
        <w:tabs>
          <w:tab w:leader="none" w:pos="980" w:val="left"/>
        </w:tabs>
        <w:numPr>
          <w:ilvl w:val="0"/>
          <w:numId w:val="84"/>
        </w:numPr>
        <w:rPr>
          <w:rFonts w:ascii="Arial" w:cs="Arial" w:eastAsia="Arial" w:hAnsi="Arial"/>
          <w:sz w:val="13"/>
          <w:szCs w:val="13"/>
          <w:color w:val="auto"/>
        </w:rPr>
      </w:pPr>
      <w:r>
        <w:rPr>
          <w:rFonts w:ascii="Arial" w:cs="Arial" w:eastAsia="Arial" w:hAnsi="Arial"/>
          <w:sz w:val="18"/>
          <w:szCs w:val="18"/>
          <w:i w:val="1"/>
          <w:iCs w:val="1"/>
          <w:u w:val="single" w:color="auto"/>
          <w:color w:val="auto"/>
        </w:rPr>
        <w:t>NGL and other</w:t>
      </w:r>
    </w:p>
    <w:p>
      <w:pPr>
        <w:spacing w:after="0" w:line="117" w:lineRule="exact"/>
        <w:rPr>
          <w:rFonts w:ascii="Arial" w:cs="Arial" w:eastAsia="Arial" w:hAnsi="Arial"/>
          <w:sz w:val="13"/>
          <w:szCs w:val="13"/>
          <w:color w:val="auto"/>
        </w:rPr>
      </w:pPr>
    </w:p>
    <w:p>
      <w:pPr>
        <w:ind w:left="980" w:right="40"/>
        <w:spacing w:after="0" w:line="264" w:lineRule="auto"/>
        <w:rPr>
          <w:rFonts w:ascii="Arial" w:cs="Arial" w:eastAsia="Arial" w:hAnsi="Arial"/>
          <w:sz w:val="13"/>
          <w:szCs w:val="13"/>
          <w:color w:val="auto"/>
        </w:rPr>
      </w:pPr>
      <w:r>
        <w:rPr>
          <w:rFonts w:ascii="Arial" w:cs="Arial" w:eastAsia="Arial" w:hAnsi="Arial"/>
          <w:sz w:val="18"/>
          <w:szCs w:val="18"/>
          <w:color w:val="auto"/>
        </w:rPr>
        <w:t>We utilize NGL derivatives, primarily propane and butane derivatives, to hedge commodity price risk inherent in our Supply and Logistics segment. Our objectives for these derivatives include hedging anticipated purchases and sales and stored inventory. We manage these exposures with various instruments including futures, forwards, swaps and options.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13 to our Consolidated Financial Statements for further discussion regarding our hedging strategies and objectives.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December 31, 2018 that would be expected from a 10% price increase or decrease is shown in the table below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Effect of 10%</w:t>
            </w:r>
          </w:p>
        </w:tc>
        <w:tc>
          <w:tcPr>
            <w:tcW w:w="200" w:type="dxa"/>
            <w:vAlign w:val="bottom"/>
          </w:tcPr>
          <w:p>
            <w:pPr>
              <w:spacing w:after="0"/>
              <w:rPr>
                <w:sz w:val="14"/>
                <w:szCs w:val="14"/>
                <w:color w:val="auto"/>
              </w:rPr>
            </w:pPr>
          </w:p>
        </w:tc>
        <w:tc>
          <w:tcPr>
            <w:tcW w:w="1280" w:type="dxa"/>
            <w:vAlign w:val="bottom"/>
          </w:tcPr>
          <w:p>
            <w:pPr>
              <w:jc w:val="right"/>
              <w:ind w:right="237"/>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8"/>
              </w:rPr>
              <w:t>Price Increase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7"/>
              </w:rPr>
              <w:t>Price Decrease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188</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and other</w:t>
            </w:r>
          </w:p>
        </w:tc>
        <w:tc>
          <w:tcPr>
            <w:tcW w:w="1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fair value</w:t>
            </w:r>
          </w:p>
        </w:tc>
        <w:tc>
          <w:tcPr>
            <w:tcW w:w="1100" w:type="dxa"/>
            <w:vAlign w:val="bottom"/>
            <w:tcBorders>
              <w:top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270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PAA’s senior notes are fixed rate notes and thus are not subject to interest rate risk. Our variable rate debt outstanding at December 31, 2018, approximately $200 million, was subject to interest rate re-sets of approximately one month. The average interest rate on variable rate debt that was outstanding during the year ended December 31, 2018 was 3.0%, based upon rates in effect during the year. The fair value of our interest rate derivatives was a liability of $7 million as of December 31, 2018. A 10% increase in the forward LIBOR curve as of December 31, 2018 would have resulted in an increase of $22 million to the fair value of our interest rate derivatives. A 10% decrease in the forward LIBOR curve as of December 31, 2018 would have resulted in a decrease of $22 million to the fair value of our interest rate derivatives. See Note 13 to our Consolidated Financial Statements for a discussion of our interest rate risk hedging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We use foreign currency derivatives to hedge foreign currency exchange rate risk associated with our exposure to fluctuations in the USD-to-CAD exchange rate. Because a significant portion of our Canadian business is conducted in CAD we use certain financial instruments to minimize the risks of unfavorable changes in exchange rates. These instruments include foreign currency exchange contracts, forwards and options. The fair value of our foreign currency derivatives was a liability of $9 million as of December 31, 2018. A 10% increase in the exchange rate (USD-to-CAD) would have resulted in a decrease of $21 million to the fair value of our foreign currency derivatives. A 10% decrease in the exchange rate (USD-to-CAD) would have resulted in an increase of $21 million to the fair value of our foreign currency derivatives. See Note 13 to our Consolidated Financial Statements for a discussion of our currency exchange rate risk hedging.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Preferred Distribution Rate Reset Option of PAA’s Series A preferred units is an embedded derivative that must be bifurcated from the related host contract, PAA’s partnership agreement, and recorded at fair value in our Consolidated Balance Sheets. The valuation model utilized for this embedded derivative contains inputs including PAA’s common unit price, ten-year U.S. treasury rates, default probabilities and timing estimates to ultimately calculate the fair value of PAA’s Series A preferred units with and without the Preferred Distribution Rate Reset Option. The fair value of this embedded derivative was a liability of $36 million as of December 31, 2018. A 10% increase or decrease in the fair value would have an impact of $4 million. See Note 13 to our Consolidated Financial Statements for a discussion of embedded derivatives.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the Consolidated Financial Statements” on page F-1.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December 31, 2018, the end of the period covered by this report, and, based on such evaluation, our Chief Executive Officer and Chief Financial Officer have concluded that our DCP is effective.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25"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GAAP. Our management, including our Chief Executive Officer and our Chief Financial Officer, has evaluated the effectiveness of our internal control over financial reporting as of December 31, 2018. See “Management’s Report on Internal Control Over Financial Reporting” on page F-2 of our Consolidated Financial Statements.</w:t>
      </w:r>
    </w:p>
    <w:p>
      <w:pPr>
        <w:spacing w:after="0" w:line="17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Our independent registered public accounting firm, PricewaterhouseCoopers LLP, assessed the effectiveness of our internal control over financial reporting, as stated in the firm’s report. See “Report of Independent Registered Public Accounting Firm” on page F-3 of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fourth quarter of 2018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was no information that was required to be disclosed in a report on Form 8-K during the fourth quarter of 2018 that has not previously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reported.</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40" w:top="125" w:right="27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and Executive Officers of Our General Partner and Corporate Governance</w:t>
      </w:r>
    </w:p>
    <w:p>
      <w:pPr>
        <w:spacing w:after="0" w:line="18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2019 Annual Meeting, which will be filed with the SEC within 120 days after the end of the fiscal year ended December 31, 2018, and is incorporated herein by reference thereto.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the date of filing this report, the following individuals were serving as our executive officers and/or directors: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8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Principal Occupation or Employment</w:t>
            </w: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Willie Chiang </w:t>
            </w:r>
            <w:r>
              <w:rPr>
                <w:rFonts w:ascii="Arial" w:cs="Arial" w:eastAsia="Arial" w:hAnsi="Arial"/>
                <w:sz w:val="25"/>
                <w:szCs w:val="25"/>
                <w:color w:val="auto"/>
                <w:vertAlign w:val="superscript"/>
              </w:rPr>
              <w:t>(1)(2)</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2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Harry N. Pefanis </w:t>
            </w:r>
            <w:r>
              <w:rPr>
                <w:rFonts w:ascii="Arial" w:cs="Arial" w:eastAsia="Arial" w:hAnsi="Arial"/>
                <w:sz w:val="25"/>
                <w:szCs w:val="25"/>
                <w:color w:val="auto"/>
                <w:vertAlign w:val="superscript"/>
              </w:rPr>
              <w:t>(1)(2)</w:t>
            </w:r>
          </w:p>
        </w:tc>
        <w:tc>
          <w:tcPr>
            <w:tcW w:w="8780" w:type="dxa"/>
            <w:vAlign w:val="bottom"/>
          </w:tcPr>
          <w:p>
            <w:pPr>
              <w:ind w:left="20"/>
              <w:spacing w:after="0"/>
              <w:rPr>
                <w:sz w:val="20"/>
                <w:szCs w:val="20"/>
                <w:color w:val="auto"/>
              </w:rPr>
            </w:pPr>
            <w:r>
              <w:rPr>
                <w:rFonts w:ascii="Arial" w:cs="Arial" w:eastAsia="Arial" w:hAnsi="Arial"/>
                <w:sz w:val="18"/>
                <w:szCs w:val="18"/>
                <w:color w:val="auto"/>
              </w:rPr>
              <w:t>President and Chief Commercial Officer</w:t>
            </w: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Chris R. Chandler* </w:t>
            </w:r>
            <w:r>
              <w:rPr>
                <w:rFonts w:ascii="Arial" w:cs="Arial" w:eastAsia="Arial" w:hAnsi="Arial"/>
                <w:sz w:val="25"/>
                <w:szCs w:val="25"/>
                <w:color w:val="auto"/>
                <w:vertAlign w:val="superscript"/>
              </w:rPr>
              <w:t>(1)</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and Chief Operating Officer</w:t>
            </w:r>
          </w:p>
        </w:tc>
      </w:tr>
      <w:tr>
        <w:trPr>
          <w:trHeight w:val="270"/>
        </w:trPr>
        <w:tc>
          <w:tcPr>
            <w:tcW w:w="2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Al Swanson </w:t>
            </w:r>
            <w:r>
              <w:rPr>
                <w:rFonts w:ascii="Arial" w:cs="Arial" w:eastAsia="Arial" w:hAnsi="Arial"/>
                <w:sz w:val="25"/>
                <w:szCs w:val="25"/>
                <w:color w:val="auto"/>
                <w:vertAlign w:val="superscript"/>
              </w:rPr>
              <w:t>(1)</w:t>
            </w:r>
          </w:p>
        </w:tc>
        <w:tc>
          <w:tcPr>
            <w:tcW w:w="87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Jeremy L. Goebel* </w:t>
            </w:r>
            <w:r>
              <w:rPr>
                <w:rFonts w:ascii="Arial" w:cs="Arial" w:eastAsia="Arial" w:hAnsi="Arial"/>
                <w:sz w:val="25"/>
                <w:szCs w:val="25"/>
                <w:color w:val="auto"/>
                <w:vertAlign w:val="superscript"/>
              </w:rPr>
              <w:t>(1)</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 Commercial</w:t>
            </w:r>
          </w:p>
        </w:tc>
      </w:tr>
      <w:tr>
        <w:trPr>
          <w:trHeight w:val="270"/>
        </w:trPr>
        <w:tc>
          <w:tcPr>
            <w:tcW w:w="2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Richard K. McGee </w:t>
            </w:r>
            <w:r>
              <w:rPr>
                <w:rFonts w:ascii="Arial" w:cs="Arial" w:eastAsia="Arial" w:hAnsi="Arial"/>
                <w:sz w:val="25"/>
                <w:szCs w:val="25"/>
                <w:color w:val="auto"/>
                <w:vertAlign w:val="superscript"/>
              </w:rPr>
              <w:t>(1)</w:t>
            </w:r>
          </w:p>
        </w:tc>
        <w:tc>
          <w:tcPr>
            <w:tcW w:w="8780" w:type="dxa"/>
            <w:vAlign w:val="bottom"/>
          </w:tcPr>
          <w:p>
            <w:pPr>
              <w:ind w:left="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Chris Herbold </w:t>
            </w:r>
            <w:r>
              <w:rPr>
                <w:rFonts w:ascii="Arial" w:cs="Arial" w:eastAsia="Arial" w:hAnsi="Arial"/>
                <w:sz w:val="25"/>
                <w:szCs w:val="25"/>
                <w:color w:val="auto"/>
                <w:vertAlign w:val="superscript"/>
              </w:rPr>
              <w:t>(1)</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and Chief Accounting Officer</w:t>
            </w:r>
          </w:p>
        </w:tc>
      </w:tr>
      <w:tr>
        <w:trPr>
          <w:trHeight w:val="270"/>
        </w:trPr>
        <w:tc>
          <w:tcPr>
            <w:tcW w:w="2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Greg L. Armstrong </w:t>
            </w:r>
            <w:r>
              <w:rPr>
                <w:rFonts w:ascii="Arial" w:cs="Arial" w:eastAsia="Arial" w:hAnsi="Arial"/>
                <w:sz w:val="25"/>
                <w:szCs w:val="25"/>
                <w:color w:val="auto"/>
                <w:vertAlign w:val="superscript"/>
              </w:rPr>
              <w:t>(2)</w:t>
            </w:r>
          </w:p>
        </w:tc>
        <w:tc>
          <w:tcPr>
            <w:tcW w:w="8780" w:type="dxa"/>
            <w:vAlign w:val="bottom"/>
          </w:tcPr>
          <w:p>
            <w:pPr>
              <w:ind w:left="20"/>
              <w:spacing w:after="0"/>
              <w:rPr>
                <w:sz w:val="20"/>
                <w:szCs w:val="20"/>
                <w:color w:val="auto"/>
              </w:rPr>
            </w:pPr>
            <w:r>
              <w:rPr>
                <w:rFonts w:ascii="Arial" w:cs="Arial" w:eastAsia="Arial" w:hAnsi="Arial"/>
                <w:sz w:val="18"/>
                <w:szCs w:val="18"/>
                <w:color w:val="auto"/>
              </w:rPr>
              <w:t>Chairman of the Board</w:t>
            </w: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Oscar K. Brown </w:t>
            </w:r>
            <w:r>
              <w:rPr>
                <w:rFonts w:ascii="Arial" w:cs="Arial" w:eastAsia="Arial" w:hAnsi="Arial"/>
                <w:sz w:val="25"/>
                <w:szCs w:val="25"/>
                <w:color w:val="auto"/>
                <w:vertAlign w:val="superscript"/>
              </w:rPr>
              <w:t>(2)</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Senior Vice President, Strategy, Business Development and Integrated Supply, Occidental Petroleum Corporation</w:t>
            </w:r>
          </w:p>
        </w:tc>
      </w:tr>
      <w:tr>
        <w:trPr>
          <w:trHeight w:val="270"/>
        </w:trPr>
        <w:tc>
          <w:tcPr>
            <w:tcW w:w="2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Victor Burk </w:t>
            </w:r>
            <w:r>
              <w:rPr>
                <w:rFonts w:ascii="Arial" w:cs="Arial" w:eastAsia="Arial" w:hAnsi="Arial"/>
                <w:sz w:val="25"/>
                <w:szCs w:val="25"/>
                <w:color w:val="auto"/>
                <w:vertAlign w:val="superscript"/>
              </w:rPr>
              <w:t>(2)</w:t>
            </w:r>
          </w:p>
        </w:tc>
        <w:tc>
          <w:tcPr>
            <w:tcW w:w="8780" w:type="dxa"/>
            <w:vAlign w:val="bottom"/>
          </w:tcPr>
          <w:p>
            <w:pPr>
              <w:ind w:left="20"/>
              <w:spacing w:after="0"/>
              <w:rPr>
                <w:sz w:val="20"/>
                <w:szCs w:val="20"/>
                <w:color w:val="auto"/>
              </w:rPr>
            </w:pPr>
            <w:r>
              <w:rPr>
                <w:rFonts w:ascii="Arial" w:cs="Arial" w:eastAsia="Arial" w:hAnsi="Arial"/>
                <w:sz w:val="18"/>
                <w:szCs w:val="18"/>
                <w:color w:val="auto"/>
              </w:rPr>
              <w:t>Managing Director, Alvarez and Marsal</w:t>
            </w: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Everardo Goyanes </w:t>
            </w:r>
            <w:r>
              <w:rPr>
                <w:rFonts w:ascii="Arial" w:cs="Arial" w:eastAsia="Arial" w:hAnsi="Arial"/>
                <w:sz w:val="25"/>
                <w:szCs w:val="25"/>
                <w:color w:val="auto"/>
                <w:vertAlign w:val="superscript"/>
              </w:rPr>
              <w:t>(2)</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Founder, Ex Cathedra LLC</w:t>
            </w:r>
          </w:p>
        </w:tc>
      </w:tr>
      <w:tr>
        <w:trPr>
          <w:trHeight w:val="270"/>
        </w:trPr>
        <w:tc>
          <w:tcPr>
            <w:tcW w:w="2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Gary R. Petersen </w:t>
            </w:r>
            <w:r>
              <w:rPr>
                <w:rFonts w:ascii="Arial" w:cs="Arial" w:eastAsia="Arial" w:hAnsi="Arial"/>
                <w:sz w:val="25"/>
                <w:szCs w:val="25"/>
                <w:color w:val="auto"/>
                <w:vertAlign w:val="superscript"/>
              </w:rPr>
              <w:t>(2)</w:t>
            </w:r>
          </w:p>
        </w:tc>
        <w:tc>
          <w:tcPr>
            <w:tcW w:w="8780" w:type="dxa"/>
            <w:vAlign w:val="bottom"/>
          </w:tcPr>
          <w:p>
            <w:pPr>
              <w:ind w:left="20"/>
              <w:spacing w:after="0"/>
              <w:rPr>
                <w:sz w:val="20"/>
                <w:szCs w:val="20"/>
                <w:color w:val="auto"/>
              </w:rPr>
            </w:pPr>
            <w:r>
              <w:rPr>
                <w:rFonts w:ascii="Arial" w:cs="Arial" w:eastAsia="Arial" w:hAnsi="Arial"/>
                <w:sz w:val="18"/>
                <w:szCs w:val="18"/>
                <w:color w:val="auto"/>
              </w:rPr>
              <w:t>Managing Partner, EnCap Investments L.P.</w:t>
            </w: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Alexandra D. Pruner </w:t>
            </w:r>
            <w:r>
              <w:rPr>
                <w:rFonts w:ascii="Arial" w:cs="Arial" w:eastAsia="Arial" w:hAnsi="Arial"/>
                <w:sz w:val="25"/>
                <w:szCs w:val="25"/>
                <w:color w:val="auto"/>
                <w:vertAlign w:val="superscript"/>
              </w:rPr>
              <w:t>(2)</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Advisor, Perella Weinberg Partners</w:t>
            </w:r>
          </w:p>
        </w:tc>
      </w:tr>
      <w:tr>
        <w:trPr>
          <w:trHeight w:val="270"/>
        </w:trPr>
        <w:tc>
          <w:tcPr>
            <w:tcW w:w="2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John T. Raymond </w:t>
            </w:r>
            <w:r>
              <w:rPr>
                <w:rFonts w:ascii="Arial" w:cs="Arial" w:eastAsia="Arial" w:hAnsi="Arial"/>
                <w:sz w:val="25"/>
                <w:szCs w:val="25"/>
                <w:color w:val="auto"/>
                <w:vertAlign w:val="superscript"/>
              </w:rPr>
              <w:t>(2)</w:t>
            </w:r>
          </w:p>
        </w:tc>
        <w:tc>
          <w:tcPr>
            <w:tcW w:w="8780" w:type="dxa"/>
            <w:vAlign w:val="bottom"/>
          </w:tcPr>
          <w:p>
            <w:pPr>
              <w:ind w:left="20"/>
              <w:spacing w:after="0"/>
              <w:rPr>
                <w:sz w:val="20"/>
                <w:szCs w:val="20"/>
                <w:color w:val="auto"/>
              </w:rPr>
            </w:pPr>
            <w:r>
              <w:rPr>
                <w:rFonts w:ascii="Arial" w:cs="Arial" w:eastAsia="Arial" w:hAnsi="Arial"/>
                <w:sz w:val="18"/>
                <w:szCs w:val="18"/>
                <w:color w:val="auto"/>
              </w:rPr>
              <w:t>Managing Partner and Chief Executive Officer, The Energy &amp; Minerals Group</w:t>
            </w: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Bobby S. Shackouls </w:t>
            </w:r>
            <w:r>
              <w:rPr>
                <w:rFonts w:ascii="Arial" w:cs="Arial" w:eastAsia="Arial" w:hAnsi="Arial"/>
                <w:sz w:val="25"/>
                <w:szCs w:val="25"/>
                <w:color w:val="auto"/>
                <w:vertAlign w:val="superscript"/>
              </w:rPr>
              <w:t>(2)</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Former Chairman and CEO, Burlington Resources Inc.</w:t>
            </w:r>
          </w:p>
        </w:tc>
      </w:tr>
      <w:tr>
        <w:trPr>
          <w:trHeight w:val="270"/>
        </w:trPr>
        <w:tc>
          <w:tcPr>
            <w:tcW w:w="2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Robert V. Sinnott </w:t>
            </w:r>
            <w:r>
              <w:rPr>
                <w:rFonts w:ascii="Arial" w:cs="Arial" w:eastAsia="Arial" w:hAnsi="Arial"/>
                <w:sz w:val="25"/>
                <w:szCs w:val="25"/>
                <w:color w:val="auto"/>
                <w:vertAlign w:val="superscript"/>
              </w:rPr>
              <w:t>(2)</w:t>
            </w:r>
          </w:p>
        </w:tc>
        <w:tc>
          <w:tcPr>
            <w:tcW w:w="8780" w:type="dxa"/>
            <w:vAlign w:val="bottom"/>
          </w:tcPr>
          <w:p>
            <w:pPr>
              <w:ind w:left="20"/>
              <w:spacing w:after="0"/>
              <w:rPr>
                <w:sz w:val="20"/>
                <w:szCs w:val="20"/>
                <w:color w:val="auto"/>
              </w:rPr>
            </w:pPr>
            <w:r>
              <w:rPr>
                <w:rFonts w:ascii="Arial" w:cs="Arial" w:eastAsia="Arial" w:hAnsi="Arial"/>
                <w:sz w:val="18"/>
                <w:szCs w:val="18"/>
                <w:color w:val="auto"/>
              </w:rPr>
              <w:t>Co-Chairman, Kayne Anderson Capital Advisors, L.P.</w:t>
            </w: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J. Taft Symonds </w:t>
            </w:r>
            <w:r>
              <w:rPr>
                <w:rFonts w:ascii="Arial" w:cs="Arial" w:eastAsia="Arial" w:hAnsi="Arial"/>
                <w:sz w:val="25"/>
                <w:szCs w:val="25"/>
                <w:color w:val="auto"/>
                <w:vertAlign w:val="superscript"/>
              </w:rPr>
              <w:t>(2)</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Chairman, Symonds Investment Company, Inc.</w:t>
            </w:r>
          </w:p>
        </w:tc>
      </w:tr>
      <w:tr>
        <w:trPr>
          <w:trHeight w:val="341"/>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 xml:space="preserve">Christopher M. Temple </w:t>
            </w:r>
            <w:r>
              <w:rPr>
                <w:rFonts w:ascii="Arial" w:cs="Arial" w:eastAsia="Arial" w:hAnsi="Arial"/>
                <w:sz w:val="25"/>
                <w:szCs w:val="25"/>
                <w:color w:val="auto"/>
                <w:vertAlign w:val="superscript"/>
              </w:rPr>
              <w:t>(2)</w:t>
            </w:r>
          </w:p>
        </w:tc>
        <w:tc>
          <w:tcPr>
            <w:tcW w:w="8780" w:type="dxa"/>
            <w:vAlign w:val="bottom"/>
          </w:tcPr>
          <w:p>
            <w:pPr>
              <w:ind w:left="20"/>
              <w:spacing w:after="0"/>
              <w:rPr>
                <w:sz w:val="20"/>
                <w:szCs w:val="20"/>
                <w:color w:val="auto"/>
              </w:rPr>
            </w:pPr>
            <w:r>
              <w:rPr>
                <w:rFonts w:ascii="Arial" w:cs="Arial" w:eastAsia="Arial" w:hAnsi="Arial"/>
                <w:sz w:val="18"/>
                <w:szCs w:val="18"/>
                <w:color w:val="auto"/>
              </w:rPr>
              <w:t>President, DelTex Capital LLC</w:t>
            </w:r>
          </w:p>
        </w:tc>
      </w:tr>
    </w:tbl>
    <w:p>
      <w:pPr>
        <w:spacing w:after="0" w:line="184" w:lineRule="exact"/>
        <w:rPr>
          <w:sz w:val="20"/>
          <w:szCs w:val="20"/>
          <w:color w:val="auto"/>
        </w:rPr>
      </w:pPr>
    </w:p>
    <w:p>
      <w:pPr>
        <w:ind w:left="740" w:hanging="651"/>
        <w:spacing w:after="0"/>
        <w:tabs>
          <w:tab w:leader="none" w:pos="7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Effective March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323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ind w:left="740" w:hanging="651"/>
        <w:spacing w:after="0" w:line="199" w:lineRule="auto"/>
        <w:tabs>
          <w:tab w:leader="none" w:pos="740" w:val="left"/>
        </w:tabs>
        <w:numPr>
          <w:ilvl w:val="0"/>
          <w:numId w:val="86"/>
        </w:numPr>
        <w:rPr>
          <w:rFonts w:ascii="Arial" w:cs="Arial" w:eastAsia="Arial" w:hAnsi="Arial"/>
          <w:sz w:val="25"/>
          <w:szCs w:val="25"/>
          <w:color w:val="auto"/>
          <w:vertAlign w:val="superscript"/>
        </w:rPr>
      </w:pPr>
      <w:r>
        <w:rPr>
          <w:rFonts w:ascii="Arial" w:cs="Arial" w:eastAsia="Arial" w:hAnsi="Arial"/>
          <w:sz w:val="18"/>
          <w:szCs w:val="18"/>
          <w:color w:val="auto"/>
        </w:rPr>
        <w:t>Executive officer (for purposes of Item 401(b) of Regulation S-K)</w:t>
      </w:r>
    </w:p>
    <w:p>
      <w:pPr>
        <w:spacing w:after="0" w:line="2" w:lineRule="exact"/>
        <w:rPr>
          <w:rFonts w:ascii="Arial" w:cs="Arial" w:eastAsia="Arial" w:hAnsi="Arial"/>
          <w:sz w:val="25"/>
          <w:szCs w:val="25"/>
          <w:color w:val="auto"/>
          <w:vertAlign w:val="superscript"/>
        </w:rPr>
      </w:pPr>
    </w:p>
    <w:p>
      <w:pPr>
        <w:ind w:left="740" w:hanging="651"/>
        <w:spacing w:after="0" w:line="186" w:lineRule="auto"/>
        <w:tabs>
          <w:tab w:leader="none" w:pos="740" w:val="left"/>
        </w:tabs>
        <w:numPr>
          <w:ilvl w:val="0"/>
          <w:numId w:val="86"/>
        </w:numPr>
        <w:rPr>
          <w:rFonts w:ascii="Arial" w:cs="Arial" w:eastAsia="Arial" w:hAnsi="Arial"/>
          <w:sz w:val="24"/>
          <w:szCs w:val="24"/>
          <w:color w:val="auto"/>
          <w:vertAlign w:val="superscript"/>
        </w:rPr>
      </w:pPr>
      <w:r>
        <w:rPr>
          <w:rFonts w:ascii="Arial" w:cs="Arial" w:eastAsia="Arial" w:hAnsi="Arial"/>
          <w:sz w:val="17"/>
          <w:szCs w:val="17"/>
          <w:color w:val="auto"/>
        </w:rPr>
        <w:t>Director</w:t>
      </w:r>
    </w:p>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 xml:space="preserve">A complete list of our officers, including the executive officers listed above, is available on our website at </w:t>
      </w:r>
      <w:r>
        <w:rPr>
          <w:rFonts w:ascii="Arial" w:cs="Arial" w:eastAsia="Arial" w:hAnsi="Arial"/>
          <w:sz w:val="18"/>
          <w:szCs w:val="18"/>
          <w:i w:val="1"/>
          <w:iCs w:val="1"/>
          <w:color w:val="auto"/>
        </w:rPr>
        <w:t>www.plainsallamerican.com</w:t>
      </w:r>
      <w:r>
        <w:rPr>
          <w:rFonts w:ascii="Arial" w:cs="Arial" w:eastAsia="Arial" w:hAnsi="Arial"/>
          <w:sz w:val="18"/>
          <w:szCs w:val="18"/>
          <w:color w:val="auto"/>
        </w:rPr>
        <w:t xml:space="preserve"> under Investor Relations - Company Information -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8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2019 Annual Meeting, which will be filed with the SEC within 120 days after the end of the fiscal year ended December 31, 2018,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Shareholder Matters</w:t>
      </w:r>
    </w:p>
    <w:p>
      <w:pPr>
        <w:spacing w:after="0" w:line="18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2019 Annual Meeting, which will be filed with the SEC within 120 days after the end of the fiscal year ended December 31, 2018, and is incorporated herein by reference thereto.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2019 Annual Meeting, which will be filed with the SEC within 120 days after the end of the fiscal year ended December 31, 2018,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2019 Annual Meeting, which will be filed with the SEC within 120 days after the end of the fiscal year ended December 31, 2018, and is incorporated herein by reference thereto.</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60"/>
          </w:cols>
          <w:pgMar w:left="240" w:top="125" w:right="29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25" w:lineRule="exact"/>
        <w:rPr>
          <w:sz w:val="20"/>
          <w:szCs w:val="20"/>
          <w:color w:val="auto"/>
        </w:rPr>
      </w:pPr>
    </w:p>
    <w:p>
      <w:pPr>
        <w:ind w:left="720" w:hanging="388"/>
        <w:spacing w:after="0"/>
        <w:tabs>
          <w:tab w:leader="none" w:pos="72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  </w:t>
      </w:r>
      <w:r>
        <w:rPr>
          <w:rFonts w:ascii="Arial" w:cs="Arial" w:eastAsia="Arial" w:hAnsi="Arial"/>
          <w:sz w:val="18"/>
          <w:szCs w:val="18"/>
          <w:i w:val="1"/>
          <w:i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the Consolidated Financial Statements” set forth on Page F-1.</w:t>
      </w:r>
    </w:p>
    <w:p>
      <w:pPr>
        <w:spacing w:after="0" w:line="225" w:lineRule="exact"/>
        <w:rPr>
          <w:sz w:val="20"/>
          <w:szCs w:val="20"/>
          <w:color w:val="auto"/>
        </w:rPr>
      </w:pPr>
    </w:p>
    <w:p>
      <w:pPr>
        <w:ind w:left="1040" w:hanging="384"/>
        <w:spacing w:after="0"/>
        <w:tabs>
          <w:tab w:leader="none" w:pos="1040" w:val="left"/>
        </w:tabs>
        <w:numPr>
          <w:ilvl w:val="0"/>
          <w:numId w:val="88"/>
        </w:numPr>
        <w:rPr>
          <w:rFonts w:ascii="Arial" w:cs="Arial" w:eastAsia="Arial" w:hAnsi="Arial"/>
          <w:sz w:val="18"/>
          <w:szCs w:val="18"/>
          <w:b w:val="1"/>
          <w:bCs w:val="1"/>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All schedules are omitted because they are either not applicable or the required information is shown in the Consolidated Financial Statements or notes thereto.</w:t>
      </w:r>
    </w:p>
    <w:p>
      <w:pPr>
        <w:spacing w:after="0" w:line="170" w:lineRule="exact"/>
        <w:rPr>
          <w:sz w:val="20"/>
          <w:szCs w:val="20"/>
          <w:color w:val="auto"/>
        </w:rPr>
      </w:pPr>
    </w:p>
    <w:p>
      <w:pPr>
        <w:ind w:left="1040" w:hanging="384"/>
        <w:spacing w:after="0"/>
        <w:tabs>
          <w:tab w:leader="none" w:pos="1040" w:val="left"/>
        </w:tabs>
        <w:numPr>
          <w:ilvl w:val="0"/>
          <w:numId w:val="89"/>
        </w:numPr>
        <w:rPr>
          <w:rFonts w:ascii="Arial" w:cs="Arial" w:eastAsia="Arial" w:hAnsi="Arial"/>
          <w:sz w:val="18"/>
          <w:szCs w:val="18"/>
          <w:b w:val="1"/>
          <w:bCs w:val="1"/>
          <w:color w:val="auto"/>
        </w:rPr>
      </w:pPr>
      <w:r>
        <w:rPr>
          <w:rFonts w:ascii="Arial" w:cs="Arial" w:eastAsia="Arial" w:hAnsi="Arial"/>
          <w:sz w:val="18"/>
          <w:szCs w:val="18"/>
          <w:i w:val="1"/>
          <w:iCs w:val="1"/>
          <w:color w:val="auto"/>
        </w:rPr>
        <w:t>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ind w:left="80"/>
              <w:spacing w:after="0"/>
              <w:rPr>
                <w:sz w:val="20"/>
                <w:szCs w:val="20"/>
                <w:color w:val="auto"/>
              </w:rPr>
            </w:pPr>
            <w:r>
              <w:rPr>
                <w:rFonts w:ascii="Arial" w:cs="Arial" w:eastAsia="Arial" w:hAnsi="Arial"/>
                <w:sz w:val="18"/>
                <w:szCs w:val="18"/>
                <w:b w:val="1"/>
                <w:bCs w:val="1"/>
                <w:color w:val="auto"/>
                <w:w w:val="99"/>
              </w:rPr>
              <w:t>Exhibit No.</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720" w:type="dxa"/>
            <w:vAlign w:val="bottom"/>
            <w:gridSpan w:val="19"/>
          </w:tcPr>
          <w:p>
            <w:pPr>
              <w:ind w:left="3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2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96"/>
        </w:trPr>
        <w:tc>
          <w:tcPr>
            <w:tcW w:w="104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2.1*</w:t>
            </w:r>
          </w:p>
        </w:tc>
        <w:tc>
          <w:tcPr>
            <w:tcW w:w="580" w:type="dxa"/>
            <w:vAlign w:val="bottom"/>
          </w:tcPr>
          <w:p>
            <w:pPr>
              <w:ind w:left="20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tcPr>
          <w:p>
            <w:pPr>
              <w:spacing w:after="0"/>
              <w:rPr>
                <w:sz w:val="17"/>
                <w:szCs w:val="17"/>
                <w:color w:val="auto"/>
              </w:rPr>
            </w:pPr>
          </w:p>
        </w:tc>
        <w:tc>
          <w:tcPr>
            <w:tcW w:w="9620" w:type="dxa"/>
            <w:vAlign w:val="bottom"/>
            <w:tcBorders>
              <w:top w:val="single" w:sz="8" w:color="auto"/>
              <w:bottom w:val="single" w:sz="8" w:color="0000FF"/>
            </w:tcBorders>
            <w:gridSpan w:val="16"/>
          </w:tcPr>
          <w:p>
            <w:pPr>
              <w:spacing w:after="0" w:line="196" w:lineRule="exact"/>
              <w:rPr>
                <w:rFonts w:ascii="Arial" w:cs="Arial" w:eastAsia="Arial" w:hAnsi="Arial"/>
                <w:sz w:val="18"/>
                <w:szCs w:val="18"/>
                <w:color w:val="0000FF"/>
                <w:w w:val="89"/>
              </w:rPr>
            </w:pPr>
            <w:hyperlink r:id="rId72">
              <w:r>
                <w:rPr>
                  <w:rFonts w:ascii="Arial" w:cs="Arial" w:eastAsia="Arial" w:hAnsi="Arial"/>
                  <w:sz w:val="18"/>
                  <w:szCs w:val="18"/>
                  <w:color w:val="0000FF"/>
                  <w:w w:val="89"/>
                </w:rPr>
                <w:t>Share Purchase Agreement dated December 1, 2011 by and among Amoco Canada International Holdings B.V. and Plains Midstream</w:t>
              </w:r>
            </w:hyperlink>
          </w:p>
        </w:tc>
        <w:tc>
          <w:tcPr>
            <w:tcW w:w="160" w:type="dxa"/>
            <w:vAlign w:val="bottom"/>
            <w:tcBorders>
              <w:top w:val="single" w:sz="8" w:color="auto"/>
            </w:tcBorders>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72">
              <w:r>
                <w:rPr>
                  <w:rFonts w:ascii="Arial" w:cs="Arial" w:eastAsia="Arial" w:hAnsi="Arial"/>
                  <w:sz w:val="18"/>
                  <w:szCs w:val="18"/>
                  <w:color w:val="0000FF"/>
                  <w:w w:val="90"/>
                </w:rPr>
                <w:t>Canada ULC (the schedules and exhibits have been omitted pursuant to Item 601(b)(2) of Regulation S-K) (incorporated by reference</w:t>
              </w:r>
            </w:hyperlink>
          </w:p>
        </w:tc>
        <w:tc>
          <w:tcPr>
            <w:tcW w:w="12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6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to Exhibit 2.1 to PAA’s Annual Report on Form 10-K for the year ended December 31, 2011).</w:t>
              </w:r>
            </w:hyperlink>
          </w:p>
        </w:tc>
        <w:tc>
          <w:tcPr>
            <w:tcW w:w="3020" w:type="dxa"/>
            <w:vAlign w:val="bottom"/>
            <w:gridSpan w:val="17"/>
          </w:tcPr>
          <w:p>
            <w:pPr>
              <w:spacing w:after="0"/>
              <w:rPr>
                <w:sz w:val="17"/>
                <w:szCs w:val="17"/>
                <w:color w:val="auto"/>
              </w:rPr>
            </w:pPr>
          </w:p>
        </w:tc>
      </w:tr>
      <w:tr>
        <w:trPr>
          <w:trHeight w:val="412"/>
        </w:trPr>
        <w:tc>
          <w:tcPr>
            <w:tcW w:w="104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0380" w:type="dxa"/>
            <w:vAlign w:val="bottom"/>
            <w:gridSpan w:val="25"/>
          </w:tcPr>
          <w:p>
            <w:pPr>
              <w:ind w:left="20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73">
              <w:r>
                <w:rPr>
                  <w:rFonts w:ascii="Arial" w:cs="Arial" w:eastAsia="Arial" w:hAnsi="Arial"/>
                  <w:sz w:val="18"/>
                  <w:szCs w:val="18"/>
                  <w:color w:val="0000FF"/>
                  <w:w w:val="96"/>
                </w:rPr>
                <w:t>Agreement and Plan of Merger dated as of October 21, 2013, by and among Plains All American Pipeline, L.P., PAA Acquisition</w:t>
              </w:r>
            </w:hyperlink>
          </w:p>
        </w:tc>
      </w:tr>
      <w:tr>
        <w:trPr>
          <w:trHeight w:val="20"/>
        </w:trPr>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Company LLC, PAA Natural Gas Storage, L.P. and PNGS GP LLC (incorporated by reference to Exhibit 2.1 to PAA’s Current Report</w:t>
              </w:r>
            </w:hyperlink>
          </w:p>
        </w:tc>
        <w:tc>
          <w:tcPr>
            <w:tcW w:w="12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23"/>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on Form 8-K filed October 24, 2013).</w:t>
              </w:r>
            </w:hyperlink>
          </w:p>
        </w:tc>
      </w:tr>
      <w:tr>
        <w:trPr>
          <w:trHeight w:val="20"/>
        </w:trPr>
        <w:tc>
          <w:tcPr>
            <w:tcW w:w="10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40" w:type="dxa"/>
            <w:vAlign w:val="bottom"/>
          </w:tcPr>
          <w:p>
            <w:pPr>
              <w:jc w:val="center"/>
              <w:spacing w:after="0"/>
              <w:rPr>
                <w:sz w:val="20"/>
                <w:szCs w:val="20"/>
                <w:color w:val="auto"/>
              </w:rPr>
            </w:pPr>
            <w:r>
              <w:rPr>
                <w:rFonts w:ascii="Arial" w:cs="Arial" w:eastAsia="Arial" w:hAnsi="Arial"/>
                <w:sz w:val="18"/>
                <w:szCs w:val="18"/>
                <w:color w:val="auto"/>
              </w:rPr>
              <w:t>2.3**</w:t>
            </w:r>
          </w:p>
        </w:tc>
        <w:tc>
          <w:tcPr>
            <w:tcW w:w="10380" w:type="dxa"/>
            <w:vAlign w:val="bottom"/>
            <w:gridSpan w:val="25"/>
          </w:tcPr>
          <w:p>
            <w:pPr>
              <w:ind w:left="20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74">
              <w:r>
                <w:rPr>
                  <w:rFonts w:ascii="Arial" w:cs="Arial" w:eastAsia="Arial" w:hAnsi="Arial"/>
                  <w:sz w:val="18"/>
                  <w:szCs w:val="18"/>
                  <w:color w:val="0000FF"/>
                  <w:w w:val="97"/>
                </w:rPr>
                <w:t>Simplification Agreement, dated as of July 11, 2016, by and among PAA GP Holdings LLC, Plains GP Holdings, L.P., Plains All</w:t>
              </w:r>
            </w:hyperlink>
          </w:p>
        </w:tc>
      </w:tr>
      <w:tr>
        <w:trPr>
          <w:trHeight w:val="20"/>
        </w:trPr>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23"/>
          </w:tcPr>
          <w:p>
            <w:pPr>
              <w:spacing w:after="0" w:line="196" w:lineRule="exact"/>
              <w:rPr>
                <w:rFonts w:ascii="Arial" w:cs="Arial" w:eastAsia="Arial" w:hAnsi="Arial"/>
                <w:sz w:val="18"/>
                <w:szCs w:val="18"/>
                <w:color w:val="0000FF"/>
                <w:w w:val="92"/>
              </w:rPr>
            </w:pPr>
            <w:hyperlink r:id="rId74">
              <w:r>
                <w:rPr>
                  <w:rFonts w:ascii="Arial" w:cs="Arial" w:eastAsia="Arial" w:hAnsi="Arial"/>
                  <w:sz w:val="18"/>
                  <w:szCs w:val="18"/>
                  <w:color w:val="0000FF"/>
                  <w:w w:val="92"/>
                </w:rPr>
                <w:t>American GP LLC, Plains AAP, L.P., PAA GP LLC and Plains All American Pipeline, L.P. (incorporated by reference to Exhibit 2.1 to</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PAA’s Current Report on Form 8-K filed July 14, 2016).</w:t>
              </w:r>
            </w:hyperlink>
          </w:p>
        </w:tc>
        <w:tc>
          <w:tcPr>
            <w:tcW w:w="4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040" w:type="dxa"/>
            <w:vAlign w:val="bottom"/>
          </w:tcPr>
          <w:p>
            <w:pPr>
              <w:jc w:val="center"/>
              <w:spacing w:after="0"/>
              <w:rPr>
                <w:sz w:val="20"/>
                <w:szCs w:val="20"/>
                <w:color w:val="auto"/>
              </w:rPr>
            </w:pPr>
            <w:r>
              <w:rPr>
                <w:rFonts w:ascii="Arial" w:cs="Arial" w:eastAsia="Arial" w:hAnsi="Arial"/>
                <w:sz w:val="18"/>
                <w:szCs w:val="18"/>
                <w:color w:val="auto"/>
              </w:rPr>
              <w:t>2.4**</w:t>
            </w:r>
          </w:p>
        </w:tc>
        <w:tc>
          <w:tcPr>
            <w:tcW w:w="10380" w:type="dxa"/>
            <w:vAlign w:val="bottom"/>
            <w:gridSpan w:val="25"/>
          </w:tcPr>
          <w:p>
            <w:pPr>
              <w:ind w:left="20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75">
              <w:r>
                <w:rPr>
                  <w:rFonts w:ascii="Arial" w:cs="Arial" w:eastAsia="Arial" w:hAnsi="Arial"/>
                  <w:sz w:val="18"/>
                  <w:szCs w:val="18"/>
                  <w:color w:val="0000FF"/>
                  <w:w w:val="91"/>
                </w:rPr>
                <w:t>Securities Purchase Agreement dated as of January 19, 2017 by and between COG Operating LLC, as seller, and Plains Pipeline, L.P.,</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tcBorders>
              <w:top w:val="single" w:sz="8" w:color="0000FF"/>
            </w:tcBorders>
            <w:gridSpan w:val="19"/>
          </w:tcPr>
          <w:p>
            <w:pPr>
              <w:spacing w:after="0" w:line="196" w:lineRule="exact"/>
              <w:rPr>
                <w:rFonts w:ascii="Arial" w:cs="Arial" w:eastAsia="Arial" w:hAnsi="Arial"/>
                <w:sz w:val="18"/>
                <w:szCs w:val="18"/>
                <w:color w:val="0000FF"/>
                <w:w w:val="90"/>
              </w:rPr>
            </w:pPr>
            <w:hyperlink r:id="rId75">
              <w:r>
                <w:rPr>
                  <w:rFonts w:ascii="Arial" w:cs="Arial" w:eastAsia="Arial" w:hAnsi="Arial"/>
                  <w:sz w:val="18"/>
                  <w:szCs w:val="18"/>
                  <w:color w:val="0000FF"/>
                  <w:w w:val="90"/>
                </w:rPr>
                <w:t>as purchaser (the schedules and exhibits have been omitted pursuant to Item 601(b)(2) of Regulation S-K) (incorporated by reference</w:t>
              </w:r>
            </w:hyperlink>
          </w:p>
        </w:tc>
        <w:tc>
          <w:tcPr>
            <w:tcW w:w="10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to Exhibit 2.1 to PAA’s Quarterly Report on Form 10-Q for the quarter ended March 31, 2017).</w:t>
              </w:r>
            </w:hyperlink>
          </w:p>
        </w:tc>
        <w:tc>
          <w:tcPr>
            <w:tcW w:w="200" w:type="dxa"/>
            <w:vAlign w:val="bottom"/>
            <w:gridSpan w:val="9"/>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040" w:type="dxa"/>
            <w:vAlign w:val="bottom"/>
          </w:tcPr>
          <w:p>
            <w:pPr>
              <w:jc w:val="center"/>
              <w:spacing w:after="0"/>
              <w:rPr>
                <w:sz w:val="20"/>
                <w:szCs w:val="20"/>
                <w:color w:val="auto"/>
              </w:rPr>
            </w:pPr>
            <w:r>
              <w:rPr>
                <w:rFonts w:ascii="Arial" w:cs="Arial" w:eastAsia="Arial" w:hAnsi="Arial"/>
                <w:sz w:val="18"/>
                <w:szCs w:val="18"/>
                <w:color w:val="auto"/>
              </w:rPr>
              <w:t>2.5**</w:t>
            </w:r>
          </w:p>
        </w:tc>
        <w:tc>
          <w:tcPr>
            <w:tcW w:w="10380" w:type="dxa"/>
            <w:vAlign w:val="bottom"/>
            <w:gridSpan w:val="25"/>
          </w:tcPr>
          <w:p>
            <w:pPr>
              <w:ind w:left="20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76">
              <w:r>
                <w:rPr>
                  <w:rFonts w:ascii="Arial" w:cs="Arial" w:eastAsia="Arial" w:hAnsi="Arial"/>
                  <w:sz w:val="18"/>
                  <w:szCs w:val="18"/>
                  <w:color w:val="0000FF"/>
                  <w:w w:val="91"/>
                </w:rPr>
                <w:t>Securities Purchase Agreement dated as of January 19, 2017 by and between Frontier Midstream Solutions, LLC, as seller, and Plains</w:t>
              </w:r>
            </w:hyperlink>
          </w:p>
        </w:tc>
      </w:tr>
      <w:tr>
        <w:trPr>
          <w:trHeight w:val="20"/>
        </w:trPr>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76">
              <w:r>
                <w:rPr>
                  <w:rFonts w:ascii="Arial" w:cs="Arial" w:eastAsia="Arial" w:hAnsi="Arial"/>
                  <w:sz w:val="18"/>
                  <w:szCs w:val="18"/>
                  <w:color w:val="0000FF"/>
                  <w:w w:val="90"/>
                </w:rPr>
                <w:t>Pipeline, L.P., as purchaser (the schedules and exhibits have been omitted pursuant to Item 601(b)(2) of Regulation S-K) (incorporated</w:t>
              </w:r>
            </w:hyperlink>
          </w:p>
        </w:tc>
        <w:tc>
          <w:tcPr>
            <w:tcW w:w="8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23"/>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by reference to Exhibit 2.2 to PAA’s Quarterly Report on Form 10-Q for the quarter ended March 31, 2017).</w:t>
              </w:r>
            </w:hyperlink>
          </w:p>
        </w:tc>
      </w:tr>
      <w:tr>
        <w:trPr>
          <w:trHeight w:val="20"/>
        </w:trPr>
        <w:tc>
          <w:tcPr>
            <w:tcW w:w="10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0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380" w:type="dxa"/>
            <w:vAlign w:val="bottom"/>
            <w:gridSpan w:val="25"/>
          </w:tcPr>
          <w:p>
            <w:pPr>
              <w:ind w:left="20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77">
              <w:r>
                <w:rPr>
                  <w:rFonts w:ascii="Arial" w:cs="Arial" w:eastAsia="Arial" w:hAnsi="Arial"/>
                  <w:sz w:val="18"/>
                  <w:szCs w:val="18"/>
                  <w:color w:val="0000FF"/>
                  <w:w w:val="92"/>
                </w:rPr>
                <w:t>Seventh Amended and Restated Agreement of Limited Partnership of Plains All American Pipeline, L.P. dated as of October 10, 2017</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(incorporated by reference to Exhibit 3.1 to PAA’s Current Report on Form 8-K filed October 12, 2017).</w:t>
              </w:r>
            </w:hyperlink>
          </w:p>
        </w:tc>
        <w:tc>
          <w:tcPr>
            <w:tcW w:w="120" w:type="dxa"/>
            <w:vAlign w:val="bottom"/>
            <w:gridSpan w:val="5"/>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40" w:type="dxa"/>
            <w:vAlign w:val="bottom"/>
            <w:tcBorders>
              <w:left w:val="single" w:sz="8" w:color="0000FF"/>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0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380" w:type="dxa"/>
            <w:vAlign w:val="bottom"/>
            <w:gridSpan w:val="25"/>
          </w:tcPr>
          <w:p>
            <w:pPr>
              <w:ind w:left="20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78">
              <w:r>
                <w:rPr>
                  <w:rFonts w:ascii="Arial" w:cs="Arial" w:eastAsia="Arial" w:hAnsi="Arial"/>
                  <w:sz w:val="18"/>
                  <w:szCs w:val="18"/>
                  <w:color w:val="0000FF"/>
                  <w:w w:val="95"/>
                </w:rPr>
                <w:t>Seventh Amended and Restated Limited Liability Company Agreement of Plains All American GP LLC dated November 15, 2016</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(incorporated by reference to Exhibit 3.3 to our Current Report on Form 8-K filed November 21, 2016).</w:t>
              </w:r>
            </w:hyperlink>
          </w:p>
        </w:tc>
        <w:tc>
          <w:tcPr>
            <w:tcW w:w="340" w:type="dxa"/>
            <w:vAlign w:val="bottom"/>
            <w:gridSpan w:val="10"/>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04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0380" w:type="dxa"/>
            <w:vAlign w:val="bottom"/>
            <w:gridSpan w:val="25"/>
          </w:tcPr>
          <w:p>
            <w:pPr>
              <w:ind w:left="20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79">
              <w:r>
                <w:rPr>
                  <w:rFonts w:ascii="Arial" w:cs="Arial" w:eastAsia="Arial" w:hAnsi="Arial"/>
                  <w:sz w:val="18"/>
                  <w:szCs w:val="18"/>
                  <w:color w:val="0000FF"/>
                  <w:w w:val="98"/>
                </w:rPr>
                <w:t>Eighth Amended and Restated Limited Partnership Agreement of Plains AAP, L.P. dated November 15, 2016 (incorporated by</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reference to Exhibit 3.4 to our Current Report on Form 8-K filed November 21, 2016).</w:t>
              </w:r>
            </w:hyperlink>
          </w:p>
        </w:tc>
        <w:tc>
          <w:tcPr>
            <w:tcW w:w="660" w:type="dxa"/>
            <w:vAlign w:val="bottom"/>
            <w:gridSpan w:val="12"/>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380" w:type="dxa"/>
            <w:vAlign w:val="bottom"/>
            <w:gridSpan w:val="7"/>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04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0380" w:type="dxa"/>
            <w:vAlign w:val="bottom"/>
            <w:gridSpan w:val="25"/>
          </w:tcPr>
          <w:p>
            <w:pPr>
              <w:ind w:left="20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80">
              <w:r>
                <w:rPr>
                  <w:rFonts w:ascii="Arial" w:cs="Arial" w:eastAsia="Arial" w:hAnsi="Arial"/>
                  <w:sz w:val="18"/>
                  <w:szCs w:val="18"/>
                  <w:color w:val="0000FF"/>
                  <w:w w:val="91"/>
                </w:rPr>
                <w:t>Amendment No. 1 dated September 26, 2018 to the Eighth Amended and Restated Limited Partnership Agreement of Plains AAP, L.P.</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(incorporated by reference to Exhibit 3.1 to our Current Report on Form 8-K filed October 2, 2018).</w:t>
              </w:r>
            </w:hyperlink>
          </w:p>
        </w:tc>
        <w:tc>
          <w:tcPr>
            <w:tcW w:w="2500" w:type="dxa"/>
            <w:vAlign w:val="bottom"/>
            <w:tcBorders>
              <w:top w:val="single" w:sz="8" w:color="0000FF"/>
            </w:tcBorders>
            <w:gridSpan w:val="13"/>
          </w:tcPr>
          <w:p>
            <w:pPr>
              <w:spacing w:after="0"/>
              <w:rPr>
                <w:sz w:val="17"/>
                <w:szCs w:val="17"/>
                <w:color w:val="auto"/>
              </w:rPr>
            </w:pPr>
          </w:p>
        </w:tc>
        <w:tc>
          <w:tcPr>
            <w:tcW w:w="60" w:type="dxa"/>
            <w:vAlign w:val="bottom"/>
            <w:gridSpan w:val="2"/>
          </w:tcPr>
          <w:p>
            <w:pPr>
              <w:spacing w:after="0"/>
              <w:rPr>
                <w:sz w:val="17"/>
                <w:szCs w:val="17"/>
                <w:color w:val="auto"/>
              </w:rPr>
            </w:pPr>
          </w:p>
        </w:tc>
      </w:tr>
      <w:tr>
        <w:trPr>
          <w:trHeight w:val="412"/>
        </w:trPr>
        <w:tc>
          <w:tcPr>
            <w:tcW w:w="104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0380" w:type="dxa"/>
            <w:vAlign w:val="bottom"/>
            <w:gridSpan w:val="25"/>
          </w:tcPr>
          <w:p>
            <w:pPr>
              <w:ind w:left="20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81">
              <w:r>
                <w:rPr>
                  <w:rFonts w:ascii="Arial" w:cs="Arial" w:eastAsia="Arial" w:hAnsi="Arial"/>
                  <w:sz w:val="18"/>
                  <w:szCs w:val="18"/>
                  <w:color w:val="0000FF"/>
                  <w:w w:val="94"/>
                </w:rPr>
                <w:t>Limited Liability Company Agreement of PAA GP LLC dated December 28, 2007 (incorporated by reference to Exhibit 3.3 to PAA’s</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Current Report on Form 8-K filed January 4, 2008).</w:t>
              </w:r>
            </w:hyperlink>
          </w:p>
        </w:tc>
        <w:tc>
          <w:tcPr>
            <w:tcW w:w="180" w:type="dxa"/>
            <w:vAlign w:val="bottom"/>
            <w:gridSpan w:val="8"/>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60" w:type="dxa"/>
            <w:vAlign w:val="bottom"/>
            <w:gridSpan w:val="12"/>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r>
      <w:tr>
        <w:trPr>
          <w:trHeight w:val="412"/>
        </w:trPr>
        <w:tc>
          <w:tcPr>
            <w:tcW w:w="104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0380" w:type="dxa"/>
            <w:vAlign w:val="bottom"/>
            <w:gridSpan w:val="25"/>
          </w:tcPr>
          <w:p>
            <w:pPr>
              <w:ind w:left="20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82">
              <w:r>
                <w:rPr>
                  <w:rFonts w:ascii="Arial" w:cs="Arial" w:eastAsia="Arial" w:hAnsi="Arial"/>
                  <w:sz w:val="18"/>
                  <w:szCs w:val="18"/>
                  <w:color w:val="0000FF"/>
                  <w:w w:val="94"/>
                </w:rPr>
                <w:t>Certificate of Limited Partnership of Plains GP Holdings, L.P. (incorporated by reference to Exhibit 3.1 to our Registration Statement</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on Form S-1 (333-190227) filed July 29, 2013).</w:t>
              </w:r>
            </w:hyperlink>
          </w:p>
        </w:tc>
        <w:tc>
          <w:tcPr>
            <w:tcW w:w="180" w:type="dxa"/>
            <w:vAlign w:val="bottom"/>
            <w:gridSpan w:val="8"/>
          </w:tcPr>
          <w:p>
            <w:pPr>
              <w:spacing w:after="0"/>
              <w:rPr>
                <w:sz w:val="17"/>
                <w:szCs w:val="17"/>
                <w:color w:val="auto"/>
              </w:rPr>
            </w:pPr>
          </w:p>
        </w:tc>
      </w:tr>
      <w:tr>
        <w:trPr>
          <w:trHeight w:val="669"/>
        </w:trPr>
        <w:tc>
          <w:tcPr>
            <w:tcW w:w="104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3440" w:type="dxa"/>
            <w:vAlign w:val="bottom"/>
            <w:tcBorders>
              <w:top w:val="single" w:sz="8" w:color="0000FF"/>
            </w:tcBorders>
            <w:gridSpan w:val="2"/>
          </w:tcPr>
          <w:p>
            <w:pPr>
              <w:spacing w:after="0"/>
              <w:rPr>
                <w:sz w:val="24"/>
                <w:szCs w:val="24"/>
                <w:color w:val="auto"/>
              </w:rPr>
            </w:pPr>
          </w:p>
        </w:tc>
        <w:tc>
          <w:tcPr>
            <w:tcW w:w="2800" w:type="dxa"/>
            <w:vAlign w:val="bottom"/>
            <w:gridSpan w:val="3"/>
          </w:tcPr>
          <w:p>
            <w:pPr>
              <w:jc w:val="right"/>
              <w:ind w:right="1950"/>
              <w:spacing w:after="0"/>
              <w:rPr>
                <w:sz w:val="20"/>
                <w:szCs w:val="20"/>
                <w:color w:val="auto"/>
              </w:rPr>
            </w:pPr>
            <w:r>
              <w:rPr>
                <w:rFonts w:ascii="Arial" w:cs="Arial" w:eastAsia="Arial" w:hAnsi="Arial"/>
                <w:sz w:val="18"/>
                <w:szCs w:val="18"/>
                <w:color w:val="auto"/>
              </w:rPr>
              <w:t>116</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240" w:right="640" w:hanging="1226"/>
        <w:spacing w:after="0" w:line="308" w:lineRule="auto"/>
        <w:tabs>
          <w:tab w:leader="none" w:pos="1220" w:val="left"/>
        </w:tabs>
        <w:rPr>
          <w:rFonts w:ascii="Arial" w:cs="Arial" w:eastAsia="Arial" w:hAnsi="Arial"/>
          <w:sz w:val="17"/>
          <w:szCs w:val="17"/>
          <w:u w:val="single" w:color="auto"/>
          <w:color w:val="0000FF"/>
        </w:rPr>
      </w:pPr>
      <w:r>
        <w:rPr>
          <w:rFonts w:ascii="Arial" w:cs="Arial" w:eastAsia="Arial" w:hAnsi="Arial"/>
          <w:sz w:val="18"/>
          <w:szCs w:val="18"/>
          <w:color w:val="auto"/>
        </w:rPr>
        <w:t>3.7</w:t>
      </w:r>
      <w:r>
        <w:rPr>
          <w:sz w:val="20"/>
          <w:szCs w:val="20"/>
          <w:color w:val="auto"/>
        </w:rPr>
        <w:tab/>
      </w:r>
      <w:r>
        <w:rPr>
          <w:rFonts w:ascii="Arial" w:cs="Arial" w:eastAsia="Arial" w:hAnsi="Arial"/>
          <w:sz w:val="17"/>
          <w:szCs w:val="17"/>
          <w:color w:val="auto"/>
        </w:rPr>
        <w:t xml:space="preserve">— </w:t>
      </w:r>
      <w:hyperlink r:id="rId83">
        <w:r>
          <w:rPr>
            <w:rFonts w:ascii="Arial" w:cs="Arial" w:eastAsia="Arial" w:hAnsi="Arial"/>
            <w:sz w:val="17"/>
            <w:szCs w:val="17"/>
            <w:u w:val="single" w:color="auto"/>
            <w:color w:val="0000FF"/>
          </w:rPr>
          <w:t>Second Amended and Restated Agreement of Limited Partnership of Plains GP Holdings, L.P. dated as of November 15, 2016</w:t>
        </w:r>
      </w:hyperlink>
      <w:r>
        <w:rPr>
          <w:rFonts w:ascii="Arial" w:cs="Arial" w:eastAsia="Arial" w:hAnsi="Arial"/>
          <w:sz w:val="17"/>
          <w:szCs w:val="17"/>
          <w:color w:val="auto"/>
        </w:rPr>
        <w:t xml:space="preserve"> </w:t>
      </w:r>
      <w:hyperlink r:id="rId83">
        <w:r>
          <w:rPr>
            <w:rFonts w:ascii="Arial" w:cs="Arial" w:eastAsia="Arial" w:hAnsi="Arial"/>
            <w:sz w:val="17"/>
            <w:szCs w:val="17"/>
            <w:u w:val="single" w:color="auto"/>
            <w:color w:val="0000FF"/>
          </w:rPr>
          <w:t>(incorporated by reference to Exhibit 3.2 to our Current Report on Form 8-K filed November 21, 2016).</w:t>
        </w:r>
      </w:hyperlink>
    </w:p>
    <w:p>
      <w:pPr>
        <w:spacing w:after="0" w:line="147" w:lineRule="exact"/>
        <w:rPr>
          <w:sz w:val="20"/>
          <w:szCs w:val="20"/>
          <w:color w:val="auto"/>
        </w:rPr>
      </w:pPr>
    </w:p>
    <w:p>
      <w:pPr>
        <w:ind w:left="420"/>
        <w:spacing w:after="0"/>
        <w:tabs>
          <w:tab w:leader="none" w:pos="1220" w:val="left"/>
          <w:tab w:leader="none" w:pos="1620" w:val="left"/>
        </w:tabs>
        <w:rPr>
          <w:rFonts w:ascii="Arial" w:cs="Arial" w:eastAsia="Arial" w:hAnsi="Arial"/>
          <w:sz w:val="16"/>
          <w:szCs w:val="16"/>
          <w:u w:val="single" w:color="auto"/>
          <w:color w:val="0000FF"/>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w:t>
      </w:r>
      <w:r>
        <w:rPr>
          <w:sz w:val="20"/>
          <w:szCs w:val="20"/>
          <w:color w:val="auto"/>
        </w:rPr>
        <w:tab/>
      </w:r>
      <w:hyperlink r:id="rId84">
        <w:r>
          <w:rPr>
            <w:rFonts w:ascii="Arial" w:cs="Arial" w:eastAsia="Arial" w:hAnsi="Arial"/>
            <w:sz w:val="16"/>
            <w:szCs w:val="16"/>
            <w:u w:val="single" w:color="auto"/>
            <w:color w:val="0000FF"/>
          </w:rPr>
          <w:t>Certificate of Formation of PAA GP Holdings LLC (incorporated by reference to Exhibit 3.3 to our Registration Statement on Form S-</w:t>
        </w:r>
      </w:hyperlink>
    </w:p>
    <w:p>
      <w:pPr>
        <w:spacing w:after="0" w:line="23" w:lineRule="exact"/>
        <w:rPr>
          <w:sz w:val="20"/>
          <w:szCs w:val="20"/>
          <w:color w:val="auto"/>
        </w:rPr>
      </w:pPr>
    </w:p>
    <w:p>
      <w:pPr>
        <w:ind w:left="1640"/>
        <w:spacing w:after="0"/>
        <w:rPr>
          <w:rFonts w:ascii="Arial" w:cs="Arial" w:eastAsia="Arial" w:hAnsi="Arial"/>
          <w:sz w:val="18"/>
          <w:szCs w:val="18"/>
          <w:u w:val="single" w:color="auto"/>
          <w:color w:val="0000FF"/>
        </w:rPr>
      </w:pPr>
      <w:hyperlink r:id="rId84">
        <w:r>
          <w:rPr>
            <w:rFonts w:ascii="Arial" w:cs="Arial" w:eastAsia="Arial" w:hAnsi="Arial"/>
            <w:sz w:val="18"/>
            <w:szCs w:val="18"/>
            <w:u w:val="single" w:color="auto"/>
            <w:color w:val="0000FF"/>
          </w:rPr>
          <w:t>1 (333-190227) filed July 29, 2013).</w:t>
        </w:r>
      </w:hyperlink>
    </w:p>
    <w:p>
      <w:pPr>
        <w:spacing w:after="0" w:line="211" w:lineRule="exact"/>
        <w:rPr>
          <w:sz w:val="20"/>
          <w:szCs w:val="20"/>
          <w:color w:val="auto"/>
        </w:rPr>
      </w:pPr>
    </w:p>
    <w:p>
      <w:pPr>
        <w:ind w:left="1240" w:right="620" w:hanging="1226"/>
        <w:spacing w:after="0" w:line="277"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 xml:space="preserve">— </w:t>
      </w:r>
      <w:hyperlink r:id="rId85">
        <w:r>
          <w:rPr>
            <w:rFonts w:ascii="Arial" w:cs="Arial" w:eastAsia="Arial" w:hAnsi="Arial"/>
            <w:sz w:val="18"/>
            <w:szCs w:val="18"/>
            <w:u w:val="single" w:color="auto"/>
            <w:color w:val="0000FF"/>
          </w:rPr>
          <w:t>Third Amended and Restated Limited Liability Company Agreement of PAA GP Holdings LLC dated as of February 16, 2017</w:t>
        </w:r>
      </w:hyperlink>
      <w:r>
        <w:rPr>
          <w:rFonts w:ascii="Arial" w:cs="Arial" w:eastAsia="Arial" w:hAnsi="Arial"/>
          <w:sz w:val="18"/>
          <w:szCs w:val="18"/>
          <w:color w:val="auto"/>
        </w:rPr>
        <w:t xml:space="preserve"> </w:t>
      </w:r>
      <w:hyperlink r:id="rId85">
        <w:r>
          <w:rPr>
            <w:rFonts w:ascii="Arial" w:cs="Arial" w:eastAsia="Arial" w:hAnsi="Arial"/>
            <w:sz w:val="18"/>
            <w:szCs w:val="18"/>
            <w:u w:val="single" w:color="auto"/>
            <w:color w:val="0000FF"/>
          </w:rPr>
          <w:t>(incorporated by reference to Exhibit 3.1 to our Current Report on Form 8-K filed February 21, 2017).</w:t>
        </w:r>
      </w:hyperlink>
    </w:p>
    <w:p>
      <w:pPr>
        <w:spacing w:after="0" w:line="170" w:lineRule="exact"/>
        <w:rPr>
          <w:sz w:val="20"/>
          <w:szCs w:val="20"/>
          <w:color w:val="auto"/>
        </w:rPr>
      </w:pPr>
    </w:p>
    <w:p>
      <w:pPr>
        <w:ind w:left="1240" w:right="420" w:hanging="1271"/>
        <w:spacing w:after="0" w:line="277"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3.10</w:t>
      </w:r>
      <w:r>
        <w:rPr>
          <w:sz w:val="20"/>
          <w:szCs w:val="20"/>
          <w:color w:val="auto"/>
        </w:rPr>
        <w:tab/>
      </w:r>
      <w:r>
        <w:rPr>
          <w:rFonts w:ascii="Arial" w:cs="Arial" w:eastAsia="Arial" w:hAnsi="Arial"/>
          <w:sz w:val="18"/>
          <w:szCs w:val="18"/>
          <w:color w:val="auto"/>
        </w:rPr>
        <w:t xml:space="preserve">— </w:t>
      </w:r>
      <w:hyperlink r:id="rId86">
        <w:r>
          <w:rPr>
            <w:rFonts w:ascii="Arial" w:cs="Arial" w:eastAsia="Arial" w:hAnsi="Arial"/>
            <w:sz w:val="18"/>
            <w:szCs w:val="18"/>
            <w:u w:val="single" w:color="auto"/>
            <w:color w:val="0000FF"/>
          </w:rPr>
          <w:t>Amendment No. 1 dated October 1, 2018 to the Third Amended and Restated Limited Liability Company Agreement of PAA GP</w:t>
        </w:r>
      </w:hyperlink>
      <w:r>
        <w:rPr>
          <w:rFonts w:ascii="Arial" w:cs="Arial" w:eastAsia="Arial" w:hAnsi="Arial"/>
          <w:sz w:val="18"/>
          <w:szCs w:val="18"/>
          <w:color w:val="auto"/>
        </w:rPr>
        <w:t xml:space="preserve"> </w:t>
      </w:r>
      <w:hyperlink r:id="rId86">
        <w:r>
          <w:rPr>
            <w:rFonts w:ascii="Arial" w:cs="Arial" w:eastAsia="Arial" w:hAnsi="Arial"/>
            <w:sz w:val="18"/>
            <w:szCs w:val="18"/>
            <w:u w:val="single" w:color="auto"/>
            <w:color w:val="0000FF"/>
          </w:rPr>
          <w:t>Holdings LLC (incorporated by reference to Exhibit 3.1 to our Current Report on Form 8-K filed August 20, 2018).</w:t>
        </w:r>
      </w:hyperlink>
    </w:p>
    <w:p>
      <w:pPr>
        <w:spacing w:after="0" w:line="170" w:lineRule="exact"/>
        <w:rPr>
          <w:sz w:val="20"/>
          <w:szCs w:val="20"/>
          <w:color w:val="auto"/>
        </w:rPr>
      </w:pPr>
    </w:p>
    <w:p>
      <w:pPr>
        <w:ind w:left="1240" w:right="180" w:hanging="1267"/>
        <w:spacing w:after="0" w:line="308" w:lineRule="auto"/>
        <w:tabs>
          <w:tab w:leader="none" w:pos="1220" w:val="left"/>
        </w:tabs>
        <w:rPr>
          <w:rFonts w:ascii="Arial" w:cs="Arial" w:eastAsia="Arial" w:hAnsi="Arial"/>
          <w:sz w:val="17"/>
          <w:szCs w:val="17"/>
          <w:u w:val="single" w:color="auto"/>
          <w:color w:val="0000FF"/>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 xml:space="preserve">— </w:t>
      </w:r>
      <w:hyperlink r:id="rId87">
        <w:r>
          <w:rPr>
            <w:rFonts w:ascii="Arial" w:cs="Arial" w:eastAsia="Arial" w:hAnsi="Arial"/>
            <w:sz w:val="17"/>
            <w:szCs w:val="17"/>
            <w:u w:val="single" w:color="auto"/>
            <w:color w:val="0000FF"/>
          </w:rPr>
          <w:t>Amendment No. 2 dated December 10, 2018 to the Third Amended and Restated Limited Liability Company Agreement of PAA GP</w:t>
        </w:r>
      </w:hyperlink>
      <w:r>
        <w:rPr>
          <w:rFonts w:ascii="Arial" w:cs="Arial" w:eastAsia="Arial" w:hAnsi="Arial"/>
          <w:sz w:val="17"/>
          <w:szCs w:val="17"/>
          <w:color w:val="auto"/>
        </w:rPr>
        <w:t xml:space="preserve"> </w:t>
      </w:r>
      <w:hyperlink r:id="rId87">
        <w:r>
          <w:rPr>
            <w:rFonts w:ascii="Arial" w:cs="Arial" w:eastAsia="Arial" w:hAnsi="Arial"/>
            <w:sz w:val="17"/>
            <w:szCs w:val="17"/>
            <w:u w:val="single" w:color="auto"/>
            <w:color w:val="0000FF"/>
          </w:rPr>
          <w:t>Holdings LLC (incorporated by reference to Exhibit 3.1 to our Current Report on Form 8-K filed December 11, 2018).</w:t>
        </w:r>
      </w:hyperlink>
    </w:p>
    <w:p>
      <w:pPr>
        <w:spacing w:after="0" w:line="147" w:lineRule="exact"/>
        <w:rPr>
          <w:sz w:val="20"/>
          <w:szCs w:val="20"/>
          <w:color w:val="auto"/>
        </w:rPr>
      </w:pPr>
    </w:p>
    <w:p>
      <w:pPr>
        <w:ind w:left="1240" w:right="380" w:hanging="1226"/>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xml:space="preserve">— </w:t>
      </w:r>
      <w:hyperlink r:id="rId88">
        <w:r>
          <w:rPr>
            <w:rFonts w:ascii="Arial" w:cs="Arial" w:eastAsia="Arial" w:hAnsi="Arial"/>
            <w:sz w:val="18"/>
            <w:szCs w:val="18"/>
            <w:u w:val="single" w:color="auto"/>
            <w:color w:val="0000FF"/>
          </w:rPr>
          <w:t>Indenture dated September 25, 2002 among Plains All American Pipeline, L.P., PAA Finance Corp. and Wachovia Bank, National</w:t>
        </w:r>
      </w:hyperlink>
      <w:r>
        <w:rPr>
          <w:rFonts w:ascii="Arial" w:cs="Arial" w:eastAsia="Arial" w:hAnsi="Arial"/>
          <w:sz w:val="18"/>
          <w:szCs w:val="18"/>
          <w:color w:val="auto"/>
        </w:rPr>
        <w:t xml:space="preserve"> </w:t>
      </w:r>
      <w:hyperlink r:id="rId88">
        <w:r>
          <w:rPr>
            <w:rFonts w:ascii="Arial" w:cs="Arial" w:eastAsia="Arial" w:hAnsi="Arial"/>
            <w:sz w:val="18"/>
            <w:szCs w:val="18"/>
            <w:u w:val="single" w:color="auto"/>
            <w:color w:val="0000FF"/>
          </w:rPr>
          <w:t>Association, as trustee (incorporated by reference to Exhibit 4.1 to PAA’s Quarterly Report on Form 10-Q for the quarter ended</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September 30, 2002).</w:t>
        </w:r>
      </w:hyperlink>
    </w:p>
    <w:p>
      <w:pPr>
        <w:spacing w:after="0" w:line="181" w:lineRule="exact"/>
        <w:rPr>
          <w:rFonts w:ascii="Arial" w:cs="Arial" w:eastAsia="Arial" w:hAnsi="Arial"/>
          <w:sz w:val="18"/>
          <w:szCs w:val="18"/>
          <w:color w:val="auto"/>
        </w:rPr>
      </w:pPr>
    </w:p>
    <w:p>
      <w:pPr>
        <w:ind w:left="1240" w:right="120" w:hanging="1226"/>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 xml:space="preserve">— </w:t>
      </w:r>
      <w:hyperlink r:id="rId89">
        <w:r>
          <w:rPr>
            <w:rFonts w:ascii="Arial" w:cs="Arial" w:eastAsia="Arial" w:hAnsi="Arial"/>
            <w:sz w:val="18"/>
            <w:szCs w:val="18"/>
            <w:u w:val="single" w:color="auto"/>
            <w:color w:val="0000FF"/>
          </w:rPr>
          <w:t>Sixth Supplemental Indenture (Series A and Series B 6.70% Senior Notes due 2036) dated May 12, 2006 among Plains All American</w:t>
        </w:r>
      </w:hyperlink>
      <w:r>
        <w:rPr>
          <w:rFonts w:ascii="Arial" w:cs="Arial" w:eastAsia="Arial" w:hAnsi="Arial"/>
          <w:sz w:val="18"/>
          <w:szCs w:val="18"/>
          <w:color w:val="auto"/>
        </w:rPr>
        <w:t xml:space="preserve"> </w:t>
      </w:r>
      <w:hyperlink r:id="rId89">
        <w:r>
          <w:rPr>
            <w:rFonts w:ascii="Arial" w:cs="Arial" w:eastAsia="Arial" w:hAnsi="Arial"/>
            <w:sz w:val="18"/>
            <w:szCs w:val="18"/>
            <w:u w:val="single" w:color="auto"/>
            <w:color w:val="0000FF"/>
          </w:rPr>
          <w:t>Pipeline, L.P., PAA Finance Corp., the Subsidiary Guarantors named therein and Wachovia Bank, National Association, as trustee</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(incorporated by reference to Exhibit 4.1 to PAA’s Current Report on Form 8-K filed May 12, 2006).</w:t>
        </w:r>
      </w:hyperlink>
    </w:p>
    <w:p>
      <w:pPr>
        <w:spacing w:after="0" w:line="181" w:lineRule="exact"/>
        <w:rPr>
          <w:rFonts w:ascii="Arial" w:cs="Arial" w:eastAsia="Arial" w:hAnsi="Arial"/>
          <w:sz w:val="18"/>
          <w:szCs w:val="18"/>
          <w:color w:val="auto"/>
        </w:rPr>
      </w:pPr>
    </w:p>
    <w:p>
      <w:pPr>
        <w:ind w:left="1240" w:right="60" w:hanging="1226"/>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 xml:space="preserve">— </w:t>
      </w:r>
      <w:hyperlink r:id="rId90">
        <w:r>
          <w:rPr>
            <w:rFonts w:ascii="Arial" w:cs="Arial" w:eastAsia="Arial" w:hAnsi="Arial"/>
            <w:sz w:val="18"/>
            <w:szCs w:val="18"/>
            <w:u w:val="single" w:color="auto"/>
            <w:color w:val="0000FF"/>
          </w:rPr>
          <w:t>Tenth Supplemental Indenture (Series A and Series B 6.650% Senior Notes due 2037) dated October 30, 2006 among Plains All</w:t>
        </w:r>
      </w:hyperlink>
      <w:r>
        <w:rPr>
          <w:rFonts w:ascii="Arial" w:cs="Arial" w:eastAsia="Arial" w:hAnsi="Arial"/>
          <w:sz w:val="18"/>
          <w:szCs w:val="18"/>
          <w:color w:val="auto"/>
        </w:rPr>
        <w:t xml:space="preserve"> </w:t>
      </w:r>
      <w:hyperlink r:id="rId90">
        <w:r>
          <w:rPr>
            <w:rFonts w:ascii="Arial" w:cs="Arial" w:eastAsia="Arial" w:hAnsi="Arial"/>
            <w:sz w:val="18"/>
            <w:szCs w:val="18"/>
            <w:u w:val="single" w:color="auto"/>
            <w:color w:val="0000FF"/>
          </w:rPr>
          <w:t>American Pipeline, L.P., PAA Finance Corp., the Subsidiary Guarantors named therein and U.S. Bank National Association, as trustee</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(incorporated by reference to Exhibit 4.2 to PAA’s Current Report on Form 8-K filed October 30, 2006).</w:t>
        </w:r>
      </w:hyperlink>
    </w:p>
    <w:p>
      <w:pPr>
        <w:spacing w:after="0" w:line="181" w:lineRule="exact"/>
        <w:rPr>
          <w:rFonts w:ascii="Arial" w:cs="Arial" w:eastAsia="Arial" w:hAnsi="Arial"/>
          <w:sz w:val="18"/>
          <w:szCs w:val="18"/>
          <w:color w:val="auto"/>
        </w:rPr>
      </w:pPr>
    </w:p>
    <w:p>
      <w:pPr>
        <w:jc w:val="both"/>
        <w:ind w:left="1240" w:right="200" w:hanging="1226"/>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 xml:space="preserve">— </w:t>
      </w:r>
      <w:hyperlink r:id="rId91">
        <w:r>
          <w:rPr>
            <w:rFonts w:ascii="Arial" w:cs="Arial" w:eastAsia="Arial" w:hAnsi="Arial"/>
            <w:sz w:val="18"/>
            <w:szCs w:val="18"/>
            <w:u w:val="single" w:color="auto"/>
            <w:color w:val="0000FF"/>
          </w:rPr>
          <w:t>Seventeenth Supplemental Indenture (5.75% Senior Notes due 2020) dated September 4, 2009 among Plains All American Pipeline,</w:t>
        </w:r>
      </w:hyperlink>
      <w:r>
        <w:rPr>
          <w:rFonts w:ascii="Arial" w:cs="Arial" w:eastAsia="Arial" w:hAnsi="Arial"/>
          <w:sz w:val="18"/>
          <w:szCs w:val="18"/>
          <w:color w:val="auto"/>
        </w:rPr>
        <w:t xml:space="preserve"> </w:t>
      </w:r>
      <w:hyperlink r:id="rId91">
        <w:r>
          <w:rPr>
            <w:rFonts w:ascii="Arial" w:cs="Arial" w:eastAsia="Arial" w:hAnsi="Arial"/>
            <w:sz w:val="18"/>
            <w:szCs w:val="18"/>
            <w:u w:val="single" w:color="auto"/>
            <w:color w:val="0000FF"/>
          </w:rPr>
          <w:t>L.P., PAA Finance Corp., the Subsidiary Guarantors named therein and U.S. Bank National Association, as trustee (incorporated by</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reference to Exhibit 4.1 to PAA’s Current Report on Form 8-K filed September 4, 2009).</w:t>
        </w:r>
      </w:hyperlink>
    </w:p>
    <w:p>
      <w:pPr>
        <w:spacing w:after="0" w:line="181" w:lineRule="exact"/>
        <w:rPr>
          <w:rFonts w:ascii="Arial" w:cs="Arial" w:eastAsia="Arial" w:hAnsi="Arial"/>
          <w:sz w:val="18"/>
          <w:szCs w:val="18"/>
          <w:color w:val="auto"/>
        </w:rPr>
      </w:pPr>
    </w:p>
    <w:p>
      <w:pPr>
        <w:ind w:left="1240" w:right="60" w:hanging="1226"/>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 xml:space="preserve">— </w:t>
      </w:r>
      <w:hyperlink r:id="rId92">
        <w:r>
          <w:rPr>
            <w:rFonts w:ascii="Arial" w:cs="Arial" w:eastAsia="Arial" w:hAnsi="Arial"/>
            <w:sz w:val="18"/>
            <w:szCs w:val="18"/>
            <w:u w:val="single" w:color="auto"/>
            <w:color w:val="0000FF"/>
          </w:rPr>
          <w:t>Nineteenth Supplemental Indenture (5.00% Senior Notes due 2021) dated January 14, 2011 among Plains All American Pipeline, L.P.,</w:t>
        </w:r>
      </w:hyperlink>
      <w:r>
        <w:rPr>
          <w:rFonts w:ascii="Arial" w:cs="Arial" w:eastAsia="Arial" w:hAnsi="Arial"/>
          <w:sz w:val="18"/>
          <w:szCs w:val="18"/>
          <w:color w:val="auto"/>
        </w:rPr>
        <w:t xml:space="preserve"> </w:t>
      </w:r>
      <w:hyperlink r:id="rId92">
        <w:r>
          <w:rPr>
            <w:rFonts w:ascii="Arial" w:cs="Arial" w:eastAsia="Arial" w:hAnsi="Arial"/>
            <w:sz w:val="18"/>
            <w:szCs w:val="18"/>
            <w:u w:val="single" w:color="auto"/>
            <w:color w:val="0000FF"/>
          </w:rPr>
          <w:t>PAA Finance Corp., the Subsidiary Guarantors named therein and U.S. Bank National Association, as trustee (incorporated by</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reference to Exhibit 4.1 to PAA’s Current Report on Form 8-K filed January 11, 2011).</w:t>
        </w:r>
      </w:hyperlink>
    </w:p>
    <w:p>
      <w:pPr>
        <w:spacing w:after="0" w:line="181" w:lineRule="exact"/>
        <w:rPr>
          <w:rFonts w:ascii="Arial" w:cs="Arial" w:eastAsia="Arial" w:hAnsi="Arial"/>
          <w:sz w:val="18"/>
          <w:szCs w:val="18"/>
          <w:color w:val="auto"/>
        </w:rPr>
      </w:pPr>
    </w:p>
    <w:p>
      <w:pPr>
        <w:jc w:val="both"/>
        <w:ind w:left="1240" w:right="120" w:hanging="1226"/>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 xml:space="preserve">— </w:t>
      </w:r>
      <w:hyperlink r:id="rId93">
        <w:r>
          <w:rPr>
            <w:rFonts w:ascii="Arial" w:cs="Arial" w:eastAsia="Arial" w:hAnsi="Arial"/>
            <w:sz w:val="18"/>
            <w:szCs w:val="18"/>
            <w:u w:val="single" w:color="auto"/>
            <w:color w:val="0000FF"/>
          </w:rPr>
          <w:t>Twentieth Supplemental Indenture (3.65% Senior Notes due 2022) dated March 22, 2012 among Plains All American Pipeline, L.P.,</w:t>
        </w:r>
      </w:hyperlink>
      <w:r>
        <w:rPr>
          <w:rFonts w:ascii="Arial" w:cs="Arial" w:eastAsia="Arial" w:hAnsi="Arial"/>
          <w:sz w:val="18"/>
          <w:szCs w:val="18"/>
          <w:color w:val="auto"/>
        </w:rPr>
        <w:t xml:space="preserve"> </w:t>
      </w:r>
      <w:hyperlink r:id="rId93">
        <w:r>
          <w:rPr>
            <w:rFonts w:ascii="Arial" w:cs="Arial" w:eastAsia="Arial" w:hAnsi="Arial"/>
            <w:sz w:val="18"/>
            <w:szCs w:val="18"/>
            <w:u w:val="single" w:color="auto"/>
            <w:color w:val="0000FF"/>
          </w:rPr>
          <w:t>PAA Finance Corp. and U.S. Bank National Association, as trustee (incorporated by reference to Exhibit 4.1 to PAA’s Current Report</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on Form 8-K filed March 26, 2012).</w:t>
        </w:r>
      </w:hyperlink>
    </w:p>
    <w:p>
      <w:pPr>
        <w:spacing w:after="0" w:line="181" w:lineRule="exact"/>
        <w:rPr>
          <w:rFonts w:ascii="Arial" w:cs="Arial" w:eastAsia="Arial" w:hAnsi="Arial"/>
          <w:sz w:val="18"/>
          <w:szCs w:val="18"/>
          <w:color w:val="auto"/>
        </w:rPr>
      </w:pPr>
    </w:p>
    <w:p>
      <w:pPr>
        <w:ind w:left="1240" w:hanging="1226"/>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 xml:space="preserve">— </w:t>
      </w:r>
      <w:hyperlink r:id="rId94">
        <w:r>
          <w:rPr>
            <w:rFonts w:ascii="Arial" w:cs="Arial" w:eastAsia="Arial" w:hAnsi="Arial"/>
            <w:sz w:val="18"/>
            <w:szCs w:val="18"/>
            <w:u w:val="single" w:color="auto"/>
            <w:color w:val="0000FF"/>
          </w:rPr>
          <w:t>Twenty-First Supplemental Indenture (5.15% Senior Notes due 2042) dated March 22, 2012 among Plains All American Pipeline, L.P.,</w:t>
        </w:r>
      </w:hyperlink>
      <w:r>
        <w:rPr>
          <w:rFonts w:ascii="Arial" w:cs="Arial" w:eastAsia="Arial" w:hAnsi="Arial"/>
          <w:sz w:val="18"/>
          <w:szCs w:val="18"/>
          <w:color w:val="auto"/>
        </w:rPr>
        <w:t xml:space="preserve"> </w:t>
      </w:r>
      <w:hyperlink r:id="rId94">
        <w:r>
          <w:rPr>
            <w:rFonts w:ascii="Arial" w:cs="Arial" w:eastAsia="Arial" w:hAnsi="Arial"/>
            <w:sz w:val="18"/>
            <w:szCs w:val="18"/>
            <w:u w:val="single" w:color="auto"/>
            <w:color w:val="0000FF"/>
          </w:rPr>
          <w:t>PAA Finance Corp. and U.S. Bank National Association, as trustee (incorporated by reference to Exhibit 4.3 to PAA’s Current Report</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on Form 8-K filed March 26, 2012).</w:t>
        </w:r>
      </w:hyperlink>
    </w:p>
    <w:p>
      <w:pPr>
        <w:spacing w:after="0" w:line="181" w:lineRule="exact"/>
        <w:rPr>
          <w:rFonts w:ascii="Arial" w:cs="Arial" w:eastAsia="Arial" w:hAnsi="Arial"/>
          <w:sz w:val="18"/>
          <w:szCs w:val="18"/>
          <w:color w:val="auto"/>
        </w:rPr>
      </w:pPr>
    </w:p>
    <w:p>
      <w:pPr>
        <w:ind w:left="1240" w:hanging="1226"/>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 xml:space="preserve">— </w:t>
      </w:r>
      <w:hyperlink r:id="rId95">
        <w:r>
          <w:rPr>
            <w:rFonts w:ascii="Arial" w:cs="Arial" w:eastAsia="Arial" w:hAnsi="Arial"/>
            <w:sz w:val="18"/>
            <w:szCs w:val="18"/>
            <w:u w:val="single" w:color="auto"/>
            <w:color w:val="0000FF"/>
          </w:rPr>
          <w:t>Twenty-Second Supplemental Indenture (2.85% Senior Notes due 2023) dated December 10, 2012, by and among Plains All American</w:t>
        </w:r>
      </w:hyperlink>
      <w:r>
        <w:rPr>
          <w:rFonts w:ascii="Arial" w:cs="Arial" w:eastAsia="Arial" w:hAnsi="Arial"/>
          <w:sz w:val="18"/>
          <w:szCs w:val="18"/>
          <w:color w:val="auto"/>
        </w:rPr>
        <w:t xml:space="preserve"> </w:t>
      </w:r>
      <w:hyperlink r:id="rId95">
        <w:r>
          <w:rPr>
            <w:rFonts w:ascii="Arial" w:cs="Arial" w:eastAsia="Arial" w:hAnsi="Arial"/>
            <w:sz w:val="18"/>
            <w:szCs w:val="18"/>
            <w:u w:val="single" w:color="auto"/>
            <w:color w:val="0000FF"/>
          </w:rPr>
          <w:t>Pipeline, L.P., PAA Finance Corp. and U.S. Bank National Association, as trustee (incorporated by reference to Exhibit 4.1 to PAA’s</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Current Report on Form 8-K filed December 12, 2012).</w:t>
        </w:r>
      </w:hyperlink>
    </w:p>
    <w:p>
      <w:pPr>
        <w:spacing w:after="0" w:line="181" w:lineRule="exact"/>
        <w:rPr>
          <w:rFonts w:ascii="Arial" w:cs="Arial" w:eastAsia="Arial" w:hAnsi="Arial"/>
          <w:sz w:val="18"/>
          <w:szCs w:val="18"/>
          <w:color w:val="auto"/>
        </w:rPr>
      </w:pPr>
    </w:p>
    <w:p>
      <w:pPr>
        <w:jc w:val="both"/>
        <w:ind w:left="1240" w:right="140" w:hanging="1226"/>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 xml:space="preserve">— </w:t>
      </w:r>
      <w:hyperlink r:id="rId96">
        <w:r>
          <w:rPr>
            <w:rFonts w:ascii="Arial" w:cs="Arial" w:eastAsia="Arial" w:hAnsi="Arial"/>
            <w:sz w:val="18"/>
            <w:szCs w:val="18"/>
            <w:u w:val="single" w:color="auto"/>
            <w:color w:val="0000FF"/>
          </w:rPr>
          <w:t>Twenty-Third Supplemental Indenture (4.30% Senior Notes due 2043) dated December 10, 2012, by and among Plains All American</w:t>
        </w:r>
      </w:hyperlink>
      <w:r>
        <w:rPr>
          <w:rFonts w:ascii="Arial" w:cs="Arial" w:eastAsia="Arial" w:hAnsi="Arial"/>
          <w:sz w:val="18"/>
          <w:szCs w:val="18"/>
          <w:color w:val="auto"/>
        </w:rPr>
        <w:t xml:space="preserve"> </w:t>
      </w:r>
      <w:hyperlink r:id="rId96">
        <w:r>
          <w:rPr>
            <w:rFonts w:ascii="Arial" w:cs="Arial" w:eastAsia="Arial" w:hAnsi="Arial"/>
            <w:sz w:val="18"/>
            <w:szCs w:val="18"/>
            <w:u w:val="single" w:color="auto"/>
            <w:color w:val="0000FF"/>
          </w:rPr>
          <w:t>Pipeline, L.P., PAA Finance Corp. and U.S. Bank National Association, as trustee (incorporated by reference to Exhibit 4.3 to PAA’s</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Current Report on Form 8-K filed December 12, 2012).</w:t>
        </w:r>
      </w:hyperlink>
    </w:p>
    <w:p>
      <w:pPr>
        <w:spacing w:after="0" w:line="181" w:lineRule="exact"/>
        <w:rPr>
          <w:rFonts w:ascii="Arial" w:cs="Arial" w:eastAsia="Arial" w:hAnsi="Arial"/>
          <w:sz w:val="18"/>
          <w:szCs w:val="18"/>
          <w:color w:val="auto"/>
        </w:rPr>
      </w:pPr>
    </w:p>
    <w:p>
      <w:pPr>
        <w:ind w:left="1240" w:right="280" w:hanging="1271"/>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 xml:space="preserve">— </w:t>
      </w:r>
      <w:hyperlink r:id="rId97">
        <w:r>
          <w:rPr>
            <w:rFonts w:ascii="Arial" w:cs="Arial" w:eastAsia="Arial" w:hAnsi="Arial"/>
            <w:sz w:val="18"/>
            <w:szCs w:val="18"/>
            <w:u w:val="single" w:color="auto"/>
            <w:color w:val="0000FF"/>
          </w:rPr>
          <w:t>Twenty-Fourth Supplemental Indenture (3.85% Senior Notes due 2023) dated August 15, 2013, by and among Plains All American</w:t>
        </w:r>
      </w:hyperlink>
      <w:r>
        <w:rPr>
          <w:rFonts w:ascii="Arial" w:cs="Arial" w:eastAsia="Arial" w:hAnsi="Arial"/>
          <w:sz w:val="18"/>
          <w:szCs w:val="18"/>
          <w:color w:val="auto"/>
        </w:rPr>
        <w:t xml:space="preserve"> </w:t>
      </w:r>
      <w:hyperlink r:id="rId97">
        <w:r>
          <w:rPr>
            <w:rFonts w:ascii="Arial" w:cs="Arial" w:eastAsia="Arial" w:hAnsi="Arial"/>
            <w:sz w:val="18"/>
            <w:szCs w:val="18"/>
            <w:u w:val="single" w:color="auto"/>
            <w:color w:val="0000FF"/>
          </w:rPr>
          <w:t>Pipeline, L.P., PAA Finance Corp. and U.S. Bank National Association, as trustee (incorporated by reference to Exhibit 4.1 to our</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Current Report on Form 8-K filed August 15, 2013).</w:t>
        </w:r>
      </w:hyperlink>
    </w:p>
    <w:p>
      <w:pPr>
        <w:spacing w:after="0" w:line="397"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125" w:right="27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240" w:right="400" w:hanging="1267"/>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 xml:space="preserve">— </w:t>
      </w:r>
      <w:hyperlink r:id="rId98">
        <w:r>
          <w:rPr>
            <w:rFonts w:ascii="Arial" w:cs="Arial" w:eastAsia="Arial" w:hAnsi="Arial"/>
            <w:sz w:val="18"/>
            <w:szCs w:val="18"/>
            <w:u w:val="single" w:color="auto"/>
            <w:color w:val="0000FF"/>
          </w:rPr>
          <w:t>Twenty-Fifth Supplemental Indenture (4.70% Senior Notes due 2044) dated April 23, 2014, by and among Plains All American</w:t>
        </w:r>
      </w:hyperlink>
      <w:r>
        <w:rPr>
          <w:rFonts w:ascii="Arial" w:cs="Arial" w:eastAsia="Arial" w:hAnsi="Arial"/>
          <w:sz w:val="18"/>
          <w:szCs w:val="18"/>
          <w:color w:val="auto"/>
        </w:rPr>
        <w:t xml:space="preserve"> </w:t>
      </w:r>
      <w:hyperlink r:id="rId98">
        <w:r>
          <w:rPr>
            <w:rFonts w:ascii="Arial" w:cs="Arial" w:eastAsia="Arial" w:hAnsi="Arial"/>
            <w:sz w:val="18"/>
            <w:szCs w:val="18"/>
            <w:u w:val="single" w:color="auto"/>
            <w:color w:val="0000FF"/>
          </w:rPr>
          <w:t>Pipeline, L.P., PAA Finance Corp. and U.S. Bank National Association, as trustee (incorporated by reference to Exhibit 4.1 to our</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Current Report on Form 8-K filed April 29, 2014).</w:t>
        </w:r>
      </w:hyperlink>
    </w:p>
    <w:p>
      <w:pPr>
        <w:spacing w:after="0" w:line="181" w:lineRule="exact"/>
        <w:rPr>
          <w:rFonts w:ascii="Arial" w:cs="Arial" w:eastAsia="Arial" w:hAnsi="Arial"/>
          <w:sz w:val="18"/>
          <w:szCs w:val="18"/>
          <w:color w:val="auto"/>
        </w:rPr>
      </w:pPr>
    </w:p>
    <w:p>
      <w:pPr>
        <w:ind w:left="1240" w:right="220" w:hanging="1271"/>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 xml:space="preserve">— </w:t>
      </w:r>
      <w:hyperlink r:id="rId99">
        <w:r>
          <w:rPr>
            <w:rFonts w:ascii="Arial" w:cs="Arial" w:eastAsia="Arial" w:hAnsi="Arial"/>
            <w:sz w:val="18"/>
            <w:szCs w:val="18"/>
            <w:u w:val="single" w:color="auto"/>
            <w:color w:val="0000FF"/>
          </w:rPr>
          <w:t>Twenty-Sixth Supplemental Indenture (3.60% Senior Notes due 2024) dated September 9, 2014, by and among Plains All American</w:t>
        </w:r>
      </w:hyperlink>
      <w:r>
        <w:rPr>
          <w:rFonts w:ascii="Arial" w:cs="Arial" w:eastAsia="Arial" w:hAnsi="Arial"/>
          <w:sz w:val="18"/>
          <w:szCs w:val="18"/>
          <w:color w:val="auto"/>
        </w:rPr>
        <w:t xml:space="preserve"> </w:t>
      </w:r>
      <w:hyperlink r:id="rId99">
        <w:r>
          <w:rPr>
            <w:rFonts w:ascii="Arial" w:cs="Arial" w:eastAsia="Arial" w:hAnsi="Arial"/>
            <w:sz w:val="18"/>
            <w:szCs w:val="18"/>
            <w:u w:val="single" w:color="auto"/>
            <w:color w:val="0000FF"/>
          </w:rPr>
          <w:t>Pipeline, L.P., PAA Finance Corp. and U.S. Bank National Association, as trustee (incorporated by reference to Exhibit 4.1 to our</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Current Report on Form 8-K filed September 11, 2014).</w:t>
        </w:r>
      </w:hyperlink>
    </w:p>
    <w:p>
      <w:pPr>
        <w:spacing w:after="0" w:line="181" w:lineRule="exact"/>
        <w:rPr>
          <w:rFonts w:ascii="Arial" w:cs="Arial" w:eastAsia="Arial" w:hAnsi="Arial"/>
          <w:sz w:val="18"/>
          <w:szCs w:val="18"/>
          <w:color w:val="auto"/>
        </w:rPr>
      </w:pPr>
    </w:p>
    <w:p>
      <w:pPr>
        <w:ind w:left="1240" w:right="40" w:hanging="1271"/>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 xml:space="preserve">— </w:t>
      </w:r>
      <w:hyperlink r:id="rId100">
        <w:r>
          <w:rPr>
            <w:rFonts w:ascii="Arial" w:cs="Arial" w:eastAsia="Arial" w:hAnsi="Arial"/>
            <w:sz w:val="18"/>
            <w:szCs w:val="18"/>
            <w:u w:val="single" w:color="auto"/>
            <w:color w:val="0000FF"/>
          </w:rPr>
          <w:t>Twenty-Seventh Supplemental Indenture (2.60% Senior Notes due 2019) dated December 9, 2014, by and among Plains All American</w:t>
        </w:r>
      </w:hyperlink>
      <w:r>
        <w:rPr>
          <w:rFonts w:ascii="Arial" w:cs="Arial" w:eastAsia="Arial" w:hAnsi="Arial"/>
          <w:sz w:val="18"/>
          <w:szCs w:val="18"/>
          <w:color w:val="auto"/>
        </w:rPr>
        <w:t xml:space="preserve"> </w:t>
      </w:r>
      <w:hyperlink r:id="rId100">
        <w:r>
          <w:rPr>
            <w:rFonts w:ascii="Arial" w:cs="Arial" w:eastAsia="Arial" w:hAnsi="Arial"/>
            <w:sz w:val="18"/>
            <w:szCs w:val="18"/>
            <w:u w:val="single" w:color="auto"/>
            <w:color w:val="0000FF"/>
          </w:rPr>
          <w:t>Pipeline, L.P., PAA Finance Corp. and U.S. Bank National Association, as trustee (incorporated by reference to Exhibit 4.1 to PAA’s</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Current Report on Form 8-K filed December 11, 2014).</w:t>
        </w:r>
      </w:hyperlink>
    </w:p>
    <w:p>
      <w:pPr>
        <w:spacing w:after="0" w:line="181" w:lineRule="exact"/>
        <w:rPr>
          <w:rFonts w:ascii="Arial" w:cs="Arial" w:eastAsia="Arial" w:hAnsi="Arial"/>
          <w:sz w:val="18"/>
          <w:szCs w:val="18"/>
          <w:color w:val="auto"/>
        </w:rPr>
      </w:pPr>
    </w:p>
    <w:p>
      <w:pPr>
        <w:ind w:left="1240" w:right="140" w:hanging="1271"/>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4.14</w:t>
      </w:r>
      <w:r>
        <w:rPr>
          <w:sz w:val="20"/>
          <w:szCs w:val="20"/>
          <w:color w:val="auto"/>
        </w:rPr>
        <w:tab/>
      </w:r>
      <w:r>
        <w:rPr>
          <w:rFonts w:ascii="Arial" w:cs="Arial" w:eastAsia="Arial" w:hAnsi="Arial"/>
          <w:sz w:val="18"/>
          <w:szCs w:val="18"/>
          <w:color w:val="auto"/>
        </w:rPr>
        <w:t xml:space="preserve">— </w:t>
      </w:r>
      <w:hyperlink r:id="rId101">
        <w:r>
          <w:rPr>
            <w:rFonts w:ascii="Arial" w:cs="Arial" w:eastAsia="Arial" w:hAnsi="Arial"/>
            <w:sz w:val="18"/>
            <w:szCs w:val="18"/>
            <w:u w:val="single" w:color="auto"/>
            <w:color w:val="0000FF"/>
          </w:rPr>
          <w:t>Twenty-Eighth Supplemental Indenture (4.90% Senior Notes due 2045) dated December 9, 2014, by and among Plains All American</w:t>
        </w:r>
      </w:hyperlink>
      <w:r>
        <w:rPr>
          <w:rFonts w:ascii="Arial" w:cs="Arial" w:eastAsia="Arial" w:hAnsi="Arial"/>
          <w:sz w:val="18"/>
          <w:szCs w:val="18"/>
          <w:color w:val="auto"/>
        </w:rPr>
        <w:t xml:space="preserve"> </w:t>
      </w:r>
      <w:hyperlink r:id="rId101">
        <w:r>
          <w:rPr>
            <w:rFonts w:ascii="Arial" w:cs="Arial" w:eastAsia="Arial" w:hAnsi="Arial"/>
            <w:sz w:val="18"/>
            <w:szCs w:val="18"/>
            <w:u w:val="single" w:color="auto"/>
            <w:color w:val="0000FF"/>
          </w:rPr>
          <w:t>Pipeline, L.P., PAA Finance Corp. and U.S. Bank National Association, as trustee (incorporated by reference to Exhibit 4.3 to our</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Current Report on Form 8-K filed December 11, 2014).</w:t>
        </w:r>
      </w:hyperlink>
    </w:p>
    <w:p>
      <w:pPr>
        <w:spacing w:after="0" w:line="181" w:lineRule="exact"/>
        <w:rPr>
          <w:rFonts w:ascii="Arial" w:cs="Arial" w:eastAsia="Arial" w:hAnsi="Arial"/>
          <w:sz w:val="18"/>
          <w:szCs w:val="18"/>
          <w:color w:val="auto"/>
        </w:rPr>
      </w:pPr>
    </w:p>
    <w:p>
      <w:pPr>
        <w:ind w:left="1240" w:right="200" w:hanging="1271"/>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color w:val="auto"/>
        </w:rPr>
        <w:t xml:space="preserve">— </w:t>
      </w:r>
      <w:hyperlink r:id="rId102">
        <w:r>
          <w:rPr>
            <w:rFonts w:ascii="Arial" w:cs="Arial" w:eastAsia="Arial" w:hAnsi="Arial"/>
            <w:sz w:val="18"/>
            <w:szCs w:val="18"/>
            <w:u w:val="single" w:color="auto"/>
            <w:color w:val="0000FF"/>
          </w:rPr>
          <w:t>Twenty-Ninth Supplemental Indenture (4.65% Senior Notes due 2025) dated August 24, 2015, by and among Plains All American</w:t>
        </w:r>
      </w:hyperlink>
      <w:r>
        <w:rPr>
          <w:rFonts w:ascii="Arial" w:cs="Arial" w:eastAsia="Arial" w:hAnsi="Arial"/>
          <w:sz w:val="18"/>
          <w:szCs w:val="18"/>
          <w:color w:val="auto"/>
        </w:rPr>
        <w:t xml:space="preserve"> </w:t>
      </w:r>
      <w:hyperlink r:id="rId102">
        <w:r>
          <w:rPr>
            <w:rFonts w:ascii="Arial" w:cs="Arial" w:eastAsia="Arial" w:hAnsi="Arial"/>
            <w:sz w:val="18"/>
            <w:szCs w:val="18"/>
            <w:u w:val="single" w:color="auto"/>
            <w:color w:val="0000FF"/>
          </w:rPr>
          <w:t>Pipeline, L.P., PAA Finance Corp. and U.S. Bank National Association, as trustee (incorporated by reference to Exhibit 4.1 to PAA’s</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Current Report on Form 8-K filed August 26, 2015).</w:t>
        </w:r>
      </w:hyperlink>
    </w:p>
    <w:p>
      <w:pPr>
        <w:spacing w:after="0" w:line="181" w:lineRule="exact"/>
        <w:rPr>
          <w:rFonts w:ascii="Arial" w:cs="Arial" w:eastAsia="Arial" w:hAnsi="Arial"/>
          <w:sz w:val="18"/>
          <w:szCs w:val="18"/>
          <w:color w:val="auto"/>
        </w:rPr>
      </w:pPr>
    </w:p>
    <w:p>
      <w:pPr>
        <w:ind w:left="1240" w:right="200" w:hanging="1271"/>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4.16</w:t>
      </w:r>
      <w:r>
        <w:rPr>
          <w:sz w:val="20"/>
          <w:szCs w:val="20"/>
          <w:color w:val="auto"/>
        </w:rPr>
        <w:tab/>
      </w:r>
      <w:r>
        <w:rPr>
          <w:rFonts w:ascii="Arial" w:cs="Arial" w:eastAsia="Arial" w:hAnsi="Arial"/>
          <w:sz w:val="18"/>
          <w:szCs w:val="18"/>
          <w:color w:val="auto"/>
        </w:rPr>
        <w:t xml:space="preserve">— </w:t>
      </w:r>
      <w:hyperlink r:id="rId103">
        <w:r>
          <w:rPr>
            <w:rFonts w:ascii="Arial" w:cs="Arial" w:eastAsia="Arial" w:hAnsi="Arial"/>
            <w:sz w:val="18"/>
            <w:szCs w:val="18"/>
            <w:u w:val="single" w:color="auto"/>
            <w:color w:val="0000FF"/>
          </w:rPr>
          <w:t>Thirtieth Supplemental Indenture (4.50% Senior Notes due 2026) dated November 22, 2016, by and among Plains All American</w:t>
        </w:r>
      </w:hyperlink>
      <w:r>
        <w:rPr>
          <w:rFonts w:ascii="Arial" w:cs="Arial" w:eastAsia="Arial" w:hAnsi="Arial"/>
          <w:sz w:val="18"/>
          <w:szCs w:val="18"/>
          <w:color w:val="auto"/>
        </w:rPr>
        <w:t xml:space="preserve"> </w:t>
      </w:r>
      <w:hyperlink r:id="rId103">
        <w:r>
          <w:rPr>
            <w:rFonts w:ascii="Arial" w:cs="Arial" w:eastAsia="Arial" w:hAnsi="Arial"/>
            <w:sz w:val="18"/>
            <w:szCs w:val="18"/>
            <w:u w:val="single" w:color="auto"/>
            <w:color w:val="0000FF"/>
          </w:rPr>
          <w:t>Pipeline, L.P., PAA Finance Corp. and U.S. Bank National Association, as trustee (incorporated by reference to Exhibit 4.1 to PAA’s</w:t>
        </w:r>
      </w:hyperlink>
      <w:r>
        <w:rPr>
          <w:rFonts w:ascii="Arial" w:cs="Arial" w:eastAsia="Arial" w:hAnsi="Arial"/>
          <w:sz w:val="18"/>
          <w:szCs w:val="18"/>
          <w:u w:val="single" w:color="auto"/>
          <w:color w:val="0000FF"/>
        </w:rPr>
        <w:t xml:space="preserve"> </w:t>
      </w:r>
      <w:hyperlink r:id="rId103">
        <w:r>
          <w:rPr>
            <w:rFonts w:ascii="Arial" w:cs="Arial" w:eastAsia="Arial" w:hAnsi="Arial"/>
            <w:sz w:val="18"/>
            <w:szCs w:val="18"/>
            <w:u w:val="single" w:color="auto"/>
            <w:color w:val="0000FF"/>
          </w:rPr>
          <w:t>Current Report on Form 8-K filed November 29, 2016).</w:t>
        </w:r>
      </w:hyperlink>
    </w:p>
    <w:p>
      <w:pPr>
        <w:spacing w:after="0" w:line="181" w:lineRule="exact"/>
        <w:rPr>
          <w:rFonts w:ascii="Arial" w:cs="Arial" w:eastAsia="Arial" w:hAnsi="Arial"/>
          <w:sz w:val="18"/>
          <w:szCs w:val="18"/>
          <w:color w:val="auto"/>
        </w:rPr>
      </w:pPr>
    </w:p>
    <w:p>
      <w:pPr>
        <w:ind w:left="1240" w:right="140" w:hanging="1271"/>
        <w:spacing w:after="0" w:line="308" w:lineRule="auto"/>
        <w:tabs>
          <w:tab w:leader="none" w:pos="1220" w:val="left"/>
        </w:tabs>
        <w:rPr>
          <w:rFonts w:ascii="Arial" w:cs="Arial" w:eastAsia="Arial" w:hAnsi="Arial"/>
          <w:sz w:val="17"/>
          <w:szCs w:val="17"/>
          <w:u w:val="single" w:color="auto"/>
          <w:color w:val="0000FF"/>
        </w:rPr>
      </w:pPr>
      <w:r>
        <w:rPr>
          <w:rFonts w:ascii="Arial" w:cs="Arial" w:eastAsia="Arial" w:hAnsi="Arial"/>
          <w:sz w:val="18"/>
          <w:szCs w:val="18"/>
          <w:color w:val="auto"/>
        </w:rPr>
        <w:t>4.17</w:t>
      </w:r>
      <w:r>
        <w:rPr>
          <w:sz w:val="20"/>
          <w:szCs w:val="20"/>
          <w:color w:val="auto"/>
        </w:rPr>
        <w:tab/>
      </w:r>
      <w:r>
        <w:rPr>
          <w:rFonts w:ascii="Arial" w:cs="Arial" w:eastAsia="Arial" w:hAnsi="Arial"/>
          <w:sz w:val="17"/>
          <w:szCs w:val="17"/>
          <w:color w:val="auto"/>
        </w:rPr>
        <w:t xml:space="preserve">— </w:t>
      </w:r>
      <w:hyperlink r:id="rId104">
        <w:r>
          <w:rPr>
            <w:rFonts w:ascii="Arial" w:cs="Arial" w:eastAsia="Arial" w:hAnsi="Arial"/>
            <w:sz w:val="17"/>
            <w:szCs w:val="17"/>
            <w:u w:val="single" w:color="auto"/>
            <w:color w:val="0000FF"/>
          </w:rPr>
          <w:t>Shareholder and Registration Rights Agreement dated October 21, 2013 by and among Plains GP Holdings, L.P. and the other parties</w:t>
        </w:r>
      </w:hyperlink>
      <w:r>
        <w:rPr>
          <w:rFonts w:ascii="Arial" w:cs="Arial" w:eastAsia="Arial" w:hAnsi="Arial"/>
          <w:sz w:val="17"/>
          <w:szCs w:val="17"/>
          <w:color w:val="auto"/>
        </w:rPr>
        <w:t xml:space="preserve"> </w:t>
      </w:r>
      <w:hyperlink r:id="rId104">
        <w:r>
          <w:rPr>
            <w:rFonts w:ascii="Arial" w:cs="Arial" w:eastAsia="Arial" w:hAnsi="Arial"/>
            <w:sz w:val="17"/>
            <w:szCs w:val="17"/>
            <w:u w:val="single" w:color="auto"/>
            <w:color w:val="0000FF"/>
          </w:rPr>
          <w:t>signatory thereto (incorporated by reference to Exhibit 4.1 to our Current Report on Form 8-K filed October 25, 2013).</w:t>
        </w:r>
      </w:hyperlink>
    </w:p>
    <w:p>
      <w:pPr>
        <w:spacing w:after="0" w:line="147" w:lineRule="exact"/>
        <w:rPr>
          <w:sz w:val="20"/>
          <w:szCs w:val="20"/>
          <w:color w:val="auto"/>
        </w:rPr>
      </w:pPr>
    </w:p>
    <w:p>
      <w:pPr>
        <w:ind w:left="1240" w:right="200" w:hanging="1271"/>
        <w:spacing w:after="0" w:line="259"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 xml:space="preserve">— </w:t>
      </w:r>
      <w:hyperlink r:id="rId105">
        <w:r>
          <w:rPr>
            <w:rFonts w:ascii="Arial" w:cs="Arial" w:eastAsia="Arial" w:hAnsi="Arial"/>
            <w:sz w:val="18"/>
            <w:szCs w:val="18"/>
            <w:u w:val="single" w:color="auto"/>
            <w:color w:val="0000FF"/>
          </w:rPr>
          <w:t>Credit Agreement dated as of August 19, 2011 among Plains All American Pipeline, L.P., as Borrower; certain subsidiaries of Plains</w:t>
        </w:r>
      </w:hyperlink>
      <w:r>
        <w:rPr>
          <w:rFonts w:ascii="Arial" w:cs="Arial" w:eastAsia="Arial" w:hAnsi="Arial"/>
          <w:sz w:val="18"/>
          <w:szCs w:val="18"/>
          <w:color w:val="auto"/>
        </w:rPr>
        <w:t xml:space="preserve"> </w:t>
      </w:r>
      <w:hyperlink r:id="rId105">
        <w:r>
          <w:rPr>
            <w:rFonts w:ascii="Arial" w:cs="Arial" w:eastAsia="Arial" w:hAnsi="Arial"/>
            <w:sz w:val="18"/>
            <w:szCs w:val="18"/>
            <w:u w:val="single" w:color="auto"/>
            <w:color w:val="0000FF"/>
          </w:rPr>
          <w:t>All American Pipeline, L.P. from time to time party thereto, as Designated Borrowers; Bank of America, N.A., as Administrative</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Agent; and the other Lenders party thereto (incorporated by reference to Exhibit 10.1 to PAA’s Current Report on Form 8-K filed</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August 25, 2011).</w:t>
        </w:r>
      </w:hyperlink>
    </w:p>
    <w:p>
      <w:pPr>
        <w:spacing w:after="0" w:line="187" w:lineRule="exact"/>
        <w:rPr>
          <w:rFonts w:ascii="Arial" w:cs="Arial" w:eastAsia="Arial" w:hAnsi="Arial"/>
          <w:sz w:val="18"/>
          <w:szCs w:val="18"/>
          <w:u w:val="single" w:color="auto"/>
          <w:color w:val="0000FF"/>
        </w:rPr>
      </w:pPr>
    </w:p>
    <w:p>
      <w:pPr>
        <w:ind w:left="1240" w:hanging="1271"/>
        <w:spacing w:after="0" w:line="259"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 xml:space="preserve">— </w:t>
      </w:r>
      <w:hyperlink r:id="rId106">
        <w:r>
          <w:rPr>
            <w:rFonts w:ascii="Arial" w:cs="Arial" w:eastAsia="Arial" w:hAnsi="Arial"/>
            <w:sz w:val="18"/>
            <w:szCs w:val="18"/>
            <w:u w:val="single" w:color="auto"/>
            <w:color w:val="0000FF"/>
          </w:rPr>
          <w:t>First Amendment to Credit Agreement dated as of June 27, 2012, among Plains All American Pipeline, L.P. and Plains Midstream</w:t>
        </w:r>
      </w:hyperlink>
      <w:r>
        <w:rPr>
          <w:rFonts w:ascii="Arial" w:cs="Arial" w:eastAsia="Arial" w:hAnsi="Arial"/>
          <w:sz w:val="18"/>
          <w:szCs w:val="18"/>
          <w:color w:val="auto"/>
        </w:rPr>
        <w:t xml:space="preserve"> </w:t>
      </w:r>
      <w:hyperlink r:id="rId106">
        <w:r>
          <w:rPr>
            <w:rFonts w:ascii="Arial" w:cs="Arial" w:eastAsia="Arial" w:hAnsi="Arial"/>
            <w:sz w:val="18"/>
            <w:szCs w:val="18"/>
            <w:u w:val="single" w:color="auto"/>
            <w:color w:val="0000FF"/>
          </w:rPr>
          <w:t>Canada ULC, as Borrowers; Bank of America, N.A., as Administrative Agent, Swing Line Lender and L/C Issuer; Wells Fargo Bank,</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National Association, as an L/C Issuer; and the other Lenders party thereto (incorporated by reference to Exhibit 10.2 to PAA’s Current</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Report on Form 8-K filed July 3, 2012).</w:t>
        </w:r>
      </w:hyperlink>
    </w:p>
    <w:p>
      <w:pPr>
        <w:spacing w:after="0" w:line="187" w:lineRule="exact"/>
        <w:rPr>
          <w:rFonts w:ascii="Arial" w:cs="Arial" w:eastAsia="Arial" w:hAnsi="Arial"/>
          <w:sz w:val="18"/>
          <w:szCs w:val="18"/>
          <w:u w:val="single" w:color="auto"/>
          <w:color w:val="0000FF"/>
        </w:rPr>
      </w:pPr>
    </w:p>
    <w:p>
      <w:pPr>
        <w:ind w:left="1240" w:right="160" w:hanging="1271"/>
        <w:spacing w:after="0" w:line="259"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 xml:space="preserve">— </w:t>
      </w:r>
      <w:hyperlink r:id="rId107">
        <w:r>
          <w:rPr>
            <w:rFonts w:ascii="Arial" w:cs="Arial" w:eastAsia="Arial" w:hAnsi="Arial"/>
            <w:sz w:val="18"/>
            <w:szCs w:val="18"/>
            <w:u w:val="single" w:color="auto"/>
            <w:color w:val="0000FF"/>
          </w:rPr>
          <w:t>Second Amendment to Credit Agreement dated as of August 16, 2013, among Plains All American Pipeline, L.P. and Plains</w:t>
        </w:r>
      </w:hyperlink>
      <w:r>
        <w:rPr>
          <w:rFonts w:ascii="Arial" w:cs="Arial" w:eastAsia="Arial" w:hAnsi="Arial"/>
          <w:sz w:val="18"/>
          <w:szCs w:val="18"/>
          <w:color w:val="auto"/>
        </w:rPr>
        <w:t xml:space="preserve"> </w:t>
      </w:r>
      <w:hyperlink r:id="rId107">
        <w:r>
          <w:rPr>
            <w:rFonts w:ascii="Arial" w:cs="Arial" w:eastAsia="Arial" w:hAnsi="Arial"/>
            <w:sz w:val="18"/>
            <w:szCs w:val="18"/>
            <w:u w:val="single" w:color="auto"/>
            <w:color w:val="0000FF"/>
          </w:rPr>
          <w:t>Midstream Canada ULC, as Borrowers; Bank of America, N.A., as Administrative Agent, Swing Line Lender and L/C Issuer; Wells</w:t>
        </w:r>
      </w:hyperlink>
      <w:r>
        <w:rPr>
          <w:rFonts w:ascii="Arial" w:cs="Arial" w:eastAsia="Arial" w:hAnsi="Arial"/>
          <w:sz w:val="18"/>
          <w:szCs w:val="18"/>
          <w:u w:val="single" w:color="auto"/>
          <w:color w:val="0000FF"/>
        </w:rPr>
        <w:t xml:space="preserve"> </w:t>
      </w:r>
      <w:hyperlink r:id="rId107">
        <w:r>
          <w:rPr>
            <w:rFonts w:ascii="Arial" w:cs="Arial" w:eastAsia="Arial" w:hAnsi="Arial"/>
            <w:sz w:val="18"/>
            <w:szCs w:val="18"/>
            <w:u w:val="single" w:color="auto"/>
            <w:color w:val="0000FF"/>
          </w:rPr>
          <w:t>Fargo Bank, National Association, as an L/C Issuer; and the other Lenders party thereto (incorporated by reference to Exhibit 10.2 to</w:t>
        </w:r>
      </w:hyperlink>
      <w:r>
        <w:rPr>
          <w:rFonts w:ascii="Arial" w:cs="Arial" w:eastAsia="Arial" w:hAnsi="Arial"/>
          <w:sz w:val="18"/>
          <w:szCs w:val="18"/>
          <w:u w:val="single" w:color="auto"/>
          <w:color w:val="0000FF"/>
        </w:rPr>
        <w:t xml:space="preserve"> </w:t>
      </w:r>
      <w:hyperlink r:id="rId107">
        <w:r>
          <w:rPr>
            <w:rFonts w:ascii="Arial" w:cs="Arial" w:eastAsia="Arial" w:hAnsi="Arial"/>
            <w:sz w:val="18"/>
            <w:szCs w:val="18"/>
            <w:u w:val="single" w:color="auto"/>
            <w:color w:val="0000FF"/>
          </w:rPr>
          <w:t>PAA’s Current Report on Form 8-K filed August 20, 2013).</w:t>
        </w:r>
      </w:hyperlink>
    </w:p>
    <w:p>
      <w:pPr>
        <w:spacing w:after="0" w:line="187" w:lineRule="exact"/>
        <w:rPr>
          <w:rFonts w:ascii="Arial" w:cs="Arial" w:eastAsia="Arial" w:hAnsi="Arial"/>
          <w:sz w:val="18"/>
          <w:szCs w:val="18"/>
          <w:u w:val="single" w:color="auto"/>
          <w:color w:val="0000FF"/>
        </w:rPr>
      </w:pPr>
    </w:p>
    <w:p>
      <w:pPr>
        <w:ind w:left="1240" w:hanging="1271"/>
        <w:spacing w:after="0" w:line="259"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 xml:space="preserve">— </w:t>
      </w:r>
      <w:hyperlink r:id="rId108">
        <w:r>
          <w:rPr>
            <w:rFonts w:ascii="Arial" w:cs="Arial" w:eastAsia="Arial" w:hAnsi="Arial"/>
            <w:sz w:val="18"/>
            <w:szCs w:val="18"/>
            <w:u w:val="single" w:color="auto"/>
            <w:color w:val="0000FF"/>
          </w:rPr>
          <w:t>Third Amendment to Credit Agreement dated as of August 11, 2016, among Plains All American Pipeline, L.P. and Plains Midstream</w:t>
        </w:r>
      </w:hyperlink>
      <w:r>
        <w:rPr>
          <w:rFonts w:ascii="Arial" w:cs="Arial" w:eastAsia="Arial" w:hAnsi="Arial"/>
          <w:sz w:val="18"/>
          <w:szCs w:val="18"/>
          <w:color w:val="auto"/>
        </w:rPr>
        <w:t xml:space="preserve"> </w:t>
      </w:r>
      <w:hyperlink r:id="rId108">
        <w:r>
          <w:rPr>
            <w:rFonts w:ascii="Arial" w:cs="Arial" w:eastAsia="Arial" w:hAnsi="Arial"/>
            <w:sz w:val="18"/>
            <w:szCs w:val="18"/>
            <w:u w:val="single" w:color="auto"/>
            <w:color w:val="0000FF"/>
          </w:rPr>
          <w:t>Canada ULC, as Borrowers; Bank of America, N.A., as Administrative Agent, Swing Line Lender and L/C Issuer; Wells Fargo Bank,</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National Association, as an L/C Issuer; and the other Lenders party thereto (incorporated by reference to Exhibit 10.1 to PAA’s Current</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Report on Form 8-K filed August 17, 2016).</w:t>
        </w:r>
      </w:hyperlink>
    </w:p>
    <w:p>
      <w:pPr>
        <w:spacing w:after="0" w:line="187" w:lineRule="exact"/>
        <w:rPr>
          <w:rFonts w:ascii="Arial" w:cs="Arial" w:eastAsia="Arial" w:hAnsi="Arial"/>
          <w:sz w:val="18"/>
          <w:szCs w:val="18"/>
          <w:u w:val="single" w:color="auto"/>
          <w:color w:val="0000FF"/>
        </w:rPr>
      </w:pPr>
    </w:p>
    <w:p>
      <w:pPr>
        <w:ind w:left="1240" w:right="20" w:hanging="1271"/>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 xml:space="preserve">— </w:t>
      </w:r>
      <w:hyperlink r:id="rId109">
        <w:r>
          <w:rPr>
            <w:rFonts w:ascii="Arial" w:cs="Arial" w:eastAsia="Arial" w:hAnsi="Arial"/>
            <w:sz w:val="18"/>
            <w:szCs w:val="18"/>
            <w:u w:val="single" w:color="auto"/>
            <w:color w:val="0000FF"/>
          </w:rPr>
          <w:t>Third Amended and Restated Credit Agreement dated as of August 19, 2011 by and among Plains Marketing, L.P., as Borrower, Plains</w:t>
        </w:r>
      </w:hyperlink>
      <w:r>
        <w:rPr>
          <w:rFonts w:ascii="Arial" w:cs="Arial" w:eastAsia="Arial" w:hAnsi="Arial"/>
          <w:sz w:val="18"/>
          <w:szCs w:val="18"/>
          <w:color w:val="auto"/>
        </w:rPr>
        <w:t xml:space="preserve"> </w:t>
      </w:r>
      <w:hyperlink r:id="rId109">
        <w:r>
          <w:rPr>
            <w:rFonts w:ascii="Arial" w:cs="Arial" w:eastAsia="Arial" w:hAnsi="Arial"/>
            <w:sz w:val="18"/>
            <w:szCs w:val="18"/>
            <w:u w:val="single" w:color="auto"/>
            <w:color w:val="0000FF"/>
          </w:rPr>
          <w:t>All American Pipeline, L.P., as Guarantor, Bank of America, N.A., as Administrative Agent, and the other Lenders party thereto</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(incorporated by reference to Exhibit 10.2 to PAA’s Current Report on Form 8-K filed August 25, 2011).</w:t>
        </w:r>
      </w:hyperlink>
    </w:p>
    <w:p>
      <w:pPr>
        <w:spacing w:after="0" w:line="181" w:lineRule="exact"/>
        <w:rPr>
          <w:rFonts w:ascii="Arial" w:cs="Arial" w:eastAsia="Arial" w:hAnsi="Arial"/>
          <w:sz w:val="18"/>
          <w:szCs w:val="18"/>
          <w:color w:val="auto"/>
        </w:rPr>
      </w:pPr>
    </w:p>
    <w:p>
      <w:pPr>
        <w:ind w:left="1240" w:right="380" w:hanging="1271"/>
        <w:spacing w:after="0" w:line="259"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 xml:space="preserve">— </w:t>
      </w:r>
      <w:hyperlink r:id="rId110">
        <w:r>
          <w:rPr>
            <w:rFonts w:ascii="Arial" w:cs="Arial" w:eastAsia="Arial" w:hAnsi="Arial"/>
            <w:sz w:val="18"/>
            <w:szCs w:val="18"/>
            <w:u w:val="single" w:color="auto"/>
            <w:color w:val="0000FF"/>
          </w:rPr>
          <w:t>First Amendment to Third Amended and Restated Credit Agreement dated as of June 27, 2012, among Plains Marketing, L.P. and</w:t>
        </w:r>
      </w:hyperlink>
      <w:r>
        <w:rPr>
          <w:rFonts w:ascii="Arial" w:cs="Arial" w:eastAsia="Arial" w:hAnsi="Arial"/>
          <w:sz w:val="18"/>
          <w:szCs w:val="18"/>
          <w:color w:val="auto"/>
        </w:rPr>
        <w:t xml:space="preserve"> </w:t>
      </w:r>
      <w:hyperlink r:id="rId110">
        <w:r>
          <w:rPr>
            <w:rFonts w:ascii="Arial" w:cs="Arial" w:eastAsia="Arial" w:hAnsi="Arial"/>
            <w:sz w:val="18"/>
            <w:szCs w:val="18"/>
            <w:u w:val="single" w:color="auto"/>
            <w:color w:val="0000FF"/>
          </w:rPr>
          <w:t>Plains Midstream Canada ULC, as Borrowers; Plains All American Pipeline, L.P., as Guarantor; Bank of America, N.A., as</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Administrative Agent, Swing Line Lender and L/C Issuer; and the other Lenders and L/C Issuers party thereto (incorporated by</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reference to Exhibit 10.1 to PAA’s Current Report on Form 8-K filed July 3, 2012).</w:t>
        </w:r>
      </w:hyperlink>
    </w:p>
    <w:p>
      <w:pPr>
        <w:spacing w:after="0" w:line="200" w:lineRule="exact"/>
        <w:rPr>
          <w:rFonts w:ascii="Arial" w:cs="Arial" w:eastAsia="Arial" w:hAnsi="Arial"/>
          <w:sz w:val="18"/>
          <w:szCs w:val="18"/>
          <w:u w:val="single" w:color="auto"/>
          <w:color w:val="0000FF"/>
        </w:rPr>
      </w:pPr>
    </w:p>
    <w:p>
      <w:pPr>
        <w:spacing w:after="0" w:line="203" w:lineRule="exact"/>
        <w:rPr>
          <w:rFonts w:ascii="Arial" w:cs="Arial" w:eastAsia="Arial" w:hAnsi="Arial"/>
          <w:sz w:val="18"/>
          <w:szCs w:val="18"/>
          <w:u w:val="single" w:color="auto"/>
          <w:color w:val="0000FF"/>
        </w:rPr>
      </w:pPr>
    </w:p>
    <w:p>
      <w:pPr>
        <w:jc w:val="center"/>
        <w:ind w:right="-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125" w:right="27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240" w:hanging="1271"/>
        <w:spacing w:after="0" w:line="269" w:lineRule="auto"/>
        <w:tabs>
          <w:tab w:leader="none" w:pos="1220" w:val="left"/>
        </w:tabs>
        <w:rPr>
          <w:rFonts w:ascii="Arial" w:cs="Arial" w:eastAsia="Arial" w:hAnsi="Arial"/>
          <w:sz w:val="17"/>
          <w:szCs w:val="17"/>
          <w:u w:val="single" w:color="auto"/>
          <w:color w:val="0000FF"/>
        </w:rPr>
      </w:pPr>
      <w:r>
        <w:rPr>
          <w:rFonts w:ascii="Arial" w:cs="Arial" w:eastAsia="Arial" w:hAnsi="Arial"/>
          <w:sz w:val="18"/>
          <w:szCs w:val="18"/>
          <w:color w:val="auto"/>
        </w:rPr>
        <w:t>10.7</w:t>
      </w:r>
      <w:r>
        <w:rPr>
          <w:sz w:val="20"/>
          <w:szCs w:val="20"/>
          <w:color w:val="auto"/>
        </w:rPr>
        <w:tab/>
      </w:r>
      <w:r>
        <w:rPr>
          <w:rFonts w:ascii="Arial" w:cs="Arial" w:eastAsia="Arial" w:hAnsi="Arial"/>
          <w:sz w:val="17"/>
          <w:szCs w:val="17"/>
          <w:color w:val="auto"/>
        </w:rPr>
        <w:t xml:space="preserve">— </w:t>
      </w:r>
      <w:hyperlink r:id="rId111">
        <w:r>
          <w:rPr>
            <w:rFonts w:ascii="Arial" w:cs="Arial" w:eastAsia="Arial" w:hAnsi="Arial"/>
            <w:sz w:val="17"/>
            <w:szCs w:val="17"/>
            <w:u w:val="single" w:color="auto"/>
            <w:color w:val="0000FF"/>
          </w:rPr>
          <w:t>Second Amendment to Third Amended and Restated Credit Agreement dated as of August 16, 2013, among Plains Marketing, L.P. and</w:t>
        </w:r>
      </w:hyperlink>
      <w:r>
        <w:rPr>
          <w:rFonts w:ascii="Arial" w:cs="Arial" w:eastAsia="Arial" w:hAnsi="Arial"/>
          <w:sz w:val="17"/>
          <w:szCs w:val="17"/>
          <w:color w:val="auto"/>
        </w:rPr>
        <w:t xml:space="preserve"> </w:t>
      </w:r>
      <w:hyperlink r:id="rId111">
        <w:r>
          <w:rPr>
            <w:rFonts w:ascii="Arial" w:cs="Arial" w:eastAsia="Arial" w:hAnsi="Arial"/>
            <w:sz w:val="17"/>
            <w:szCs w:val="17"/>
            <w:u w:val="single" w:color="auto"/>
            <w:color w:val="0000FF"/>
          </w:rPr>
          <w:t>Plains Midstream Canada ULC, as Borrowers; Plains All American Pipeline, L.P., as Guarantor; Bank of America, N.A., as</w:t>
        </w:r>
      </w:hyperlink>
      <w:r>
        <w:rPr>
          <w:rFonts w:ascii="Arial" w:cs="Arial" w:eastAsia="Arial" w:hAnsi="Arial"/>
          <w:sz w:val="17"/>
          <w:szCs w:val="17"/>
          <w:u w:val="single" w:color="auto"/>
          <w:color w:val="0000FF"/>
        </w:rPr>
        <w:t xml:space="preserve"> </w:t>
      </w:r>
      <w:hyperlink r:id="rId111">
        <w:r>
          <w:rPr>
            <w:rFonts w:ascii="Arial" w:cs="Arial" w:eastAsia="Arial" w:hAnsi="Arial"/>
            <w:sz w:val="17"/>
            <w:szCs w:val="17"/>
            <w:u w:val="single" w:color="auto"/>
            <w:color w:val="0000FF"/>
          </w:rPr>
          <w:t>Administrative Agent, Swing Line Lender and L/C Issuer; Wells Fargo Bank, National Association, as an L/C Issuer; and the other</w:t>
        </w:r>
      </w:hyperlink>
      <w:r>
        <w:rPr>
          <w:rFonts w:ascii="Arial" w:cs="Arial" w:eastAsia="Arial" w:hAnsi="Arial"/>
          <w:sz w:val="17"/>
          <w:szCs w:val="17"/>
          <w:u w:val="single" w:color="auto"/>
          <w:color w:val="0000FF"/>
        </w:rPr>
        <w:t xml:space="preserve"> </w:t>
      </w:r>
      <w:hyperlink r:id="rId111">
        <w:r>
          <w:rPr>
            <w:rFonts w:ascii="Arial" w:cs="Arial" w:eastAsia="Arial" w:hAnsi="Arial"/>
            <w:sz w:val="17"/>
            <w:szCs w:val="17"/>
            <w:u w:val="single" w:color="auto"/>
            <w:color w:val="0000FF"/>
          </w:rPr>
          <w:t>Lenders and L/C Issuers party thereto (incorporated by reference to Exhibit 10.1 to PAA’s Current Report on Form 8-K filed</w:t>
        </w:r>
      </w:hyperlink>
    </w:p>
    <w:p>
      <w:pPr>
        <w:spacing w:after="0" w:line="2" w:lineRule="exact"/>
        <w:rPr>
          <w:rFonts w:ascii="Arial" w:cs="Arial" w:eastAsia="Arial" w:hAnsi="Arial"/>
          <w:sz w:val="17"/>
          <w:szCs w:val="17"/>
          <w:u w:val="single" w:color="auto"/>
          <w:color w:val="0000FF"/>
        </w:rPr>
      </w:pPr>
    </w:p>
    <w:p>
      <w:pPr>
        <w:ind w:left="1640"/>
        <w:spacing w:after="0"/>
        <w:rPr>
          <w:rFonts w:ascii="Arial" w:cs="Arial" w:eastAsia="Arial" w:hAnsi="Arial"/>
          <w:sz w:val="18"/>
          <w:szCs w:val="18"/>
          <w:u w:val="single" w:color="auto"/>
          <w:color w:val="0000FF"/>
        </w:rPr>
      </w:pPr>
      <w:hyperlink r:id="rId111">
        <w:r>
          <w:rPr>
            <w:rFonts w:ascii="Arial" w:cs="Arial" w:eastAsia="Arial" w:hAnsi="Arial"/>
            <w:sz w:val="18"/>
            <w:szCs w:val="18"/>
            <w:u w:val="single" w:color="auto"/>
            <w:color w:val="0000FF"/>
          </w:rPr>
          <w:t>August 20, 2013).</w:t>
        </w:r>
      </w:hyperlink>
    </w:p>
    <w:p>
      <w:pPr>
        <w:spacing w:after="0" w:line="211" w:lineRule="exact"/>
        <w:rPr>
          <w:rFonts w:ascii="Arial" w:cs="Arial" w:eastAsia="Arial" w:hAnsi="Arial"/>
          <w:sz w:val="17"/>
          <w:szCs w:val="17"/>
          <w:u w:val="single" w:color="auto"/>
          <w:color w:val="0000FF"/>
        </w:rPr>
      </w:pPr>
    </w:p>
    <w:p>
      <w:pPr>
        <w:ind w:left="1240" w:right="140" w:hanging="1271"/>
        <w:spacing w:after="0" w:line="257"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 xml:space="preserve">— </w:t>
      </w:r>
      <w:hyperlink r:id="rId112">
        <w:r>
          <w:rPr>
            <w:rFonts w:ascii="Arial" w:cs="Arial" w:eastAsia="Arial" w:hAnsi="Arial"/>
            <w:sz w:val="18"/>
            <w:szCs w:val="18"/>
            <w:u w:val="single" w:color="auto"/>
            <w:color w:val="0000FF"/>
          </w:rPr>
          <w:t>Third Amendment to Third Amended and Restated Credit Agreement dated as of August 11, 2016, among Plains Marketing, L.P. and</w:t>
        </w:r>
      </w:hyperlink>
      <w:r>
        <w:rPr>
          <w:rFonts w:ascii="Arial" w:cs="Arial" w:eastAsia="Arial" w:hAnsi="Arial"/>
          <w:sz w:val="18"/>
          <w:szCs w:val="18"/>
          <w:color w:val="auto"/>
        </w:rPr>
        <w:t xml:space="preserve"> </w:t>
      </w:r>
      <w:hyperlink r:id="rId112">
        <w:r>
          <w:rPr>
            <w:rFonts w:ascii="Arial" w:cs="Arial" w:eastAsia="Arial" w:hAnsi="Arial"/>
            <w:sz w:val="18"/>
            <w:szCs w:val="18"/>
            <w:u w:val="single" w:color="auto"/>
            <w:color w:val="0000FF"/>
          </w:rPr>
          <w:t>Plains Midstream Canada ULC, as Borrowers; Plains All American Pipeline, L.P., as Guarantor; Bank of America, N.A., as</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Administrative Agent, Swing Line Lender and L/C Issuer; Wells Fargo Bank, National Association, as an L/C Issuer; and the other</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Lenders and L/C Issuers party thereto (incorporated by reference to Exhibit 10.3 to PAA’s Current Report on Form 8-K filed August</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17, 2016).</w:t>
        </w:r>
      </w:hyperlink>
    </w:p>
    <w:p>
      <w:pPr>
        <w:spacing w:after="0" w:line="188" w:lineRule="exact"/>
        <w:rPr>
          <w:rFonts w:ascii="Arial" w:cs="Arial" w:eastAsia="Arial" w:hAnsi="Arial"/>
          <w:sz w:val="18"/>
          <w:szCs w:val="18"/>
          <w:u w:val="single" w:color="auto"/>
          <w:color w:val="0000FF"/>
        </w:rPr>
      </w:pPr>
    </w:p>
    <w:p>
      <w:pPr>
        <w:ind w:left="1240" w:right="60" w:hanging="1271"/>
        <w:spacing w:after="0" w:line="257"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 xml:space="preserve">— </w:t>
      </w:r>
      <w:hyperlink r:id="rId113">
        <w:r>
          <w:rPr>
            <w:rFonts w:ascii="Arial" w:cs="Arial" w:eastAsia="Arial" w:hAnsi="Arial"/>
            <w:sz w:val="18"/>
            <w:szCs w:val="18"/>
            <w:u w:val="single" w:color="auto"/>
            <w:color w:val="0000FF"/>
          </w:rPr>
          <w:t>Fourth Amendment to Third Amended and Restated Credit Agreement dated as of August 16, 2017, among Plains Marketing, L.P. and</w:t>
        </w:r>
      </w:hyperlink>
      <w:r>
        <w:rPr>
          <w:rFonts w:ascii="Arial" w:cs="Arial" w:eastAsia="Arial" w:hAnsi="Arial"/>
          <w:sz w:val="18"/>
          <w:szCs w:val="18"/>
          <w:color w:val="auto"/>
        </w:rPr>
        <w:t xml:space="preserve"> </w:t>
      </w:r>
      <w:hyperlink r:id="rId113">
        <w:r>
          <w:rPr>
            <w:rFonts w:ascii="Arial" w:cs="Arial" w:eastAsia="Arial" w:hAnsi="Arial"/>
            <w:sz w:val="18"/>
            <w:szCs w:val="18"/>
            <w:u w:val="single" w:color="auto"/>
            <w:color w:val="0000FF"/>
          </w:rPr>
          <w:t>Plains Midstream Canada ULC, as Borrowers; Plains All American Pipeline, L.P., as Guarantor; Bank of America, N.A., as</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Administrative Agent, Swing Line Lender and L/C Issuer; Wells Fargo Bank, National Association, as an L/C Issuer; and the other</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Lenders and L/C Issuers party thereto (incorporated by reference to Exhibit 10.6 to our Quarterly Report on Form 10-Q for the quarter</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ended September 30, 2017).</w:t>
        </w:r>
      </w:hyperlink>
    </w:p>
    <w:p>
      <w:pPr>
        <w:spacing w:after="0" w:line="188" w:lineRule="exact"/>
        <w:rPr>
          <w:rFonts w:ascii="Arial" w:cs="Arial" w:eastAsia="Arial" w:hAnsi="Arial"/>
          <w:sz w:val="18"/>
          <w:szCs w:val="18"/>
          <w:u w:val="single" w:color="auto"/>
          <w:color w:val="0000FF"/>
        </w:rPr>
      </w:pPr>
    </w:p>
    <w:p>
      <w:pPr>
        <w:ind w:left="1240" w:right="140" w:hanging="1316"/>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 xml:space="preserve">— </w:t>
      </w:r>
      <w:hyperlink r:id="rId114">
        <w:r>
          <w:rPr>
            <w:rFonts w:ascii="Arial" w:cs="Arial" w:eastAsia="Arial" w:hAnsi="Arial"/>
            <w:sz w:val="18"/>
            <w:szCs w:val="18"/>
            <w:u w:val="single" w:color="auto"/>
            <w:color w:val="0000FF"/>
          </w:rPr>
          <w:t>Contribution, Conveyance and Assumption Agreement among Plains All American Pipeline, L.P. and certain other parties dated as of</w:t>
        </w:r>
      </w:hyperlink>
      <w:r>
        <w:rPr>
          <w:rFonts w:ascii="Arial" w:cs="Arial" w:eastAsia="Arial" w:hAnsi="Arial"/>
          <w:sz w:val="18"/>
          <w:szCs w:val="18"/>
          <w:color w:val="auto"/>
        </w:rPr>
        <w:t xml:space="preserve"> </w:t>
      </w:r>
      <w:hyperlink r:id="rId114">
        <w:r>
          <w:rPr>
            <w:rFonts w:ascii="Arial" w:cs="Arial" w:eastAsia="Arial" w:hAnsi="Arial"/>
            <w:sz w:val="18"/>
            <w:szCs w:val="18"/>
            <w:u w:val="single" w:color="auto"/>
            <w:color w:val="0000FF"/>
          </w:rPr>
          <w:t>November 23, 1998. (incorporated by reference to Exhibit 10.3 to PAA’s Annual Report on Form 10-K for the year ended</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December 31, 1998).</w:t>
        </w:r>
      </w:hyperlink>
    </w:p>
    <w:p>
      <w:pPr>
        <w:spacing w:after="0" w:line="181" w:lineRule="exact"/>
        <w:rPr>
          <w:rFonts w:ascii="Arial" w:cs="Arial" w:eastAsia="Arial" w:hAnsi="Arial"/>
          <w:sz w:val="18"/>
          <w:szCs w:val="18"/>
          <w:color w:val="auto"/>
        </w:rPr>
      </w:pPr>
    </w:p>
    <w:p>
      <w:pPr>
        <w:ind w:left="1240" w:right="60" w:hanging="1312"/>
        <w:spacing w:after="0" w:line="277"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 xml:space="preserve">— </w:t>
      </w:r>
      <w:hyperlink r:id="rId114">
        <w:r>
          <w:rPr>
            <w:rFonts w:ascii="Arial" w:cs="Arial" w:eastAsia="Arial" w:hAnsi="Arial"/>
            <w:sz w:val="18"/>
            <w:szCs w:val="18"/>
            <w:u w:val="single" w:color="auto"/>
            <w:color w:val="0000FF"/>
          </w:rPr>
          <w:t>First Amendment to Contribution, Conveyance and Assumption Agreement dated as of December 15, 1998 (incorporated by reference</w:t>
        </w:r>
      </w:hyperlink>
      <w:r>
        <w:rPr>
          <w:rFonts w:ascii="Arial" w:cs="Arial" w:eastAsia="Arial" w:hAnsi="Arial"/>
          <w:sz w:val="18"/>
          <w:szCs w:val="18"/>
          <w:color w:val="auto"/>
        </w:rPr>
        <w:t xml:space="preserve"> </w:t>
      </w:r>
      <w:hyperlink r:id="rId114">
        <w:r>
          <w:rPr>
            <w:rFonts w:ascii="Arial" w:cs="Arial" w:eastAsia="Arial" w:hAnsi="Arial"/>
            <w:sz w:val="18"/>
            <w:szCs w:val="18"/>
            <w:u w:val="single" w:color="auto"/>
            <w:color w:val="0000FF"/>
          </w:rPr>
          <w:t>to Exhibit 10.13 to PAA’s Annual Report on Form 10-K for the year ended December 31, 1998).</w:t>
        </w:r>
      </w:hyperlink>
    </w:p>
    <w:p>
      <w:pPr>
        <w:spacing w:after="0" w:line="170" w:lineRule="exact"/>
        <w:rPr>
          <w:sz w:val="20"/>
          <w:szCs w:val="20"/>
          <w:color w:val="auto"/>
        </w:rPr>
      </w:pPr>
    </w:p>
    <w:p>
      <w:pPr>
        <w:ind w:left="1240" w:right="300" w:hanging="1316"/>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 xml:space="preserve">— </w:t>
      </w:r>
      <w:hyperlink r:id="rId115">
        <w:r>
          <w:rPr>
            <w:rFonts w:ascii="Arial" w:cs="Arial" w:eastAsia="Arial" w:hAnsi="Arial"/>
            <w:sz w:val="18"/>
            <w:szCs w:val="18"/>
            <w:u w:val="single" w:color="auto"/>
            <w:color w:val="0000FF"/>
          </w:rPr>
          <w:t>Contribution, Assignment and Amendment Agreement dated as of June 27, 2001, among Plains All American Pipeline, L.P., Plains</w:t>
        </w:r>
      </w:hyperlink>
      <w:r>
        <w:rPr>
          <w:rFonts w:ascii="Arial" w:cs="Arial" w:eastAsia="Arial" w:hAnsi="Arial"/>
          <w:sz w:val="18"/>
          <w:szCs w:val="18"/>
          <w:color w:val="auto"/>
        </w:rPr>
        <w:t xml:space="preserve"> </w:t>
      </w:r>
      <w:hyperlink r:id="rId115">
        <w:r>
          <w:rPr>
            <w:rFonts w:ascii="Arial" w:cs="Arial" w:eastAsia="Arial" w:hAnsi="Arial"/>
            <w:sz w:val="18"/>
            <w:szCs w:val="18"/>
            <w:u w:val="single" w:color="auto"/>
            <w:color w:val="0000FF"/>
          </w:rPr>
          <w:t>Marketing, L.P., All American Pipeline, L.P., Plains AAP, L.P., Plains All American GP LLC and Plains Marketing GP Inc.</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(incorporated by reference to Exhibit 10.1 to PAA’s Current Report on Form 8-K filed June 27, 2001).</w:t>
        </w:r>
      </w:hyperlink>
    </w:p>
    <w:p>
      <w:pPr>
        <w:spacing w:after="0" w:line="181" w:lineRule="exact"/>
        <w:rPr>
          <w:rFonts w:ascii="Arial" w:cs="Arial" w:eastAsia="Arial" w:hAnsi="Arial"/>
          <w:sz w:val="18"/>
          <w:szCs w:val="18"/>
          <w:color w:val="auto"/>
        </w:rPr>
      </w:pPr>
    </w:p>
    <w:p>
      <w:pPr>
        <w:ind w:left="1240" w:right="20" w:hanging="1316"/>
        <w:spacing w:after="0" w:line="308" w:lineRule="auto"/>
        <w:tabs>
          <w:tab w:leader="none" w:pos="1220" w:val="left"/>
        </w:tabs>
        <w:rPr>
          <w:rFonts w:ascii="Arial" w:cs="Arial" w:eastAsia="Arial" w:hAnsi="Arial"/>
          <w:sz w:val="17"/>
          <w:szCs w:val="17"/>
          <w:u w:val="single" w:color="auto"/>
          <w:color w:val="0000FF"/>
        </w:rPr>
      </w:pPr>
      <w:r>
        <w:rPr>
          <w:rFonts w:ascii="Arial" w:cs="Arial" w:eastAsia="Arial" w:hAnsi="Arial"/>
          <w:sz w:val="18"/>
          <w:szCs w:val="18"/>
          <w:color w:val="auto"/>
        </w:rPr>
        <w:t>10.13</w:t>
      </w:r>
      <w:r>
        <w:rPr>
          <w:sz w:val="20"/>
          <w:szCs w:val="20"/>
          <w:color w:val="auto"/>
        </w:rPr>
        <w:tab/>
      </w:r>
      <w:r>
        <w:rPr>
          <w:rFonts w:ascii="Arial" w:cs="Arial" w:eastAsia="Arial" w:hAnsi="Arial"/>
          <w:sz w:val="17"/>
          <w:szCs w:val="17"/>
          <w:color w:val="auto"/>
        </w:rPr>
        <w:t xml:space="preserve">— </w:t>
      </w:r>
      <w:hyperlink r:id="rId116">
        <w:r>
          <w:rPr>
            <w:rFonts w:ascii="Arial" w:cs="Arial" w:eastAsia="Arial" w:hAnsi="Arial"/>
            <w:sz w:val="17"/>
            <w:szCs w:val="17"/>
            <w:u w:val="single" w:color="auto"/>
            <w:color w:val="0000FF"/>
          </w:rPr>
          <w:t>Contribution, Assignment and Amendment Agreement dated as of June 8, 2001, among Plains All American Inc., Plains AAP, L.P. and</w:t>
        </w:r>
      </w:hyperlink>
      <w:r>
        <w:rPr>
          <w:rFonts w:ascii="Arial" w:cs="Arial" w:eastAsia="Arial" w:hAnsi="Arial"/>
          <w:sz w:val="17"/>
          <w:szCs w:val="17"/>
          <w:color w:val="auto"/>
        </w:rPr>
        <w:t xml:space="preserve"> </w:t>
      </w:r>
      <w:hyperlink r:id="rId116">
        <w:r>
          <w:rPr>
            <w:rFonts w:ascii="Arial" w:cs="Arial" w:eastAsia="Arial" w:hAnsi="Arial"/>
            <w:sz w:val="17"/>
            <w:szCs w:val="17"/>
            <w:u w:val="single" w:color="auto"/>
            <w:color w:val="0000FF"/>
          </w:rPr>
          <w:t>Plains All American GP LLC (incorporated by reference to Exhibit 10.1 to PAA’s Current Report on Form 8-K filed June 11, 2001).</w:t>
        </w:r>
      </w:hyperlink>
    </w:p>
    <w:p>
      <w:pPr>
        <w:spacing w:after="0" w:line="147" w:lineRule="exact"/>
        <w:rPr>
          <w:sz w:val="20"/>
          <w:szCs w:val="20"/>
          <w:color w:val="auto"/>
        </w:rPr>
      </w:pPr>
    </w:p>
    <w:p>
      <w:pPr>
        <w:ind w:left="1240" w:right="100" w:hanging="1316"/>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 xml:space="preserve">— </w:t>
      </w:r>
      <w:hyperlink r:id="rId117">
        <w:r>
          <w:rPr>
            <w:rFonts w:ascii="Arial" w:cs="Arial" w:eastAsia="Arial" w:hAnsi="Arial"/>
            <w:sz w:val="18"/>
            <w:szCs w:val="18"/>
            <w:u w:val="single" w:color="auto"/>
            <w:color w:val="0000FF"/>
          </w:rPr>
          <w:t>Separation Agreement dated as of June 8, 2001 among Plains Resources Inc., Plains All American Inc., Plains All American GP LLC,</w:t>
        </w:r>
      </w:hyperlink>
      <w:r>
        <w:rPr>
          <w:rFonts w:ascii="Arial" w:cs="Arial" w:eastAsia="Arial" w:hAnsi="Arial"/>
          <w:sz w:val="18"/>
          <w:szCs w:val="18"/>
          <w:color w:val="auto"/>
        </w:rPr>
        <w:t xml:space="preserve"> </w:t>
      </w:r>
      <w:hyperlink r:id="rId117">
        <w:r>
          <w:rPr>
            <w:rFonts w:ascii="Arial" w:cs="Arial" w:eastAsia="Arial" w:hAnsi="Arial"/>
            <w:sz w:val="18"/>
            <w:szCs w:val="18"/>
            <w:u w:val="single" w:color="auto"/>
            <w:color w:val="0000FF"/>
          </w:rPr>
          <w:t>Plains AAP, L.P. and Plains All American Pipeline, L.P. (incorporated by reference to Exhibit 10.2 to PAA’s Current Report on</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Form 8-K filed June 11, 2001).</w:t>
        </w:r>
      </w:hyperlink>
    </w:p>
    <w:p>
      <w:pPr>
        <w:spacing w:after="0" w:line="181" w:lineRule="exact"/>
        <w:rPr>
          <w:rFonts w:ascii="Arial" w:cs="Arial" w:eastAsia="Arial" w:hAnsi="Arial"/>
          <w:sz w:val="18"/>
          <w:szCs w:val="18"/>
          <w:color w:val="auto"/>
        </w:rPr>
      </w:pPr>
    </w:p>
    <w:p>
      <w:pPr>
        <w:jc w:val="both"/>
        <w:ind w:left="1240" w:right="120" w:hanging="1451"/>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 xml:space="preserve">— </w:t>
      </w:r>
      <w:hyperlink r:id="rId118">
        <w:r>
          <w:rPr>
            <w:rFonts w:ascii="Arial" w:cs="Arial" w:eastAsia="Arial" w:hAnsi="Arial"/>
            <w:sz w:val="18"/>
            <w:szCs w:val="18"/>
            <w:u w:val="single" w:color="auto"/>
            <w:color w:val="0000FF"/>
          </w:rPr>
          <w:t>Pension and Employee Benefits Assumption and Transition Agreement dated as of June 8, 2001 among Plains Resources Inc., Plains</w:t>
        </w:r>
      </w:hyperlink>
      <w:r>
        <w:rPr>
          <w:rFonts w:ascii="Arial" w:cs="Arial" w:eastAsia="Arial" w:hAnsi="Arial"/>
          <w:sz w:val="18"/>
          <w:szCs w:val="18"/>
          <w:color w:val="auto"/>
        </w:rPr>
        <w:t xml:space="preserve"> </w:t>
      </w:r>
      <w:hyperlink r:id="rId118">
        <w:r>
          <w:rPr>
            <w:rFonts w:ascii="Arial" w:cs="Arial" w:eastAsia="Arial" w:hAnsi="Arial"/>
            <w:sz w:val="18"/>
            <w:szCs w:val="18"/>
            <w:u w:val="single" w:color="auto"/>
            <w:color w:val="0000FF"/>
          </w:rPr>
          <w:t>All American Inc. and Plains All American GP LLC (incorporated by reference to Exhibit 10.3 to PAA’s Current Report on Form 8-K</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filed June 11, 2001).</w:t>
        </w:r>
      </w:hyperlink>
    </w:p>
    <w:p>
      <w:pPr>
        <w:spacing w:after="0" w:line="181" w:lineRule="exact"/>
        <w:rPr>
          <w:rFonts w:ascii="Arial" w:cs="Arial" w:eastAsia="Arial" w:hAnsi="Arial"/>
          <w:sz w:val="18"/>
          <w:szCs w:val="18"/>
          <w:color w:val="auto"/>
        </w:rPr>
      </w:pPr>
    </w:p>
    <w:p>
      <w:pPr>
        <w:ind w:left="1240" w:right="60" w:hanging="1316"/>
        <w:spacing w:after="0" w:line="277"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 xml:space="preserve">— </w:t>
      </w:r>
      <w:hyperlink r:id="rId119">
        <w:r>
          <w:rPr>
            <w:rFonts w:ascii="Arial" w:cs="Arial" w:eastAsia="Arial" w:hAnsi="Arial"/>
            <w:sz w:val="18"/>
            <w:szCs w:val="18"/>
            <w:u w:val="single" w:color="auto"/>
            <w:color w:val="0000FF"/>
          </w:rPr>
          <w:t>Contribution and Assumption Agreement dated December 28, 2007, by and between Plains AAP, L.P. and PAA GP LLC (incorporated</w:t>
        </w:r>
      </w:hyperlink>
      <w:r>
        <w:rPr>
          <w:rFonts w:ascii="Arial" w:cs="Arial" w:eastAsia="Arial" w:hAnsi="Arial"/>
          <w:sz w:val="18"/>
          <w:szCs w:val="18"/>
          <w:color w:val="auto"/>
        </w:rPr>
        <w:t xml:space="preserve"> </w:t>
      </w:r>
      <w:hyperlink r:id="rId119">
        <w:r>
          <w:rPr>
            <w:rFonts w:ascii="Arial" w:cs="Arial" w:eastAsia="Arial" w:hAnsi="Arial"/>
            <w:sz w:val="18"/>
            <w:szCs w:val="18"/>
            <w:u w:val="single" w:color="auto"/>
            <w:color w:val="0000FF"/>
          </w:rPr>
          <w:t>by reference to Exhibit 10.2 to PAA’s Current Report on Form 8-K filed January 4, 2008).</w:t>
        </w:r>
      </w:hyperlink>
    </w:p>
    <w:p>
      <w:pPr>
        <w:spacing w:after="0" w:line="170" w:lineRule="exact"/>
        <w:rPr>
          <w:sz w:val="20"/>
          <w:szCs w:val="20"/>
          <w:color w:val="auto"/>
        </w:rPr>
      </w:pPr>
    </w:p>
    <w:p>
      <w:pPr>
        <w:ind w:left="320"/>
        <w:spacing w:after="0"/>
        <w:tabs>
          <w:tab w:leader="none" w:pos="1220" w:val="left"/>
          <w:tab w:leader="none" w:pos="1620" w:val="left"/>
        </w:tabs>
        <w:rPr>
          <w:rFonts w:ascii="Arial" w:cs="Arial" w:eastAsia="Arial" w:hAnsi="Arial"/>
          <w:sz w:val="16"/>
          <w:szCs w:val="16"/>
          <w:u w:val="single" w:color="auto"/>
          <w:color w:val="0000FF"/>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w:t>
      </w:r>
      <w:r>
        <w:rPr>
          <w:sz w:val="20"/>
          <w:szCs w:val="20"/>
          <w:color w:val="auto"/>
        </w:rPr>
        <w:tab/>
      </w:r>
      <w:hyperlink r:id="rId120">
        <w:r>
          <w:rPr>
            <w:rFonts w:ascii="Arial" w:cs="Arial" w:eastAsia="Arial" w:hAnsi="Arial"/>
            <w:sz w:val="16"/>
            <w:szCs w:val="16"/>
            <w:u w:val="single" w:color="auto"/>
            <w:color w:val="0000FF"/>
          </w:rPr>
          <w:t>Asset Purchase and Sale Agreement dated February 28, 2001 between Murphy Oil Company Ltd. and Plains Marketing Canada, L.P.</w:t>
        </w:r>
      </w:hyperlink>
    </w:p>
    <w:p>
      <w:pPr>
        <w:spacing w:after="0" w:line="23" w:lineRule="exact"/>
        <w:rPr>
          <w:sz w:val="20"/>
          <w:szCs w:val="20"/>
          <w:color w:val="auto"/>
        </w:rPr>
      </w:pPr>
    </w:p>
    <w:p>
      <w:pPr>
        <w:ind w:left="1640"/>
        <w:spacing w:after="0"/>
        <w:rPr>
          <w:rFonts w:ascii="Arial" w:cs="Arial" w:eastAsia="Arial" w:hAnsi="Arial"/>
          <w:sz w:val="18"/>
          <w:szCs w:val="18"/>
          <w:u w:val="single" w:color="auto"/>
          <w:color w:val="0000FF"/>
        </w:rPr>
      </w:pPr>
      <w:hyperlink r:id="rId120">
        <w:r>
          <w:rPr>
            <w:rFonts w:ascii="Arial" w:cs="Arial" w:eastAsia="Arial" w:hAnsi="Arial"/>
            <w:sz w:val="18"/>
            <w:szCs w:val="18"/>
            <w:u w:val="single" w:color="auto"/>
            <w:color w:val="0000FF"/>
          </w:rPr>
          <w:t>(incorporated by reference to Exhibit 99.1 to PAA’s Current Report on Form 8-K filed May 10, 2001).</w:t>
        </w:r>
      </w:hyperlink>
    </w:p>
    <w:p>
      <w:pPr>
        <w:spacing w:after="0" w:line="211" w:lineRule="exact"/>
        <w:rPr>
          <w:sz w:val="20"/>
          <w:szCs w:val="20"/>
          <w:color w:val="auto"/>
        </w:rPr>
      </w:pPr>
    </w:p>
    <w:p>
      <w:pPr>
        <w:ind w:left="1240" w:right="160" w:hanging="1316"/>
        <w:spacing w:after="0" w:line="342" w:lineRule="auto"/>
        <w:tabs>
          <w:tab w:leader="none" w:pos="1220" w:val="left"/>
        </w:tabs>
        <w:rPr>
          <w:rFonts w:ascii="Arial" w:cs="Arial" w:eastAsia="Arial" w:hAnsi="Arial"/>
          <w:sz w:val="16"/>
          <w:szCs w:val="16"/>
          <w:u w:val="single" w:color="auto"/>
          <w:color w:val="0000FF"/>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 xml:space="preserve">— </w:t>
      </w:r>
      <w:hyperlink r:id="rId121">
        <w:r>
          <w:rPr>
            <w:rFonts w:ascii="Arial" w:cs="Arial" w:eastAsia="Arial" w:hAnsi="Arial"/>
            <w:sz w:val="16"/>
            <w:szCs w:val="16"/>
            <w:u w:val="single" w:color="auto"/>
            <w:color w:val="0000FF"/>
          </w:rPr>
          <w:t>Transportation Agreement dated July 30, 1993, between All American Pipeline Company and Exxon Company, U.S.A. (incorporated</w:t>
        </w:r>
      </w:hyperlink>
      <w:r>
        <w:rPr>
          <w:rFonts w:ascii="Arial" w:cs="Arial" w:eastAsia="Arial" w:hAnsi="Arial"/>
          <w:sz w:val="16"/>
          <w:szCs w:val="16"/>
          <w:color w:val="auto"/>
        </w:rPr>
        <w:t xml:space="preserve"> </w:t>
      </w:r>
      <w:hyperlink r:id="rId121">
        <w:r>
          <w:rPr>
            <w:rFonts w:ascii="Arial" w:cs="Arial" w:eastAsia="Arial" w:hAnsi="Arial"/>
            <w:sz w:val="16"/>
            <w:szCs w:val="16"/>
            <w:u w:val="single" w:color="auto"/>
            <w:color w:val="0000FF"/>
          </w:rPr>
          <w:t>by reference to Exhibit 10.9 to PAA’s Registration Statement on Form S-1 filed September 23, 1998, File No. 333-64107).</w:t>
        </w:r>
      </w:hyperlink>
    </w:p>
    <w:p>
      <w:pPr>
        <w:spacing w:after="0" w:line="124" w:lineRule="exact"/>
        <w:rPr>
          <w:sz w:val="20"/>
          <w:szCs w:val="20"/>
          <w:color w:val="auto"/>
        </w:rPr>
      </w:pPr>
    </w:p>
    <w:p>
      <w:pPr>
        <w:ind w:left="1240" w:right="200" w:hanging="1316"/>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 xml:space="preserve">— </w:t>
      </w:r>
      <w:hyperlink r:id="rId121">
        <w:r>
          <w:rPr>
            <w:rFonts w:ascii="Arial" w:cs="Arial" w:eastAsia="Arial" w:hAnsi="Arial"/>
            <w:sz w:val="18"/>
            <w:szCs w:val="18"/>
            <w:u w:val="single" w:color="auto"/>
            <w:color w:val="0000FF"/>
          </w:rPr>
          <w:t>Transportation Agreement dated August 2, 1993, among All American Pipeline Company, Texaco Trading and Transportation Inc.,</w:t>
        </w:r>
      </w:hyperlink>
      <w:r>
        <w:rPr>
          <w:rFonts w:ascii="Arial" w:cs="Arial" w:eastAsia="Arial" w:hAnsi="Arial"/>
          <w:sz w:val="18"/>
          <w:szCs w:val="18"/>
          <w:color w:val="auto"/>
        </w:rPr>
        <w:t xml:space="preserve"> </w:t>
      </w:r>
      <w:hyperlink r:id="rId121">
        <w:r>
          <w:rPr>
            <w:rFonts w:ascii="Arial" w:cs="Arial" w:eastAsia="Arial" w:hAnsi="Arial"/>
            <w:sz w:val="18"/>
            <w:szCs w:val="18"/>
            <w:u w:val="single" w:color="auto"/>
            <w:color w:val="0000FF"/>
          </w:rPr>
          <w:t>Chevron U.S.A. and Sun Operating Limited Partnership (incorporated by reference to Exhibit 10.10 to PAA’s Registration Statement</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on Form S-1 filed September 23, 1998, File No. 333-64107).</w:t>
        </w:r>
      </w:hyperlink>
    </w:p>
    <w:p>
      <w:pPr>
        <w:spacing w:after="0" w:line="181" w:lineRule="exact"/>
        <w:rPr>
          <w:rFonts w:ascii="Arial" w:cs="Arial" w:eastAsia="Arial" w:hAnsi="Arial"/>
          <w:sz w:val="18"/>
          <w:szCs w:val="18"/>
          <w:color w:val="auto"/>
        </w:rPr>
      </w:pPr>
    </w:p>
    <w:p>
      <w:pPr>
        <w:ind w:left="1240" w:right="80" w:hanging="1316"/>
        <w:spacing w:after="0" w:line="264"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 xml:space="preserve">— </w:t>
      </w:r>
      <w:hyperlink r:id="rId114">
        <w:r>
          <w:rPr>
            <w:rFonts w:ascii="Arial" w:cs="Arial" w:eastAsia="Arial" w:hAnsi="Arial"/>
            <w:sz w:val="18"/>
            <w:szCs w:val="18"/>
            <w:u w:val="single" w:color="auto"/>
            <w:color w:val="0000FF"/>
          </w:rPr>
          <w:t>Agreement for Purchase and Sale of Membership Interest in Scurlock Permian LLC between Marathon Ashland LLC and Plains</w:t>
        </w:r>
      </w:hyperlink>
      <w:r>
        <w:rPr>
          <w:rFonts w:ascii="Arial" w:cs="Arial" w:eastAsia="Arial" w:hAnsi="Arial"/>
          <w:sz w:val="18"/>
          <w:szCs w:val="18"/>
          <w:color w:val="auto"/>
        </w:rPr>
        <w:t xml:space="preserve"> </w:t>
      </w:r>
      <w:hyperlink r:id="rId114">
        <w:r>
          <w:rPr>
            <w:rFonts w:ascii="Arial" w:cs="Arial" w:eastAsia="Arial" w:hAnsi="Arial"/>
            <w:sz w:val="18"/>
            <w:szCs w:val="18"/>
            <w:u w:val="single" w:color="auto"/>
            <w:color w:val="0000FF"/>
          </w:rPr>
          <w:t>Marketing, L.P. dated as of March 17, 1999 (incorporated by reference to Exhibit 10.16 to PAA’s Annual Report on Form 10-K for the</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year ended December 31, 1998).</w:t>
        </w:r>
      </w:hyperlink>
    </w:p>
    <w:p>
      <w:pPr>
        <w:spacing w:after="0" w:line="397"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125" w:right="25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3"/>
              </w:rPr>
              <w:t>10.21</w:t>
            </w:r>
          </w:p>
        </w:tc>
        <w:tc>
          <w:tcPr>
            <w:tcW w:w="10320" w:type="dxa"/>
            <w:vAlign w:val="bottom"/>
            <w:gridSpan w:val="27"/>
          </w:tcPr>
          <w:p>
            <w:pPr>
              <w:ind w:left="1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22">
              <w:r>
                <w:rPr>
                  <w:rFonts w:ascii="Arial" w:cs="Arial" w:eastAsia="Arial" w:hAnsi="Arial"/>
                  <w:sz w:val="18"/>
                  <w:szCs w:val="18"/>
                  <w:color w:val="0000FF"/>
                  <w:w w:val="93"/>
                </w:rPr>
                <w:t>Membership Interest Purchase Agreement by and between Sempra Energy Trading Corporation and PAA/Vulcan Gas Storage, LLC</w:t>
              </w:r>
            </w:hyperlink>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38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0"/>
              </w:rPr>
            </w:pPr>
            <w:hyperlink r:id="rId122">
              <w:r>
                <w:rPr>
                  <w:rFonts w:ascii="Arial" w:cs="Arial" w:eastAsia="Arial" w:hAnsi="Arial"/>
                  <w:sz w:val="18"/>
                  <w:szCs w:val="18"/>
                  <w:color w:val="0000FF"/>
                  <w:w w:val="90"/>
                </w:rPr>
                <w:t>dated August 19, 2005 (incorporated by reference to Exhibit 1.2 to PAA’s Current Report on Form 8-K filed September 19, 2005).</w:t>
              </w:r>
            </w:hyperlink>
          </w:p>
        </w:tc>
        <w:tc>
          <w:tcPr>
            <w:tcW w:w="120" w:type="dxa"/>
            <w:vAlign w:val="bottom"/>
            <w:tcBorders>
              <w:top w:val="single" w:sz="8" w:color="0000FF"/>
            </w:tcBorders>
            <w:gridSpan w:val="2"/>
          </w:tcPr>
          <w:p>
            <w:pPr>
              <w:spacing w:after="0"/>
              <w:rPr>
                <w:sz w:val="17"/>
                <w:szCs w:val="17"/>
                <w:color w:val="auto"/>
              </w:rPr>
            </w:pPr>
          </w:p>
        </w:tc>
        <w:tc>
          <w:tcPr>
            <w:tcW w:w="240" w:type="dxa"/>
            <w:vAlign w:val="bottom"/>
            <w:gridSpan w:val="6"/>
          </w:tcPr>
          <w:p>
            <w:pPr>
              <w:spacing w:after="0"/>
              <w:rPr>
                <w:sz w:val="17"/>
                <w:szCs w:val="17"/>
                <w:color w:val="auto"/>
              </w:rPr>
            </w:pPr>
          </w:p>
        </w:tc>
      </w:tr>
      <w:tr>
        <w:trPr>
          <w:trHeight w:val="412"/>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3"/>
              </w:rPr>
              <w:t>10.22</w:t>
            </w:r>
          </w:p>
        </w:tc>
        <w:tc>
          <w:tcPr>
            <w:tcW w:w="10320" w:type="dxa"/>
            <w:vAlign w:val="bottom"/>
            <w:gridSpan w:val="27"/>
          </w:tcPr>
          <w:p>
            <w:pPr>
              <w:ind w:left="180"/>
              <w:spacing w:after="0"/>
              <w:rPr>
                <w:rFonts w:ascii="Arial" w:cs="Arial" w:eastAsia="Arial" w:hAnsi="Arial"/>
                <w:sz w:val="18"/>
                <w:szCs w:val="18"/>
                <w:color w:val="auto"/>
                <w:w w:val="99"/>
              </w:rPr>
            </w:pPr>
            <w:r>
              <w:rPr>
                <w:rFonts w:ascii="Arial" w:cs="Arial" w:eastAsia="Arial" w:hAnsi="Arial"/>
                <w:sz w:val="18"/>
                <w:szCs w:val="18"/>
                <w:color w:val="auto"/>
                <w:w w:val="99"/>
              </w:rPr>
              <w:t xml:space="preserve">—   </w:t>
            </w:r>
            <w:hyperlink r:id="rId123">
              <w:r>
                <w:rPr>
                  <w:rFonts w:ascii="Arial" w:cs="Arial" w:eastAsia="Arial" w:hAnsi="Arial"/>
                  <w:sz w:val="18"/>
                  <w:szCs w:val="18"/>
                  <w:color w:val="0000FF"/>
                  <w:w w:val="99"/>
                </w:rPr>
                <w:t>Contribution Agreement dated as of April 29, 2010 by and among PAA Natural Gas Storage, L.P., PNGS GP LLC, Plains All</w:t>
              </w:r>
            </w:hyperlink>
          </w:p>
        </w:tc>
      </w:tr>
      <w:tr>
        <w:trPr>
          <w:trHeight w:val="20"/>
        </w:trPr>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40" w:type="dxa"/>
            <w:vAlign w:val="bottom"/>
            <w:gridSpan w:val="26"/>
          </w:tcPr>
          <w:p>
            <w:pPr>
              <w:spacing w:after="0" w:line="196" w:lineRule="exact"/>
              <w:rPr>
                <w:rFonts w:ascii="Arial" w:cs="Arial" w:eastAsia="Arial" w:hAnsi="Arial"/>
                <w:sz w:val="18"/>
                <w:szCs w:val="18"/>
                <w:color w:val="0000FF"/>
                <w:w w:val="91"/>
              </w:rPr>
            </w:pPr>
            <w:hyperlink r:id="rId123">
              <w:r>
                <w:rPr>
                  <w:rFonts w:ascii="Arial" w:cs="Arial" w:eastAsia="Arial" w:hAnsi="Arial"/>
                  <w:sz w:val="18"/>
                  <w:szCs w:val="18"/>
                  <w:color w:val="0000FF"/>
                  <w:w w:val="91"/>
                </w:rPr>
                <w:t>American Pipeline, L.P., PAA Natural Gas Storage, LLC, PAA/Vulcan Gas Storage, LLC, Plains Marketing, L.P. and Plains Marketing</w:t>
              </w:r>
            </w:hyperlink>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9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2"/>
              </w:rPr>
            </w:pPr>
            <w:hyperlink r:id="rId123">
              <w:r>
                <w:rPr>
                  <w:rFonts w:ascii="Arial" w:cs="Arial" w:eastAsia="Arial" w:hAnsi="Arial"/>
                  <w:sz w:val="18"/>
                  <w:szCs w:val="18"/>
                  <w:color w:val="0000FF"/>
                  <w:w w:val="92"/>
                </w:rPr>
                <w:t>GP Inc. (incorporated by reference to Exhibit 10.1 to PNG’s Current Report on Form 8-K filed May 4, 2010).</w:t>
              </w:r>
            </w:hyperlink>
          </w:p>
        </w:tc>
        <w:tc>
          <w:tcPr>
            <w:tcW w:w="1800" w:type="dxa"/>
            <w:vAlign w:val="bottom"/>
            <w:tcBorders>
              <w:top w:val="single" w:sz="8" w:color="0000FF"/>
            </w:tcBorders>
            <w:gridSpan w:val="17"/>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3"/>
              </w:rPr>
              <w:t>10.23</w:t>
            </w:r>
          </w:p>
        </w:tc>
        <w:tc>
          <w:tcPr>
            <w:tcW w:w="10320" w:type="dxa"/>
            <w:vAlign w:val="bottom"/>
            <w:gridSpan w:val="27"/>
          </w:tcPr>
          <w:p>
            <w:pPr>
              <w:ind w:left="1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24">
              <w:r>
                <w:rPr>
                  <w:rFonts w:ascii="Arial" w:cs="Arial" w:eastAsia="Arial" w:hAnsi="Arial"/>
                  <w:sz w:val="18"/>
                  <w:szCs w:val="18"/>
                  <w:color w:val="0000FF"/>
                  <w:w w:val="94"/>
                </w:rPr>
                <w:t>Omnibus Agreement dated May 5, 2010 by and among Plains All American GP LLC, Plains All American Pipeline, L.P., PNGS GP</w:t>
              </w:r>
            </w:hyperlink>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540" w:type="dxa"/>
            <w:vAlign w:val="bottom"/>
            <w:tcBorders>
              <w:top w:val="single" w:sz="8" w:color="0000FF"/>
            </w:tcBorders>
            <w:gridSpan w:val="21"/>
          </w:tcPr>
          <w:p>
            <w:pPr>
              <w:spacing w:after="0" w:line="196" w:lineRule="exact"/>
              <w:rPr>
                <w:rFonts w:ascii="Arial" w:cs="Arial" w:eastAsia="Arial" w:hAnsi="Arial"/>
                <w:sz w:val="18"/>
                <w:szCs w:val="18"/>
                <w:color w:val="0000FF"/>
                <w:w w:val="95"/>
              </w:rPr>
            </w:pPr>
            <w:hyperlink r:id="rId124">
              <w:r>
                <w:rPr>
                  <w:rFonts w:ascii="Arial" w:cs="Arial" w:eastAsia="Arial" w:hAnsi="Arial"/>
                  <w:sz w:val="18"/>
                  <w:szCs w:val="18"/>
                  <w:color w:val="0000FF"/>
                  <w:w w:val="95"/>
                </w:rPr>
                <w:t>LLC and PAA Natural Gas Storage, L.P. (incorporated by reference to Exhibit 10.1 to PNG’s Current Report on Form 8-K filed</w:t>
              </w:r>
            </w:hyperlink>
          </w:p>
        </w:tc>
        <w:tc>
          <w:tcPr>
            <w:tcW w:w="200" w:type="dxa"/>
            <w:vAlign w:val="bottom"/>
            <w:gridSpan w:val="5"/>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8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124">
              <w:r>
                <w:rPr>
                  <w:rFonts w:ascii="Arial" w:cs="Arial" w:eastAsia="Arial" w:hAnsi="Arial"/>
                  <w:sz w:val="18"/>
                  <w:szCs w:val="18"/>
                  <w:color w:val="0000FF"/>
                </w:rPr>
                <w:t>May 11, 2010).</w:t>
              </w:r>
            </w:hyperlink>
          </w:p>
        </w:tc>
        <w:tc>
          <w:tcPr>
            <w:tcW w:w="560" w:type="dxa"/>
            <w:vAlign w:val="bottom"/>
            <w:gridSpan w:val="11"/>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3"/>
              </w:rPr>
              <w:t>10.24</w:t>
            </w:r>
          </w:p>
        </w:tc>
        <w:tc>
          <w:tcPr>
            <w:tcW w:w="10320" w:type="dxa"/>
            <w:vAlign w:val="bottom"/>
            <w:gridSpan w:val="27"/>
          </w:tcPr>
          <w:p>
            <w:pPr>
              <w:ind w:left="18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25">
              <w:r>
                <w:rPr>
                  <w:rFonts w:ascii="Arial" w:cs="Arial" w:eastAsia="Arial" w:hAnsi="Arial"/>
                  <w:sz w:val="18"/>
                  <w:szCs w:val="18"/>
                  <w:color w:val="0000FF"/>
                  <w:w w:val="96"/>
                </w:rPr>
                <w:t>Omnibus Agreement by and among PAA GP Holdings LLC, Plains GP Holdings, L.P., Plains All American GP LLC, Plains AAP,</w:t>
              </w:r>
            </w:hyperlink>
          </w:p>
        </w:tc>
      </w:tr>
      <w:tr>
        <w:trPr>
          <w:trHeight w:val="20"/>
        </w:trPr>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4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125">
              <w:r>
                <w:rPr>
                  <w:rFonts w:ascii="Arial" w:cs="Arial" w:eastAsia="Arial" w:hAnsi="Arial"/>
                  <w:sz w:val="18"/>
                  <w:szCs w:val="18"/>
                  <w:color w:val="0000FF"/>
                  <w:w w:val="91"/>
                </w:rPr>
                <w:t>L.P., PAA GP LLC, and Plains All American Pipeline, L.P., dated November 15, 2016 (incorporated by reference to Exhibit 10.1 to our</w:t>
              </w:r>
            </w:hyperlink>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4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125">
              <w:r>
                <w:rPr>
                  <w:rFonts w:ascii="Arial" w:cs="Arial" w:eastAsia="Arial" w:hAnsi="Arial"/>
                  <w:sz w:val="18"/>
                  <w:szCs w:val="18"/>
                  <w:color w:val="0000FF"/>
                  <w:w w:val="92"/>
                </w:rPr>
                <w:t>Current Report on Form 8-K filed November 21, 2016).</w:t>
              </w:r>
            </w:hyperlink>
          </w:p>
        </w:tc>
        <w:tc>
          <w:tcPr>
            <w:tcW w:w="5700" w:type="dxa"/>
            <w:vAlign w:val="bottom"/>
            <w:gridSpan w:val="22"/>
          </w:tcPr>
          <w:p>
            <w:pPr>
              <w:spacing w:after="0"/>
              <w:rPr>
                <w:sz w:val="17"/>
                <w:szCs w:val="17"/>
                <w:color w:val="auto"/>
              </w:rPr>
            </w:pPr>
          </w:p>
        </w:tc>
      </w:tr>
      <w:tr>
        <w:trPr>
          <w:trHeight w:val="412"/>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3"/>
              </w:rPr>
              <w:t>10.25</w:t>
            </w:r>
          </w:p>
        </w:tc>
        <w:tc>
          <w:tcPr>
            <w:tcW w:w="10320" w:type="dxa"/>
            <w:vAlign w:val="bottom"/>
            <w:gridSpan w:val="27"/>
          </w:tcPr>
          <w:p>
            <w:pPr>
              <w:ind w:left="18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126">
              <w:r>
                <w:rPr>
                  <w:rFonts w:ascii="Arial" w:cs="Arial" w:eastAsia="Arial" w:hAnsi="Arial"/>
                  <w:sz w:val="18"/>
                  <w:szCs w:val="18"/>
                  <w:color w:val="0000FF"/>
                  <w:w w:val="98"/>
                </w:rPr>
                <w:t>Amended and Restated Administrative Agreement by and among PAA GP Holdings LLC, Plains GP Holdings, L.P., Plains All</w:t>
              </w:r>
            </w:hyperlink>
          </w:p>
        </w:tc>
      </w:tr>
      <w:tr>
        <w:trPr>
          <w:trHeight w:val="20"/>
        </w:trPr>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0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126">
              <w:r>
                <w:rPr>
                  <w:rFonts w:ascii="Arial" w:cs="Arial" w:eastAsia="Arial" w:hAnsi="Arial"/>
                  <w:sz w:val="18"/>
                  <w:szCs w:val="18"/>
                  <w:color w:val="0000FF"/>
                  <w:w w:val="91"/>
                </w:rPr>
                <w:t>American GP LLC, Plains AAP, L.P., PAA GP LLC, and Plains All American Pipeline, L.P., dated November 15, 2016 (incorporated</w:t>
              </w:r>
            </w:hyperlink>
          </w:p>
        </w:tc>
        <w:tc>
          <w:tcPr>
            <w:tcW w:w="140" w:type="dxa"/>
            <w:vAlign w:val="bottom"/>
            <w:gridSpan w:val="3"/>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40" w:type="dxa"/>
            <w:vAlign w:val="bottom"/>
            <w:gridSpan w:val="26"/>
          </w:tcPr>
          <w:p>
            <w:pPr>
              <w:spacing w:after="0" w:line="196" w:lineRule="exact"/>
              <w:rPr>
                <w:rFonts w:ascii="Arial" w:cs="Arial" w:eastAsia="Arial" w:hAnsi="Arial"/>
                <w:sz w:val="18"/>
                <w:szCs w:val="18"/>
                <w:color w:val="0000FF"/>
              </w:rPr>
            </w:pPr>
            <w:hyperlink r:id="rId126">
              <w:r>
                <w:rPr>
                  <w:rFonts w:ascii="Arial" w:cs="Arial" w:eastAsia="Arial" w:hAnsi="Arial"/>
                  <w:sz w:val="18"/>
                  <w:szCs w:val="18"/>
                  <w:color w:val="0000FF"/>
                </w:rPr>
                <w:t>by reference to Exhibit 10.2 to our Current Report on Form 8-K filed November 21, 2016).</w:t>
              </w:r>
            </w:hyperlink>
          </w:p>
        </w:tc>
      </w:tr>
      <w:tr>
        <w:trPr>
          <w:trHeight w:val="20"/>
        </w:trPr>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0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9"/>
              </w:rPr>
              <w:t>10.26***</w:t>
            </w:r>
          </w:p>
        </w:tc>
        <w:tc>
          <w:tcPr>
            <w:tcW w:w="10320" w:type="dxa"/>
            <w:vAlign w:val="bottom"/>
            <w:gridSpan w:val="27"/>
          </w:tcPr>
          <w:p>
            <w:pPr>
              <w:ind w:left="1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27">
              <w:r>
                <w:rPr>
                  <w:rFonts w:ascii="Arial" w:cs="Arial" w:eastAsia="Arial" w:hAnsi="Arial"/>
                  <w:sz w:val="18"/>
                  <w:szCs w:val="18"/>
                  <w:color w:val="0000FF"/>
                  <w:w w:val="93"/>
                </w:rPr>
                <w:t>Amended and Restated Employment Agreement between Plains All American GP LLC and Greg L. Armstrong dated as of June 30,</w:t>
              </w:r>
            </w:hyperlink>
          </w:p>
        </w:tc>
      </w:tr>
      <w:tr>
        <w:trPr>
          <w:trHeight w:val="20"/>
        </w:trPr>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4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r:id="rId127">
              <w:r>
                <w:rPr>
                  <w:rFonts w:ascii="Arial" w:cs="Arial" w:eastAsia="Arial" w:hAnsi="Arial"/>
                  <w:sz w:val="18"/>
                  <w:szCs w:val="18"/>
                  <w:color w:val="0000FF"/>
                  <w:w w:val="90"/>
                </w:rPr>
                <w:t>2001 (incorporated by reference to Exhibit 10.1 to PAA’s Quarterly Report on Form 10-Q for the quarter ended September 30, 2001).</w:t>
              </w:r>
            </w:hyperlink>
          </w:p>
        </w:tc>
        <w:tc>
          <w:tcPr>
            <w:tcW w:w="140" w:type="dxa"/>
            <w:vAlign w:val="bottom"/>
            <w:gridSpan w:val="3"/>
          </w:tcPr>
          <w:p>
            <w:pPr>
              <w:spacing w:after="0"/>
              <w:rPr>
                <w:sz w:val="17"/>
                <w:szCs w:val="17"/>
                <w:color w:val="auto"/>
              </w:rPr>
            </w:pPr>
          </w:p>
        </w:tc>
      </w:tr>
      <w:tr>
        <w:trPr>
          <w:trHeight w:val="412"/>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9"/>
              </w:rPr>
              <w:t>10.27***</w:t>
            </w:r>
          </w:p>
        </w:tc>
        <w:tc>
          <w:tcPr>
            <w:tcW w:w="10320" w:type="dxa"/>
            <w:vAlign w:val="bottom"/>
            <w:gridSpan w:val="27"/>
          </w:tcPr>
          <w:p>
            <w:pPr>
              <w:ind w:left="1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28">
              <w:r>
                <w:rPr>
                  <w:rFonts w:ascii="Arial" w:cs="Arial" w:eastAsia="Arial" w:hAnsi="Arial"/>
                  <w:sz w:val="18"/>
                  <w:szCs w:val="18"/>
                  <w:color w:val="0000FF"/>
                  <w:w w:val="93"/>
                </w:rPr>
                <w:t>First Amendment to Amended and Restated Employment Agreement dated December 4, 2008 between Plains All American GP LLC</w:t>
              </w:r>
            </w:hyperlink>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0" w:type="dxa"/>
            <w:vAlign w:val="bottom"/>
            <w:tcBorders>
              <w:top w:val="single" w:sz="8" w:color="0000FF"/>
            </w:tcBorders>
            <w:gridSpan w:val="23"/>
          </w:tcPr>
          <w:p>
            <w:pPr>
              <w:spacing w:after="0" w:line="196" w:lineRule="exact"/>
              <w:rPr>
                <w:rFonts w:ascii="Arial" w:cs="Arial" w:eastAsia="Arial" w:hAnsi="Arial"/>
                <w:sz w:val="18"/>
                <w:szCs w:val="18"/>
                <w:color w:val="0000FF"/>
                <w:w w:val="96"/>
              </w:rPr>
            </w:pPr>
            <w:hyperlink r:id="rId128">
              <w:r>
                <w:rPr>
                  <w:rFonts w:ascii="Arial" w:cs="Arial" w:eastAsia="Arial" w:hAnsi="Arial"/>
                  <w:sz w:val="18"/>
                  <w:szCs w:val="18"/>
                  <w:color w:val="0000FF"/>
                  <w:w w:val="96"/>
                </w:rPr>
                <w:t>and Greg L. Armstrong (incorporated by reference to Exhibit 10.49 to PAA’s Annual Report on Form 10-K for the year ended</w:t>
              </w:r>
            </w:hyperlink>
          </w:p>
        </w:tc>
        <w:tc>
          <w:tcPr>
            <w:tcW w:w="140" w:type="dxa"/>
            <w:vAlign w:val="bottom"/>
            <w:gridSpan w:val="3"/>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6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128">
              <w:r>
                <w:rPr>
                  <w:rFonts w:ascii="Arial" w:cs="Arial" w:eastAsia="Arial" w:hAnsi="Arial"/>
                  <w:sz w:val="18"/>
                  <w:szCs w:val="18"/>
                  <w:color w:val="0000FF"/>
                </w:rPr>
                <w:t>December 31, 2008).</w:t>
              </w:r>
            </w:hyperlink>
          </w:p>
        </w:tc>
        <w:tc>
          <w:tcPr>
            <w:tcW w:w="680" w:type="dxa"/>
            <w:vAlign w:val="bottom"/>
            <w:gridSpan w:val="13"/>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9"/>
              </w:rPr>
              <w:t>10.28***</w:t>
            </w:r>
          </w:p>
        </w:tc>
        <w:tc>
          <w:tcPr>
            <w:tcW w:w="10320" w:type="dxa"/>
            <w:vAlign w:val="bottom"/>
            <w:gridSpan w:val="27"/>
          </w:tcPr>
          <w:p>
            <w:pPr>
              <w:ind w:left="1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29">
              <w:r>
                <w:rPr>
                  <w:rFonts w:ascii="Arial" w:cs="Arial" w:eastAsia="Arial" w:hAnsi="Arial"/>
                  <w:sz w:val="18"/>
                  <w:szCs w:val="18"/>
                  <w:color w:val="0000FF"/>
                  <w:w w:val="95"/>
                </w:rPr>
                <w:t>Waiver Agreement dated as of December 23, 2010 between Plains All American GP LLC and Greg L. Armstrong (incorporated by</w:t>
              </w:r>
            </w:hyperlink>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1"/>
              </w:rPr>
            </w:pPr>
            <w:hyperlink r:id="rId129">
              <w:r>
                <w:rPr>
                  <w:rFonts w:ascii="Arial" w:cs="Arial" w:eastAsia="Arial" w:hAnsi="Arial"/>
                  <w:sz w:val="18"/>
                  <w:szCs w:val="18"/>
                  <w:color w:val="0000FF"/>
                  <w:w w:val="91"/>
                </w:rPr>
                <w:t>reference to Exhibit 10.31 to PAA’s Annual Report on Form 10-K for the year ended December 31, 2010).</w:t>
              </w:r>
            </w:hyperlink>
          </w:p>
        </w:tc>
        <w:tc>
          <w:tcPr>
            <w:tcW w:w="1840" w:type="dxa"/>
            <w:vAlign w:val="bottom"/>
            <w:tcBorders>
              <w:top w:val="single" w:sz="8" w:color="0000FF"/>
            </w:tcBorders>
            <w:gridSpan w:val="13"/>
          </w:tcPr>
          <w:p>
            <w:pPr>
              <w:spacing w:after="0"/>
              <w:rPr>
                <w:sz w:val="17"/>
                <w:szCs w:val="17"/>
                <w:color w:val="auto"/>
              </w:rPr>
            </w:pPr>
          </w:p>
        </w:tc>
        <w:tc>
          <w:tcPr>
            <w:tcW w:w="240" w:type="dxa"/>
            <w:vAlign w:val="bottom"/>
            <w:gridSpan w:val="6"/>
          </w:tcPr>
          <w:p>
            <w:pPr>
              <w:spacing w:after="0"/>
              <w:rPr>
                <w:sz w:val="17"/>
                <w:szCs w:val="17"/>
                <w:color w:val="auto"/>
              </w:rPr>
            </w:pPr>
          </w:p>
        </w:tc>
      </w:tr>
      <w:tr>
        <w:trPr>
          <w:trHeight w:val="412"/>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9"/>
              </w:rPr>
              <w:t>10.29***</w:t>
            </w:r>
          </w:p>
        </w:tc>
        <w:tc>
          <w:tcPr>
            <w:tcW w:w="10320" w:type="dxa"/>
            <w:vAlign w:val="bottom"/>
            <w:gridSpan w:val="27"/>
          </w:tcPr>
          <w:p>
            <w:pPr>
              <w:ind w:left="1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30">
              <w:r>
                <w:rPr>
                  <w:rFonts w:ascii="Arial" w:cs="Arial" w:eastAsia="Arial" w:hAnsi="Arial"/>
                  <w:sz w:val="18"/>
                  <w:szCs w:val="18"/>
                  <w:color w:val="0000FF"/>
                  <w:w w:val="94"/>
                </w:rPr>
                <w:t>Waiver Agreement dated October 21, 2013 to the Amended and Restated Employment Agreement dated June 30, 2001 of Greg L.</w:t>
              </w:r>
            </w:hyperlink>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38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130">
              <w:r>
                <w:rPr>
                  <w:rFonts w:ascii="Arial" w:cs="Arial" w:eastAsia="Arial" w:hAnsi="Arial"/>
                  <w:sz w:val="18"/>
                  <w:szCs w:val="18"/>
                  <w:color w:val="0000FF"/>
                </w:rPr>
                <w:t>Armstrong (incorporated by reference to Exhibit 10.4 to our Current Report on Form 8-K filed October 25, 2013).</w:t>
              </w:r>
            </w:hyperlink>
          </w:p>
        </w:tc>
        <w:tc>
          <w:tcPr>
            <w:tcW w:w="360" w:type="dxa"/>
            <w:vAlign w:val="bottom"/>
            <w:gridSpan w:val="8"/>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20" w:type="dxa"/>
            <w:vAlign w:val="bottom"/>
            <w:gridSpan w:val="5"/>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9"/>
              </w:rPr>
              <w:t>10.30***</w:t>
            </w:r>
          </w:p>
        </w:tc>
        <w:tc>
          <w:tcPr>
            <w:tcW w:w="10320" w:type="dxa"/>
            <w:vAlign w:val="bottom"/>
            <w:gridSpan w:val="27"/>
          </w:tcPr>
          <w:p>
            <w:pPr>
              <w:ind w:left="1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31">
              <w:r>
                <w:rPr>
                  <w:rFonts w:ascii="Arial" w:cs="Arial" w:eastAsia="Arial" w:hAnsi="Arial"/>
                  <w:sz w:val="18"/>
                  <w:szCs w:val="18"/>
                  <w:color w:val="0000FF"/>
                  <w:w w:val="93"/>
                </w:rPr>
                <w:t>Second Amended and Restated Employment Agreement dated effective October 1, 2018 between Plains All American GP LLC and</w:t>
              </w:r>
            </w:hyperlink>
          </w:p>
        </w:tc>
      </w:tr>
      <w:tr>
        <w:trPr>
          <w:trHeight w:val="20"/>
        </w:trPr>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20" w:type="dxa"/>
            <w:vAlign w:val="bottom"/>
            <w:gridSpan w:val="5"/>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0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4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131">
              <w:r>
                <w:rPr>
                  <w:rFonts w:ascii="Arial" w:cs="Arial" w:eastAsia="Arial" w:hAnsi="Arial"/>
                  <w:sz w:val="18"/>
                  <w:szCs w:val="18"/>
                  <w:color w:val="0000FF"/>
                  <w:w w:val="91"/>
                </w:rPr>
                <w:t>Greg L. Armstrong (incorporated by reference to Exhibit 10.6 to our Quarterly Report on Form 10-Q for the quarter ended September</w:t>
              </w:r>
            </w:hyperlink>
          </w:p>
        </w:tc>
        <w:tc>
          <w:tcPr>
            <w:tcW w:w="100" w:type="dxa"/>
            <w:vAlign w:val="bottom"/>
            <w:gridSpan w:val="2"/>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131">
              <w:r>
                <w:rPr>
                  <w:rFonts w:ascii="Arial" w:cs="Arial" w:eastAsia="Arial" w:hAnsi="Arial"/>
                  <w:sz w:val="18"/>
                  <w:szCs w:val="18"/>
                  <w:color w:val="0000FF"/>
                  <w:w w:val="88"/>
                </w:rPr>
                <w:t>30, 2018).</w:t>
              </w:r>
            </w:hyperlink>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9"/>
              </w:rPr>
              <w:t>10.31***</w:t>
            </w:r>
          </w:p>
        </w:tc>
        <w:tc>
          <w:tcPr>
            <w:tcW w:w="10320" w:type="dxa"/>
            <w:vAlign w:val="bottom"/>
            <w:gridSpan w:val="27"/>
          </w:tcPr>
          <w:p>
            <w:pPr>
              <w:ind w:left="18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132">
              <w:r>
                <w:rPr>
                  <w:rFonts w:ascii="Arial" w:cs="Arial" w:eastAsia="Arial" w:hAnsi="Arial"/>
                  <w:sz w:val="18"/>
                  <w:szCs w:val="18"/>
                  <w:color w:val="0000FF"/>
                  <w:w w:val="91"/>
                </w:rPr>
                <w:t>Amended and Restated Employment Agreement between Plains All American GP LLC and Harry N. Pefanis dated as of June 30, 2001</w:t>
              </w:r>
            </w:hyperlink>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0"/>
              </w:rPr>
            </w:pPr>
            <w:hyperlink r:id="rId132">
              <w:r>
                <w:rPr>
                  <w:rFonts w:ascii="Arial" w:cs="Arial" w:eastAsia="Arial" w:hAnsi="Arial"/>
                  <w:sz w:val="18"/>
                  <w:szCs w:val="18"/>
                  <w:color w:val="0000FF"/>
                  <w:w w:val="90"/>
                </w:rPr>
                <w:t>(incorporated by reference to Exhibit 10.2 to PAA’s Quarterly Report on Form 10-Q for the quarter ended September 30, 2001).</w:t>
              </w:r>
            </w:hyperlink>
          </w:p>
        </w:tc>
        <w:tc>
          <w:tcPr>
            <w:tcW w:w="540" w:type="dxa"/>
            <w:vAlign w:val="bottom"/>
            <w:tcBorders>
              <w:top w:val="single" w:sz="8" w:color="0000FF"/>
            </w:tcBorders>
            <w:gridSpan w:val="10"/>
          </w:tcPr>
          <w:p>
            <w:pPr>
              <w:spacing w:after="0"/>
              <w:rPr>
                <w:sz w:val="17"/>
                <w:szCs w:val="17"/>
                <w:color w:val="auto"/>
              </w:rPr>
            </w:pPr>
          </w:p>
        </w:tc>
      </w:tr>
      <w:tr>
        <w:trPr>
          <w:trHeight w:val="412"/>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9"/>
              </w:rPr>
              <w:t>10.32***</w:t>
            </w:r>
          </w:p>
        </w:tc>
        <w:tc>
          <w:tcPr>
            <w:tcW w:w="10320" w:type="dxa"/>
            <w:vAlign w:val="bottom"/>
            <w:gridSpan w:val="27"/>
          </w:tcPr>
          <w:p>
            <w:pPr>
              <w:ind w:left="1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33">
              <w:r>
                <w:rPr>
                  <w:rFonts w:ascii="Arial" w:cs="Arial" w:eastAsia="Arial" w:hAnsi="Arial"/>
                  <w:sz w:val="18"/>
                  <w:szCs w:val="18"/>
                  <w:color w:val="0000FF"/>
                  <w:w w:val="93"/>
                </w:rPr>
                <w:t>First Amendment to Amended and Restated Employment Agreement dated December 4, 2008 between Plains All American GP LLC</w:t>
              </w:r>
            </w:hyperlink>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90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1"/>
              </w:rPr>
            </w:pPr>
            <w:hyperlink r:id="rId133">
              <w:r>
                <w:rPr>
                  <w:rFonts w:ascii="Arial" w:cs="Arial" w:eastAsia="Arial" w:hAnsi="Arial"/>
                  <w:sz w:val="18"/>
                  <w:szCs w:val="18"/>
                  <w:color w:val="0000FF"/>
                  <w:w w:val="91"/>
                </w:rPr>
                <w:t>and Harry N. Pefanis (incorporated by reference to Exhibit 10.50 to PAA’s Annual Report on Form 10-K for the year ended</w:t>
              </w:r>
            </w:hyperlink>
          </w:p>
        </w:tc>
        <w:tc>
          <w:tcPr>
            <w:tcW w:w="700" w:type="dxa"/>
            <w:vAlign w:val="bottom"/>
            <w:tcBorders>
              <w:top w:val="single" w:sz="8" w:color="0000FF"/>
            </w:tcBorders>
            <w:gridSpan w:val="12"/>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40" w:type="dxa"/>
            <w:vAlign w:val="bottom"/>
            <w:gridSpan w:val="26"/>
          </w:tcPr>
          <w:p>
            <w:pPr>
              <w:spacing w:after="0" w:line="196" w:lineRule="exact"/>
              <w:rPr>
                <w:rFonts w:ascii="Arial" w:cs="Arial" w:eastAsia="Arial" w:hAnsi="Arial"/>
                <w:sz w:val="18"/>
                <w:szCs w:val="18"/>
                <w:color w:val="0000FF"/>
              </w:rPr>
            </w:pPr>
            <w:hyperlink r:id="rId133">
              <w:r>
                <w:rPr>
                  <w:rFonts w:ascii="Arial" w:cs="Arial" w:eastAsia="Arial" w:hAnsi="Arial"/>
                  <w:sz w:val="18"/>
                  <w:szCs w:val="18"/>
                  <w:color w:val="0000FF"/>
                </w:rPr>
                <w:t>December 31, 2008).</w:t>
              </w:r>
            </w:hyperlink>
          </w:p>
        </w:tc>
      </w:tr>
      <w:tr>
        <w:trPr>
          <w:trHeight w:val="20"/>
        </w:trPr>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412"/>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9"/>
              </w:rPr>
              <w:t>10.33***</w:t>
            </w:r>
          </w:p>
        </w:tc>
        <w:tc>
          <w:tcPr>
            <w:tcW w:w="10320" w:type="dxa"/>
            <w:vAlign w:val="bottom"/>
            <w:gridSpan w:val="27"/>
          </w:tcPr>
          <w:p>
            <w:pPr>
              <w:ind w:left="18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34">
              <w:r>
                <w:rPr>
                  <w:rFonts w:ascii="Arial" w:cs="Arial" w:eastAsia="Arial" w:hAnsi="Arial"/>
                  <w:sz w:val="18"/>
                  <w:szCs w:val="18"/>
                  <w:color w:val="0000FF"/>
                  <w:w w:val="96"/>
                </w:rPr>
                <w:t>Waiver Agreement dated as of December 23, 2010 between Plains All American GP LLC and Harry N. Pefanis (incorporated by</w:t>
              </w:r>
            </w:hyperlink>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1"/>
              </w:rPr>
            </w:pPr>
            <w:hyperlink r:id="rId134">
              <w:r>
                <w:rPr>
                  <w:rFonts w:ascii="Arial" w:cs="Arial" w:eastAsia="Arial" w:hAnsi="Arial"/>
                  <w:sz w:val="18"/>
                  <w:szCs w:val="18"/>
                  <w:color w:val="0000FF"/>
                  <w:w w:val="91"/>
                </w:rPr>
                <w:t>reference to Exhibit 10.32 to PAA’s Annual Report on Form 10-K for the year ended December 31, 2010).</w:t>
              </w:r>
            </w:hyperlink>
          </w:p>
        </w:tc>
        <w:tc>
          <w:tcPr>
            <w:tcW w:w="1600" w:type="dxa"/>
            <w:vAlign w:val="bottom"/>
            <w:tcBorders>
              <w:top w:val="single" w:sz="8" w:color="0000FF"/>
            </w:tcBorders>
            <w:gridSpan w:val="10"/>
          </w:tcPr>
          <w:p>
            <w:pPr>
              <w:spacing w:after="0"/>
              <w:rPr>
                <w:sz w:val="17"/>
                <w:szCs w:val="17"/>
                <w:color w:val="auto"/>
              </w:rPr>
            </w:pPr>
          </w:p>
        </w:tc>
        <w:tc>
          <w:tcPr>
            <w:tcW w:w="480" w:type="dxa"/>
            <w:vAlign w:val="bottom"/>
            <w:gridSpan w:val="9"/>
          </w:tcPr>
          <w:p>
            <w:pPr>
              <w:spacing w:after="0"/>
              <w:rPr>
                <w:sz w:val="17"/>
                <w:szCs w:val="17"/>
                <w:color w:val="auto"/>
              </w:rPr>
            </w:pPr>
          </w:p>
        </w:tc>
      </w:tr>
      <w:tr>
        <w:trPr>
          <w:trHeight w:val="412"/>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9"/>
              </w:rPr>
              <w:t>10.34***</w:t>
            </w:r>
          </w:p>
        </w:tc>
        <w:tc>
          <w:tcPr>
            <w:tcW w:w="10320" w:type="dxa"/>
            <w:vAlign w:val="bottom"/>
            <w:gridSpan w:val="27"/>
          </w:tcPr>
          <w:p>
            <w:pPr>
              <w:ind w:left="1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35">
              <w:r>
                <w:rPr>
                  <w:rFonts w:ascii="Arial" w:cs="Arial" w:eastAsia="Arial" w:hAnsi="Arial"/>
                  <w:sz w:val="18"/>
                  <w:szCs w:val="18"/>
                  <w:color w:val="0000FF"/>
                  <w:w w:val="93"/>
                </w:rPr>
                <w:t>Waiver Agreement dated October 21, 2013 to the Amended and Restated Employment Agreement dated June 30, 2001 of Harry N.</w:t>
              </w:r>
            </w:hyperlink>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98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135">
              <w:r>
                <w:rPr>
                  <w:rFonts w:ascii="Arial" w:cs="Arial" w:eastAsia="Arial" w:hAnsi="Arial"/>
                  <w:sz w:val="18"/>
                  <w:szCs w:val="18"/>
                  <w:color w:val="0000FF"/>
                  <w:w w:val="91"/>
                </w:rPr>
                <w:t>Pefanis (incorporated by reference to Exhibit 10.5 to our Current Report on Form 8-K filed October 25, 2013).</w:t>
              </w:r>
            </w:hyperlink>
          </w:p>
        </w:tc>
        <w:tc>
          <w:tcPr>
            <w:tcW w:w="1520" w:type="dxa"/>
            <w:vAlign w:val="bottom"/>
            <w:tcBorders>
              <w:top w:val="single" w:sz="8" w:color="0000FF"/>
            </w:tcBorders>
            <w:gridSpan w:val="11"/>
          </w:tcPr>
          <w:p>
            <w:pPr>
              <w:spacing w:after="0"/>
              <w:rPr>
                <w:sz w:val="17"/>
                <w:szCs w:val="17"/>
                <w:color w:val="auto"/>
              </w:rPr>
            </w:pPr>
          </w:p>
        </w:tc>
        <w:tc>
          <w:tcPr>
            <w:tcW w:w="240" w:type="dxa"/>
            <w:vAlign w:val="bottom"/>
            <w:gridSpan w:val="6"/>
          </w:tcPr>
          <w:p>
            <w:pPr>
              <w:spacing w:after="0"/>
              <w:rPr>
                <w:sz w:val="17"/>
                <w:szCs w:val="17"/>
                <w:color w:val="auto"/>
              </w:rPr>
            </w:pPr>
          </w:p>
        </w:tc>
      </w:tr>
      <w:tr>
        <w:trPr>
          <w:trHeight w:val="412"/>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9"/>
              </w:rPr>
              <w:t>10.35***</w:t>
            </w:r>
          </w:p>
        </w:tc>
        <w:tc>
          <w:tcPr>
            <w:tcW w:w="10320" w:type="dxa"/>
            <w:vAlign w:val="bottom"/>
            <w:gridSpan w:val="27"/>
          </w:tcPr>
          <w:p>
            <w:pPr>
              <w:ind w:left="1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36">
              <w:r>
                <w:rPr>
                  <w:rFonts w:ascii="Arial" w:cs="Arial" w:eastAsia="Arial" w:hAnsi="Arial"/>
                  <w:sz w:val="18"/>
                  <w:szCs w:val="18"/>
                  <w:color w:val="0000FF"/>
                  <w:w w:val="94"/>
                </w:rPr>
                <w:t>Employment Agreement between Plains All American GP LLC and Willie Chiang dated July 10, 2015 (incorporated by reference to</w:t>
              </w:r>
            </w:hyperlink>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7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136">
              <w:r>
                <w:rPr>
                  <w:rFonts w:ascii="Arial" w:cs="Arial" w:eastAsia="Arial" w:hAnsi="Arial"/>
                  <w:sz w:val="18"/>
                  <w:szCs w:val="18"/>
                  <w:color w:val="0000FF"/>
                  <w:w w:val="91"/>
                </w:rPr>
                <w:t>Exhibit 10.53 to PAA’s Annual Report on Form 10-K for the year ended December 31, 2015).</w:t>
              </w:r>
            </w:hyperlink>
          </w:p>
        </w:tc>
        <w:tc>
          <w:tcPr>
            <w:tcW w:w="2780" w:type="dxa"/>
            <w:vAlign w:val="bottom"/>
            <w:tcBorders>
              <w:top w:val="single" w:sz="8" w:color="0000FF"/>
            </w:tcBorders>
            <w:gridSpan w:val="15"/>
          </w:tcPr>
          <w:p>
            <w:pPr>
              <w:spacing w:after="0"/>
              <w:rPr>
                <w:sz w:val="17"/>
                <w:szCs w:val="17"/>
                <w:color w:val="auto"/>
              </w:rPr>
            </w:pPr>
          </w:p>
        </w:tc>
        <w:tc>
          <w:tcPr>
            <w:tcW w:w="200" w:type="dxa"/>
            <w:vAlign w:val="bottom"/>
            <w:gridSpan w:val="5"/>
          </w:tcPr>
          <w:p>
            <w:pPr>
              <w:spacing w:after="0"/>
              <w:rPr>
                <w:sz w:val="17"/>
                <w:szCs w:val="17"/>
                <w:color w:val="auto"/>
              </w:rPr>
            </w:pPr>
          </w:p>
        </w:tc>
      </w:tr>
      <w:tr>
        <w:trPr>
          <w:trHeight w:val="412"/>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9"/>
              </w:rPr>
              <w:t>10.36***</w:t>
            </w:r>
          </w:p>
        </w:tc>
        <w:tc>
          <w:tcPr>
            <w:tcW w:w="10320" w:type="dxa"/>
            <w:vAlign w:val="bottom"/>
            <w:gridSpan w:val="27"/>
          </w:tcPr>
          <w:p>
            <w:pPr>
              <w:ind w:left="1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37">
              <w:r>
                <w:rPr>
                  <w:rFonts w:ascii="Arial" w:cs="Arial" w:eastAsia="Arial" w:hAnsi="Arial"/>
                  <w:sz w:val="18"/>
                  <w:szCs w:val="18"/>
                  <w:color w:val="0000FF"/>
                  <w:w w:val="95"/>
                </w:rPr>
                <w:t>Amended and Restated Employment Agreement dated effective October 1, 2018 between Plains All American GP LLC and Willie</w:t>
              </w:r>
            </w:hyperlink>
          </w:p>
        </w:tc>
      </w:tr>
      <w:tr>
        <w:trPr>
          <w:trHeight w:val="20"/>
        </w:trPr>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20" w:type="dxa"/>
            <w:vAlign w:val="bottom"/>
            <w:gridSpan w:val="19"/>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56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137">
              <w:r>
                <w:rPr>
                  <w:rFonts w:ascii="Arial" w:cs="Arial" w:eastAsia="Arial" w:hAnsi="Arial"/>
                  <w:sz w:val="18"/>
                  <w:szCs w:val="18"/>
                  <w:color w:val="0000FF"/>
                  <w:w w:val="90"/>
                </w:rPr>
                <w:t>Chiang (incorporated by reference to Exhibit 10.7 to our Quarterly Report on Form 10-Q for the quarter ended September 30, 2018).</w:t>
              </w:r>
            </w:hyperlink>
          </w:p>
        </w:tc>
        <w:tc>
          <w:tcPr>
            <w:tcW w:w="180" w:type="dxa"/>
            <w:vAlign w:val="bottom"/>
            <w:gridSpan w:val="4"/>
          </w:tcPr>
          <w:p>
            <w:pPr>
              <w:spacing w:after="0"/>
              <w:rPr>
                <w:sz w:val="17"/>
                <w:szCs w:val="17"/>
                <w:color w:val="auto"/>
              </w:rPr>
            </w:pPr>
          </w:p>
        </w:tc>
      </w:tr>
      <w:tr>
        <w:trPr>
          <w:trHeight w:val="669"/>
        </w:trPr>
        <w:tc>
          <w:tcPr>
            <w:tcW w:w="860" w:type="dxa"/>
            <w:vAlign w:val="bottom"/>
          </w:tcPr>
          <w:p>
            <w:pPr>
              <w:spacing w:after="0"/>
              <w:rPr>
                <w:sz w:val="24"/>
                <w:szCs w:val="24"/>
                <w:color w:val="auto"/>
              </w:rPr>
            </w:pPr>
          </w:p>
        </w:tc>
        <w:tc>
          <w:tcPr>
            <w:tcW w:w="7140" w:type="dxa"/>
            <w:vAlign w:val="bottom"/>
            <w:gridSpan w:val="6"/>
          </w:tcPr>
          <w:p>
            <w:pPr>
              <w:ind w:left="4520"/>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380"/>
          </w:cols>
          <w:pgMar w:left="240" w:top="125" w:right="279" w:bottom="1440" w:gutter="0" w:footer="0" w:header="0"/>
        </w:sectPr>
      </w:pPr>
    </w:p>
    <w:bookmarkStart w:id="120" w:name="page121"/>
    <w:bookmarkEnd w:id="1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01"/>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10.37***</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460" w:type="dxa"/>
            <w:vAlign w:val="bottom"/>
            <w:tcBorders>
              <w:bottom w:val="single" w:sz="8" w:color="0000FF"/>
            </w:tcBorders>
            <w:gridSpan w:val="26"/>
          </w:tcPr>
          <w:p>
            <w:pPr>
              <w:spacing w:after="0"/>
              <w:rPr>
                <w:rFonts w:ascii="Arial" w:cs="Arial" w:eastAsia="Arial" w:hAnsi="Arial"/>
                <w:sz w:val="18"/>
                <w:szCs w:val="18"/>
                <w:color w:val="0000FF"/>
                <w:w w:val="91"/>
              </w:rPr>
            </w:pPr>
            <w:hyperlink r:id="rId138">
              <w:r>
                <w:rPr>
                  <w:rFonts w:ascii="Arial" w:cs="Arial" w:eastAsia="Arial" w:hAnsi="Arial"/>
                  <w:sz w:val="18"/>
                  <w:szCs w:val="18"/>
                  <w:color w:val="0000FF"/>
                  <w:w w:val="91"/>
                </w:rPr>
                <w:t>First Amendment to Plains AAP, L.P. Class B Restricted Units Agreement dated August 25, 2016 (Willie Chiang) (incorporated by</w:t>
              </w:r>
            </w:hyperlink>
          </w:p>
        </w:tc>
        <w:tc>
          <w:tcPr>
            <w:tcW w:w="300" w:type="dxa"/>
            <w:vAlign w:val="bottom"/>
            <w:gridSpan w:val="7"/>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6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138">
              <w:r>
                <w:rPr>
                  <w:rFonts w:ascii="Arial" w:cs="Arial" w:eastAsia="Arial" w:hAnsi="Arial"/>
                  <w:sz w:val="18"/>
                  <w:szCs w:val="18"/>
                  <w:color w:val="0000FF"/>
                  <w:w w:val="90"/>
                </w:rPr>
                <w:t>reference to Exhibit 10.8 to PAA’s Quarterly Report on Form 10-Q for the quarter ended September 30, 2016).</w:t>
              </w:r>
            </w:hyperlink>
          </w:p>
        </w:tc>
        <w:tc>
          <w:tcPr>
            <w:tcW w:w="1800" w:type="dxa"/>
            <w:vAlign w:val="bottom"/>
            <w:gridSpan w:val="16"/>
          </w:tcPr>
          <w:p>
            <w:pPr>
              <w:spacing w:after="0"/>
              <w:rPr>
                <w:sz w:val="17"/>
                <w:szCs w:val="17"/>
                <w:color w:val="auto"/>
              </w:rPr>
            </w:pPr>
          </w:p>
        </w:tc>
      </w:tr>
      <w:tr>
        <w:trPr>
          <w:trHeight w:val="412"/>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10.38***</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60" w:type="dxa"/>
            <w:vAlign w:val="bottom"/>
            <w:gridSpan w:val="33"/>
          </w:tcPr>
          <w:p>
            <w:pPr>
              <w:spacing w:after="0"/>
              <w:rPr>
                <w:rFonts w:ascii="Arial" w:cs="Arial" w:eastAsia="Arial" w:hAnsi="Arial"/>
                <w:sz w:val="18"/>
                <w:szCs w:val="18"/>
                <w:color w:val="0000FF"/>
                <w:w w:val="92"/>
              </w:rPr>
            </w:pPr>
            <w:hyperlink r:id="rId139">
              <w:r>
                <w:rPr>
                  <w:rFonts w:ascii="Arial" w:cs="Arial" w:eastAsia="Arial" w:hAnsi="Arial"/>
                  <w:sz w:val="18"/>
                  <w:szCs w:val="18"/>
                  <w:color w:val="0000FF"/>
                  <w:w w:val="92"/>
                </w:rPr>
                <w:t>Second Amendment dated March 22, 2018 to Plains AAP, L.P. Class B Restricted Units Agreement (Willie Chiang) (incorporated by</w:t>
              </w:r>
            </w:hyperlink>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6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1"/>
              </w:rPr>
            </w:pPr>
            <w:hyperlink r:id="rId139">
              <w:r>
                <w:rPr>
                  <w:rFonts w:ascii="Arial" w:cs="Arial" w:eastAsia="Arial" w:hAnsi="Arial"/>
                  <w:sz w:val="18"/>
                  <w:szCs w:val="18"/>
                  <w:color w:val="0000FF"/>
                  <w:w w:val="91"/>
                </w:rPr>
                <w:t>reference to Exhibit 10.1 to our Quarterly Report on Form 10-Q for the quarter ended March 31, 2018).</w:t>
              </w:r>
            </w:hyperlink>
          </w:p>
        </w:tc>
        <w:tc>
          <w:tcPr>
            <w:tcW w:w="2120" w:type="dxa"/>
            <w:vAlign w:val="bottom"/>
            <w:tcBorders>
              <w:top w:val="single" w:sz="8" w:color="0000FF"/>
            </w:tcBorders>
            <w:gridSpan w:val="13"/>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412"/>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10.39***</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620" w:type="dxa"/>
            <w:vAlign w:val="bottom"/>
            <w:tcBorders>
              <w:bottom w:val="single" w:sz="8" w:color="0000FF"/>
            </w:tcBorders>
            <w:gridSpan w:val="30"/>
          </w:tcPr>
          <w:p>
            <w:pPr>
              <w:spacing w:after="0"/>
              <w:rPr>
                <w:rFonts w:ascii="Arial" w:cs="Arial" w:eastAsia="Arial" w:hAnsi="Arial"/>
                <w:sz w:val="18"/>
                <w:szCs w:val="18"/>
                <w:color w:val="0000FF"/>
                <w:w w:val="91"/>
              </w:rPr>
            </w:pPr>
            <w:hyperlink r:id="rId140">
              <w:r>
                <w:rPr>
                  <w:rFonts w:ascii="Arial" w:cs="Arial" w:eastAsia="Arial" w:hAnsi="Arial"/>
                  <w:sz w:val="18"/>
                  <w:szCs w:val="18"/>
                  <w:color w:val="0000FF"/>
                  <w:w w:val="91"/>
                </w:rPr>
                <w:t>Amendment dated August 25, 2016 to LTIP Grant Letter dated August 24, 2015 (Willie Chiang)(incorporated by reference to Exhibit</w:t>
              </w:r>
            </w:hyperlink>
          </w:p>
        </w:tc>
        <w:tc>
          <w:tcPr>
            <w:tcW w:w="140" w:type="dxa"/>
            <w:vAlign w:val="bottom"/>
            <w:gridSpan w:val="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60" w:type="dxa"/>
            <w:vAlign w:val="bottom"/>
            <w:gridSpan w:val="33"/>
          </w:tcPr>
          <w:p>
            <w:pPr>
              <w:spacing w:after="0" w:line="196" w:lineRule="exact"/>
              <w:rPr>
                <w:rFonts w:ascii="Arial" w:cs="Arial" w:eastAsia="Arial" w:hAnsi="Arial"/>
                <w:sz w:val="18"/>
                <w:szCs w:val="18"/>
                <w:color w:val="0000FF"/>
              </w:rPr>
            </w:pPr>
            <w:hyperlink r:id="rId140">
              <w:r>
                <w:rPr>
                  <w:rFonts w:ascii="Arial" w:cs="Arial" w:eastAsia="Arial" w:hAnsi="Arial"/>
                  <w:sz w:val="18"/>
                  <w:szCs w:val="18"/>
                  <w:color w:val="0000FF"/>
                </w:rPr>
                <w:t>10.</w:t>
              </w:r>
              <w:r>
                <w:rPr>
                  <w:rFonts w:ascii="Arial" w:cs="Arial" w:eastAsia="Arial" w:hAnsi="Arial"/>
                  <w:sz w:val="18"/>
                  <w:szCs w:val="18"/>
                  <w:u w:val="single" w:color="auto"/>
                  <w:color w:val="0000FF"/>
                </w:rPr>
                <w:t>7</w:t>
              </w:r>
              <w:r>
                <w:rPr>
                  <w:rFonts w:ascii="Arial" w:cs="Arial" w:eastAsia="Arial" w:hAnsi="Arial"/>
                  <w:sz w:val="18"/>
                  <w:szCs w:val="18"/>
                  <w:color w:val="0000FF"/>
                </w:rPr>
                <w:t xml:space="preserve"> to PAA’s Quarterly Report on Form 10-Q for the quarter ended September 30, 2016 filed November 8, 2016).</w:t>
              </w:r>
            </w:hyperlink>
          </w:p>
        </w:tc>
      </w:tr>
      <w:tr>
        <w:trPr>
          <w:trHeight w:val="20"/>
        </w:trPr>
        <w:tc>
          <w:tcPr>
            <w:tcW w:w="10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10.40***</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420" w:type="dxa"/>
            <w:vAlign w:val="bottom"/>
            <w:tcBorders>
              <w:bottom w:val="single" w:sz="8" w:color="0000FF"/>
            </w:tcBorders>
            <w:gridSpan w:val="24"/>
          </w:tcPr>
          <w:p>
            <w:pPr>
              <w:spacing w:after="0"/>
              <w:rPr>
                <w:rFonts w:ascii="Arial" w:cs="Arial" w:eastAsia="Arial" w:hAnsi="Arial"/>
                <w:sz w:val="18"/>
                <w:szCs w:val="18"/>
                <w:color w:val="0000FF"/>
                <w:w w:val="91"/>
              </w:rPr>
            </w:pPr>
            <w:hyperlink r:id="rId141">
              <w:r>
                <w:rPr>
                  <w:rFonts w:ascii="Arial" w:cs="Arial" w:eastAsia="Arial" w:hAnsi="Arial"/>
                  <w:sz w:val="18"/>
                  <w:szCs w:val="18"/>
                  <w:color w:val="0000FF"/>
                  <w:w w:val="91"/>
                </w:rPr>
                <w:t>Amendment dated March 22, 2018 to PAA LTIP Grant Letter dated August 24, 2015 (Willie Chiang) (incorporated by reference to</w:t>
              </w:r>
            </w:hyperlink>
          </w:p>
        </w:tc>
        <w:tc>
          <w:tcPr>
            <w:tcW w:w="340" w:type="dxa"/>
            <w:vAlign w:val="bottom"/>
            <w:gridSpan w:val="9"/>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56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141">
              <w:r>
                <w:rPr>
                  <w:rFonts w:ascii="Arial" w:cs="Arial" w:eastAsia="Arial" w:hAnsi="Arial"/>
                  <w:sz w:val="18"/>
                  <w:szCs w:val="18"/>
                  <w:color w:val="0000FF"/>
                  <w:w w:val="91"/>
                </w:rPr>
                <w:t>Exhibit 10.3 to our Quarterly Report on Form 10-Q for the quarter ended March 31, 2018).</w:t>
              </w:r>
            </w:hyperlink>
          </w:p>
        </w:tc>
        <w:tc>
          <w:tcPr>
            <w:tcW w:w="3200" w:type="dxa"/>
            <w:vAlign w:val="bottom"/>
            <w:gridSpan w:val="21"/>
          </w:tcPr>
          <w:p>
            <w:pPr>
              <w:spacing w:after="0"/>
              <w:rPr>
                <w:sz w:val="17"/>
                <w:szCs w:val="17"/>
                <w:color w:val="auto"/>
              </w:rPr>
            </w:pPr>
          </w:p>
        </w:tc>
      </w:tr>
      <w:tr>
        <w:trPr>
          <w:trHeight w:val="412"/>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10.41***</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560" w:type="dxa"/>
            <w:vAlign w:val="bottom"/>
            <w:tcBorders>
              <w:bottom w:val="single" w:sz="8" w:color="0000FF"/>
            </w:tcBorders>
            <w:gridSpan w:val="27"/>
          </w:tcPr>
          <w:p>
            <w:pPr>
              <w:spacing w:after="0"/>
              <w:rPr>
                <w:rFonts w:ascii="Arial" w:cs="Arial" w:eastAsia="Arial" w:hAnsi="Arial"/>
                <w:sz w:val="18"/>
                <w:szCs w:val="18"/>
                <w:color w:val="0000FF"/>
                <w:w w:val="91"/>
              </w:rPr>
            </w:pPr>
            <w:hyperlink r:id="rId142">
              <w:r>
                <w:rPr>
                  <w:rFonts w:ascii="Arial" w:cs="Arial" w:eastAsia="Arial" w:hAnsi="Arial"/>
                  <w:sz w:val="18"/>
                  <w:szCs w:val="18"/>
                  <w:color w:val="0000FF"/>
                  <w:w w:val="91"/>
                </w:rPr>
                <w:t>LTIP Grant Letter dated August 16, 2018 (Willie Chiang) incorporated by reference to Exhibit 10.8 to our Quarterly Report on Form</w:t>
              </w:r>
            </w:hyperlink>
          </w:p>
        </w:tc>
        <w:tc>
          <w:tcPr>
            <w:tcW w:w="200" w:type="dxa"/>
            <w:vAlign w:val="bottom"/>
            <w:gridSpan w:val="6"/>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20" w:type="dxa"/>
            <w:vAlign w:val="bottom"/>
            <w:tcBorders>
              <w:bottom w:val="single" w:sz="8" w:color="0000FF"/>
            </w:tcBorders>
            <w:gridSpan w:val="8"/>
          </w:tcPr>
          <w:p>
            <w:pPr>
              <w:spacing w:after="0" w:line="196" w:lineRule="exact"/>
              <w:rPr>
                <w:rFonts w:ascii="Arial" w:cs="Arial" w:eastAsia="Arial" w:hAnsi="Arial"/>
                <w:sz w:val="18"/>
                <w:szCs w:val="18"/>
                <w:color w:val="0000FF"/>
                <w:w w:val="89"/>
              </w:rPr>
            </w:pPr>
            <w:hyperlink r:id="rId142">
              <w:r>
                <w:rPr>
                  <w:rFonts w:ascii="Arial" w:cs="Arial" w:eastAsia="Arial" w:hAnsi="Arial"/>
                  <w:sz w:val="18"/>
                  <w:szCs w:val="18"/>
                  <w:color w:val="0000FF"/>
                  <w:w w:val="89"/>
                </w:rPr>
                <w:t>10-Q for the quarter ended September 30, 2018).</w:t>
              </w:r>
            </w:hyperlink>
          </w:p>
        </w:tc>
        <w:tc>
          <w:tcPr>
            <w:tcW w:w="6240" w:type="dxa"/>
            <w:vAlign w:val="bottom"/>
            <w:gridSpan w:val="25"/>
          </w:tcPr>
          <w:p>
            <w:pPr>
              <w:spacing w:after="0"/>
              <w:rPr>
                <w:sz w:val="17"/>
                <w:szCs w:val="17"/>
                <w:color w:val="auto"/>
              </w:rPr>
            </w:pPr>
          </w:p>
        </w:tc>
      </w:tr>
      <w:tr>
        <w:trPr>
          <w:trHeight w:val="412"/>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10.42***</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60" w:type="dxa"/>
            <w:vAlign w:val="bottom"/>
            <w:gridSpan w:val="33"/>
          </w:tcPr>
          <w:p>
            <w:pPr>
              <w:spacing w:after="0"/>
              <w:rPr>
                <w:rFonts w:ascii="Arial" w:cs="Arial" w:eastAsia="Arial" w:hAnsi="Arial"/>
                <w:sz w:val="18"/>
                <w:szCs w:val="18"/>
                <w:color w:val="0000FF"/>
                <w:w w:val="98"/>
              </w:rPr>
            </w:pPr>
            <w:hyperlink r:id="rId143">
              <w:r>
                <w:rPr>
                  <w:rFonts w:ascii="Arial" w:cs="Arial" w:eastAsia="Arial" w:hAnsi="Arial"/>
                  <w:sz w:val="18"/>
                  <w:szCs w:val="18"/>
                  <w:color w:val="0000FF"/>
                  <w:w w:val="98"/>
                </w:rPr>
                <w:t>Plains All American GP LLC 1998 Long-Term Incentive Plan (incorporated by reference to Exhibit 99.1 to PAA’s Registration</w:t>
              </w:r>
            </w:hyperlink>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4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143">
              <w:r>
                <w:rPr>
                  <w:rFonts w:ascii="Arial" w:cs="Arial" w:eastAsia="Arial" w:hAnsi="Arial"/>
                  <w:sz w:val="18"/>
                  <w:szCs w:val="18"/>
                  <w:color w:val="0000FF"/>
                </w:rPr>
                <w:t>Statement on Form S-8, File No. 333-74920).</w:t>
              </w:r>
            </w:hyperlink>
          </w:p>
        </w:tc>
        <w:tc>
          <w:tcPr>
            <w:tcW w:w="620" w:type="dxa"/>
            <w:vAlign w:val="bottom"/>
            <w:gridSpan w:val="13"/>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10.43***</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600" w:type="dxa"/>
            <w:vAlign w:val="bottom"/>
            <w:tcBorders>
              <w:bottom w:val="single" w:sz="8" w:color="0000FF"/>
            </w:tcBorders>
            <w:gridSpan w:val="29"/>
          </w:tcPr>
          <w:p>
            <w:pPr>
              <w:spacing w:after="0"/>
              <w:rPr>
                <w:rFonts w:ascii="Arial" w:cs="Arial" w:eastAsia="Arial" w:hAnsi="Arial"/>
                <w:sz w:val="18"/>
                <w:szCs w:val="18"/>
                <w:color w:val="0000FF"/>
                <w:w w:val="91"/>
              </w:rPr>
            </w:pPr>
            <w:hyperlink r:id="rId144">
              <w:r>
                <w:rPr>
                  <w:rFonts w:ascii="Arial" w:cs="Arial" w:eastAsia="Arial" w:hAnsi="Arial"/>
                  <w:sz w:val="18"/>
                  <w:szCs w:val="18"/>
                  <w:color w:val="0000FF"/>
                  <w:w w:val="91"/>
                </w:rPr>
                <w:t>First Amendment to Plains All American GP LLC 1998 Long-Term Incentive Plan dated June 27, 2003 (incorporated by reference to</w:t>
              </w:r>
            </w:hyperlink>
          </w:p>
        </w:tc>
        <w:tc>
          <w:tcPr>
            <w:tcW w:w="160" w:type="dxa"/>
            <w:vAlign w:val="bottom"/>
            <w:gridSpan w:val="4"/>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2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144">
              <w:r>
                <w:rPr>
                  <w:rFonts w:ascii="Arial" w:cs="Arial" w:eastAsia="Arial" w:hAnsi="Arial"/>
                  <w:sz w:val="18"/>
                  <w:szCs w:val="18"/>
                  <w:color w:val="0000FF"/>
                  <w:w w:val="90"/>
                </w:rPr>
                <w:t>Exhibit 10.1 to PAA’s Quarterly Report on Form 10-Q for the quarter ended June 30, 2003).</w:t>
              </w:r>
            </w:hyperlink>
          </w:p>
        </w:tc>
        <w:tc>
          <w:tcPr>
            <w:tcW w:w="3140" w:type="dxa"/>
            <w:vAlign w:val="bottom"/>
            <w:gridSpan w:val="20"/>
          </w:tcPr>
          <w:p>
            <w:pPr>
              <w:spacing w:after="0"/>
              <w:rPr>
                <w:sz w:val="17"/>
                <w:szCs w:val="17"/>
                <w:color w:val="auto"/>
              </w:rPr>
            </w:pPr>
          </w:p>
        </w:tc>
      </w:tr>
      <w:tr>
        <w:trPr>
          <w:trHeight w:val="412"/>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10.44***</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20" w:type="dxa"/>
            <w:vAlign w:val="bottom"/>
            <w:tcBorders>
              <w:bottom w:val="single" w:sz="8" w:color="0000FF"/>
            </w:tcBorders>
            <w:gridSpan w:val="22"/>
          </w:tcPr>
          <w:p>
            <w:pPr>
              <w:spacing w:after="0"/>
              <w:rPr>
                <w:rFonts w:ascii="Arial" w:cs="Arial" w:eastAsia="Arial" w:hAnsi="Arial"/>
                <w:sz w:val="18"/>
                <w:szCs w:val="18"/>
                <w:color w:val="0000FF"/>
                <w:w w:val="91"/>
              </w:rPr>
            </w:pPr>
            <w:hyperlink r:id="rId145">
              <w:r>
                <w:rPr>
                  <w:rFonts w:ascii="Arial" w:cs="Arial" w:eastAsia="Arial" w:hAnsi="Arial"/>
                  <w:sz w:val="18"/>
                  <w:szCs w:val="18"/>
                  <w:color w:val="0000FF"/>
                  <w:w w:val="91"/>
                </w:rPr>
                <w:t>Second Amendment to Plains All American GP LLC 1998 Long-Term Incentive Plan dated December 4, 2008 (incorporated by</w:t>
              </w:r>
            </w:hyperlink>
          </w:p>
        </w:tc>
        <w:tc>
          <w:tcPr>
            <w:tcW w:w="540" w:type="dxa"/>
            <w:vAlign w:val="bottom"/>
            <w:gridSpan w:val="11"/>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6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145">
              <w:r>
                <w:rPr>
                  <w:rFonts w:ascii="Arial" w:cs="Arial" w:eastAsia="Arial" w:hAnsi="Arial"/>
                  <w:sz w:val="18"/>
                  <w:szCs w:val="18"/>
                  <w:color w:val="0000FF"/>
                  <w:w w:val="91"/>
                </w:rPr>
                <w:t>reference to Exhibit 10.52 to PAA’s Annual Report on Form 10-K for the year ended December 31, 2008).</w:t>
              </w:r>
            </w:hyperlink>
          </w:p>
        </w:tc>
        <w:tc>
          <w:tcPr>
            <w:tcW w:w="2100" w:type="dxa"/>
            <w:vAlign w:val="bottom"/>
            <w:gridSpan w:val="17"/>
          </w:tcPr>
          <w:p>
            <w:pPr>
              <w:spacing w:after="0"/>
              <w:rPr>
                <w:sz w:val="17"/>
                <w:szCs w:val="17"/>
                <w:color w:val="auto"/>
              </w:rPr>
            </w:pPr>
          </w:p>
        </w:tc>
      </w:tr>
      <w:tr>
        <w:trPr>
          <w:trHeight w:val="412"/>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10.45***</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580" w:type="dxa"/>
            <w:vAlign w:val="bottom"/>
            <w:tcBorders>
              <w:bottom w:val="single" w:sz="8" w:color="0000FF"/>
            </w:tcBorders>
            <w:gridSpan w:val="28"/>
          </w:tcPr>
          <w:p>
            <w:pPr>
              <w:spacing w:after="0"/>
              <w:rPr>
                <w:rFonts w:ascii="Arial" w:cs="Arial" w:eastAsia="Arial" w:hAnsi="Arial"/>
                <w:sz w:val="18"/>
                <w:szCs w:val="18"/>
                <w:color w:val="0000FF"/>
                <w:w w:val="92"/>
              </w:rPr>
            </w:pPr>
            <w:hyperlink r:id="rId146">
              <w:r>
                <w:rPr>
                  <w:rFonts w:ascii="Arial" w:cs="Arial" w:eastAsia="Arial" w:hAnsi="Arial"/>
                  <w:sz w:val="18"/>
                  <w:szCs w:val="18"/>
                  <w:color w:val="0000FF"/>
                  <w:w w:val="92"/>
                </w:rPr>
                <w:t>Plains All American GP LLC 2005 Long-Term Incentive Plan (incorporated by reference to Exhibit 10.1 to PAA’s Current Report on</w:t>
              </w:r>
            </w:hyperlink>
          </w:p>
        </w:tc>
        <w:tc>
          <w:tcPr>
            <w:tcW w:w="180" w:type="dxa"/>
            <w:vAlign w:val="bottom"/>
            <w:gridSpan w:val="5"/>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8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146">
              <w:r>
                <w:rPr>
                  <w:rFonts w:ascii="Arial" w:cs="Arial" w:eastAsia="Arial" w:hAnsi="Arial"/>
                  <w:sz w:val="18"/>
                  <w:szCs w:val="18"/>
                  <w:color w:val="0000FF"/>
                  <w:w w:val="91"/>
                </w:rPr>
                <w:t>Form 8-K filed January 26, 2005).</w:t>
              </w:r>
            </w:hyperlink>
          </w:p>
        </w:tc>
        <w:tc>
          <w:tcPr>
            <w:tcW w:w="7280" w:type="dxa"/>
            <w:vAlign w:val="bottom"/>
            <w:gridSpan w:val="27"/>
          </w:tcPr>
          <w:p>
            <w:pPr>
              <w:spacing w:after="0"/>
              <w:rPr>
                <w:sz w:val="17"/>
                <w:szCs w:val="17"/>
                <w:color w:val="auto"/>
              </w:rPr>
            </w:pPr>
          </w:p>
        </w:tc>
      </w:tr>
      <w:tr>
        <w:trPr>
          <w:trHeight w:val="412"/>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10.46***</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60" w:type="dxa"/>
            <w:vAlign w:val="bottom"/>
            <w:gridSpan w:val="33"/>
          </w:tcPr>
          <w:p>
            <w:pPr>
              <w:spacing w:after="0"/>
              <w:rPr>
                <w:rFonts w:ascii="Arial" w:cs="Arial" w:eastAsia="Arial" w:hAnsi="Arial"/>
                <w:sz w:val="18"/>
                <w:szCs w:val="18"/>
                <w:color w:val="0000FF"/>
                <w:w w:val="91"/>
              </w:rPr>
            </w:pPr>
            <w:hyperlink r:id="rId147">
              <w:r>
                <w:rPr>
                  <w:rFonts w:ascii="Arial" w:cs="Arial" w:eastAsia="Arial" w:hAnsi="Arial"/>
                  <w:sz w:val="18"/>
                  <w:szCs w:val="18"/>
                  <w:color w:val="0000FF"/>
                  <w:w w:val="91"/>
                </w:rPr>
                <w:t>First Amendment to Plains All American GP LLC 2005 Long-Term Incentive Plan dated December 4, 2008 (incorporated by reference</w:t>
              </w:r>
            </w:hyperlink>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94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1"/>
              </w:rPr>
            </w:pPr>
            <w:hyperlink r:id="rId147">
              <w:r>
                <w:rPr>
                  <w:rFonts w:ascii="Arial" w:cs="Arial" w:eastAsia="Arial" w:hAnsi="Arial"/>
                  <w:sz w:val="18"/>
                  <w:szCs w:val="18"/>
                  <w:color w:val="0000FF"/>
                  <w:w w:val="91"/>
                </w:rPr>
                <w:t>to Exhibit 10.51 to PAA’s Annual Report on Form 10-K for the year ended December 31, 2008).</w:t>
              </w:r>
            </w:hyperlink>
          </w:p>
        </w:tc>
        <w:tc>
          <w:tcPr>
            <w:tcW w:w="2780" w:type="dxa"/>
            <w:vAlign w:val="bottom"/>
            <w:tcBorders>
              <w:top w:val="single" w:sz="8" w:color="0000FF"/>
            </w:tcBorders>
            <w:gridSpan w:val="18"/>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10.47***</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60" w:type="dxa"/>
            <w:vAlign w:val="bottom"/>
            <w:gridSpan w:val="33"/>
          </w:tcPr>
          <w:p>
            <w:pPr>
              <w:spacing w:after="0"/>
              <w:rPr>
                <w:rFonts w:ascii="Arial" w:cs="Arial" w:eastAsia="Arial" w:hAnsi="Arial"/>
                <w:sz w:val="18"/>
                <w:szCs w:val="18"/>
                <w:color w:val="0000FF"/>
                <w:w w:val="91"/>
              </w:rPr>
            </w:pPr>
            <w:hyperlink r:id="rId148">
              <w:r>
                <w:rPr>
                  <w:rFonts w:ascii="Arial" w:cs="Arial" w:eastAsia="Arial" w:hAnsi="Arial"/>
                  <w:sz w:val="18"/>
                  <w:szCs w:val="18"/>
                  <w:color w:val="0000FF"/>
                  <w:w w:val="91"/>
                </w:rPr>
                <w:t>Plains All American PPX Successor Long-Term Incentive Plan (incorporated by reference to Exhibit 10.45 to PAA’s Annual Report on</w:t>
              </w:r>
            </w:hyperlink>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20" w:type="dxa"/>
            <w:vAlign w:val="bottom"/>
            <w:tcBorders>
              <w:top w:val="single" w:sz="8" w:color="0000FF"/>
            </w:tcBorders>
            <w:gridSpan w:val="32"/>
          </w:tcPr>
          <w:p>
            <w:pPr>
              <w:spacing w:after="0" w:line="196" w:lineRule="exact"/>
              <w:rPr>
                <w:rFonts w:ascii="Arial" w:cs="Arial" w:eastAsia="Arial" w:hAnsi="Arial"/>
                <w:sz w:val="18"/>
                <w:szCs w:val="18"/>
                <w:color w:val="0000FF"/>
              </w:rPr>
            </w:pPr>
            <w:hyperlink r:id="rId148">
              <w:r>
                <w:rPr>
                  <w:rFonts w:ascii="Arial" w:cs="Arial" w:eastAsia="Arial" w:hAnsi="Arial"/>
                  <w:sz w:val="18"/>
                  <w:szCs w:val="18"/>
                  <w:color w:val="0000FF"/>
                </w:rPr>
                <w:t>Form 10-K for the year ended December 31, 2006).</w:t>
              </w:r>
            </w:hyperlink>
          </w:p>
        </w:tc>
        <w:tc>
          <w:tcPr>
            <w:tcW w:w="4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10.48***</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60" w:type="dxa"/>
            <w:vAlign w:val="bottom"/>
            <w:gridSpan w:val="33"/>
          </w:tcPr>
          <w:p>
            <w:pPr>
              <w:spacing w:after="0"/>
              <w:rPr>
                <w:rFonts w:ascii="Arial" w:cs="Arial" w:eastAsia="Arial" w:hAnsi="Arial"/>
                <w:sz w:val="18"/>
                <w:szCs w:val="18"/>
                <w:color w:val="0000FF"/>
                <w:w w:val="96"/>
              </w:rPr>
            </w:pPr>
            <w:hyperlink r:id="rId149">
              <w:r>
                <w:rPr>
                  <w:rFonts w:ascii="Arial" w:cs="Arial" w:eastAsia="Arial" w:hAnsi="Arial"/>
                  <w:sz w:val="18"/>
                  <w:szCs w:val="18"/>
                  <w:color w:val="0000FF"/>
                  <w:w w:val="96"/>
                </w:rPr>
                <w:t>Plains All American 2013 Long-Term Incentive Plan (incorporated by reference to Exhibit A to PAA’s Definitive Proxy Statement</w:t>
              </w:r>
            </w:hyperlink>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149">
              <w:r>
                <w:rPr>
                  <w:rFonts w:ascii="Arial" w:cs="Arial" w:eastAsia="Arial" w:hAnsi="Arial"/>
                  <w:sz w:val="18"/>
                  <w:szCs w:val="18"/>
                  <w:color w:val="0000FF"/>
                  <w:w w:val="91"/>
                </w:rPr>
                <w:t>filed on October 3, 2013).</w:t>
              </w:r>
            </w:hyperlink>
          </w:p>
        </w:tc>
        <w:tc>
          <w:tcPr>
            <w:tcW w:w="7500" w:type="dxa"/>
            <w:vAlign w:val="bottom"/>
            <w:tcBorders>
              <w:top w:val="single" w:sz="8" w:color="0000FF"/>
            </w:tcBorders>
            <w:gridSpan w:val="20"/>
          </w:tcPr>
          <w:p>
            <w:pPr>
              <w:spacing w:after="0"/>
              <w:rPr>
                <w:sz w:val="17"/>
                <w:szCs w:val="17"/>
                <w:color w:val="auto"/>
              </w:rPr>
            </w:pPr>
          </w:p>
        </w:tc>
        <w:tc>
          <w:tcPr>
            <w:tcW w:w="380" w:type="dxa"/>
            <w:vAlign w:val="bottom"/>
            <w:gridSpan w:val="10"/>
          </w:tcPr>
          <w:p>
            <w:pPr>
              <w:spacing w:after="0"/>
              <w:rPr>
                <w:sz w:val="17"/>
                <w:szCs w:val="17"/>
                <w:color w:val="auto"/>
              </w:rPr>
            </w:pPr>
          </w:p>
        </w:tc>
      </w:tr>
      <w:tr>
        <w:trPr>
          <w:trHeight w:val="412"/>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10.49***</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60" w:type="dxa"/>
            <w:vAlign w:val="bottom"/>
            <w:gridSpan w:val="33"/>
          </w:tcPr>
          <w:p>
            <w:pPr>
              <w:spacing w:after="0"/>
              <w:rPr>
                <w:rFonts w:ascii="Arial" w:cs="Arial" w:eastAsia="Arial" w:hAnsi="Arial"/>
                <w:sz w:val="18"/>
                <w:szCs w:val="18"/>
                <w:color w:val="0000FF"/>
                <w:w w:val="97"/>
              </w:rPr>
            </w:pPr>
            <w:hyperlink r:id="rId150">
              <w:r>
                <w:rPr>
                  <w:rFonts w:ascii="Arial" w:cs="Arial" w:eastAsia="Arial" w:hAnsi="Arial"/>
                  <w:sz w:val="18"/>
                  <w:szCs w:val="18"/>
                  <w:color w:val="0000FF"/>
                  <w:w w:val="97"/>
                </w:rPr>
                <w:t>Plains All American PNG Successor Long-Term Incentive Plan (incorporated by reference to Exhibit 4.4 to PAA’s Registration</w:t>
              </w:r>
            </w:hyperlink>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6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0"/>
              </w:rPr>
            </w:pPr>
            <w:hyperlink r:id="rId150">
              <w:r>
                <w:rPr>
                  <w:rFonts w:ascii="Arial" w:cs="Arial" w:eastAsia="Arial" w:hAnsi="Arial"/>
                  <w:sz w:val="18"/>
                  <w:szCs w:val="18"/>
                  <w:color w:val="0000FF"/>
                  <w:w w:val="90"/>
                </w:rPr>
                <w:t>Statement on Form S-8 (333-193139) filed December 31, 2013).</w:t>
              </w:r>
            </w:hyperlink>
          </w:p>
        </w:tc>
        <w:tc>
          <w:tcPr>
            <w:tcW w:w="4500" w:type="dxa"/>
            <w:vAlign w:val="bottom"/>
            <w:tcBorders>
              <w:top w:val="single" w:sz="8" w:color="0000FF"/>
            </w:tcBorders>
            <w:gridSpan w:val="11"/>
          </w:tcPr>
          <w:p>
            <w:pPr>
              <w:spacing w:after="0"/>
              <w:rPr>
                <w:sz w:val="17"/>
                <w:szCs w:val="17"/>
                <w:color w:val="auto"/>
              </w:rPr>
            </w:pPr>
          </w:p>
        </w:tc>
        <w:tc>
          <w:tcPr>
            <w:tcW w:w="600" w:type="dxa"/>
            <w:vAlign w:val="bottom"/>
            <w:gridSpan w:val="12"/>
          </w:tcPr>
          <w:p>
            <w:pPr>
              <w:spacing w:after="0"/>
              <w:rPr>
                <w:sz w:val="17"/>
                <w:szCs w:val="17"/>
                <w:color w:val="auto"/>
              </w:rPr>
            </w:pPr>
          </w:p>
        </w:tc>
      </w:tr>
      <w:tr>
        <w:trPr>
          <w:trHeight w:val="412"/>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10.50***</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60" w:type="dxa"/>
            <w:vAlign w:val="bottom"/>
            <w:gridSpan w:val="33"/>
          </w:tcPr>
          <w:p>
            <w:pPr>
              <w:spacing w:after="0"/>
              <w:rPr>
                <w:rFonts w:ascii="Arial" w:cs="Arial" w:eastAsia="Arial" w:hAnsi="Arial"/>
                <w:sz w:val="18"/>
                <w:szCs w:val="18"/>
                <w:color w:val="0000FF"/>
                <w:w w:val="91"/>
              </w:rPr>
            </w:pPr>
            <w:hyperlink r:id="rId151">
              <w:r>
                <w:rPr>
                  <w:rFonts w:ascii="Arial" w:cs="Arial" w:eastAsia="Arial" w:hAnsi="Arial"/>
                  <w:sz w:val="18"/>
                  <w:szCs w:val="18"/>
                  <w:color w:val="0000FF"/>
                  <w:w w:val="91"/>
                </w:rPr>
                <w:t>PAA Natural Gas Storage, L.P. 2010 Long-Term Incentive Plan (incorporated by reference to Exhibit 10.2 to PNG’s Current Report on</w:t>
              </w:r>
            </w:hyperlink>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00" w:type="dxa"/>
            <w:vAlign w:val="bottom"/>
            <w:tcBorders>
              <w:top w:val="single" w:sz="8" w:color="0000FF"/>
            </w:tcBorders>
            <w:gridSpan w:val="31"/>
          </w:tcPr>
          <w:p>
            <w:pPr>
              <w:spacing w:after="0" w:line="196" w:lineRule="exact"/>
              <w:rPr>
                <w:rFonts w:ascii="Arial" w:cs="Arial" w:eastAsia="Arial" w:hAnsi="Arial"/>
                <w:sz w:val="18"/>
                <w:szCs w:val="18"/>
                <w:color w:val="0000FF"/>
              </w:rPr>
            </w:pPr>
            <w:hyperlink r:id="rId151">
              <w:r>
                <w:rPr>
                  <w:rFonts w:ascii="Arial" w:cs="Arial" w:eastAsia="Arial" w:hAnsi="Arial"/>
                  <w:sz w:val="18"/>
                  <w:szCs w:val="18"/>
                  <w:color w:val="0000FF"/>
                </w:rPr>
                <w:t>Form 8-K filed May 11, 2010).</w:t>
              </w:r>
            </w:hyperlink>
          </w:p>
        </w:tc>
        <w:tc>
          <w:tcPr>
            <w:tcW w:w="60" w:type="dxa"/>
            <w:vAlign w:val="bottom"/>
            <w:gridSpan w:val="2"/>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412"/>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10.51***</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440" w:type="dxa"/>
            <w:vAlign w:val="bottom"/>
            <w:tcBorders>
              <w:bottom w:val="single" w:sz="8" w:color="0000FF"/>
            </w:tcBorders>
            <w:gridSpan w:val="25"/>
          </w:tcPr>
          <w:p>
            <w:pPr>
              <w:spacing w:after="0"/>
              <w:rPr>
                <w:rFonts w:ascii="Arial" w:cs="Arial" w:eastAsia="Arial" w:hAnsi="Arial"/>
                <w:sz w:val="18"/>
                <w:szCs w:val="18"/>
                <w:color w:val="0000FF"/>
                <w:w w:val="91"/>
              </w:rPr>
            </w:pPr>
            <w:hyperlink r:id="rId152">
              <w:r>
                <w:rPr>
                  <w:rFonts w:ascii="Arial" w:cs="Arial" w:eastAsia="Arial" w:hAnsi="Arial"/>
                  <w:sz w:val="18"/>
                  <w:szCs w:val="18"/>
                  <w:color w:val="0000FF"/>
                  <w:w w:val="91"/>
                </w:rPr>
                <w:t>Plains GP Holdings, L.P. Long Term Incentive Plan, (incorporated by reference to Exhibit 10.3 to our Current Report on Form 8-K</w:t>
              </w:r>
            </w:hyperlink>
          </w:p>
        </w:tc>
        <w:tc>
          <w:tcPr>
            <w:tcW w:w="320" w:type="dxa"/>
            <w:vAlign w:val="bottom"/>
            <w:gridSpan w:val="8"/>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152">
              <w:r>
                <w:rPr>
                  <w:rFonts w:ascii="Arial" w:cs="Arial" w:eastAsia="Arial" w:hAnsi="Arial"/>
                  <w:sz w:val="18"/>
                  <w:szCs w:val="18"/>
                  <w:color w:val="0000FF"/>
                  <w:w w:val="91"/>
                </w:rPr>
                <w:t>filed October 25, 2013).</w:t>
              </w:r>
            </w:hyperlink>
          </w:p>
        </w:tc>
        <w:tc>
          <w:tcPr>
            <w:tcW w:w="8020" w:type="dxa"/>
            <w:vAlign w:val="bottom"/>
            <w:gridSpan w:val="31"/>
          </w:tcPr>
          <w:p>
            <w:pPr>
              <w:spacing w:after="0"/>
              <w:rPr>
                <w:sz w:val="17"/>
                <w:szCs w:val="17"/>
                <w:color w:val="auto"/>
              </w:rPr>
            </w:pPr>
          </w:p>
        </w:tc>
      </w:tr>
      <w:tr>
        <w:trPr>
          <w:trHeight w:val="412"/>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10.52***</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60" w:type="dxa"/>
            <w:vAlign w:val="bottom"/>
            <w:gridSpan w:val="33"/>
          </w:tcPr>
          <w:p>
            <w:pPr>
              <w:spacing w:after="0"/>
              <w:rPr>
                <w:rFonts w:ascii="Arial" w:cs="Arial" w:eastAsia="Arial" w:hAnsi="Arial"/>
                <w:sz w:val="18"/>
                <w:szCs w:val="18"/>
                <w:color w:val="0000FF"/>
                <w:w w:val="92"/>
              </w:rPr>
            </w:pPr>
            <w:hyperlink r:id="rId153">
              <w:r>
                <w:rPr>
                  <w:rFonts w:ascii="Arial" w:cs="Arial" w:eastAsia="Arial" w:hAnsi="Arial"/>
                  <w:sz w:val="18"/>
                  <w:szCs w:val="18"/>
                  <w:color w:val="0000FF"/>
                  <w:w w:val="92"/>
                </w:rPr>
                <w:t>Form of Plains AAP, L.P. Class B Restricted Units Agreement (incorporated by reference to Exhibit 10.1 to PAA’s Current Report on</w:t>
              </w:r>
            </w:hyperlink>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tcBorders>
              <w:top w:val="single" w:sz="8" w:color="0000FF"/>
            </w:tcBorders>
            <w:gridSpan w:val="28"/>
          </w:tcPr>
          <w:p>
            <w:pPr>
              <w:spacing w:after="0" w:line="196" w:lineRule="exact"/>
              <w:rPr>
                <w:rFonts w:ascii="Arial" w:cs="Arial" w:eastAsia="Arial" w:hAnsi="Arial"/>
                <w:sz w:val="18"/>
                <w:szCs w:val="18"/>
                <w:color w:val="0000FF"/>
              </w:rPr>
            </w:pPr>
            <w:hyperlink r:id="rId153">
              <w:r>
                <w:rPr>
                  <w:rFonts w:ascii="Arial" w:cs="Arial" w:eastAsia="Arial" w:hAnsi="Arial"/>
                  <w:sz w:val="18"/>
                  <w:szCs w:val="18"/>
                  <w:color w:val="0000FF"/>
                </w:rPr>
                <w:t>Form 8-K filed January 4, 2008).</w:t>
              </w:r>
            </w:hyperlink>
          </w:p>
        </w:tc>
        <w:tc>
          <w:tcPr>
            <w:tcW w:w="180" w:type="dxa"/>
            <w:vAlign w:val="bottom"/>
            <w:gridSpan w:val="5"/>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412"/>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10.53***</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600" w:type="dxa"/>
            <w:vAlign w:val="bottom"/>
            <w:tcBorders>
              <w:bottom w:val="single" w:sz="8" w:color="0000FF"/>
            </w:tcBorders>
            <w:gridSpan w:val="29"/>
          </w:tcPr>
          <w:p>
            <w:pPr>
              <w:spacing w:after="0"/>
              <w:rPr>
                <w:rFonts w:ascii="Arial" w:cs="Arial" w:eastAsia="Arial" w:hAnsi="Arial"/>
                <w:sz w:val="18"/>
                <w:szCs w:val="18"/>
                <w:color w:val="0000FF"/>
                <w:w w:val="90"/>
              </w:rPr>
            </w:pPr>
            <w:hyperlink r:id="rId154">
              <w:r>
                <w:rPr>
                  <w:rFonts w:ascii="Arial" w:cs="Arial" w:eastAsia="Arial" w:hAnsi="Arial"/>
                  <w:sz w:val="18"/>
                  <w:szCs w:val="18"/>
                  <w:color w:val="0000FF"/>
                  <w:w w:val="90"/>
                </w:rPr>
                <w:t>Form of Amendment to the Plains AAP, L.P. Class B Restricted Units Agreement, dated October 18, 2013 (incorporated by reference</w:t>
              </w:r>
            </w:hyperlink>
          </w:p>
        </w:tc>
        <w:tc>
          <w:tcPr>
            <w:tcW w:w="160" w:type="dxa"/>
            <w:vAlign w:val="bottom"/>
            <w:gridSpan w:val="4"/>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60" w:type="dxa"/>
            <w:vAlign w:val="bottom"/>
            <w:gridSpan w:val="33"/>
          </w:tcPr>
          <w:p>
            <w:pPr>
              <w:spacing w:after="0" w:line="196" w:lineRule="exact"/>
              <w:rPr>
                <w:rFonts w:ascii="Arial" w:cs="Arial" w:eastAsia="Arial" w:hAnsi="Arial"/>
                <w:sz w:val="18"/>
                <w:szCs w:val="18"/>
                <w:color w:val="0000FF"/>
              </w:rPr>
            </w:pPr>
            <w:hyperlink r:id="rId154">
              <w:r>
                <w:rPr>
                  <w:rFonts w:ascii="Arial" w:cs="Arial" w:eastAsia="Arial" w:hAnsi="Arial"/>
                  <w:sz w:val="18"/>
                  <w:szCs w:val="18"/>
                  <w:color w:val="0000FF"/>
                </w:rPr>
                <w:t>to Exhibit 10.6 to our Current Report on Form 8-K filed October 25, 2013).</w:t>
              </w:r>
            </w:hyperlink>
          </w:p>
        </w:tc>
      </w:tr>
      <w:tr>
        <w:trPr>
          <w:trHeight w:val="20"/>
        </w:trPr>
        <w:tc>
          <w:tcPr>
            <w:tcW w:w="10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180" w:type="dxa"/>
            <w:vAlign w:val="bottom"/>
            <w:gridSpan w:val="10"/>
            <w:shd w:val="clear" w:color="auto" w:fill="0000FF"/>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r>
      <w:tr>
        <w:trPr>
          <w:trHeight w:val="412"/>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10.54***</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420" w:type="dxa"/>
            <w:vAlign w:val="bottom"/>
            <w:tcBorders>
              <w:bottom w:val="single" w:sz="8" w:color="0000FF"/>
            </w:tcBorders>
            <w:gridSpan w:val="24"/>
          </w:tcPr>
          <w:p>
            <w:pPr>
              <w:spacing w:after="0"/>
              <w:rPr>
                <w:rFonts w:ascii="Arial" w:cs="Arial" w:eastAsia="Arial" w:hAnsi="Arial"/>
                <w:sz w:val="18"/>
                <w:szCs w:val="18"/>
                <w:color w:val="0000FF"/>
                <w:w w:val="90"/>
              </w:rPr>
            </w:pPr>
            <w:hyperlink r:id="rId155">
              <w:r>
                <w:rPr>
                  <w:rFonts w:ascii="Arial" w:cs="Arial" w:eastAsia="Arial" w:hAnsi="Arial"/>
                  <w:sz w:val="18"/>
                  <w:szCs w:val="18"/>
                  <w:color w:val="0000FF"/>
                  <w:w w:val="90"/>
                </w:rPr>
                <w:t>Form of Amendment to Plains AAP, L.P. Class B Restricted Units Agreement dated August 25, 2016 (incorporated by reference to</w:t>
              </w:r>
            </w:hyperlink>
          </w:p>
        </w:tc>
        <w:tc>
          <w:tcPr>
            <w:tcW w:w="340" w:type="dxa"/>
            <w:vAlign w:val="bottom"/>
            <w:gridSpan w:val="9"/>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2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155">
              <w:r>
                <w:rPr>
                  <w:rFonts w:ascii="Arial" w:cs="Arial" w:eastAsia="Arial" w:hAnsi="Arial"/>
                  <w:sz w:val="18"/>
                  <w:szCs w:val="18"/>
                  <w:color w:val="0000FF"/>
                  <w:w w:val="91"/>
                </w:rPr>
                <w:t>Exhibit 10.6 to PAA’s Quarterly Report on Form 10-Q for the quarter ended September 30, 2016 filed November 8, 2016).</w:t>
              </w:r>
            </w:hyperlink>
          </w:p>
        </w:tc>
        <w:tc>
          <w:tcPr>
            <w:tcW w:w="940" w:type="dxa"/>
            <w:vAlign w:val="bottom"/>
            <w:gridSpan w:val="14"/>
          </w:tcPr>
          <w:p>
            <w:pPr>
              <w:spacing w:after="0"/>
              <w:rPr>
                <w:sz w:val="17"/>
                <w:szCs w:val="17"/>
                <w:color w:val="auto"/>
              </w:rPr>
            </w:pPr>
          </w:p>
        </w:tc>
      </w:tr>
      <w:tr>
        <w:trPr>
          <w:trHeight w:val="385"/>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10.55***</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60" w:type="dxa"/>
            <w:vAlign w:val="bottom"/>
            <w:tcBorders>
              <w:bottom w:val="single" w:sz="8" w:color="0000FF"/>
            </w:tcBorders>
            <w:gridSpan w:val="33"/>
          </w:tcPr>
          <w:p>
            <w:pPr>
              <w:spacing w:after="0"/>
              <w:rPr>
                <w:rFonts w:ascii="Arial" w:cs="Arial" w:eastAsia="Arial" w:hAnsi="Arial"/>
                <w:sz w:val="18"/>
                <w:szCs w:val="18"/>
                <w:color w:val="0000FF"/>
                <w:w w:val="90"/>
              </w:rPr>
            </w:pPr>
            <w:hyperlink r:id="rId156">
              <w:r>
                <w:rPr>
                  <w:rFonts w:ascii="Arial" w:cs="Arial" w:eastAsia="Arial" w:hAnsi="Arial"/>
                  <w:sz w:val="18"/>
                  <w:szCs w:val="18"/>
                  <w:color w:val="0000FF"/>
                  <w:w w:val="90"/>
                </w:rPr>
                <w:t>Form of First Amendment dated March 22, 2018 to Amended and Restated Plains AAP, L.P. Class B Restricted Units Agreement dated</w:t>
              </w:r>
            </w:hyperlink>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60" w:type="dxa"/>
            <w:vAlign w:val="bottom"/>
            <w:gridSpan w:val="33"/>
          </w:tcPr>
          <w:p>
            <w:pPr>
              <w:spacing w:after="0" w:line="196" w:lineRule="exact"/>
              <w:rPr>
                <w:rFonts w:ascii="Arial" w:cs="Arial" w:eastAsia="Arial" w:hAnsi="Arial"/>
                <w:sz w:val="18"/>
                <w:szCs w:val="18"/>
                <w:color w:val="0000FF"/>
                <w:w w:val="95"/>
              </w:rPr>
            </w:pPr>
            <w:hyperlink r:id="rId156">
              <w:r>
                <w:rPr>
                  <w:rFonts w:ascii="Arial" w:cs="Arial" w:eastAsia="Arial" w:hAnsi="Arial"/>
                  <w:sz w:val="18"/>
                  <w:szCs w:val="18"/>
                  <w:color w:val="0000FF"/>
                  <w:w w:val="95"/>
                </w:rPr>
                <w:t>August 25, 2016 (Officers) (incorporated by reference to Exhibit 10.2 to our Quarterly Report on Form 10-Q for the quarter ended</w:t>
              </w:r>
            </w:hyperlink>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1"/>
              </w:rPr>
            </w:pPr>
            <w:hyperlink r:id="rId156">
              <w:r>
                <w:rPr>
                  <w:rFonts w:ascii="Arial" w:cs="Arial" w:eastAsia="Arial" w:hAnsi="Arial"/>
                  <w:sz w:val="18"/>
                  <w:szCs w:val="18"/>
                  <w:color w:val="0000FF"/>
                  <w:w w:val="91"/>
                </w:rPr>
                <w:t>March 31, 2018).</w:t>
              </w:r>
            </w:hyperlink>
          </w:p>
        </w:tc>
        <w:tc>
          <w:tcPr>
            <w:tcW w:w="8120" w:type="dxa"/>
            <w:vAlign w:val="bottom"/>
            <w:tcBorders>
              <w:top w:val="single" w:sz="8" w:color="0000FF"/>
            </w:tcBorders>
            <w:gridSpan w:val="22"/>
          </w:tcPr>
          <w:p>
            <w:pPr>
              <w:spacing w:after="0"/>
              <w:rPr>
                <w:sz w:val="17"/>
                <w:szCs w:val="17"/>
                <w:color w:val="auto"/>
              </w:rPr>
            </w:pPr>
          </w:p>
        </w:tc>
        <w:tc>
          <w:tcPr>
            <w:tcW w:w="380" w:type="dxa"/>
            <w:vAlign w:val="bottom"/>
            <w:gridSpan w:val="10"/>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00"/>
          </w:cols>
          <w:pgMar w:left="240" w:top="108" w:right="25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1400"/>
          </w:cols>
          <w:pgMar w:left="240" w:top="108" w:right="259" w:bottom="144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207"/>
        </w:trPr>
        <w:tc>
          <w:tcPr>
            <w:tcW w:w="16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01"/>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10.56***</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540" w:type="dxa"/>
            <w:vAlign w:val="bottom"/>
            <w:tcBorders>
              <w:bottom w:val="single" w:sz="8" w:color="0000FF"/>
            </w:tcBorders>
            <w:gridSpan w:val="21"/>
          </w:tcPr>
          <w:p>
            <w:pPr>
              <w:spacing w:after="0"/>
              <w:rPr>
                <w:rFonts w:ascii="Arial" w:cs="Arial" w:eastAsia="Arial" w:hAnsi="Arial"/>
                <w:sz w:val="18"/>
                <w:szCs w:val="18"/>
                <w:color w:val="0000FF"/>
                <w:w w:val="92"/>
              </w:rPr>
            </w:pPr>
            <w:hyperlink r:id="rId157">
              <w:r>
                <w:rPr>
                  <w:rFonts w:ascii="Arial" w:cs="Arial" w:eastAsia="Arial" w:hAnsi="Arial"/>
                  <w:sz w:val="18"/>
                  <w:szCs w:val="18"/>
                  <w:color w:val="0000FF"/>
                  <w:w w:val="92"/>
                </w:rPr>
                <w:t>Form of PAA LTIP Grant Letter for Officers (August 2016) (incorporated by reference to Exhibit 10.5 to PAA’s Quarterly Report on</w:t>
              </w:r>
            </w:hyperlink>
          </w:p>
        </w:tc>
        <w:tc>
          <w:tcPr>
            <w:tcW w:w="180" w:type="dxa"/>
            <w:vAlign w:val="bottom"/>
            <w:gridSpan w:val="4"/>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Borders>
              <w:bottom w:val="single" w:sz="8" w:color="0000FF"/>
            </w:tcBorders>
            <w:gridSpan w:val="7"/>
          </w:tcPr>
          <w:p>
            <w:pPr>
              <w:spacing w:after="0" w:line="196" w:lineRule="exact"/>
              <w:rPr>
                <w:rFonts w:ascii="Arial" w:cs="Arial" w:eastAsia="Arial" w:hAnsi="Arial"/>
                <w:sz w:val="18"/>
                <w:szCs w:val="18"/>
                <w:color w:val="0000FF"/>
                <w:w w:val="89"/>
              </w:rPr>
            </w:pPr>
            <w:hyperlink r:id="rId157">
              <w:r>
                <w:rPr>
                  <w:rFonts w:ascii="Arial" w:cs="Arial" w:eastAsia="Arial" w:hAnsi="Arial"/>
                  <w:sz w:val="18"/>
                  <w:szCs w:val="18"/>
                  <w:color w:val="0000FF"/>
                  <w:w w:val="89"/>
                </w:rPr>
                <w:t>Form 10-Q for the quarter ended September 30, 2016).</w:t>
              </w:r>
            </w:hyperlink>
          </w:p>
        </w:tc>
        <w:tc>
          <w:tcPr>
            <w:tcW w:w="5760" w:type="dxa"/>
            <w:vAlign w:val="bottom"/>
            <w:gridSpan w:val="18"/>
          </w:tcPr>
          <w:p>
            <w:pPr>
              <w:spacing w:after="0"/>
              <w:rPr>
                <w:sz w:val="17"/>
                <w:szCs w:val="17"/>
                <w:color w:val="auto"/>
              </w:rPr>
            </w:pPr>
          </w:p>
        </w:tc>
      </w:tr>
      <w:tr>
        <w:trPr>
          <w:trHeight w:val="412"/>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10.57***</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40" w:type="dxa"/>
            <w:vAlign w:val="bottom"/>
            <w:tcBorders>
              <w:bottom w:val="single" w:sz="8" w:color="0000FF"/>
            </w:tcBorders>
            <w:gridSpan w:val="23"/>
          </w:tcPr>
          <w:p>
            <w:pPr>
              <w:spacing w:after="0"/>
              <w:rPr>
                <w:rFonts w:ascii="Arial" w:cs="Arial" w:eastAsia="Arial" w:hAnsi="Arial"/>
                <w:sz w:val="18"/>
                <w:szCs w:val="18"/>
                <w:color w:val="0000FF"/>
                <w:w w:val="91"/>
              </w:rPr>
            </w:pPr>
            <w:hyperlink r:id="rId158">
              <w:r>
                <w:rPr>
                  <w:rFonts w:ascii="Arial" w:cs="Arial" w:eastAsia="Arial" w:hAnsi="Arial"/>
                  <w:sz w:val="18"/>
                  <w:szCs w:val="18"/>
                  <w:color w:val="0000FF"/>
                  <w:w w:val="91"/>
                </w:rPr>
                <w:t>Form of Amendment dated March 22, 2018 to PAA LTIP Grant Letter dated August 25, 2016 (Officers) (incorporated by reference to</w:t>
              </w:r>
            </w:hyperlink>
          </w:p>
        </w:tc>
        <w:tc>
          <w:tcPr>
            <w:tcW w:w="80" w:type="dxa"/>
            <w:vAlign w:val="bottom"/>
            <w:gridSpan w:val="2"/>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56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158">
              <w:r>
                <w:rPr>
                  <w:rFonts w:ascii="Arial" w:cs="Arial" w:eastAsia="Arial" w:hAnsi="Arial"/>
                  <w:sz w:val="18"/>
                  <w:szCs w:val="18"/>
                  <w:color w:val="0000FF"/>
                  <w:w w:val="91"/>
                </w:rPr>
                <w:t>Exhibit 10.4 to our Quarterly Report on Form 10-Q for the quarter ended March 31, 2018).</w:t>
              </w:r>
            </w:hyperlink>
          </w:p>
        </w:tc>
        <w:tc>
          <w:tcPr>
            <w:tcW w:w="3160" w:type="dxa"/>
            <w:vAlign w:val="bottom"/>
            <w:gridSpan w:val="13"/>
          </w:tcPr>
          <w:p>
            <w:pPr>
              <w:spacing w:after="0"/>
              <w:rPr>
                <w:sz w:val="17"/>
                <w:szCs w:val="17"/>
                <w:color w:val="auto"/>
              </w:rPr>
            </w:pPr>
          </w:p>
        </w:tc>
      </w:tr>
      <w:tr>
        <w:trPr>
          <w:trHeight w:val="385"/>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10.58***</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720" w:type="dxa"/>
            <w:vAlign w:val="bottom"/>
            <w:gridSpan w:val="25"/>
          </w:tcPr>
          <w:p>
            <w:pPr>
              <w:spacing w:after="0"/>
              <w:rPr>
                <w:rFonts w:ascii="Arial" w:cs="Arial" w:eastAsia="Arial" w:hAnsi="Arial"/>
                <w:sz w:val="18"/>
                <w:szCs w:val="18"/>
                <w:color w:val="0000FF"/>
                <w:w w:val="92"/>
              </w:rPr>
            </w:pPr>
            <w:hyperlink r:id="rId159">
              <w:r>
                <w:rPr>
                  <w:rFonts w:ascii="Arial" w:cs="Arial" w:eastAsia="Arial" w:hAnsi="Arial"/>
                  <w:sz w:val="18"/>
                  <w:szCs w:val="18"/>
                  <w:color w:val="0000FF"/>
                  <w:w w:val="92"/>
                </w:rPr>
                <w:t>Form of LTIP Grant Letter for Officers (July 2017) (incorporated by reference to Exhibit 10.4 to PAA’s Quarterly Report on Form 10-</w:t>
              </w:r>
            </w:hyperlink>
          </w:p>
        </w:tc>
      </w:tr>
      <w:tr>
        <w:trPr>
          <w:trHeight w:val="196"/>
        </w:trPr>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8"/>
              </w:rPr>
            </w:pPr>
            <w:hyperlink r:id="rId159">
              <w:r>
                <w:rPr>
                  <w:rFonts w:ascii="Arial" w:cs="Arial" w:eastAsia="Arial" w:hAnsi="Arial"/>
                  <w:sz w:val="18"/>
                  <w:szCs w:val="18"/>
                  <w:color w:val="0000FF"/>
                  <w:w w:val="88"/>
                </w:rPr>
                <w:t>Q for the quarter ended June 30, 2017).</w:t>
              </w:r>
            </w:hyperlink>
          </w:p>
        </w:tc>
        <w:tc>
          <w:tcPr>
            <w:tcW w:w="6800" w:type="dxa"/>
            <w:vAlign w:val="bottom"/>
            <w:tcBorders>
              <w:top w:val="single" w:sz="8" w:color="0000FF"/>
            </w:tcBorders>
            <w:gridSpan w:val="22"/>
          </w:tcPr>
          <w:p>
            <w:pPr>
              <w:spacing w:after="0"/>
              <w:rPr>
                <w:sz w:val="17"/>
                <w:szCs w:val="17"/>
                <w:color w:val="auto"/>
              </w:rPr>
            </w:pPr>
          </w:p>
        </w:tc>
        <w:tc>
          <w:tcPr>
            <w:tcW w:w="80" w:type="dxa"/>
            <w:vAlign w:val="bottom"/>
            <w:gridSpan w:val="2"/>
          </w:tcPr>
          <w:p>
            <w:pPr>
              <w:spacing w:after="0"/>
              <w:rPr>
                <w:sz w:val="17"/>
                <w:szCs w:val="17"/>
                <w:color w:val="auto"/>
              </w:rPr>
            </w:pPr>
          </w:p>
        </w:tc>
      </w:tr>
      <w:tr>
        <w:trPr>
          <w:trHeight w:val="385"/>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10.59***</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720" w:type="dxa"/>
            <w:vAlign w:val="bottom"/>
            <w:tcBorders>
              <w:bottom w:val="single" w:sz="8" w:color="0000FF"/>
            </w:tcBorders>
            <w:gridSpan w:val="25"/>
          </w:tcPr>
          <w:p>
            <w:pPr>
              <w:spacing w:after="0"/>
              <w:rPr>
                <w:rFonts w:ascii="Arial" w:cs="Arial" w:eastAsia="Arial" w:hAnsi="Arial"/>
                <w:sz w:val="18"/>
                <w:szCs w:val="18"/>
                <w:color w:val="0000FF"/>
                <w:w w:val="92"/>
              </w:rPr>
            </w:pPr>
            <w:hyperlink r:id="rId160">
              <w:r>
                <w:rPr>
                  <w:rFonts w:ascii="Arial" w:cs="Arial" w:eastAsia="Arial" w:hAnsi="Arial"/>
                  <w:sz w:val="18"/>
                  <w:szCs w:val="18"/>
                  <w:color w:val="0000FF"/>
                  <w:w w:val="92"/>
                </w:rPr>
                <w:t>Form of PAA LTIP Grant Letter for Officers (March 2018) (incorporated by reference to Exhibit 10.5 to our Quarterly Report on Form</w:t>
              </w:r>
            </w:hyperlink>
          </w:p>
        </w:tc>
      </w:tr>
      <w:tr>
        <w:trPr>
          <w:trHeight w:val="196"/>
        </w:trPr>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2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160">
              <w:r>
                <w:rPr>
                  <w:rFonts w:ascii="Arial" w:cs="Arial" w:eastAsia="Arial" w:hAnsi="Arial"/>
                  <w:sz w:val="18"/>
                  <w:szCs w:val="18"/>
                  <w:color w:val="0000FF"/>
                  <w:w w:val="90"/>
                </w:rPr>
                <w:t>10-Q for the quarter ended March 31, 2018).</w:t>
              </w:r>
            </w:hyperlink>
          </w:p>
        </w:tc>
        <w:tc>
          <w:tcPr>
            <w:tcW w:w="6500" w:type="dxa"/>
            <w:vAlign w:val="bottom"/>
            <w:gridSpan w:val="22"/>
          </w:tcPr>
          <w:p>
            <w:pPr>
              <w:spacing w:after="0"/>
              <w:rPr>
                <w:sz w:val="17"/>
                <w:szCs w:val="17"/>
                <w:color w:val="auto"/>
              </w:rPr>
            </w:pPr>
          </w:p>
        </w:tc>
      </w:tr>
      <w:tr>
        <w:trPr>
          <w:trHeight w:val="412"/>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10.60***</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720" w:type="dxa"/>
            <w:vAlign w:val="bottom"/>
            <w:gridSpan w:val="25"/>
          </w:tcPr>
          <w:p>
            <w:pPr>
              <w:spacing w:after="0"/>
              <w:rPr>
                <w:rFonts w:ascii="Arial" w:cs="Arial" w:eastAsia="Arial" w:hAnsi="Arial"/>
                <w:sz w:val="18"/>
                <w:szCs w:val="18"/>
                <w:color w:val="0000FF"/>
                <w:w w:val="94"/>
              </w:rPr>
            </w:pPr>
            <w:hyperlink r:id="rId161">
              <w:r>
                <w:rPr>
                  <w:rFonts w:ascii="Arial" w:cs="Arial" w:eastAsia="Arial" w:hAnsi="Arial"/>
                  <w:sz w:val="18"/>
                  <w:szCs w:val="18"/>
                  <w:color w:val="0000FF"/>
                  <w:w w:val="94"/>
                </w:rPr>
                <w:t>Form of Director LTIP Grant Letter (February 2017) - Director Grant - Designated Directors and Audit Committee Members (PAA</w:t>
              </w:r>
            </w:hyperlink>
          </w:p>
        </w:tc>
      </w:tr>
      <w:tr>
        <w:trPr>
          <w:trHeight w:val="196"/>
        </w:trPr>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2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1"/>
              </w:rPr>
            </w:pPr>
            <w:hyperlink r:id="rId161">
              <w:r>
                <w:rPr>
                  <w:rFonts w:ascii="Arial" w:cs="Arial" w:eastAsia="Arial" w:hAnsi="Arial"/>
                  <w:sz w:val="18"/>
                  <w:szCs w:val="18"/>
                  <w:color w:val="0000FF"/>
                  <w:w w:val="91"/>
                </w:rPr>
                <w:t>Plan) (incorporated by reference to Exhibit 10.1 to PAA’s Quarterly Report on Form 10-Q for the quarter ended March 31, 2017).</w:t>
              </w:r>
            </w:hyperlink>
          </w:p>
        </w:tc>
        <w:tc>
          <w:tcPr>
            <w:tcW w:w="120" w:type="dxa"/>
            <w:vAlign w:val="bottom"/>
            <w:tcBorders>
              <w:top w:val="single" w:sz="8" w:color="0000FF"/>
            </w:tcBorders>
          </w:tcPr>
          <w:p>
            <w:pPr>
              <w:spacing w:after="0"/>
              <w:rPr>
                <w:sz w:val="17"/>
                <w:szCs w:val="17"/>
                <w:color w:val="auto"/>
              </w:rPr>
            </w:pPr>
          </w:p>
        </w:tc>
        <w:tc>
          <w:tcPr>
            <w:tcW w:w="280" w:type="dxa"/>
            <w:vAlign w:val="bottom"/>
            <w:gridSpan w:val="6"/>
          </w:tcPr>
          <w:p>
            <w:pPr>
              <w:spacing w:after="0"/>
              <w:rPr>
                <w:sz w:val="17"/>
                <w:szCs w:val="17"/>
                <w:color w:val="auto"/>
              </w:rPr>
            </w:pPr>
          </w:p>
        </w:tc>
      </w:tr>
      <w:tr>
        <w:trPr>
          <w:trHeight w:val="412"/>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10.61***</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720" w:type="dxa"/>
            <w:vAlign w:val="bottom"/>
            <w:gridSpan w:val="25"/>
          </w:tcPr>
          <w:p>
            <w:pPr>
              <w:spacing w:after="0"/>
              <w:rPr>
                <w:rFonts w:ascii="Arial" w:cs="Arial" w:eastAsia="Arial" w:hAnsi="Arial"/>
                <w:sz w:val="18"/>
                <w:szCs w:val="18"/>
                <w:color w:val="0000FF"/>
                <w:w w:val="92"/>
              </w:rPr>
            </w:pPr>
            <w:hyperlink r:id="rId162">
              <w:r>
                <w:rPr>
                  <w:rFonts w:ascii="Arial" w:cs="Arial" w:eastAsia="Arial" w:hAnsi="Arial"/>
                  <w:sz w:val="18"/>
                  <w:szCs w:val="18"/>
                  <w:color w:val="0000FF"/>
                  <w:w w:val="92"/>
                </w:rPr>
                <w:t>Form of Director LTIP Grant Letter (February 2017) - Audit Committee Supplement (PAA Plan) (incorporated by reference to Exhibit</w:t>
              </w:r>
            </w:hyperlink>
          </w:p>
        </w:tc>
      </w:tr>
      <w:tr>
        <w:trPr>
          <w:trHeight w:val="196"/>
        </w:trPr>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18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0"/>
              </w:rPr>
            </w:pPr>
            <w:hyperlink r:id="rId162">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2</w:t>
              </w:r>
              <w:r>
                <w:rPr>
                  <w:rFonts w:ascii="Arial" w:cs="Arial" w:eastAsia="Arial" w:hAnsi="Arial"/>
                  <w:sz w:val="18"/>
                  <w:szCs w:val="18"/>
                  <w:color w:val="0000FF"/>
                  <w:w w:val="90"/>
                </w:rPr>
                <w:t xml:space="preserve"> to PAA’s Quarterly Report on Form 10-Q for the quarter ended March 31, 2017).</w:t>
              </w:r>
            </w:hyperlink>
          </w:p>
        </w:tc>
        <w:tc>
          <w:tcPr>
            <w:tcW w:w="3500" w:type="dxa"/>
            <w:vAlign w:val="bottom"/>
            <w:tcBorders>
              <w:top w:val="single" w:sz="8" w:color="0000FF"/>
            </w:tcBorders>
            <w:gridSpan w:val="13"/>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10.62***</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520" w:type="dxa"/>
            <w:vAlign w:val="bottom"/>
            <w:tcBorders>
              <w:bottom w:val="single" w:sz="8" w:color="0000FF"/>
            </w:tcBorders>
            <w:gridSpan w:val="20"/>
          </w:tcPr>
          <w:p>
            <w:pPr>
              <w:spacing w:after="0"/>
              <w:rPr>
                <w:rFonts w:ascii="Arial" w:cs="Arial" w:eastAsia="Arial" w:hAnsi="Arial"/>
                <w:sz w:val="18"/>
                <w:szCs w:val="18"/>
                <w:color w:val="0000FF"/>
                <w:w w:val="92"/>
              </w:rPr>
            </w:pPr>
            <w:hyperlink r:id="rId163">
              <w:r>
                <w:rPr>
                  <w:rFonts w:ascii="Arial" w:cs="Arial" w:eastAsia="Arial" w:hAnsi="Arial"/>
                  <w:sz w:val="18"/>
                  <w:szCs w:val="18"/>
                  <w:color w:val="0000FF"/>
                  <w:w w:val="92"/>
                </w:rPr>
                <w:t>Form of Director LTIP Grant Letter (February 2017) - Independent Director Grant (PAA Plan) (incorporated by reference to Exhibit</w:t>
              </w:r>
            </w:hyperlink>
          </w:p>
        </w:tc>
        <w:tc>
          <w:tcPr>
            <w:tcW w:w="200" w:type="dxa"/>
            <w:vAlign w:val="bottom"/>
            <w:gridSpan w:val="5"/>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18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163">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3</w:t>
              </w:r>
              <w:r>
                <w:rPr>
                  <w:rFonts w:ascii="Arial" w:cs="Arial" w:eastAsia="Arial" w:hAnsi="Arial"/>
                  <w:sz w:val="18"/>
                  <w:szCs w:val="18"/>
                  <w:color w:val="0000FF"/>
                  <w:w w:val="90"/>
                </w:rPr>
                <w:t xml:space="preserve"> to PAA’s Quarterly Report on Form 10-Q for the quarter ended March 31, 2017).</w:t>
              </w:r>
            </w:hyperlink>
          </w:p>
        </w:tc>
        <w:tc>
          <w:tcPr>
            <w:tcW w:w="3540" w:type="dxa"/>
            <w:vAlign w:val="bottom"/>
            <w:gridSpan w:val="14"/>
          </w:tcPr>
          <w:p>
            <w:pPr>
              <w:spacing w:after="0"/>
              <w:rPr>
                <w:sz w:val="17"/>
                <w:szCs w:val="17"/>
                <w:color w:val="auto"/>
              </w:rPr>
            </w:pPr>
          </w:p>
        </w:tc>
      </w:tr>
      <w:tr>
        <w:trPr>
          <w:trHeight w:val="412"/>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10.63***</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720" w:type="dxa"/>
            <w:vAlign w:val="bottom"/>
            <w:gridSpan w:val="25"/>
          </w:tcPr>
          <w:p>
            <w:pPr>
              <w:spacing w:after="0"/>
              <w:rPr>
                <w:rFonts w:ascii="Arial" w:cs="Arial" w:eastAsia="Arial" w:hAnsi="Arial"/>
                <w:sz w:val="18"/>
                <w:szCs w:val="18"/>
                <w:color w:val="0000FF"/>
                <w:w w:val="93"/>
              </w:rPr>
            </w:pPr>
            <w:hyperlink r:id="rId164">
              <w:r>
                <w:rPr>
                  <w:rFonts w:ascii="Arial" w:cs="Arial" w:eastAsia="Arial" w:hAnsi="Arial"/>
                  <w:sz w:val="18"/>
                  <w:szCs w:val="18"/>
                  <w:color w:val="0000FF"/>
                  <w:w w:val="93"/>
                </w:rPr>
                <w:t>Form of Director LTIP Grant Letter (February 2017) - Director Grant - Designated Directors and Audit Committee Members (PAGP</w:t>
              </w:r>
            </w:hyperlink>
          </w:p>
        </w:tc>
      </w:tr>
      <w:tr>
        <w:trPr>
          <w:trHeight w:val="196"/>
        </w:trPr>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2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1"/>
              </w:rPr>
            </w:pPr>
            <w:hyperlink r:id="rId164">
              <w:r>
                <w:rPr>
                  <w:rFonts w:ascii="Arial" w:cs="Arial" w:eastAsia="Arial" w:hAnsi="Arial"/>
                  <w:sz w:val="18"/>
                  <w:szCs w:val="18"/>
                  <w:color w:val="0000FF"/>
                  <w:w w:val="91"/>
                </w:rPr>
                <w:t>Plan) (incorporated by reference to Exhibit 10.1 to our Quarterly Report on Form 10-Q for the quarter ended March 31, 2017).</w:t>
              </w:r>
            </w:hyperlink>
          </w:p>
        </w:tc>
        <w:tc>
          <w:tcPr>
            <w:tcW w:w="420" w:type="dxa"/>
            <w:vAlign w:val="bottom"/>
            <w:tcBorders>
              <w:top w:val="single" w:sz="8" w:color="0000FF"/>
            </w:tcBorders>
            <w:gridSpan w:val="6"/>
          </w:tcPr>
          <w:p>
            <w:pPr>
              <w:spacing w:after="0"/>
              <w:rPr>
                <w:sz w:val="17"/>
                <w:szCs w:val="17"/>
                <w:color w:val="auto"/>
              </w:rPr>
            </w:pPr>
          </w:p>
        </w:tc>
        <w:tc>
          <w:tcPr>
            <w:tcW w:w="180" w:type="dxa"/>
            <w:vAlign w:val="bottom"/>
            <w:gridSpan w:val="4"/>
          </w:tcPr>
          <w:p>
            <w:pPr>
              <w:spacing w:after="0"/>
              <w:rPr>
                <w:sz w:val="17"/>
                <w:szCs w:val="17"/>
                <w:color w:val="auto"/>
              </w:rPr>
            </w:pPr>
          </w:p>
        </w:tc>
      </w:tr>
      <w:tr>
        <w:trPr>
          <w:trHeight w:val="412"/>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10.64***</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20" w:type="dxa"/>
            <w:vAlign w:val="bottom"/>
            <w:tcBorders>
              <w:bottom w:val="single" w:sz="8" w:color="0000FF"/>
            </w:tcBorders>
            <w:gridSpan w:val="17"/>
          </w:tcPr>
          <w:p>
            <w:pPr>
              <w:spacing w:after="0"/>
              <w:rPr>
                <w:rFonts w:ascii="Arial" w:cs="Arial" w:eastAsia="Arial" w:hAnsi="Arial"/>
                <w:sz w:val="18"/>
                <w:szCs w:val="18"/>
                <w:color w:val="0000FF"/>
                <w:w w:val="91"/>
              </w:rPr>
            </w:pPr>
            <w:hyperlink r:id="rId165">
              <w:r>
                <w:rPr>
                  <w:rFonts w:ascii="Arial" w:cs="Arial" w:eastAsia="Arial" w:hAnsi="Arial"/>
                  <w:sz w:val="18"/>
                  <w:szCs w:val="18"/>
                  <w:color w:val="0000FF"/>
                  <w:w w:val="91"/>
                </w:rPr>
                <w:t>Form of Director LTIP Grant Letter (February 2017) - Audit Committee Supplement (PAGP Plan) (incorporated by reference to</w:t>
              </w:r>
            </w:hyperlink>
          </w:p>
        </w:tc>
        <w:tc>
          <w:tcPr>
            <w:tcW w:w="500" w:type="dxa"/>
            <w:vAlign w:val="bottom"/>
            <w:gridSpan w:val="8"/>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56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165">
              <w:r>
                <w:rPr>
                  <w:rFonts w:ascii="Arial" w:cs="Arial" w:eastAsia="Arial" w:hAnsi="Arial"/>
                  <w:sz w:val="18"/>
                  <w:szCs w:val="18"/>
                  <w:color w:val="0000FF"/>
                  <w:w w:val="91"/>
                </w:rPr>
                <w:t>Exhibit 10.2 to our Quarterly Report on Form 10-Q for the quarter ended March 31, 2017).</w:t>
              </w:r>
            </w:hyperlink>
          </w:p>
        </w:tc>
        <w:tc>
          <w:tcPr>
            <w:tcW w:w="3160" w:type="dxa"/>
            <w:vAlign w:val="bottom"/>
            <w:gridSpan w:val="13"/>
          </w:tcPr>
          <w:p>
            <w:pPr>
              <w:spacing w:after="0"/>
              <w:rPr>
                <w:sz w:val="17"/>
                <w:szCs w:val="17"/>
                <w:color w:val="auto"/>
              </w:rPr>
            </w:pPr>
          </w:p>
        </w:tc>
      </w:tr>
      <w:tr>
        <w:trPr>
          <w:trHeight w:val="412"/>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10.65***</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20" w:type="dxa"/>
            <w:vAlign w:val="bottom"/>
            <w:tcBorders>
              <w:bottom w:val="single" w:sz="8" w:color="0000FF"/>
            </w:tcBorders>
            <w:gridSpan w:val="22"/>
          </w:tcPr>
          <w:p>
            <w:pPr>
              <w:spacing w:after="0"/>
              <w:rPr>
                <w:rFonts w:ascii="Arial" w:cs="Arial" w:eastAsia="Arial" w:hAnsi="Arial"/>
                <w:sz w:val="18"/>
                <w:szCs w:val="18"/>
                <w:color w:val="0000FF"/>
                <w:w w:val="91"/>
              </w:rPr>
            </w:pPr>
            <w:hyperlink r:id="rId166">
              <w:r>
                <w:rPr>
                  <w:rFonts w:ascii="Arial" w:cs="Arial" w:eastAsia="Arial" w:hAnsi="Arial"/>
                  <w:sz w:val="18"/>
                  <w:szCs w:val="18"/>
                  <w:color w:val="0000FF"/>
                  <w:w w:val="91"/>
                </w:rPr>
                <w:t>Form of Director LTIP Grant Letter (February 2017) - Independent Director Grant (PAGP Plan) (incorporated by reference to Exhibit</w:t>
              </w:r>
            </w:hyperlink>
          </w:p>
        </w:tc>
        <w:tc>
          <w:tcPr>
            <w:tcW w:w="100" w:type="dxa"/>
            <w:vAlign w:val="bottom"/>
            <w:gridSpan w:val="3"/>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98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166">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3</w:t>
              </w:r>
              <w:r>
                <w:rPr>
                  <w:rFonts w:ascii="Arial" w:cs="Arial" w:eastAsia="Arial" w:hAnsi="Arial"/>
                  <w:sz w:val="18"/>
                  <w:szCs w:val="18"/>
                  <w:color w:val="0000FF"/>
                  <w:w w:val="90"/>
                </w:rPr>
                <w:t xml:space="preserve"> to our Quarterly Report on Form 10-Q for the quarter ended March 31, 2017).</w:t>
              </w:r>
            </w:hyperlink>
          </w:p>
        </w:tc>
        <w:tc>
          <w:tcPr>
            <w:tcW w:w="3740" w:type="dxa"/>
            <w:vAlign w:val="bottom"/>
            <w:gridSpan w:val="15"/>
          </w:tcPr>
          <w:p>
            <w:pPr>
              <w:spacing w:after="0"/>
              <w:rPr>
                <w:sz w:val="17"/>
                <w:szCs w:val="17"/>
                <w:color w:val="auto"/>
              </w:rPr>
            </w:pPr>
          </w:p>
        </w:tc>
      </w:tr>
      <w:tr>
        <w:trPr>
          <w:trHeight w:val="412"/>
        </w:trPr>
        <w:tc>
          <w:tcPr>
            <w:tcW w:w="1080" w:type="dxa"/>
            <w:vAlign w:val="bottom"/>
          </w:tcPr>
          <w:p>
            <w:pPr>
              <w:jc w:val="center"/>
              <w:spacing w:after="0"/>
              <w:rPr>
                <w:sz w:val="20"/>
                <w:szCs w:val="20"/>
                <w:color w:val="auto"/>
              </w:rPr>
            </w:pPr>
            <w:r>
              <w:rPr>
                <w:rFonts w:ascii="Arial" w:cs="Arial" w:eastAsia="Arial" w:hAnsi="Arial"/>
                <w:sz w:val="18"/>
                <w:szCs w:val="18"/>
                <w:color w:val="auto"/>
              </w:rPr>
              <w:t>10.66***†</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720" w:type="dxa"/>
            <w:vAlign w:val="bottom"/>
            <w:gridSpan w:val="25"/>
          </w:tcPr>
          <w:p>
            <w:pPr>
              <w:spacing w:after="0"/>
              <w:rPr>
                <w:rFonts w:ascii="Arial" w:cs="Arial" w:eastAsia="Arial" w:hAnsi="Arial"/>
                <w:sz w:val="18"/>
                <w:szCs w:val="18"/>
                <w:color w:val="0000FF"/>
              </w:rPr>
            </w:pPr>
            <w:hyperlink w:anchor="page191">
              <w:r>
                <w:rPr>
                  <w:rFonts w:ascii="Arial" w:cs="Arial" w:eastAsia="Arial" w:hAnsi="Arial"/>
                  <w:sz w:val="18"/>
                  <w:szCs w:val="18"/>
                  <w:color w:val="0000FF"/>
                </w:rPr>
                <w:t>Form of Director LTIP Grant Letter (August 2018).</w:t>
              </w:r>
            </w:hyperlink>
          </w:p>
        </w:tc>
      </w:tr>
      <w:tr>
        <w:trPr>
          <w:trHeight w:val="412"/>
        </w:trPr>
        <w:tc>
          <w:tcPr>
            <w:tcW w:w="1080" w:type="dxa"/>
            <w:vAlign w:val="bottom"/>
          </w:tcPr>
          <w:p>
            <w:pPr>
              <w:jc w:val="center"/>
              <w:spacing w:after="0"/>
              <w:rPr>
                <w:sz w:val="20"/>
                <w:szCs w:val="20"/>
                <w:color w:val="auto"/>
              </w:rPr>
            </w:pPr>
            <w:r>
              <w:rPr>
                <w:rFonts w:ascii="Arial" w:cs="Arial" w:eastAsia="Arial" w:hAnsi="Arial"/>
                <w:sz w:val="18"/>
                <w:szCs w:val="18"/>
                <w:color w:val="auto"/>
              </w:rPr>
              <w:t>10.67***†</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30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194">
              <w:r>
                <w:rPr>
                  <w:rFonts w:ascii="Arial" w:cs="Arial" w:eastAsia="Arial" w:hAnsi="Arial"/>
                  <w:sz w:val="18"/>
                  <w:szCs w:val="18"/>
                  <w:color w:val="0000FF"/>
                  <w:w w:val="91"/>
                </w:rPr>
                <w:t>Director LTIP Grant Letter (December 2018).</w:t>
              </w:r>
            </w:hyperlink>
          </w:p>
        </w:tc>
        <w:tc>
          <w:tcPr>
            <w:tcW w:w="400" w:type="dxa"/>
            <w:vAlign w:val="bottom"/>
            <w:tcBorders>
              <w:top w:val="single" w:sz="8" w:color="0000FF"/>
            </w:tcBorders>
            <w:gridSpan w:val="2"/>
          </w:tcPr>
          <w:p>
            <w:pPr>
              <w:spacing w:after="0"/>
              <w:rPr>
                <w:sz w:val="24"/>
                <w:szCs w:val="24"/>
                <w:color w:val="auto"/>
              </w:rPr>
            </w:pPr>
          </w:p>
        </w:tc>
        <w:tc>
          <w:tcPr>
            <w:tcW w:w="6020" w:type="dxa"/>
            <w:vAlign w:val="bottom"/>
            <w:gridSpan w:val="19"/>
          </w:tcPr>
          <w:p>
            <w:pPr>
              <w:spacing w:after="0"/>
              <w:rPr>
                <w:sz w:val="24"/>
                <w:szCs w:val="24"/>
                <w:color w:val="auto"/>
              </w:rPr>
            </w:pPr>
          </w:p>
        </w:tc>
      </w:tr>
      <w:tr>
        <w:trPr>
          <w:trHeight w:val="412"/>
        </w:trPr>
        <w:tc>
          <w:tcPr>
            <w:tcW w:w="1080" w:type="dxa"/>
            <w:vAlign w:val="bottom"/>
          </w:tcPr>
          <w:p>
            <w:pPr>
              <w:jc w:val="center"/>
              <w:spacing w:after="0"/>
              <w:rPr>
                <w:sz w:val="20"/>
                <w:szCs w:val="20"/>
                <w:color w:val="auto"/>
              </w:rPr>
            </w:pPr>
            <w:r>
              <w:rPr>
                <w:rFonts w:ascii="Arial" w:cs="Arial" w:eastAsia="Arial" w:hAnsi="Arial"/>
                <w:sz w:val="18"/>
                <w:szCs w:val="18"/>
                <w:color w:val="auto"/>
                <w:w w:val="93"/>
              </w:rPr>
              <w:t>10.68</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720" w:type="dxa"/>
            <w:vAlign w:val="bottom"/>
            <w:gridSpan w:val="25"/>
          </w:tcPr>
          <w:p>
            <w:pPr>
              <w:spacing w:after="0"/>
              <w:rPr>
                <w:rFonts w:ascii="Arial" w:cs="Arial" w:eastAsia="Arial" w:hAnsi="Arial"/>
                <w:sz w:val="18"/>
                <w:szCs w:val="18"/>
                <w:color w:val="0000FF"/>
                <w:w w:val="95"/>
              </w:rPr>
            </w:pPr>
            <w:hyperlink r:id="rId167">
              <w:r>
                <w:rPr>
                  <w:rFonts w:ascii="Arial" w:cs="Arial" w:eastAsia="Arial" w:hAnsi="Arial"/>
                  <w:sz w:val="18"/>
                  <w:szCs w:val="18"/>
                  <w:color w:val="0000FF"/>
                  <w:w w:val="95"/>
                </w:rPr>
                <w:t>Contribution Agreement dated October 21, 2013, by and among Plains GP Holdings, L.P., PAA GP Holdings LLC and the other</w:t>
              </w:r>
            </w:hyperlink>
          </w:p>
        </w:tc>
      </w:tr>
      <w:tr>
        <w:trPr>
          <w:trHeight w:val="196"/>
        </w:trPr>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8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1"/>
              </w:rPr>
            </w:pPr>
            <w:hyperlink r:id="rId167">
              <w:r>
                <w:rPr>
                  <w:rFonts w:ascii="Arial" w:cs="Arial" w:eastAsia="Arial" w:hAnsi="Arial"/>
                  <w:sz w:val="18"/>
                  <w:szCs w:val="18"/>
                  <w:color w:val="0000FF"/>
                  <w:w w:val="91"/>
                </w:rPr>
                <w:t>parties signatory thereto (incorporated by reference to Exhibit 10.2 to our Current Report on Form 8-K filed October 25, 2013).</w:t>
              </w:r>
            </w:hyperlink>
          </w:p>
        </w:tc>
        <w:tc>
          <w:tcPr>
            <w:tcW w:w="40" w:type="dxa"/>
            <w:vAlign w:val="bottom"/>
            <w:tcBorders>
              <w:top w:val="single" w:sz="8" w:color="0000FF"/>
            </w:tcBorders>
          </w:tcPr>
          <w:p>
            <w:pPr>
              <w:spacing w:after="0"/>
              <w:rPr>
                <w:sz w:val="17"/>
                <w:szCs w:val="17"/>
                <w:color w:val="auto"/>
              </w:rPr>
            </w:pPr>
          </w:p>
        </w:tc>
        <w:tc>
          <w:tcPr>
            <w:tcW w:w="500" w:type="dxa"/>
            <w:vAlign w:val="bottom"/>
            <w:gridSpan w:val="8"/>
          </w:tcPr>
          <w:p>
            <w:pPr>
              <w:spacing w:after="0"/>
              <w:rPr>
                <w:sz w:val="17"/>
                <w:szCs w:val="17"/>
                <w:color w:val="auto"/>
              </w:rPr>
            </w:pPr>
          </w:p>
        </w:tc>
      </w:tr>
      <w:tr>
        <w:trPr>
          <w:trHeight w:val="412"/>
        </w:trPr>
        <w:tc>
          <w:tcPr>
            <w:tcW w:w="1080" w:type="dxa"/>
            <w:vAlign w:val="bottom"/>
          </w:tcPr>
          <w:p>
            <w:pPr>
              <w:jc w:val="center"/>
              <w:spacing w:after="0"/>
              <w:rPr>
                <w:sz w:val="20"/>
                <w:szCs w:val="20"/>
                <w:color w:val="auto"/>
              </w:rPr>
            </w:pPr>
            <w:r>
              <w:rPr>
                <w:rFonts w:ascii="Arial" w:cs="Arial" w:eastAsia="Arial" w:hAnsi="Arial"/>
                <w:sz w:val="18"/>
                <w:szCs w:val="18"/>
                <w:color w:val="auto"/>
                <w:w w:val="91"/>
              </w:rPr>
              <w:t>21.1 †</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4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197">
              <w:r>
                <w:rPr>
                  <w:rFonts w:ascii="Arial" w:cs="Arial" w:eastAsia="Arial" w:hAnsi="Arial"/>
                  <w:sz w:val="18"/>
                  <w:szCs w:val="18"/>
                  <w:color w:val="0000FF"/>
                  <w:w w:val="91"/>
                </w:rPr>
                <w:t>List of Subsidiaries of Plains GP Holdings, L.P.</w:t>
              </w:r>
            </w:hyperlink>
          </w:p>
        </w:tc>
        <w:tc>
          <w:tcPr>
            <w:tcW w:w="6280" w:type="dxa"/>
            <w:vAlign w:val="bottom"/>
            <w:gridSpan w:val="20"/>
          </w:tcPr>
          <w:p>
            <w:pPr>
              <w:spacing w:after="0"/>
              <w:rPr>
                <w:sz w:val="24"/>
                <w:szCs w:val="24"/>
                <w:color w:val="auto"/>
              </w:rPr>
            </w:pPr>
          </w:p>
        </w:tc>
      </w:tr>
      <w:tr>
        <w:trPr>
          <w:trHeight w:val="412"/>
        </w:trPr>
        <w:tc>
          <w:tcPr>
            <w:tcW w:w="1080" w:type="dxa"/>
            <w:vAlign w:val="bottom"/>
          </w:tcPr>
          <w:p>
            <w:pPr>
              <w:jc w:val="center"/>
              <w:spacing w:after="0"/>
              <w:rPr>
                <w:sz w:val="20"/>
                <w:szCs w:val="20"/>
                <w:color w:val="auto"/>
              </w:rPr>
            </w:pPr>
            <w:r>
              <w:rPr>
                <w:rFonts w:ascii="Arial" w:cs="Arial" w:eastAsia="Arial" w:hAnsi="Arial"/>
                <w:sz w:val="18"/>
                <w:szCs w:val="18"/>
                <w:color w:val="auto"/>
                <w:w w:val="91"/>
              </w:rPr>
              <w:t>23.1 †</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02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199">
              <w:r>
                <w:rPr>
                  <w:rFonts w:ascii="Arial" w:cs="Arial" w:eastAsia="Arial" w:hAnsi="Arial"/>
                  <w:sz w:val="18"/>
                  <w:szCs w:val="18"/>
                  <w:color w:val="0000FF"/>
                  <w:w w:val="89"/>
                </w:rPr>
                <w:t>Consent of PricewaterhouseCoopers LLP.</w:t>
              </w:r>
            </w:hyperlink>
          </w:p>
        </w:tc>
        <w:tc>
          <w:tcPr>
            <w:tcW w:w="6700" w:type="dxa"/>
            <w:vAlign w:val="bottom"/>
            <w:gridSpan w:val="23"/>
          </w:tcPr>
          <w:p>
            <w:pPr>
              <w:spacing w:after="0"/>
              <w:rPr>
                <w:sz w:val="24"/>
                <w:szCs w:val="24"/>
                <w:color w:val="auto"/>
              </w:rPr>
            </w:pPr>
          </w:p>
        </w:tc>
      </w:tr>
      <w:tr>
        <w:trPr>
          <w:trHeight w:val="412"/>
        </w:trPr>
        <w:tc>
          <w:tcPr>
            <w:tcW w:w="1080" w:type="dxa"/>
            <w:vAlign w:val="bottom"/>
          </w:tcPr>
          <w:p>
            <w:pPr>
              <w:jc w:val="center"/>
              <w:spacing w:after="0"/>
              <w:rPr>
                <w:sz w:val="20"/>
                <w:szCs w:val="20"/>
                <w:color w:val="auto"/>
              </w:rPr>
            </w:pPr>
            <w:r>
              <w:rPr>
                <w:rFonts w:ascii="Arial" w:cs="Arial" w:eastAsia="Arial" w:hAnsi="Arial"/>
                <w:sz w:val="18"/>
                <w:szCs w:val="18"/>
                <w:color w:val="auto"/>
                <w:w w:val="91"/>
              </w:rPr>
              <w:t>31.1 †</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720" w:type="dxa"/>
            <w:vAlign w:val="bottom"/>
            <w:gridSpan w:val="25"/>
          </w:tcPr>
          <w:p>
            <w:pPr>
              <w:spacing w:after="0"/>
              <w:rPr>
                <w:rFonts w:ascii="Arial" w:cs="Arial" w:eastAsia="Arial" w:hAnsi="Arial"/>
                <w:sz w:val="18"/>
                <w:szCs w:val="18"/>
                <w:color w:val="0000FF"/>
              </w:rPr>
            </w:pPr>
            <w:hyperlink w:anchor="page200">
              <w:r>
                <w:rPr>
                  <w:rFonts w:ascii="Arial" w:cs="Arial" w:eastAsia="Arial" w:hAnsi="Arial"/>
                  <w:sz w:val="18"/>
                  <w:szCs w:val="18"/>
                  <w:color w:val="0000FF"/>
                </w:rPr>
                <w:t>Certification of Principal Executive Officer pursuant to Exchange Act Rules 13a-14(a) and 15d-14(a).</w:t>
              </w:r>
            </w:hyperlink>
          </w:p>
        </w:tc>
      </w:tr>
      <w:tr>
        <w:trPr>
          <w:trHeight w:val="412"/>
        </w:trPr>
        <w:tc>
          <w:tcPr>
            <w:tcW w:w="1080" w:type="dxa"/>
            <w:vAlign w:val="bottom"/>
          </w:tcPr>
          <w:p>
            <w:pPr>
              <w:jc w:val="center"/>
              <w:spacing w:after="0"/>
              <w:rPr>
                <w:sz w:val="20"/>
                <w:szCs w:val="20"/>
                <w:color w:val="auto"/>
              </w:rPr>
            </w:pPr>
            <w:r>
              <w:rPr>
                <w:rFonts w:ascii="Arial" w:cs="Arial" w:eastAsia="Arial" w:hAnsi="Arial"/>
                <w:sz w:val="18"/>
                <w:szCs w:val="18"/>
                <w:color w:val="auto"/>
                <w:w w:val="91"/>
              </w:rPr>
              <w:t>31.2 †</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30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1"/>
              </w:rPr>
            </w:pPr>
            <w:hyperlink w:anchor="page201">
              <w:r>
                <w:rPr>
                  <w:rFonts w:ascii="Arial" w:cs="Arial" w:eastAsia="Arial" w:hAnsi="Arial"/>
                  <w:sz w:val="18"/>
                  <w:szCs w:val="18"/>
                  <w:color w:val="0000FF"/>
                  <w:w w:val="91"/>
                </w:rPr>
                <w:t>Certification of Principal Financial Officer pursuant to Exchange Act Rules 13a-14(a) and 15d-14(a).</w:t>
              </w:r>
            </w:hyperlink>
          </w:p>
        </w:tc>
        <w:tc>
          <w:tcPr>
            <w:tcW w:w="40" w:type="dxa"/>
            <w:vAlign w:val="bottom"/>
            <w:tcBorders>
              <w:top w:val="single" w:sz="8" w:color="0000FF"/>
            </w:tcBorders>
          </w:tcPr>
          <w:p>
            <w:pPr>
              <w:spacing w:after="0"/>
              <w:rPr>
                <w:sz w:val="24"/>
                <w:szCs w:val="24"/>
                <w:color w:val="auto"/>
              </w:rPr>
            </w:pPr>
          </w:p>
        </w:tc>
        <w:tc>
          <w:tcPr>
            <w:tcW w:w="2380" w:type="dxa"/>
            <w:vAlign w:val="bottom"/>
            <w:gridSpan w:val="11"/>
          </w:tcPr>
          <w:p>
            <w:pPr>
              <w:spacing w:after="0"/>
              <w:rPr>
                <w:sz w:val="24"/>
                <w:szCs w:val="24"/>
                <w:color w:val="auto"/>
              </w:rPr>
            </w:pPr>
          </w:p>
        </w:tc>
      </w:tr>
      <w:tr>
        <w:trPr>
          <w:trHeight w:val="412"/>
        </w:trPr>
        <w:tc>
          <w:tcPr>
            <w:tcW w:w="1080" w:type="dxa"/>
            <w:vAlign w:val="bottom"/>
          </w:tcPr>
          <w:p>
            <w:pPr>
              <w:jc w:val="center"/>
              <w:spacing w:after="0"/>
              <w:rPr>
                <w:sz w:val="20"/>
                <w:szCs w:val="20"/>
                <w:color w:val="auto"/>
              </w:rPr>
            </w:pPr>
            <w:r>
              <w:rPr>
                <w:rFonts w:ascii="Arial" w:cs="Arial" w:eastAsia="Arial" w:hAnsi="Arial"/>
                <w:sz w:val="18"/>
                <w:szCs w:val="18"/>
                <w:color w:val="auto"/>
                <w:w w:val="89"/>
              </w:rPr>
              <w:t>32.1 ††</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720" w:type="dxa"/>
            <w:vAlign w:val="bottom"/>
            <w:gridSpan w:val="25"/>
          </w:tcPr>
          <w:p>
            <w:pPr>
              <w:spacing w:after="0"/>
              <w:rPr>
                <w:rFonts w:ascii="Arial" w:cs="Arial" w:eastAsia="Arial" w:hAnsi="Arial"/>
                <w:sz w:val="18"/>
                <w:szCs w:val="18"/>
                <w:color w:val="0000FF"/>
              </w:rPr>
            </w:pPr>
            <w:hyperlink w:anchor="page202">
              <w:r>
                <w:rPr>
                  <w:rFonts w:ascii="Arial" w:cs="Arial" w:eastAsia="Arial" w:hAnsi="Arial"/>
                  <w:sz w:val="18"/>
                  <w:szCs w:val="18"/>
                  <w:color w:val="0000FF"/>
                </w:rPr>
                <w:t>Certification of Principal Executive Officer pursuant to 18 U.S.C. 1350.</w:t>
              </w:r>
            </w:hyperlink>
          </w:p>
        </w:tc>
      </w:tr>
      <w:tr>
        <w:trPr>
          <w:trHeight w:val="412"/>
        </w:trPr>
        <w:tc>
          <w:tcPr>
            <w:tcW w:w="1080" w:type="dxa"/>
            <w:vAlign w:val="bottom"/>
          </w:tcPr>
          <w:p>
            <w:pPr>
              <w:jc w:val="center"/>
              <w:spacing w:after="0"/>
              <w:rPr>
                <w:sz w:val="20"/>
                <w:szCs w:val="20"/>
                <w:color w:val="auto"/>
              </w:rPr>
            </w:pPr>
            <w:r>
              <w:rPr>
                <w:rFonts w:ascii="Arial" w:cs="Arial" w:eastAsia="Arial" w:hAnsi="Arial"/>
                <w:sz w:val="18"/>
                <w:szCs w:val="18"/>
                <w:color w:val="auto"/>
                <w:w w:val="89"/>
              </w:rPr>
              <w:t>32.2 ††</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14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2"/>
              </w:rPr>
            </w:pPr>
            <w:hyperlink w:anchor="page203">
              <w:r>
                <w:rPr>
                  <w:rFonts w:ascii="Arial" w:cs="Arial" w:eastAsia="Arial" w:hAnsi="Arial"/>
                  <w:sz w:val="18"/>
                  <w:szCs w:val="18"/>
                  <w:color w:val="0000FF"/>
                  <w:w w:val="92"/>
                </w:rPr>
                <w:t>Certification of Principal Financial Officer pursuant to 18 U.S.C. 1350.</w:t>
              </w:r>
            </w:hyperlink>
          </w:p>
        </w:tc>
        <w:tc>
          <w:tcPr>
            <w:tcW w:w="40" w:type="dxa"/>
            <w:vAlign w:val="bottom"/>
            <w:tcBorders>
              <w:top w:val="single" w:sz="8" w:color="0000FF"/>
            </w:tcBorders>
          </w:tcPr>
          <w:p>
            <w:pPr>
              <w:spacing w:after="0"/>
              <w:rPr>
                <w:sz w:val="24"/>
                <w:szCs w:val="24"/>
                <w:color w:val="auto"/>
              </w:rPr>
            </w:pPr>
          </w:p>
        </w:tc>
        <w:tc>
          <w:tcPr>
            <w:tcW w:w="4540" w:type="dxa"/>
            <w:vAlign w:val="bottom"/>
            <w:gridSpan w:val="16"/>
          </w:tcPr>
          <w:p>
            <w:pPr>
              <w:spacing w:after="0"/>
              <w:rPr>
                <w:sz w:val="24"/>
                <w:szCs w:val="24"/>
                <w:color w:val="auto"/>
              </w:rPr>
            </w:pPr>
          </w:p>
        </w:tc>
      </w:tr>
      <w:tr>
        <w:trPr>
          <w:trHeight w:val="453"/>
        </w:trPr>
        <w:tc>
          <w:tcPr>
            <w:tcW w:w="1080" w:type="dxa"/>
            <w:vAlign w:val="bottom"/>
          </w:tcPr>
          <w:p>
            <w:pPr>
              <w:ind w:left="160"/>
              <w:spacing w:after="0"/>
              <w:rPr>
                <w:sz w:val="20"/>
                <w:szCs w:val="20"/>
                <w:color w:val="auto"/>
              </w:rPr>
            </w:pPr>
            <w:r>
              <w:rPr>
                <w:rFonts w:ascii="Arial" w:cs="Arial" w:eastAsia="Arial" w:hAnsi="Arial"/>
                <w:sz w:val="18"/>
                <w:szCs w:val="18"/>
                <w:color w:val="auto"/>
              </w:rPr>
              <w:t>101. INS†</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720" w:type="dxa"/>
            <w:vAlign w:val="bottom"/>
            <w:gridSpan w:val="25"/>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080" w:type="dxa"/>
            <w:vAlign w:val="bottom"/>
          </w:tcPr>
          <w:p>
            <w:pPr>
              <w:ind w:left="160"/>
              <w:spacing w:after="0"/>
              <w:rPr>
                <w:sz w:val="20"/>
                <w:szCs w:val="20"/>
                <w:color w:val="auto"/>
              </w:rPr>
            </w:pPr>
            <w:r>
              <w:rPr>
                <w:rFonts w:ascii="Arial" w:cs="Arial" w:eastAsia="Arial" w:hAnsi="Arial"/>
                <w:sz w:val="18"/>
                <w:szCs w:val="18"/>
                <w:color w:val="auto"/>
              </w:rPr>
              <w:t>101.SCH†</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720" w:type="dxa"/>
            <w:vAlign w:val="bottom"/>
            <w:gridSpan w:val="25"/>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080" w:type="dxa"/>
            <w:vAlign w:val="bottom"/>
          </w:tcPr>
          <w:p>
            <w:pPr>
              <w:ind w:left="140"/>
              <w:spacing w:after="0"/>
              <w:rPr>
                <w:sz w:val="20"/>
                <w:szCs w:val="20"/>
                <w:color w:val="auto"/>
              </w:rPr>
            </w:pPr>
            <w:r>
              <w:rPr>
                <w:rFonts w:ascii="Arial" w:cs="Arial" w:eastAsia="Arial" w:hAnsi="Arial"/>
                <w:sz w:val="18"/>
                <w:szCs w:val="18"/>
                <w:color w:val="auto"/>
              </w:rPr>
              <w:t>101.CAL†</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720" w:type="dxa"/>
            <w:vAlign w:val="bottom"/>
            <w:gridSpan w:val="2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080" w:type="dxa"/>
            <w:vAlign w:val="bottom"/>
          </w:tcPr>
          <w:p>
            <w:pPr>
              <w:ind w:left="160"/>
              <w:spacing w:after="0"/>
              <w:rPr>
                <w:sz w:val="20"/>
                <w:szCs w:val="20"/>
                <w:color w:val="auto"/>
              </w:rPr>
            </w:pPr>
            <w:r>
              <w:rPr>
                <w:rFonts w:ascii="Arial" w:cs="Arial" w:eastAsia="Arial" w:hAnsi="Arial"/>
                <w:sz w:val="18"/>
                <w:szCs w:val="18"/>
                <w:color w:val="auto"/>
              </w:rPr>
              <w:t>101.DEF†</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720" w:type="dxa"/>
            <w:vAlign w:val="bottom"/>
            <w:gridSpan w:val="2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080" w:type="dxa"/>
            <w:vAlign w:val="bottom"/>
          </w:tcPr>
          <w:p>
            <w:pPr>
              <w:ind w:left="140"/>
              <w:spacing w:after="0"/>
              <w:rPr>
                <w:sz w:val="20"/>
                <w:szCs w:val="20"/>
                <w:color w:val="auto"/>
              </w:rPr>
            </w:pPr>
            <w:r>
              <w:rPr>
                <w:rFonts w:ascii="Arial" w:cs="Arial" w:eastAsia="Arial" w:hAnsi="Arial"/>
                <w:sz w:val="18"/>
                <w:szCs w:val="18"/>
                <w:color w:val="auto"/>
              </w:rPr>
              <w:t>101.LAB†</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720" w:type="dxa"/>
            <w:vAlign w:val="bottom"/>
            <w:gridSpan w:val="25"/>
          </w:tcPr>
          <w:p>
            <w:pPr>
              <w:spacing w:after="0"/>
              <w:rPr>
                <w:sz w:val="20"/>
                <w:szCs w:val="20"/>
                <w:color w:val="auto"/>
              </w:rPr>
            </w:pPr>
            <w:r>
              <w:rPr>
                <w:rFonts w:ascii="Arial" w:cs="Arial" w:eastAsia="Arial" w:hAnsi="Arial"/>
                <w:sz w:val="18"/>
                <w:szCs w:val="18"/>
                <w:color w:val="auto"/>
              </w:rPr>
              <w:t>XBRL Taxonomy Extension Label Linkbase Document</w:t>
            </w:r>
          </w:p>
        </w:tc>
      </w:tr>
    </w:tbl>
    <w:p>
      <w:pPr>
        <w:spacing w:after="0" w:line="200" w:lineRule="exact"/>
        <w:rPr>
          <w:sz w:val="20"/>
          <w:szCs w:val="20"/>
          <w:color w:val="auto"/>
        </w:rPr>
      </w:pPr>
    </w:p>
    <w:p>
      <w:pPr>
        <w:sectPr>
          <w:pgSz w:w="11900" w:h="16838" w:orient="portrait"/>
          <w:cols w:equalWidth="0" w:num="1">
            <w:col w:w="11360"/>
          </w:cols>
          <w:pgMar w:left="240" w:top="108" w:right="299" w:bottom="1440" w:gutter="0" w:footer="0" w:header="0"/>
        </w:sect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1360"/>
          </w:cols>
          <w:pgMar w:left="240" w:top="108" w:right="299" w:bottom="1440" w:gutter="0" w:footer="0" w:header="0"/>
          <w:type w:val="continuous"/>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60"/>
        <w:spacing w:after="0"/>
        <w:tabs>
          <w:tab w:leader="none" w:pos="1220" w:val="left"/>
          <w:tab w:leader="none" w:pos="162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23323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68">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94" w:lineRule="exact"/>
        <w:rPr>
          <w:sz w:val="20"/>
          <w:szCs w:val="20"/>
          <w:color w:val="auto"/>
        </w:rPr>
      </w:pPr>
    </w:p>
    <w:p>
      <w:pPr>
        <w:ind w:left="340" w:hanging="332"/>
        <w:spacing w:after="0"/>
        <w:tabs>
          <w:tab w:leader="none" w:pos="340" w:val="left"/>
        </w:tabs>
        <w:numPr>
          <w:ilvl w:val="0"/>
          <w:numId w:val="90"/>
        </w:numPr>
        <w:rPr>
          <w:rFonts w:ascii="Arial" w:cs="Arial" w:eastAsia="Arial" w:hAnsi="Arial"/>
          <w:sz w:val="13"/>
          <w:szCs w:val="13"/>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340" w:hanging="332"/>
        <w:spacing w:after="0"/>
        <w:tabs>
          <w:tab w:leader="none" w:pos="340" w:val="left"/>
        </w:tabs>
        <w:numPr>
          <w:ilvl w:val="0"/>
          <w:numId w:val="91"/>
        </w:numPr>
        <w:rPr>
          <w:rFonts w:ascii="Arial" w:cs="Arial" w:eastAsia="Arial" w:hAnsi="Arial"/>
          <w:sz w:val="13"/>
          <w:szCs w:val="13"/>
          <w:color w:val="auto"/>
        </w:rPr>
      </w:pPr>
      <w:r>
        <w:rPr>
          <w:rFonts w:ascii="Arial" w:cs="Arial" w:eastAsia="Arial" w:hAnsi="Arial"/>
          <w:sz w:val="18"/>
          <w:szCs w:val="18"/>
          <w:color w:val="auto"/>
        </w:rPr>
        <w:t>Furnished herewith.</w:t>
      </w:r>
    </w:p>
    <w:p>
      <w:pPr>
        <w:spacing w:after="0" w:line="117" w:lineRule="exact"/>
        <w:rPr>
          <w:sz w:val="20"/>
          <w:szCs w:val="20"/>
          <w:color w:val="auto"/>
        </w:rPr>
      </w:pPr>
    </w:p>
    <w:p>
      <w:pPr>
        <w:ind w:left="340" w:hanging="332"/>
        <w:spacing w:after="0" w:line="277" w:lineRule="auto"/>
        <w:tabs>
          <w:tab w:leader="none" w:pos="151" w:val="left"/>
        </w:tabs>
        <w:numPr>
          <w:ilvl w:val="0"/>
          <w:numId w:val="92"/>
        </w:numPr>
        <w:rPr>
          <w:rFonts w:ascii="Arial" w:cs="Arial" w:eastAsia="Arial" w:hAnsi="Arial"/>
          <w:sz w:val="18"/>
          <w:szCs w:val="18"/>
          <w:color w:val="auto"/>
        </w:rPr>
      </w:pPr>
      <w:r>
        <w:rPr>
          <w:rFonts w:ascii="Arial" w:cs="Arial" w:eastAsia="Arial" w:hAnsi="Arial"/>
          <w:sz w:val="18"/>
          <w:szCs w:val="18"/>
          <w:color w:val="auto"/>
        </w:rPr>
        <w:t>Certain confidential portions of this exhibit have been omitted pursuant to an Application for Confidential Treatment under Rule 24b-2 under the Exchange Act. This exhibit, with the omitted language, has been filed separately with the Securities and Exchange Commission.</w:t>
      </w:r>
    </w:p>
    <w:p>
      <w:pPr>
        <w:spacing w:after="0" w:line="62" w:lineRule="exact"/>
        <w:rPr>
          <w:sz w:val="20"/>
          <w:szCs w:val="20"/>
          <w:color w:val="auto"/>
        </w:rPr>
      </w:pPr>
    </w:p>
    <w:p>
      <w:pPr>
        <w:ind w:left="340" w:right="160" w:hanging="332"/>
        <w:spacing w:after="0" w:line="277" w:lineRule="auto"/>
        <w:tabs>
          <w:tab w:leader="none" w:pos="241" w:val="left"/>
        </w:tabs>
        <w:numPr>
          <w:ilvl w:val="0"/>
          <w:numId w:val="93"/>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601(b)(2) of Regulation S-K. A copy of any omitted schedule will be furnished supplementally to the SEC upon request.</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40"/>
          </w:cols>
          <w:pgMar w:left="240" w:top="125" w:right="31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PLAINS GP HOLDINGS, L.P.</w:t>
      </w:r>
    </w:p>
    <w:p>
      <w:pPr>
        <w:spacing w:after="0" w:line="67"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PAA GP HOLDINGS LLC,</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its general partner</w:t>
      </w:r>
    </w:p>
    <w:p>
      <w:pPr>
        <w:spacing w:after="0" w:line="333"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6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Willie Chiang,</w:t>
      </w:r>
    </w:p>
    <w:p>
      <w:pPr>
        <w:spacing w:after="0" w:line="67"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Chief Executive Officer of PAA GP Holdings LLC</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26, 2019</w:t>
      </w:r>
    </w:p>
    <w:p>
      <w:pPr>
        <w:spacing w:after="0" w:line="63"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7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Al Swanson,</w:t>
      </w:r>
    </w:p>
    <w:p>
      <w:pPr>
        <w:spacing w:after="0" w:line="67"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of PAA GP Holdings LLC</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26, 2019</w:t>
      </w:r>
    </w:p>
    <w:p>
      <w:pPr>
        <w:spacing w:after="0" w:line="63"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7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Chris Herbold,</w:t>
      </w:r>
    </w:p>
    <w:p>
      <w:pPr>
        <w:spacing w:after="0" w:line="67" w:lineRule="exact"/>
        <w:rPr>
          <w:sz w:val="20"/>
          <w:szCs w:val="20"/>
          <w:color w:val="auto"/>
        </w:rPr>
      </w:pPr>
    </w:p>
    <w:p>
      <w:pPr>
        <w:ind w:left="6200"/>
        <w:spacing w:after="0"/>
        <w:rPr>
          <w:sz w:val="20"/>
          <w:szCs w:val="20"/>
          <w:color w:val="auto"/>
        </w:rPr>
      </w:pPr>
      <w:r>
        <w:rPr>
          <w:rFonts w:ascii="Arial" w:cs="Arial" w:eastAsia="Arial" w:hAnsi="Arial"/>
          <w:sz w:val="17"/>
          <w:szCs w:val="17"/>
          <w:b w:val="1"/>
          <w:bCs w:val="1"/>
          <w:i w:val="1"/>
          <w:iCs w:val="1"/>
          <w:color w:val="auto"/>
        </w:rPr>
        <w:t>Senior Vice President and Chief Accounting Officer of PAA GP</w:t>
      </w:r>
    </w:p>
    <w:p>
      <w:pPr>
        <w:spacing w:after="0" w:line="35"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Holdings LLC</w:t>
      </w:r>
    </w:p>
    <w:p>
      <w:pPr>
        <w:spacing w:after="0" w:line="49"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26, 2019</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60"/>
          </w:cols>
          <w:pgMar w:left="240" w:top="125" w:right="29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6"/>
                <w:szCs w:val="16"/>
                <w:color w:val="auto"/>
              </w:rPr>
            </w:pPr>
          </w:p>
        </w:tc>
        <w:tc>
          <w:tcPr>
            <w:tcW w:w="6840" w:type="dxa"/>
            <w:vAlign w:val="bottom"/>
            <w:tcBorders>
              <w:bottom w:val="single" w:sz="8" w:color="auto"/>
            </w:tcBorders>
          </w:tcPr>
          <w:p>
            <w:pPr>
              <w:ind w:left="328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8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526"/>
        </w:trPr>
        <w:tc>
          <w:tcPr>
            <w:tcW w:w="2520" w:type="dxa"/>
            <w:vAlign w:val="bottom"/>
          </w:tcPr>
          <w:p>
            <w:pPr>
              <w:jc w:val="center"/>
              <w:spacing w:after="0"/>
              <w:rPr>
                <w:sz w:val="20"/>
                <w:szCs w:val="20"/>
                <w:color w:val="auto"/>
              </w:rPr>
            </w:pPr>
            <w:r>
              <w:rPr>
                <w:rFonts w:ascii="Arial" w:cs="Arial" w:eastAsia="Arial" w:hAnsi="Arial"/>
                <w:sz w:val="18"/>
                <w:szCs w:val="18"/>
                <w:color w:val="auto"/>
                <w:w w:val="94"/>
              </w:rPr>
              <w:t>/s/ Willie Chiang</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w w:val="96"/>
              </w:rPr>
              <w:t>Director and Chief Executive Officer of PAA GP Holdings LLC (Principal Executive Officer)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2019</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tcPr>
          <w:p>
            <w:pPr>
              <w:jc w:val="center"/>
              <w:spacing w:after="0"/>
              <w:rPr>
                <w:sz w:val="20"/>
                <w:szCs w:val="20"/>
                <w:color w:val="auto"/>
              </w:rPr>
            </w:pPr>
            <w:r>
              <w:rPr>
                <w:rFonts w:ascii="Arial" w:cs="Arial" w:eastAsia="Arial" w:hAnsi="Arial"/>
                <w:sz w:val="18"/>
                <w:szCs w:val="18"/>
                <w:color w:val="auto"/>
                <w:w w:val="95"/>
              </w:rPr>
              <w:t>Willie Chiang</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520" w:type="dxa"/>
            <w:vAlign w:val="bottom"/>
          </w:tcPr>
          <w:p>
            <w:pPr>
              <w:jc w:val="center"/>
              <w:spacing w:after="0"/>
              <w:rPr>
                <w:sz w:val="20"/>
                <w:szCs w:val="20"/>
                <w:color w:val="auto"/>
              </w:rPr>
            </w:pPr>
            <w:r>
              <w:rPr>
                <w:rFonts w:ascii="Arial" w:cs="Arial" w:eastAsia="Arial" w:hAnsi="Arial"/>
                <w:sz w:val="18"/>
                <w:szCs w:val="18"/>
                <w:color w:val="auto"/>
                <w:w w:val="92"/>
              </w:rPr>
              <w:t>/s/ Harry N. Pefanis</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Director, President and Chief Commercial Officer of PAA GP Holdings LLC</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2019</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tcPr>
          <w:p>
            <w:pPr>
              <w:jc w:val="center"/>
              <w:spacing w:after="0"/>
              <w:rPr>
                <w:sz w:val="20"/>
                <w:szCs w:val="20"/>
                <w:color w:val="auto"/>
              </w:rPr>
            </w:pPr>
            <w:r>
              <w:rPr>
                <w:rFonts w:ascii="Arial" w:cs="Arial" w:eastAsia="Arial" w:hAnsi="Arial"/>
                <w:sz w:val="18"/>
                <w:szCs w:val="18"/>
                <w:color w:val="auto"/>
                <w:w w:val="92"/>
              </w:rPr>
              <w:t>Harry N. Pefanis</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9"/>
        </w:trPr>
        <w:tc>
          <w:tcPr>
            <w:tcW w:w="2520" w:type="dxa"/>
            <w:vAlign w:val="bottom"/>
          </w:tcPr>
          <w:p>
            <w:pPr>
              <w:jc w:val="center"/>
              <w:spacing w:after="0"/>
              <w:rPr>
                <w:sz w:val="20"/>
                <w:szCs w:val="20"/>
                <w:color w:val="auto"/>
              </w:rPr>
            </w:pPr>
            <w:r>
              <w:rPr>
                <w:rFonts w:ascii="Arial" w:cs="Arial" w:eastAsia="Arial" w:hAnsi="Arial"/>
                <w:sz w:val="18"/>
                <w:szCs w:val="18"/>
                <w:color w:val="auto"/>
                <w:w w:val="90"/>
              </w:rPr>
              <w:t>/s/ Al Swanson</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w w:val="98"/>
              </w:rPr>
              <w:t>Executive Vice President and Chief Financial Officer of PAA GP Holdings LLC (Principal</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2019</w:t>
            </w:r>
          </w:p>
        </w:tc>
        <w:tc>
          <w:tcPr>
            <w:tcW w:w="0" w:type="dxa"/>
            <w:vAlign w:val="bottom"/>
          </w:tcPr>
          <w:p>
            <w:pPr>
              <w:spacing w:after="0"/>
              <w:rPr>
                <w:sz w:val="1"/>
                <w:szCs w:val="1"/>
                <w:color w:val="auto"/>
              </w:rPr>
            </w:pPr>
          </w:p>
        </w:tc>
      </w:tr>
      <w:tr>
        <w:trPr>
          <w:trHeight w:val="41"/>
        </w:trPr>
        <w:tc>
          <w:tcPr>
            <w:tcW w:w="252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6960" w:type="dxa"/>
            <w:vAlign w:val="bottom"/>
            <w:gridSpan w:val="2"/>
            <w:vMerge w:val="restart"/>
          </w:tcPr>
          <w:p>
            <w:pPr>
              <w:ind w:left="20"/>
              <w:spacing w:after="0"/>
              <w:rPr>
                <w:sz w:val="20"/>
                <w:szCs w:val="20"/>
                <w:color w:val="auto"/>
              </w:rPr>
            </w:pPr>
            <w:r>
              <w:rPr>
                <w:rFonts w:ascii="Arial" w:cs="Arial" w:eastAsia="Arial" w:hAnsi="Arial"/>
                <w:sz w:val="18"/>
                <w:szCs w:val="18"/>
                <w:color w:val="auto"/>
              </w:rPr>
              <w:t>Financial Officer)</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520" w:type="dxa"/>
            <w:vAlign w:val="bottom"/>
            <w:vMerge w:val="restart"/>
          </w:tcPr>
          <w:p>
            <w:pPr>
              <w:jc w:val="center"/>
              <w:spacing w:after="0"/>
              <w:rPr>
                <w:sz w:val="20"/>
                <w:szCs w:val="20"/>
                <w:color w:val="auto"/>
              </w:rPr>
            </w:pPr>
            <w:r>
              <w:rPr>
                <w:rFonts w:ascii="Arial" w:cs="Arial" w:eastAsia="Arial" w:hAnsi="Arial"/>
                <w:sz w:val="18"/>
                <w:szCs w:val="18"/>
                <w:color w:val="auto"/>
                <w:w w:val="92"/>
              </w:rPr>
              <w:t>Al Swanson</w:t>
            </w:r>
          </w:p>
        </w:tc>
        <w:tc>
          <w:tcPr>
            <w:tcW w:w="120" w:type="dxa"/>
            <w:vAlign w:val="bottom"/>
            <w:vMerge w:val="continue"/>
          </w:tcPr>
          <w:p>
            <w:pPr>
              <w:spacing w:after="0"/>
              <w:rPr>
                <w:sz w:val="14"/>
                <w:szCs w:val="14"/>
                <w:color w:val="auto"/>
              </w:rPr>
            </w:pPr>
          </w:p>
        </w:tc>
        <w:tc>
          <w:tcPr>
            <w:tcW w:w="6960" w:type="dxa"/>
            <w:vAlign w:val="bottom"/>
            <w:gridSpan w:val="2"/>
            <w:vMerge w:val="continue"/>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9"/>
        </w:trPr>
        <w:tc>
          <w:tcPr>
            <w:tcW w:w="2520" w:type="dxa"/>
            <w:vAlign w:val="bottom"/>
          </w:tcPr>
          <w:p>
            <w:pPr>
              <w:jc w:val="center"/>
              <w:spacing w:after="0"/>
              <w:rPr>
                <w:sz w:val="20"/>
                <w:szCs w:val="20"/>
                <w:color w:val="auto"/>
              </w:rPr>
            </w:pPr>
            <w:r>
              <w:rPr>
                <w:rFonts w:ascii="Arial" w:cs="Arial" w:eastAsia="Arial" w:hAnsi="Arial"/>
                <w:sz w:val="18"/>
                <w:szCs w:val="18"/>
                <w:color w:val="auto"/>
                <w:w w:val="92"/>
              </w:rPr>
              <w:t>/s/ Chris Herbold</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w w:val="99"/>
              </w:rPr>
              <w:t>Senior Vice President and Chief Accounting Officer of PAA GP Holdings LLC (Principal</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2019</w:t>
            </w:r>
          </w:p>
        </w:tc>
        <w:tc>
          <w:tcPr>
            <w:tcW w:w="0" w:type="dxa"/>
            <w:vAlign w:val="bottom"/>
          </w:tcPr>
          <w:p>
            <w:pPr>
              <w:spacing w:after="0"/>
              <w:rPr>
                <w:sz w:val="1"/>
                <w:szCs w:val="1"/>
                <w:color w:val="auto"/>
              </w:rPr>
            </w:pPr>
          </w:p>
        </w:tc>
      </w:tr>
      <w:tr>
        <w:trPr>
          <w:trHeight w:val="41"/>
        </w:trPr>
        <w:tc>
          <w:tcPr>
            <w:tcW w:w="252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6960" w:type="dxa"/>
            <w:vAlign w:val="bottom"/>
            <w:gridSpan w:val="2"/>
            <w:vMerge w:val="restart"/>
          </w:tcPr>
          <w:p>
            <w:pPr>
              <w:ind w:left="20"/>
              <w:spacing w:after="0"/>
              <w:rPr>
                <w:sz w:val="20"/>
                <w:szCs w:val="20"/>
                <w:color w:val="auto"/>
              </w:rPr>
            </w:pPr>
            <w:r>
              <w:rPr>
                <w:rFonts w:ascii="Arial" w:cs="Arial" w:eastAsia="Arial" w:hAnsi="Arial"/>
                <w:sz w:val="18"/>
                <w:szCs w:val="18"/>
                <w:color w:val="auto"/>
              </w:rPr>
              <w:t>Accounting Officer)</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520" w:type="dxa"/>
            <w:vAlign w:val="bottom"/>
            <w:vMerge w:val="restart"/>
          </w:tcPr>
          <w:p>
            <w:pPr>
              <w:jc w:val="center"/>
              <w:spacing w:after="0"/>
              <w:rPr>
                <w:sz w:val="20"/>
                <w:szCs w:val="20"/>
                <w:color w:val="auto"/>
              </w:rPr>
            </w:pPr>
            <w:r>
              <w:rPr>
                <w:rFonts w:ascii="Arial" w:cs="Arial" w:eastAsia="Arial" w:hAnsi="Arial"/>
                <w:sz w:val="18"/>
                <w:szCs w:val="18"/>
                <w:color w:val="auto"/>
                <w:w w:val="92"/>
              </w:rPr>
              <w:t>Chris Herbold</w:t>
            </w:r>
          </w:p>
        </w:tc>
        <w:tc>
          <w:tcPr>
            <w:tcW w:w="120" w:type="dxa"/>
            <w:vAlign w:val="bottom"/>
            <w:vMerge w:val="continue"/>
          </w:tcPr>
          <w:p>
            <w:pPr>
              <w:spacing w:after="0"/>
              <w:rPr>
                <w:sz w:val="14"/>
                <w:szCs w:val="14"/>
                <w:color w:val="auto"/>
              </w:rPr>
            </w:pPr>
          </w:p>
        </w:tc>
        <w:tc>
          <w:tcPr>
            <w:tcW w:w="6960" w:type="dxa"/>
            <w:vAlign w:val="bottom"/>
            <w:gridSpan w:val="2"/>
            <w:vMerge w:val="continue"/>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54"/>
        </w:trPr>
        <w:tc>
          <w:tcPr>
            <w:tcW w:w="2520" w:type="dxa"/>
            <w:vAlign w:val="bottom"/>
          </w:tcPr>
          <w:p>
            <w:pPr>
              <w:jc w:val="center"/>
              <w:spacing w:after="0"/>
              <w:rPr>
                <w:sz w:val="20"/>
                <w:szCs w:val="20"/>
                <w:color w:val="auto"/>
              </w:rPr>
            </w:pPr>
            <w:r>
              <w:rPr>
                <w:rFonts w:ascii="Arial" w:cs="Arial" w:eastAsia="Arial" w:hAnsi="Arial"/>
                <w:sz w:val="18"/>
                <w:szCs w:val="18"/>
                <w:color w:val="auto"/>
                <w:w w:val="92"/>
              </w:rPr>
              <w:t>/s/ Greg L. Armstrong</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Chairman of the Board of PAA GP Holdings LLC</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2019</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tcPr>
          <w:p>
            <w:pPr>
              <w:jc w:val="center"/>
              <w:spacing w:after="0"/>
              <w:rPr>
                <w:sz w:val="20"/>
                <w:szCs w:val="20"/>
                <w:color w:val="auto"/>
              </w:rPr>
            </w:pPr>
            <w:r>
              <w:rPr>
                <w:rFonts w:ascii="Arial" w:cs="Arial" w:eastAsia="Arial" w:hAnsi="Arial"/>
                <w:sz w:val="18"/>
                <w:szCs w:val="18"/>
                <w:color w:val="auto"/>
                <w:w w:val="93"/>
              </w:rPr>
              <w:t>Greg L. Armstrong</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520" w:type="dxa"/>
            <w:vAlign w:val="bottom"/>
          </w:tcPr>
          <w:p>
            <w:pPr>
              <w:jc w:val="center"/>
              <w:spacing w:after="0"/>
              <w:rPr>
                <w:sz w:val="20"/>
                <w:szCs w:val="20"/>
                <w:color w:val="auto"/>
              </w:rPr>
            </w:pPr>
            <w:r>
              <w:rPr>
                <w:rFonts w:ascii="Arial" w:cs="Arial" w:eastAsia="Arial" w:hAnsi="Arial"/>
                <w:sz w:val="18"/>
                <w:szCs w:val="18"/>
                <w:color w:val="auto"/>
                <w:w w:val="93"/>
              </w:rPr>
              <w:t>/s/ Oscar K. Brown</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2019</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tcPr>
          <w:p>
            <w:pPr>
              <w:jc w:val="center"/>
              <w:spacing w:after="0"/>
              <w:rPr>
                <w:sz w:val="20"/>
                <w:szCs w:val="20"/>
                <w:color w:val="auto"/>
              </w:rPr>
            </w:pPr>
            <w:r>
              <w:rPr>
                <w:rFonts w:ascii="Arial" w:cs="Arial" w:eastAsia="Arial" w:hAnsi="Arial"/>
                <w:sz w:val="18"/>
                <w:szCs w:val="18"/>
                <w:color w:val="auto"/>
                <w:w w:val="93"/>
              </w:rPr>
              <w:t>Oscar K. Brown</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520" w:type="dxa"/>
            <w:vAlign w:val="bottom"/>
          </w:tcPr>
          <w:p>
            <w:pPr>
              <w:jc w:val="center"/>
              <w:spacing w:after="0"/>
              <w:rPr>
                <w:sz w:val="20"/>
                <w:szCs w:val="20"/>
                <w:color w:val="auto"/>
              </w:rPr>
            </w:pPr>
            <w:r>
              <w:rPr>
                <w:rFonts w:ascii="Arial" w:cs="Arial" w:eastAsia="Arial" w:hAnsi="Arial"/>
                <w:sz w:val="18"/>
                <w:szCs w:val="18"/>
                <w:color w:val="auto"/>
                <w:w w:val="96"/>
              </w:rPr>
              <w:t>/s/ Victor Burk</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2019</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tcPr>
          <w:p>
            <w:pPr>
              <w:jc w:val="center"/>
              <w:spacing w:after="0"/>
              <w:rPr>
                <w:sz w:val="20"/>
                <w:szCs w:val="20"/>
                <w:color w:val="auto"/>
              </w:rPr>
            </w:pPr>
            <w:r>
              <w:rPr>
                <w:rFonts w:ascii="Arial" w:cs="Arial" w:eastAsia="Arial" w:hAnsi="Arial"/>
                <w:sz w:val="18"/>
                <w:szCs w:val="18"/>
                <w:color w:val="auto"/>
                <w:w w:val="97"/>
              </w:rPr>
              <w:t>Victor Burk</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520" w:type="dxa"/>
            <w:vAlign w:val="bottom"/>
          </w:tcPr>
          <w:p>
            <w:pPr>
              <w:jc w:val="center"/>
              <w:spacing w:after="0"/>
              <w:rPr>
                <w:sz w:val="20"/>
                <w:szCs w:val="20"/>
                <w:color w:val="auto"/>
              </w:rPr>
            </w:pPr>
            <w:r>
              <w:rPr>
                <w:rFonts w:ascii="Arial" w:cs="Arial" w:eastAsia="Arial" w:hAnsi="Arial"/>
                <w:sz w:val="18"/>
                <w:szCs w:val="18"/>
                <w:color w:val="auto"/>
                <w:w w:val="89"/>
              </w:rPr>
              <w:t>/s/ Everardo Goyanes</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2019</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tcPr>
          <w:p>
            <w:pPr>
              <w:jc w:val="center"/>
              <w:spacing w:after="0"/>
              <w:rPr>
                <w:sz w:val="20"/>
                <w:szCs w:val="20"/>
                <w:color w:val="auto"/>
              </w:rPr>
            </w:pPr>
            <w:r>
              <w:rPr>
                <w:rFonts w:ascii="Arial" w:cs="Arial" w:eastAsia="Arial" w:hAnsi="Arial"/>
                <w:sz w:val="18"/>
                <w:szCs w:val="18"/>
                <w:color w:val="auto"/>
                <w:w w:val="89"/>
              </w:rPr>
              <w:t>Everardo Goyanes</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520" w:type="dxa"/>
            <w:vAlign w:val="bottom"/>
          </w:tcPr>
          <w:p>
            <w:pPr>
              <w:jc w:val="center"/>
              <w:spacing w:after="0"/>
              <w:rPr>
                <w:sz w:val="20"/>
                <w:szCs w:val="20"/>
                <w:color w:val="auto"/>
              </w:rPr>
            </w:pPr>
            <w:r>
              <w:rPr>
                <w:rFonts w:ascii="Arial" w:cs="Arial" w:eastAsia="Arial" w:hAnsi="Arial"/>
                <w:sz w:val="18"/>
                <w:szCs w:val="18"/>
                <w:color w:val="auto"/>
                <w:w w:val="88"/>
              </w:rPr>
              <w:t>/s/ Gary R. Petersen</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2019</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tcPr>
          <w:p>
            <w:pPr>
              <w:jc w:val="center"/>
              <w:spacing w:after="0"/>
              <w:rPr>
                <w:sz w:val="20"/>
                <w:szCs w:val="20"/>
                <w:color w:val="auto"/>
              </w:rPr>
            </w:pPr>
            <w:r>
              <w:rPr>
                <w:rFonts w:ascii="Arial" w:cs="Arial" w:eastAsia="Arial" w:hAnsi="Arial"/>
                <w:sz w:val="18"/>
                <w:szCs w:val="18"/>
                <w:color w:val="auto"/>
                <w:w w:val="87"/>
              </w:rPr>
              <w:t>Gary R. Petersen</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520" w:type="dxa"/>
            <w:vAlign w:val="bottom"/>
          </w:tcPr>
          <w:p>
            <w:pPr>
              <w:jc w:val="center"/>
              <w:spacing w:after="0"/>
              <w:rPr>
                <w:sz w:val="20"/>
                <w:szCs w:val="20"/>
                <w:color w:val="auto"/>
              </w:rPr>
            </w:pPr>
            <w:r>
              <w:rPr>
                <w:rFonts w:ascii="Arial" w:cs="Arial" w:eastAsia="Arial" w:hAnsi="Arial"/>
                <w:sz w:val="18"/>
                <w:szCs w:val="18"/>
                <w:color w:val="auto"/>
                <w:w w:val="91"/>
              </w:rPr>
              <w:t>/s/ Alexandra D. Pruner</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2019</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tcPr>
          <w:p>
            <w:pPr>
              <w:jc w:val="center"/>
              <w:spacing w:after="0"/>
              <w:rPr>
                <w:sz w:val="20"/>
                <w:szCs w:val="20"/>
                <w:color w:val="auto"/>
              </w:rPr>
            </w:pPr>
            <w:r>
              <w:rPr>
                <w:rFonts w:ascii="Arial" w:cs="Arial" w:eastAsia="Arial" w:hAnsi="Arial"/>
                <w:sz w:val="18"/>
                <w:szCs w:val="18"/>
                <w:color w:val="auto"/>
                <w:w w:val="91"/>
              </w:rPr>
              <w:t>Alexandra D. Pruner</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520" w:type="dxa"/>
            <w:vAlign w:val="bottom"/>
          </w:tcPr>
          <w:p>
            <w:pPr>
              <w:jc w:val="center"/>
              <w:spacing w:after="0"/>
              <w:rPr>
                <w:sz w:val="20"/>
                <w:szCs w:val="20"/>
                <w:color w:val="auto"/>
              </w:rPr>
            </w:pPr>
            <w:r>
              <w:rPr>
                <w:rFonts w:ascii="Arial" w:cs="Arial" w:eastAsia="Arial" w:hAnsi="Arial"/>
                <w:sz w:val="18"/>
                <w:szCs w:val="18"/>
                <w:color w:val="auto"/>
                <w:w w:val="89"/>
              </w:rPr>
              <w:t>/s/ John T. Raymond</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2019</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tcPr>
          <w:p>
            <w:pPr>
              <w:jc w:val="center"/>
              <w:spacing w:after="0"/>
              <w:rPr>
                <w:sz w:val="20"/>
                <w:szCs w:val="20"/>
                <w:color w:val="auto"/>
              </w:rPr>
            </w:pPr>
            <w:r>
              <w:rPr>
                <w:rFonts w:ascii="Arial" w:cs="Arial" w:eastAsia="Arial" w:hAnsi="Arial"/>
                <w:sz w:val="18"/>
                <w:szCs w:val="18"/>
                <w:color w:val="auto"/>
                <w:w w:val="90"/>
              </w:rPr>
              <w:t>John T. Raymond</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520" w:type="dxa"/>
            <w:vAlign w:val="bottom"/>
          </w:tcPr>
          <w:p>
            <w:pPr>
              <w:jc w:val="center"/>
              <w:spacing w:after="0"/>
              <w:rPr>
                <w:sz w:val="20"/>
                <w:szCs w:val="20"/>
                <w:color w:val="auto"/>
              </w:rPr>
            </w:pPr>
            <w:r>
              <w:rPr>
                <w:rFonts w:ascii="Arial" w:cs="Arial" w:eastAsia="Arial" w:hAnsi="Arial"/>
                <w:sz w:val="18"/>
                <w:szCs w:val="18"/>
                <w:color w:val="auto"/>
                <w:w w:val="90"/>
              </w:rPr>
              <w:t>/s/ Bobby S. Shackouls</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2019</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tcPr>
          <w:p>
            <w:pPr>
              <w:jc w:val="center"/>
              <w:spacing w:after="0"/>
              <w:rPr>
                <w:sz w:val="20"/>
                <w:szCs w:val="20"/>
                <w:color w:val="auto"/>
              </w:rPr>
            </w:pPr>
            <w:r>
              <w:rPr>
                <w:rFonts w:ascii="Arial" w:cs="Arial" w:eastAsia="Arial" w:hAnsi="Arial"/>
                <w:sz w:val="18"/>
                <w:szCs w:val="18"/>
                <w:color w:val="auto"/>
                <w:w w:val="90"/>
              </w:rPr>
              <w:t>Bobby S. Shackouls</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520" w:type="dxa"/>
            <w:vAlign w:val="bottom"/>
          </w:tcPr>
          <w:p>
            <w:pPr>
              <w:jc w:val="center"/>
              <w:spacing w:after="0"/>
              <w:rPr>
                <w:sz w:val="20"/>
                <w:szCs w:val="20"/>
                <w:color w:val="auto"/>
              </w:rPr>
            </w:pPr>
            <w:r>
              <w:rPr>
                <w:rFonts w:ascii="Arial" w:cs="Arial" w:eastAsia="Arial" w:hAnsi="Arial"/>
                <w:sz w:val="18"/>
                <w:szCs w:val="18"/>
                <w:color w:val="auto"/>
                <w:w w:val="90"/>
              </w:rPr>
              <w:t>/s/ Robert V. Sinnott</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2019</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tcPr>
          <w:p>
            <w:pPr>
              <w:jc w:val="center"/>
              <w:spacing w:after="0"/>
              <w:rPr>
                <w:sz w:val="20"/>
                <w:szCs w:val="20"/>
                <w:color w:val="auto"/>
              </w:rPr>
            </w:pPr>
            <w:r>
              <w:rPr>
                <w:rFonts w:ascii="Arial" w:cs="Arial" w:eastAsia="Arial" w:hAnsi="Arial"/>
                <w:sz w:val="18"/>
                <w:szCs w:val="18"/>
                <w:color w:val="auto"/>
                <w:w w:val="91"/>
              </w:rPr>
              <w:t>Robert V. Sinnott</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520" w:type="dxa"/>
            <w:vAlign w:val="bottom"/>
          </w:tcPr>
          <w:p>
            <w:pPr>
              <w:jc w:val="center"/>
              <w:spacing w:after="0"/>
              <w:rPr>
                <w:sz w:val="20"/>
                <w:szCs w:val="20"/>
                <w:color w:val="auto"/>
              </w:rPr>
            </w:pPr>
            <w:r>
              <w:rPr>
                <w:rFonts w:ascii="Arial" w:cs="Arial" w:eastAsia="Arial" w:hAnsi="Arial"/>
                <w:sz w:val="18"/>
                <w:szCs w:val="18"/>
                <w:color w:val="auto"/>
                <w:w w:val="89"/>
              </w:rPr>
              <w:t>/s/ J. Taft Symonds</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2019</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tcPr>
          <w:p>
            <w:pPr>
              <w:jc w:val="center"/>
              <w:spacing w:after="0"/>
              <w:rPr>
                <w:sz w:val="20"/>
                <w:szCs w:val="20"/>
                <w:color w:val="auto"/>
              </w:rPr>
            </w:pPr>
            <w:r>
              <w:rPr>
                <w:rFonts w:ascii="Arial" w:cs="Arial" w:eastAsia="Arial" w:hAnsi="Arial"/>
                <w:sz w:val="18"/>
                <w:szCs w:val="18"/>
                <w:color w:val="auto"/>
                <w:w w:val="89"/>
              </w:rPr>
              <w:t>J. Taft Symonds</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520" w:type="dxa"/>
            <w:vAlign w:val="bottom"/>
          </w:tcPr>
          <w:p>
            <w:pPr>
              <w:jc w:val="center"/>
              <w:spacing w:after="0"/>
              <w:rPr>
                <w:sz w:val="20"/>
                <w:szCs w:val="20"/>
                <w:color w:val="auto"/>
              </w:rPr>
            </w:pPr>
            <w:r>
              <w:rPr>
                <w:rFonts w:ascii="Arial" w:cs="Arial" w:eastAsia="Arial" w:hAnsi="Arial"/>
                <w:sz w:val="18"/>
                <w:szCs w:val="18"/>
                <w:color w:val="auto"/>
                <w:w w:val="91"/>
              </w:rPr>
              <w:t>/s/ Christopher M. Temple</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2019</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tcPr>
          <w:p>
            <w:pPr>
              <w:jc w:val="center"/>
              <w:spacing w:after="0"/>
              <w:rPr>
                <w:sz w:val="20"/>
                <w:szCs w:val="20"/>
                <w:color w:val="auto"/>
              </w:rPr>
            </w:pPr>
            <w:r>
              <w:rPr>
                <w:rFonts w:ascii="Arial" w:cs="Arial" w:eastAsia="Arial" w:hAnsi="Arial"/>
                <w:sz w:val="18"/>
                <w:szCs w:val="18"/>
                <w:color w:val="auto"/>
                <w:w w:val="91"/>
              </w:rPr>
              <w:t>Christopher M. Temple</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125</w:t>
      </w:r>
    </w:p>
    <w:p>
      <w:pPr>
        <w:sectPr>
          <w:pgSz w:w="11900" w:h="16838" w:orient="portrait"/>
          <w:cols w:equalWidth="0" w:num="1">
            <w:col w:w="11420"/>
          </w:cols>
          <w:pgMar w:left="240" w:top="125" w:right="239" w:bottom="1440" w:gutter="0" w:footer="0" w:header="0"/>
          <w:type w:val="continuous"/>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THE CONSOLIDATED FINANCIAL STATEMENTS</w:t>
      </w: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r>
      <w:tr>
        <w:trPr>
          <w:trHeight w:val="230"/>
        </w:trPr>
        <w:tc>
          <w:tcPr>
            <w:tcW w:w="10360" w:type="dxa"/>
            <w:vAlign w:val="bottom"/>
            <w:gridSpan w:val="34"/>
          </w:tcPr>
          <w:p>
            <w:pPr>
              <w:spacing w:after="0"/>
              <w:rPr>
                <w:sz w:val="20"/>
                <w:szCs w:val="20"/>
                <w:color w:val="auto"/>
              </w:rPr>
            </w:pPr>
            <w:r>
              <w:rPr>
                <w:rFonts w:ascii="Arial" w:cs="Arial" w:eastAsia="Arial" w:hAnsi="Arial"/>
                <w:sz w:val="18"/>
                <w:szCs w:val="18"/>
                <w:color w:val="auto"/>
              </w:rPr>
              <w:t>Consolidated Financial Statements</w:t>
            </w:r>
          </w:p>
        </w:tc>
        <w:tc>
          <w:tcPr>
            <w:tcW w:w="1020" w:type="dxa"/>
            <w:vAlign w:val="bottom"/>
          </w:tcPr>
          <w:p>
            <w:pPr>
              <w:spacing w:after="0"/>
              <w:rPr>
                <w:sz w:val="19"/>
                <w:szCs w:val="19"/>
                <w:color w:val="auto"/>
              </w:rPr>
            </w:pPr>
          </w:p>
        </w:tc>
      </w:tr>
      <w:tr>
        <w:trPr>
          <w:trHeight w:val="243"/>
        </w:trPr>
        <w:tc>
          <w:tcPr>
            <w:tcW w:w="4900" w:type="dxa"/>
            <w:vAlign w:val="bottom"/>
            <w:tcBorders>
              <w:bottom w:val="single" w:sz="8" w:color="0000EE"/>
            </w:tcBorders>
            <w:gridSpan w:val="28"/>
          </w:tcPr>
          <w:p>
            <w:pPr>
              <w:spacing w:after="0"/>
              <w:rPr>
                <w:rFonts w:ascii="Arial" w:cs="Arial" w:eastAsia="Arial" w:hAnsi="Arial"/>
                <w:sz w:val="18"/>
                <w:szCs w:val="18"/>
                <w:color w:val="0000EE"/>
                <w:w w:val="91"/>
              </w:rPr>
            </w:pPr>
            <w:hyperlink w:anchor="page127">
              <w:r>
                <w:rPr>
                  <w:rFonts w:ascii="Arial" w:cs="Arial" w:eastAsia="Arial" w:hAnsi="Arial"/>
                  <w:sz w:val="18"/>
                  <w:szCs w:val="18"/>
                  <w:color w:val="0000EE"/>
                  <w:w w:val="91"/>
                </w:rPr>
                <w:t>Management’s Report on Internal Control Over Financial Reporting</w:t>
              </w:r>
            </w:hyperlink>
          </w:p>
        </w:tc>
        <w:tc>
          <w:tcPr>
            <w:tcW w:w="5460" w:type="dxa"/>
            <w:vAlign w:val="bottom"/>
            <w:gridSpan w:val="6"/>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0000EE"/>
              </w:rPr>
            </w:pPr>
            <w:hyperlink w:anchor="page127">
              <w:r>
                <w:rPr>
                  <w:rFonts w:ascii="Arial" w:cs="Arial" w:eastAsia="Arial" w:hAnsi="Arial"/>
                  <w:sz w:val="18"/>
                  <w:szCs w:val="18"/>
                  <w:color w:val="0000EE"/>
                </w:rPr>
                <w:t>F-2</w:t>
              </w:r>
            </w:hyperlink>
          </w:p>
        </w:tc>
      </w:tr>
      <w:tr>
        <w:trPr>
          <w:trHeight w:val="250"/>
        </w:trPr>
        <w:tc>
          <w:tcPr>
            <w:tcW w:w="4220" w:type="dxa"/>
            <w:vAlign w:val="bottom"/>
            <w:tcBorders>
              <w:bottom w:val="single" w:sz="8" w:color="0000EE"/>
            </w:tcBorders>
            <w:gridSpan w:val="24"/>
          </w:tcPr>
          <w:p>
            <w:pPr>
              <w:spacing w:after="0"/>
              <w:rPr>
                <w:rFonts w:ascii="Arial" w:cs="Arial" w:eastAsia="Arial" w:hAnsi="Arial"/>
                <w:sz w:val="18"/>
                <w:szCs w:val="18"/>
                <w:color w:val="0000EE"/>
                <w:w w:val="91"/>
              </w:rPr>
            </w:pPr>
            <w:hyperlink w:anchor="page128">
              <w:r>
                <w:rPr>
                  <w:rFonts w:ascii="Arial" w:cs="Arial" w:eastAsia="Arial" w:hAnsi="Arial"/>
                  <w:sz w:val="18"/>
                  <w:szCs w:val="18"/>
                  <w:color w:val="0000EE"/>
                  <w:w w:val="91"/>
                </w:rPr>
                <w:t>Report of Independent Registered Public Accounting Firm</w:t>
              </w:r>
            </w:hyperlink>
          </w:p>
        </w:tc>
        <w:tc>
          <w:tcPr>
            <w:tcW w:w="6140" w:type="dxa"/>
            <w:vAlign w:val="bottom"/>
            <w:gridSpan w:val="10"/>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0000EE"/>
              </w:rPr>
            </w:pPr>
            <w:hyperlink w:anchor="page128">
              <w:r>
                <w:rPr>
                  <w:rFonts w:ascii="Arial" w:cs="Arial" w:eastAsia="Arial" w:hAnsi="Arial"/>
                  <w:sz w:val="18"/>
                  <w:szCs w:val="18"/>
                  <w:color w:val="0000EE"/>
                </w:rPr>
                <w:t>F-3</w:t>
              </w:r>
            </w:hyperlink>
          </w:p>
        </w:tc>
      </w:tr>
      <w:tr>
        <w:trPr>
          <w:trHeight w:val="250"/>
        </w:trPr>
        <w:tc>
          <w:tcPr>
            <w:tcW w:w="10360" w:type="dxa"/>
            <w:vAlign w:val="bottom"/>
            <w:gridSpan w:val="34"/>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Consolidated Balance Sheets as of December 31, 2018 and 2017</w:t>
              </w:r>
            </w:hyperlink>
          </w:p>
        </w:tc>
        <w:tc>
          <w:tcPr>
            <w:tcW w:w="1020" w:type="dxa"/>
            <w:vAlign w:val="bottom"/>
          </w:tcPr>
          <w:p>
            <w:pPr>
              <w:jc w:val="right"/>
              <w:spacing w:after="0"/>
              <w:rPr>
                <w:rFonts w:ascii="Arial" w:cs="Arial" w:eastAsia="Arial" w:hAnsi="Arial"/>
                <w:sz w:val="18"/>
                <w:szCs w:val="18"/>
                <w:color w:val="0000EE"/>
              </w:rPr>
            </w:pPr>
            <w:hyperlink w:anchor="page129">
              <w:r>
                <w:rPr>
                  <w:rFonts w:ascii="Arial" w:cs="Arial" w:eastAsia="Arial" w:hAnsi="Arial"/>
                  <w:sz w:val="18"/>
                  <w:szCs w:val="18"/>
                  <w:color w:val="0000EE"/>
                </w:rPr>
                <w:t>F-4</w:t>
              </w:r>
            </w:hyperlink>
          </w:p>
        </w:tc>
      </w:tr>
      <w:tr>
        <w:trPr>
          <w:trHeight w:val="20"/>
        </w:trPr>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0360" w:type="dxa"/>
            <w:vAlign w:val="bottom"/>
            <w:gridSpan w:val="34"/>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Consolidated Statements of Operations for the years ended December 31, 2018, 2017 and 2016</w:t>
              </w:r>
            </w:hyperlink>
          </w:p>
        </w:tc>
        <w:tc>
          <w:tcPr>
            <w:tcW w:w="1020" w:type="dxa"/>
            <w:vAlign w:val="bottom"/>
          </w:tcPr>
          <w:p>
            <w:pPr>
              <w:jc w:val="right"/>
              <w:spacing w:after="0"/>
              <w:rPr>
                <w:rFonts w:ascii="Arial" w:cs="Arial" w:eastAsia="Arial" w:hAnsi="Arial"/>
                <w:sz w:val="18"/>
                <w:szCs w:val="18"/>
                <w:color w:val="0000EE"/>
              </w:rPr>
            </w:pPr>
            <w:hyperlink w:anchor="page130">
              <w:r>
                <w:rPr>
                  <w:rFonts w:ascii="Arial" w:cs="Arial" w:eastAsia="Arial" w:hAnsi="Arial"/>
                  <w:sz w:val="18"/>
                  <w:szCs w:val="18"/>
                  <w:color w:val="0000EE"/>
                </w:rPr>
                <w:t>F-5</w:t>
              </w:r>
            </w:hyperlink>
          </w:p>
        </w:tc>
      </w:tr>
      <w:tr>
        <w:trPr>
          <w:trHeight w:val="20"/>
        </w:trPr>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7780" w:type="dxa"/>
            <w:vAlign w:val="bottom"/>
            <w:tcBorders>
              <w:bottom w:val="single" w:sz="8" w:color="0000EE"/>
            </w:tcBorders>
            <w:gridSpan w:val="31"/>
          </w:tcPr>
          <w:p>
            <w:pPr>
              <w:spacing w:after="0"/>
              <w:rPr>
                <w:rFonts w:ascii="Arial" w:cs="Arial" w:eastAsia="Arial" w:hAnsi="Arial"/>
                <w:sz w:val="18"/>
                <w:szCs w:val="18"/>
                <w:color w:val="0000EE"/>
                <w:w w:val="89"/>
              </w:rPr>
            </w:pPr>
            <w:hyperlink w:anchor="page131">
              <w:r>
                <w:rPr>
                  <w:rFonts w:ascii="Arial" w:cs="Arial" w:eastAsia="Arial" w:hAnsi="Arial"/>
                  <w:sz w:val="18"/>
                  <w:szCs w:val="18"/>
                  <w:color w:val="0000EE"/>
                  <w:w w:val="89"/>
                </w:rPr>
                <w:t>Consolidated Statements of Comprehensive Income for the years ended December 31, 2018, 2017 and 2016</w:t>
              </w:r>
            </w:hyperlink>
          </w:p>
        </w:tc>
        <w:tc>
          <w:tcPr>
            <w:tcW w:w="2580" w:type="dxa"/>
            <w:vAlign w:val="bottom"/>
            <w:gridSpan w:val="3"/>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0000EE"/>
              </w:rPr>
            </w:pPr>
            <w:hyperlink w:anchor="page131">
              <w:r>
                <w:rPr>
                  <w:rFonts w:ascii="Arial" w:cs="Arial" w:eastAsia="Arial" w:hAnsi="Arial"/>
                  <w:sz w:val="18"/>
                  <w:szCs w:val="18"/>
                  <w:color w:val="0000EE"/>
                </w:rPr>
                <w:t>F-6</w:t>
              </w:r>
            </w:hyperlink>
          </w:p>
        </w:tc>
      </w:tr>
      <w:tr>
        <w:trPr>
          <w:trHeight w:val="250"/>
        </w:trPr>
        <w:tc>
          <w:tcPr>
            <w:tcW w:w="10360" w:type="dxa"/>
            <w:vAlign w:val="bottom"/>
            <w:gridSpan w:val="34"/>
          </w:tcPr>
          <w:p>
            <w:pPr>
              <w:spacing w:after="0"/>
              <w:rPr>
                <w:rFonts w:ascii="Arial" w:cs="Arial" w:eastAsia="Arial" w:hAnsi="Arial"/>
                <w:sz w:val="18"/>
                <w:szCs w:val="18"/>
                <w:color w:val="0000EE"/>
                <w:w w:val="91"/>
              </w:rPr>
            </w:pPr>
            <w:hyperlink w:anchor="page131">
              <w:r>
                <w:rPr>
                  <w:rFonts w:ascii="Arial" w:cs="Arial" w:eastAsia="Arial" w:hAnsi="Arial"/>
                  <w:sz w:val="18"/>
                  <w:szCs w:val="18"/>
                  <w:color w:val="0000EE"/>
                  <w:w w:val="91"/>
                </w:rPr>
                <w:t>Consolidated Statements of Changes in Accumulated Other Comprehensive Income/(Loss) for the years ended December 31, 2018, 2017 and</w:t>
              </w:r>
            </w:hyperlink>
          </w:p>
        </w:tc>
        <w:tc>
          <w:tcPr>
            <w:tcW w:w="1020" w:type="dxa"/>
            <w:vAlign w:val="bottom"/>
          </w:tcPr>
          <w:p>
            <w:pPr>
              <w:spacing w:after="0"/>
              <w:rPr>
                <w:sz w:val="21"/>
                <w:szCs w:val="21"/>
                <w:color w:val="auto"/>
              </w:rPr>
            </w:pPr>
          </w:p>
        </w:tc>
      </w:tr>
      <w:tr>
        <w:trPr>
          <w:trHeight w:val="196"/>
        </w:trPr>
        <w:tc>
          <w:tcPr>
            <w:tcW w:w="520" w:type="dxa"/>
            <w:vAlign w:val="bottom"/>
            <w:tcBorders>
              <w:top w:val="single" w:sz="8" w:color="0000EE"/>
            </w:tcBorders>
            <w:gridSpan w:val="5"/>
          </w:tcPr>
          <w:p>
            <w:pPr>
              <w:ind w:left="160"/>
              <w:spacing w:after="0" w:line="196" w:lineRule="exact"/>
              <w:rPr>
                <w:rFonts w:ascii="Arial" w:cs="Arial" w:eastAsia="Arial" w:hAnsi="Arial"/>
                <w:sz w:val="18"/>
                <w:szCs w:val="18"/>
                <w:color w:val="0000EE"/>
                <w:w w:val="84"/>
              </w:rPr>
            </w:pPr>
            <w:hyperlink w:anchor="page131">
              <w:r>
                <w:rPr>
                  <w:rFonts w:ascii="Arial" w:cs="Arial" w:eastAsia="Arial" w:hAnsi="Arial"/>
                  <w:sz w:val="18"/>
                  <w:szCs w:val="18"/>
                  <w:color w:val="0000EE"/>
                  <w:w w:val="84"/>
                </w:rPr>
                <w:t>2016</w:t>
              </w:r>
            </w:hyperlink>
          </w:p>
        </w:tc>
        <w:tc>
          <w:tcPr>
            <w:tcW w:w="2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6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F-6</w:t>
              </w:r>
            </w:hyperlink>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0360" w:type="dxa"/>
            <w:vAlign w:val="bottom"/>
            <w:gridSpan w:val="34"/>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Consolidated Statements of Cash Flows for the years ended December 31, 2018, 2017 and 2016</w:t>
              </w:r>
            </w:hyperlink>
          </w:p>
        </w:tc>
        <w:tc>
          <w:tcPr>
            <w:tcW w:w="1020" w:type="dxa"/>
            <w:vAlign w:val="bottom"/>
          </w:tcPr>
          <w:p>
            <w:pPr>
              <w:jc w:val="right"/>
              <w:spacing w:after="0"/>
              <w:rPr>
                <w:rFonts w:ascii="Arial" w:cs="Arial" w:eastAsia="Arial" w:hAnsi="Arial"/>
                <w:sz w:val="18"/>
                <w:szCs w:val="18"/>
                <w:color w:val="0000EE"/>
              </w:rPr>
            </w:pPr>
            <w:hyperlink w:anchor="page132">
              <w:r>
                <w:rPr>
                  <w:rFonts w:ascii="Arial" w:cs="Arial" w:eastAsia="Arial" w:hAnsi="Arial"/>
                  <w:sz w:val="18"/>
                  <w:szCs w:val="18"/>
                  <w:color w:val="0000EE"/>
                </w:rPr>
                <w:t>F-7</w:t>
              </w:r>
            </w:hyperlink>
          </w:p>
        </w:tc>
      </w:tr>
      <w:tr>
        <w:trPr>
          <w:trHeight w:val="20"/>
        </w:trPr>
        <w:tc>
          <w:tcPr>
            <w:tcW w:w="14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0360" w:type="dxa"/>
            <w:vAlign w:val="bottom"/>
            <w:gridSpan w:val="34"/>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Consolidated Statements of Changes in Partners’ Capital for the years ended December 31, 2018, 2017 and 2016</w:t>
              </w:r>
            </w:hyperlink>
          </w:p>
        </w:tc>
        <w:tc>
          <w:tcPr>
            <w:tcW w:w="1020" w:type="dxa"/>
            <w:vAlign w:val="bottom"/>
          </w:tcPr>
          <w:p>
            <w:pPr>
              <w:jc w:val="right"/>
              <w:spacing w:after="0"/>
              <w:rPr>
                <w:rFonts w:ascii="Arial" w:cs="Arial" w:eastAsia="Arial" w:hAnsi="Arial"/>
                <w:sz w:val="18"/>
                <w:szCs w:val="18"/>
                <w:color w:val="0000EE"/>
              </w:rPr>
            </w:pPr>
            <w:hyperlink w:anchor="page134">
              <w:r>
                <w:rPr>
                  <w:rFonts w:ascii="Arial" w:cs="Arial" w:eastAsia="Arial" w:hAnsi="Arial"/>
                  <w:sz w:val="18"/>
                  <w:szCs w:val="18"/>
                  <w:color w:val="0000EE"/>
                </w:rPr>
                <w:t>F-8</w:t>
              </w:r>
            </w:hyperlink>
          </w:p>
        </w:tc>
      </w:tr>
      <w:tr>
        <w:trPr>
          <w:trHeight w:val="250"/>
        </w:trPr>
        <w:tc>
          <w:tcPr>
            <w:tcW w:w="346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89"/>
              </w:rPr>
            </w:pPr>
            <w:hyperlink w:anchor="page135">
              <w:r>
                <w:rPr>
                  <w:rFonts w:ascii="Arial" w:cs="Arial" w:eastAsia="Arial" w:hAnsi="Arial"/>
                  <w:sz w:val="18"/>
                  <w:szCs w:val="18"/>
                  <w:color w:val="0000EE"/>
                  <w:w w:val="89"/>
                </w:rPr>
                <w:t>Notes to the Consolidated Financial Statements:</w:t>
              </w:r>
            </w:hyperlink>
          </w:p>
        </w:tc>
        <w:tc>
          <w:tcPr>
            <w:tcW w:w="4660" w:type="dxa"/>
            <w:vAlign w:val="bottom"/>
            <w:tcBorders>
              <w:top w:val="single" w:sz="8" w:color="0000EE"/>
            </w:tcBorders>
            <w:gridSpan w:val="12"/>
          </w:tcPr>
          <w:p>
            <w:pPr>
              <w:spacing w:after="0"/>
              <w:rPr>
                <w:sz w:val="21"/>
                <w:szCs w:val="21"/>
                <w:color w:val="auto"/>
              </w:rPr>
            </w:pPr>
          </w:p>
        </w:tc>
        <w:tc>
          <w:tcPr>
            <w:tcW w:w="2240" w:type="dxa"/>
            <w:vAlign w:val="bottom"/>
            <w:gridSpan w:val="2"/>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0000EE"/>
              </w:rPr>
            </w:pPr>
            <w:hyperlink w:anchor="page135">
              <w:r>
                <w:rPr>
                  <w:rFonts w:ascii="Arial" w:cs="Arial" w:eastAsia="Arial" w:hAnsi="Arial"/>
                  <w:sz w:val="18"/>
                  <w:szCs w:val="18"/>
                  <w:color w:val="0000EE"/>
                </w:rPr>
                <w:t>F-9</w:t>
              </w:r>
            </w:hyperlink>
          </w:p>
        </w:tc>
      </w:tr>
      <w:tr>
        <w:trPr>
          <w:trHeight w:val="250"/>
        </w:trPr>
        <w:tc>
          <w:tcPr>
            <w:tcW w:w="280" w:type="dxa"/>
            <w:vAlign w:val="bottom"/>
            <w:gridSpan w:val="3"/>
          </w:tcPr>
          <w:p>
            <w:pPr>
              <w:ind w:left="140"/>
              <w:spacing w:after="0"/>
              <w:rPr>
                <w:rFonts w:ascii="Arial" w:cs="Arial" w:eastAsia="Arial" w:hAnsi="Arial"/>
                <w:sz w:val="18"/>
                <w:szCs w:val="18"/>
                <w:color w:val="0000EE"/>
                <w:w w:val="79"/>
              </w:rPr>
            </w:pPr>
            <w:hyperlink w:anchor="page135">
              <w:r>
                <w:rPr>
                  <w:rFonts w:ascii="Arial" w:cs="Arial" w:eastAsia="Arial" w:hAnsi="Arial"/>
                  <w:sz w:val="18"/>
                  <w:szCs w:val="18"/>
                  <w:color w:val="0000EE"/>
                  <w:w w:val="79"/>
                </w:rPr>
                <w:t>1.</w:t>
              </w:r>
            </w:hyperlink>
          </w:p>
        </w:tc>
        <w:tc>
          <w:tcPr>
            <w:tcW w:w="10080" w:type="dxa"/>
            <w:vAlign w:val="bottom"/>
            <w:gridSpan w:val="31"/>
          </w:tcPr>
          <w:p>
            <w:pPr>
              <w:ind w:left="40"/>
              <w:spacing w:after="0"/>
              <w:rPr>
                <w:rFonts w:ascii="Arial" w:cs="Arial" w:eastAsia="Arial" w:hAnsi="Arial"/>
                <w:sz w:val="18"/>
                <w:szCs w:val="18"/>
                <w:color w:val="0000EE"/>
              </w:rPr>
            </w:pPr>
            <w:hyperlink w:anchor="page135">
              <w:r>
                <w:rPr>
                  <w:rFonts w:ascii="Arial" w:cs="Arial" w:eastAsia="Arial" w:hAnsi="Arial"/>
                  <w:sz w:val="18"/>
                  <w:szCs w:val="18"/>
                  <w:color w:val="0000EE"/>
                </w:rPr>
                <w:t>Organization and Basis of Consolidation and Presentation</w:t>
              </w:r>
            </w:hyperlink>
          </w:p>
        </w:tc>
        <w:tc>
          <w:tcPr>
            <w:tcW w:w="1020" w:type="dxa"/>
            <w:vAlign w:val="bottom"/>
          </w:tcPr>
          <w:p>
            <w:pPr>
              <w:jc w:val="right"/>
              <w:spacing w:after="0"/>
              <w:rPr>
                <w:rFonts w:ascii="Arial" w:cs="Arial" w:eastAsia="Arial" w:hAnsi="Arial"/>
                <w:sz w:val="18"/>
                <w:szCs w:val="18"/>
                <w:color w:val="0000EE"/>
              </w:rPr>
            </w:pPr>
            <w:hyperlink w:anchor="page135">
              <w:r>
                <w:rPr>
                  <w:rFonts w:ascii="Arial" w:cs="Arial" w:eastAsia="Arial" w:hAnsi="Arial"/>
                  <w:sz w:val="18"/>
                  <w:szCs w:val="18"/>
                  <w:color w:val="0000EE"/>
                </w:rPr>
                <w:t>F-9</w:t>
              </w:r>
            </w:hyperlink>
          </w:p>
        </w:tc>
      </w:tr>
      <w:tr>
        <w:trPr>
          <w:trHeight w:val="20"/>
        </w:trPr>
        <w:tc>
          <w:tcPr>
            <w:tcW w:w="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280" w:type="dxa"/>
            <w:vAlign w:val="bottom"/>
            <w:gridSpan w:val="3"/>
          </w:tcPr>
          <w:p>
            <w:pPr>
              <w:ind w:left="140"/>
              <w:spacing w:after="0"/>
              <w:rPr>
                <w:rFonts w:ascii="Arial" w:cs="Arial" w:eastAsia="Arial" w:hAnsi="Arial"/>
                <w:sz w:val="18"/>
                <w:szCs w:val="18"/>
                <w:color w:val="0000EE"/>
                <w:w w:val="79"/>
              </w:rPr>
            </w:pPr>
            <w:hyperlink w:anchor="page138">
              <w:r>
                <w:rPr>
                  <w:rFonts w:ascii="Arial" w:cs="Arial" w:eastAsia="Arial" w:hAnsi="Arial"/>
                  <w:sz w:val="18"/>
                  <w:szCs w:val="18"/>
                  <w:color w:val="0000EE"/>
                  <w:w w:val="79"/>
                </w:rPr>
                <w:t>2.</w:t>
              </w:r>
            </w:hyperlink>
          </w:p>
        </w:tc>
        <w:tc>
          <w:tcPr>
            <w:tcW w:w="10080" w:type="dxa"/>
            <w:vAlign w:val="bottom"/>
            <w:gridSpan w:val="31"/>
          </w:tcPr>
          <w:p>
            <w:pPr>
              <w:ind w:left="40"/>
              <w:spacing w:after="0"/>
              <w:rPr>
                <w:rFonts w:ascii="Arial" w:cs="Arial" w:eastAsia="Arial" w:hAnsi="Arial"/>
                <w:sz w:val="18"/>
                <w:szCs w:val="18"/>
                <w:color w:val="0000EE"/>
              </w:rPr>
            </w:pPr>
            <w:hyperlink w:anchor="page138">
              <w:r>
                <w:rPr>
                  <w:rFonts w:ascii="Arial" w:cs="Arial" w:eastAsia="Arial" w:hAnsi="Arial"/>
                  <w:sz w:val="18"/>
                  <w:szCs w:val="18"/>
                  <w:color w:val="0000EE"/>
                </w:rPr>
                <w:t>Summary of Significant Accounting Policies</w:t>
              </w:r>
            </w:hyperlink>
          </w:p>
        </w:tc>
        <w:tc>
          <w:tcPr>
            <w:tcW w:w="1020" w:type="dxa"/>
            <w:vAlign w:val="bottom"/>
          </w:tcPr>
          <w:p>
            <w:pPr>
              <w:jc w:val="right"/>
              <w:spacing w:after="0"/>
              <w:rPr>
                <w:rFonts w:ascii="Arial" w:cs="Arial" w:eastAsia="Arial" w:hAnsi="Arial"/>
                <w:sz w:val="18"/>
                <w:szCs w:val="18"/>
                <w:color w:val="0000EE"/>
              </w:rPr>
            </w:pPr>
            <w:hyperlink w:anchor="page138">
              <w:r>
                <w:rPr>
                  <w:rFonts w:ascii="Arial" w:cs="Arial" w:eastAsia="Arial" w:hAnsi="Arial"/>
                  <w:sz w:val="18"/>
                  <w:szCs w:val="18"/>
                  <w:color w:val="0000EE"/>
                </w:rPr>
                <w:t>F-12</w:t>
              </w:r>
            </w:hyperlink>
          </w:p>
        </w:tc>
      </w:tr>
      <w:tr>
        <w:trPr>
          <w:trHeight w:val="20"/>
        </w:trPr>
        <w:tc>
          <w:tcPr>
            <w:tcW w:w="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280" w:type="dxa"/>
            <w:vAlign w:val="bottom"/>
            <w:gridSpan w:val="3"/>
          </w:tcPr>
          <w:p>
            <w:pPr>
              <w:ind w:left="140"/>
              <w:spacing w:after="0"/>
              <w:rPr>
                <w:rFonts w:ascii="Arial" w:cs="Arial" w:eastAsia="Arial" w:hAnsi="Arial"/>
                <w:sz w:val="18"/>
                <w:szCs w:val="18"/>
                <w:color w:val="0000EE"/>
                <w:w w:val="79"/>
              </w:rPr>
            </w:pPr>
            <w:hyperlink w:anchor="page142">
              <w:r>
                <w:rPr>
                  <w:rFonts w:ascii="Arial" w:cs="Arial" w:eastAsia="Arial" w:hAnsi="Arial"/>
                  <w:sz w:val="18"/>
                  <w:szCs w:val="18"/>
                  <w:color w:val="0000EE"/>
                  <w:w w:val="79"/>
                </w:rPr>
                <w:t>3.</w:t>
              </w:r>
            </w:hyperlink>
          </w:p>
        </w:tc>
        <w:tc>
          <w:tcPr>
            <w:tcW w:w="10080" w:type="dxa"/>
            <w:vAlign w:val="bottom"/>
            <w:gridSpan w:val="31"/>
          </w:tcPr>
          <w:p>
            <w:pPr>
              <w:ind w:left="40"/>
              <w:spacing w:after="0"/>
              <w:rPr>
                <w:rFonts w:ascii="Arial" w:cs="Arial" w:eastAsia="Arial" w:hAnsi="Arial"/>
                <w:sz w:val="18"/>
                <w:szCs w:val="18"/>
                <w:color w:val="0000EE"/>
              </w:rPr>
            </w:pPr>
            <w:hyperlink w:anchor="page142">
              <w:r>
                <w:rPr>
                  <w:rFonts w:ascii="Arial" w:cs="Arial" w:eastAsia="Arial" w:hAnsi="Arial"/>
                  <w:sz w:val="18"/>
                  <w:szCs w:val="18"/>
                  <w:color w:val="0000EE"/>
                </w:rPr>
                <w:t>Revenues and Accounts Receivable</w:t>
              </w:r>
            </w:hyperlink>
          </w:p>
        </w:tc>
        <w:tc>
          <w:tcPr>
            <w:tcW w:w="1020" w:type="dxa"/>
            <w:vAlign w:val="bottom"/>
          </w:tcPr>
          <w:p>
            <w:pPr>
              <w:jc w:val="right"/>
              <w:spacing w:after="0"/>
              <w:rPr>
                <w:rFonts w:ascii="Arial" w:cs="Arial" w:eastAsia="Arial" w:hAnsi="Arial"/>
                <w:sz w:val="18"/>
                <w:szCs w:val="18"/>
                <w:color w:val="0000EE"/>
              </w:rPr>
            </w:pPr>
            <w:hyperlink w:anchor="page142">
              <w:r>
                <w:rPr>
                  <w:rFonts w:ascii="Arial" w:cs="Arial" w:eastAsia="Arial" w:hAnsi="Arial"/>
                  <w:sz w:val="18"/>
                  <w:szCs w:val="18"/>
                  <w:color w:val="0000EE"/>
                </w:rPr>
                <w:t>F-16</w:t>
              </w:r>
            </w:hyperlink>
          </w:p>
        </w:tc>
      </w:tr>
      <w:tr>
        <w:trPr>
          <w:trHeight w:val="20"/>
        </w:trPr>
        <w:tc>
          <w:tcPr>
            <w:tcW w:w="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280" w:type="dxa"/>
            <w:vAlign w:val="bottom"/>
            <w:gridSpan w:val="3"/>
          </w:tcPr>
          <w:p>
            <w:pPr>
              <w:ind w:left="140"/>
              <w:spacing w:after="0"/>
              <w:rPr>
                <w:rFonts w:ascii="Arial" w:cs="Arial" w:eastAsia="Arial" w:hAnsi="Arial"/>
                <w:sz w:val="18"/>
                <w:szCs w:val="18"/>
                <w:color w:val="0000EE"/>
                <w:w w:val="79"/>
              </w:rPr>
            </w:pPr>
            <w:hyperlink w:anchor="page146">
              <w:r>
                <w:rPr>
                  <w:rFonts w:ascii="Arial" w:cs="Arial" w:eastAsia="Arial" w:hAnsi="Arial"/>
                  <w:sz w:val="18"/>
                  <w:szCs w:val="18"/>
                  <w:color w:val="0000EE"/>
                  <w:w w:val="79"/>
                </w:rPr>
                <w:t>4.</w:t>
              </w:r>
            </w:hyperlink>
          </w:p>
        </w:tc>
        <w:tc>
          <w:tcPr>
            <w:tcW w:w="10080" w:type="dxa"/>
            <w:vAlign w:val="bottom"/>
            <w:gridSpan w:val="31"/>
          </w:tcPr>
          <w:p>
            <w:pPr>
              <w:ind w:left="40"/>
              <w:spacing w:after="0"/>
              <w:rPr>
                <w:rFonts w:ascii="Arial" w:cs="Arial" w:eastAsia="Arial" w:hAnsi="Arial"/>
                <w:sz w:val="18"/>
                <w:szCs w:val="18"/>
                <w:color w:val="0000EE"/>
              </w:rPr>
            </w:pPr>
            <w:hyperlink w:anchor="page146">
              <w:r>
                <w:rPr>
                  <w:rFonts w:ascii="Arial" w:cs="Arial" w:eastAsia="Arial" w:hAnsi="Arial"/>
                  <w:sz w:val="18"/>
                  <w:szCs w:val="18"/>
                  <w:color w:val="0000EE"/>
                </w:rPr>
                <w:t>Net Income/(Loss) Per Class A Share</w:t>
              </w:r>
            </w:hyperlink>
          </w:p>
        </w:tc>
        <w:tc>
          <w:tcPr>
            <w:tcW w:w="1020" w:type="dxa"/>
            <w:vAlign w:val="bottom"/>
          </w:tcPr>
          <w:p>
            <w:pPr>
              <w:jc w:val="right"/>
              <w:spacing w:after="0"/>
              <w:rPr>
                <w:rFonts w:ascii="Arial" w:cs="Arial" w:eastAsia="Arial" w:hAnsi="Arial"/>
                <w:sz w:val="18"/>
                <w:szCs w:val="18"/>
                <w:color w:val="0000EE"/>
              </w:rPr>
            </w:pPr>
            <w:hyperlink w:anchor="page146">
              <w:r>
                <w:rPr>
                  <w:rFonts w:ascii="Arial" w:cs="Arial" w:eastAsia="Arial" w:hAnsi="Arial"/>
                  <w:sz w:val="18"/>
                  <w:szCs w:val="18"/>
                  <w:color w:val="0000EE"/>
                </w:rPr>
                <w:t>F-20</w:t>
              </w:r>
            </w:hyperlink>
          </w:p>
        </w:tc>
      </w:tr>
      <w:tr>
        <w:trPr>
          <w:trHeight w:val="20"/>
        </w:trPr>
        <w:tc>
          <w:tcPr>
            <w:tcW w:w="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280" w:type="dxa"/>
            <w:vAlign w:val="bottom"/>
            <w:gridSpan w:val="3"/>
          </w:tcPr>
          <w:p>
            <w:pPr>
              <w:ind w:left="140"/>
              <w:spacing w:after="0"/>
              <w:rPr>
                <w:rFonts w:ascii="Arial" w:cs="Arial" w:eastAsia="Arial" w:hAnsi="Arial"/>
                <w:sz w:val="18"/>
                <w:szCs w:val="18"/>
                <w:color w:val="0000EE"/>
                <w:w w:val="79"/>
              </w:rPr>
            </w:pPr>
            <w:hyperlink w:anchor="page147">
              <w:r>
                <w:rPr>
                  <w:rFonts w:ascii="Arial" w:cs="Arial" w:eastAsia="Arial" w:hAnsi="Arial"/>
                  <w:sz w:val="18"/>
                  <w:szCs w:val="18"/>
                  <w:color w:val="0000EE"/>
                  <w:w w:val="79"/>
                </w:rPr>
                <w:t>5.</w:t>
              </w:r>
            </w:hyperlink>
          </w:p>
        </w:tc>
        <w:tc>
          <w:tcPr>
            <w:tcW w:w="10080" w:type="dxa"/>
            <w:vAlign w:val="bottom"/>
            <w:gridSpan w:val="31"/>
          </w:tcPr>
          <w:p>
            <w:pPr>
              <w:ind w:left="40"/>
              <w:spacing w:after="0"/>
              <w:rPr>
                <w:rFonts w:ascii="Arial" w:cs="Arial" w:eastAsia="Arial" w:hAnsi="Arial"/>
                <w:sz w:val="18"/>
                <w:szCs w:val="18"/>
                <w:color w:val="0000EE"/>
              </w:rPr>
            </w:pPr>
            <w:hyperlink w:anchor="page147">
              <w:r>
                <w:rPr>
                  <w:rFonts w:ascii="Arial" w:cs="Arial" w:eastAsia="Arial" w:hAnsi="Arial"/>
                  <w:sz w:val="18"/>
                  <w:szCs w:val="18"/>
                  <w:color w:val="0000EE"/>
                </w:rPr>
                <w:t>Inventory, Linefill and Base Gas and Long-term Inventory</w:t>
              </w:r>
            </w:hyperlink>
          </w:p>
        </w:tc>
        <w:tc>
          <w:tcPr>
            <w:tcW w:w="1020" w:type="dxa"/>
            <w:vAlign w:val="bottom"/>
          </w:tcPr>
          <w:p>
            <w:pPr>
              <w:jc w:val="right"/>
              <w:spacing w:after="0"/>
              <w:rPr>
                <w:rFonts w:ascii="Arial" w:cs="Arial" w:eastAsia="Arial" w:hAnsi="Arial"/>
                <w:sz w:val="18"/>
                <w:szCs w:val="18"/>
                <w:color w:val="0000EE"/>
              </w:rPr>
            </w:pPr>
            <w:hyperlink w:anchor="page147">
              <w:r>
                <w:rPr>
                  <w:rFonts w:ascii="Arial" w:cs="Arial" w:eastAsia="Arial" w:hAnsi="Arial"/>
                  <w:sz w:val="18"/>
                  <w:szCs w:val="18"/>
                  <w:color w:val="0000EE"/>
                </w:rPr>
                <w:t>F-21</w:t>
              </w:r>
            </w:hyperlink>
          </w:p>
        </w:tc>
      </w:tr>
      <w:tr>
        <w:trPr>
          <w:trHeight w:val="20"/>
        </w:trPr>
        <w:tc>
          <w:tcPr>
            <w:tcW w:w="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280" w:type="dxa"/>
            <w:vAlign w:val="bottom"/>
            <w:gridSpan w:val="3"/>
          </w:tcPr>
          <w:p>
            <w:pPr>
              <w:ind w:left="140"/>
              <w:spacing w:after="0"/>
              <w:rPr>
                <w:rFonts w:ascii="Arial" w:cs="Arial" w:eastAsia="Arial" w:hAnsi="Arial"/>
                <w:sz w:val="18"/>
                <w:szCs w:val="18"/>
                <w:color w:val="0000EE"/>
                <w:w w:val="79"/>
              </w:rPr>
            </w:pPr>
            <w:hyperlink w:anchor="page149">
              <w:r>
                <w:rPr>
                  <w:rFonts w:ascii="Arial" w:cs="Arial" w:eastAsia="Arial" w:hAnsi="Arial"/>
                  <w:sz w:val="18"/>
                  <w:szCs w:val="18"/>
                  <w:color w:val="0000EE"/>
                  <w:w w:val="79"/>
                </w:rPr>
                <w:t>6.</w:t>
              </w:r>
            </w:hyperlink>
          </w:p>
        </w:tc>
        <w:tc>
          <w:tcPr>
            <w:tcW w:w="10080" w:type="dxa"/>
            <w:vAlign w:val="bottom"/>
            <w:gridSpan w:val="31"/>
          </w:tcPr>
          <w:p>
            <w:pPr>
              <w:ind w:left="40"/>
              <w:spacing w:after="0"/>
              <w:rPr>
                <w:rFonts w:ascii="Arial" w:cs="Arial" w:eastAsia="Arial" w:hAnsi="Arial"/>
                <w:sz w:val="18"/>
                <w:szCs w:val="18"/>
                <w:color w:val="0000EE"/>
              </w:rPr>
            </w:pPr>
            <w:hyperlink w:anchor="page149">
              <w:r>
                <w:rPr>
                  <w:rFonts w:ascii="Arial" w:cs="Arial" w:eastAsia="Arial" w:hAnsi="Arial"/>
                  <w:sz w:val="18"/>
                  <w:szCs w:val="18"/>
                  <w:color w:val="0000EE"/>
                </w:rPr>
                <w:t>Property and Equipment</w:t>
              </w:r>
            </w:hyperlink>
          </w:p>
        </w:tc>
        <w:tc>
          <w:tcPr>
            <w:tcW w:w="1020" w:type="dxa"/>
            <w:vAlign w:val="bottom"/>
          </w:tcPr>
          <w:p>
            <w:pPr>
              <w:jc w:val="right"/>
              <w:spacing w:after="0"/>
              <w:rPr>
                <w:rFonts w:ascii="Arial" w:cs="Arial" w:eastAsia="Arial" w:hAnsi="Arial"/>
                <w:sz w:val="18"/>
                <w:szCs w:val="18"/>
                <w:color w:val="0000EE"/>
              </w:rPr>
            </w:pPr>
            <w:hyperlink w:anchor="page149">
              <w:r>
                <w:rPr>
                  <w:rFonts w:ascii="Arial" w:cs="Arial" w:eastAsia="Arial" w:hAnsi="Arial"/>
                  <w:sz w:val="18"/>
                  <w:szCs w:val="18"/>
                  <w:color w:val="0000EE"/>
                </w:rPr>
                <w:t>F-23</w:t>
              </w:r>
            </w:hyperlink>
          </w:p>
        </w:tc>
      </w:tr>
      <w:tr>
        <w:trPr>
          <w:trHeight w:val="20"/>
        </w:trPr>
        <w:tc>
          <w:tcPr>
            <w:tcW w:w="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80" w:type="dxa"/>
            <w:vAlign w:val="bottom"/>
            <w:gridSpan w:val="1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280" w:type="dxa"/>
            <w:vAlign w:val="bottom"/>
            <w:gridSpan w:val="3"/>
          </w:tcPr>
          <w:p>
            <w:pPr>
              <w:ind w:left="140"/>
              <w:spacing w:after="0"/>
              <w:rPr>
                <w:rFonts w:ascii="Arial" w:cs="Arial" w:eastAsia="Arial" w:hAnsi="Arial"/>
                <w:sz w:val="18"/>
                <w:szCs w:val="18"/>
                <w:color w:val="0000EE"/>
                <w:w w:val="79"/>
              </w:rPr>
            </w:pPr>
            <w:hyperlink w:anchor="page150">
              <w:r>
                <w:rPr>
                  <w:rFonts w:ascii="Arial" w:cs="Arial" w:eastAsia="Arial" w:hAnsi="Arial"/>
                  <w:sz w:val="18"/>
                  <w:szCs w:val="18"/>
                  <w:color w:val="0000EE"/>
                  <w:w w:val="79"/>
                </w:rPr>
                <w:t>7.</w:t>
              </w:r>
            </w:hyperlink>
          </w:p>
        </w:tc>
        <w:tc>
          <w:tcPr>
            <w:tcW w:w="10080" w:type="dxa"/>
            <w:vAlign w:val="bottom"/>
            <w:gridSpan w:val="31"/>
          </w:tcPr>
          <w:p>
            <w:pPr>
              <w:ind w:left="40"/>
              <w:spacing w:after="0"/>
              <w:rPr>
                <w:rFonts w:ascii="Arial" w:cs="Arial" w:eastAsia="Arial" w:hAnsi="Arial"/>
                <w:sz w:val="18"/>
                <w:szCs w:val="18"/>
                <w:color w:val="0000EE"/>
              </w:rPr>
            </w:pPr>
            <w:hyperlink w:anchor="page150">
              <w:r>
                <w:rPr>
                  <w:rFonts w:ascii="Arial" w:cs="Arial" w:eastAsia="Arial" w:hAnsi="Arial"/>
                  <w:sz w:val="18"/>
                  <w:szCs w:val="18"/>
                  <w:color w:val="0000EE"/>
                </w:rPr>
                <w:t>Acquisitions and Divestitures</w:t>
              </w:r>
            </w:hyperlink>
          </w:p>
        </w:tc>
        <w:tc>
          <w:tcPr>
            <w:tcW w:w="1020" w:type="dxa"/>
            <w:vAlign w:val="bottom"/>
          </w:tcPr>
          <w:p>
            <w:pPr>
              <w:jc w:val="right"/>
              <w:spacing w:after="0"/>
              <w:rPr>
                <w:rFonts w:ascii="Arial" w:cs="Arial" w:eastAsia="Arial" w:hAnsi="Arial"/>
                <w:sz w:val="18"/>
                <w:szCs w:val="18"/>
                <w:color w:val="0000EE"/>
              </w:rPr>
            </w:pPr>
            <w:hyperlink w:anchor="page150">
              <w:r>
                <w:rPr>
                  <w:rFonts w:ascii="Arial" w:cs="Arial" w:eastAsia="Arial" w:hAnsi="Arial"/>
                  <w:sz w:val="18"/>
                  <w:szCs w:val="18"/>
                  <w:color w:val="0000EE"/>
                </w:rPr>
                <w:t>F-24</w:t>
              </w:r>
            </w:hyperlink>
          </w:p>
        </w:tc>
      </w:tr>
      <w:tr>
        <w:trPr>
          <w:trHeight w:val="20"/>
        </w:trPr>
        <w:tc>
          <w:tcPr>
            <w:tcW w:w="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80" w:type="dxa"/>
            <w:vAlign w:val="bottom"/>
            <w:gridSpan w:val="1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280" w:type="dxa"/>
            <w:vAlign w:val="bottom"/>
            <w:gridSpan w:val="3"/>
          </w:tcPr>
          <w:p>
            <w:pPr>
              <w:ind w:left="140"/>
              <w:spacing w:after="0"/>
              <w:rPr>
                <w:rFonts w:ascii="Arial" w:cs="Arial" w:eastAsia="Arial" w:hAnsi="Arial"/>
                <w:sz w:val="18"/>
                <w:szCs w:val="18"/>
                <w:color w:val="0000EE"/>
                <w:w w:val="79"/>
              </w:rPr>
            </w:pPr>
            <w:hyperlink w:anchor="page152">
              <w:r>
                <w:rPr>
                  <w:rFonts w:ascii="Arial" w:cs="Arial" w:eastAsia="Arial" w:hAnsi="Arial"/>
                  <w:sz w:val="18"/>
                  <w:szCs w:val="18"/>
                  <w:color w:val="0000EE"/>
                  <w:w w:val="79"/>
                </w:rPr>
                <w:t>8.</w:t>
              </w:r>
            </w:hyperlink>
          </w:p>
        </w:tc>
        <w:tc>
          <w:tcPr>
            <w:tcW w:w="10080" w:type="dxa"/>
            <w:vAlign w:val="bottom"/>
            <w:gridSpan w:val="31"/>
          </w:tcPr>
          <w:p>
            <w:pPr>
              <w:ind w:left="40"/>
              <w:spacing w:after="0"/>
              <w:rPr>
                <w:rFonts w:ascii="Arial" w:cs="Arial" w:eastAsia="Arial" w:hAnsi="Arial"/>
                <w:sz w:val="18"/>
                <w:szCs w:val="18"/>
                <w:color w:val="0000EE"/>
              </w:rPr>
            </w:pPr>
            <w:hyperlink w:anchor="page152">
              <w:r>
                <w:rPr>
                  <w:rFonts w:ascii="Arial" w:cs="Arial" w:eastAsia="Arial" w:hAnsi="Arial"/>
                  <w:sz w:val="18"/>
                  <w:szCs w:val="18"/>
                  <w:color w:val="0000EE"/>
                </w:rPr>
                <w:t>Goodwill</w:t>
              </w:r>
            </w:hyperlink>
          </w:p>
        </w:tc>
        <w:tc>
          <w:tcPr>
            <w:tcW w:w="1020" w:type="dxa"/>
            <w:vAlign w:val="bottom"/>
          </w:tcPr>
          <w:p>
            <w:pPr>
              <w:jc w:val="right"/>
              <w:spacing w:after="0"/>
              <w:rPr>
                <w:rFonts w:ascii="Arial" w:cs="Arial" w:eastAsia="Arial" w:hAnsi="Arial"/>
                <w:sz w:val="18"/>
                <w:szCs w:val="18"/>
                <w:color w:val="0000EE"/>
              </w:rPr>
            </w:pPr>
            <w:hyperlink w:anchor="page152">
              <w:r>
                <w:rPr>
                  <w:rFonts w:ascii="Arial" w:cs="Arial" w:eastAsia="Arial" w:hAnsi="Arial"/>
                  <w:sz w:val="18"/>
                  <w:szCs w:val="18"/>
                  <w:color w:val="0000EE"/>
                </w:rPr>
                <w:t>F-26</w:t>
              </w:r>
            </w:hyperlink>
          </w:p>
        </w:tc>
      </w:tr>
      <w:tr>
        <w:trPr>
          <w:trHeight w:val="20"/>
        </w:trPr>
        <w:tc>
          <w:tcPr>
            <w:tcW w:w="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80" w:type="dxa"/>
            <w:vAlign w:val="bottom"/>
            <w:gridSpan w:val="1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280" w:type="dxa"/>
            <w:vAlign w:val="bottom"/>
            <w:gridSpan w:val="3"/>
          </w:tcPr>
          <w:p>
            <w:pPr>
              <w:ind w:left="140"/>
              <w:spacing w:after="0"/>
              <w:rPr>
                <w:rFonts w:ascii="Arial" w:cs="Arial" w:eastAsia="Arial" w:hAnsi="Arial"/>
                <w:sz w:val="18"/>
                <w:szCs w:val="18"/>
                <w:color w:val="0000EE"/>
                <w:w w:val="79"/>
              </w:rPr>
            </w:pPr>
            <w:hyperlink w:anchor="page153">
              <w:r>
                <w:rPr>
                  <w:rFonts w:ascii="Arial" w:cs="Arial" w:eastAsia="Arial" w:hAnsi="Arial"/>
                  <w:sz w:val="18"/>
                  <w:szCs w:val="18"/>
                  <w:color w:val="0000EE"/>
                  <w:w w:val="79"/>
                </w:rPr>
                <w:t>9.</w:t>
              </w:r>
            </w:hyperlink>
          </w:p>
        </w:tc>
        <w:tc>
          <w:tcPr>
            <w:tcW w:w="10080" w:type="dxa"/>
            <w:vAlign w:val="bottom"/>
            <w:gridSpan w:val="31"/>
          </w:tcPr>
          <w:p>
            <w:pPr>
              <w:ind w:left="40"/>
              <w:spacing w:after="0"/>
              <w:rPr>
                <w:rFonts w:ascii="Arial" w:cs="Arial" w:eastAsia="Arial" w:hAnsi="Arial"/>
                <w:sz w:val="18"/>
                <w:szCs w:val="18"/>
                <w:color w:val="0000EE"/>
              </w:rPr>
            </w:pPr>
            <w:hyperlink w:anchor="page153">
              <w:r>
                <w:rPr>
                  <w:rFonts w:ascii="Arial" w:cs="Arial" w:eastAsia="Arial" w:hAnsi="Arial"/>
                  <w:sz w:val="18"/>
                  <w:szCs w:val="18"/>
                  <w:color w:val="0000EE"/>
                </w:rPr>
                <w:t>Investments in Unconsolidated Entities</w:t>
              </w:r>
            </w:hyperlink>
          </w:p>
        </w:tc>
        <w:tc>
          <w:tcPr>
            <w:tcW w:w="1020" w:type="dxa"/>
            <w:vAlign w:val="bottom"/>
          </w:tcPr>
          <w:p>
            <w:pPr>
              <w:jc w:val="right"/>
              <w:spacing w:after="0"/>
              <w:rPr>
                <w:rFonts w:ascii="Arial" w:cs="Arial" w:eastAsia="Arial" w:hAnsi="Arial"/>
                <w:sz w:val="18"/>
                <w:szCs w:val="18"/>
                <w:color w:val="0000EE"/>
              </w:rPr>
            </w:pPr>
            <w:hyperlink w:anchor="page153">
              <w:r>
                <w:rPr>
                  <w:rFonts w:ascii="Arial" w:cs="Arial" w:eastAsia="Arial" w:hAnsi="Arial"/>
                  <w:sz w:val="18"/>
                  <w:szCs w:val="18"/>
                  <w:color w:val="0000EE"/>
                </w:rPr>
                <w:t>F-27</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80" w:type="dxa"/>
            <w:vAlign w:val="bottom"/>
            <w:gridSpan w:val="1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56">
              <w:r>
                <w:rPr>
                  <w:rFonts w:ascii="Arial" w:cs="Arial" w:eastAsia="Arial" w:hAnsi="Arial"/>
                  <w:sz w:val="18"/>
                  <w:szCs w:val="18"/>
                  <w:color w:val="0000EE"/>
                  <w:w w:val="87"/>
                </w:rPr>
                <w:t>10.</w:t>
              </w:r>
            </w:hyperlink>
          </w:p>
        </w:tc>
        <w:tc>
          <w:tcPr>
            <w:tcW w:w="9980" w:type="dxa"/>
            <w:vAlign w:val="bottom"/>
            <w:gridSpan w:val="30"/>
          </w:tcPr>
          <w:p>
            <w:pPr>
              <w:ind w:left="20"/>
              <w:spacing w:after="0"/>
              <w:rPr>
                <w:rFonts w:ascii="Arial" w:cs="Arial" w:eastAsia="Arial" w:hAnsi="Arial"/>
                <w:sz w:val="18"/>
                <w:szCs w:val="18"/>
                <w:color w:val="0000EE"/>
              </w:rPr>
            </w:pPr>
            <w:hyperlink w:anchor="page156">
              <w:r>
                <w:rPr>
                  <w:rFonts w:ascii="Arial" w:cs="Arial" w:eastAsia="Arial" w:hAnsi="Arial"/>
                  <w:sz w:val="18"/>
                  <w:szCs w:val="18"/>
                  <w:color w:val="0000EE"/>
                </w:rPr>
                <w:t>Other Long-Term Assets, Net</w:t>
              </w:r>
            </w:hyperlink>
          </w:p>
        </w:tc>
        <w:tc>
          <w:tcPr>
            <w:tcW w:w="1020" w:type="dxa"/>
            <w:vAlign w:val="bottom"/>
          </w:tcPr>
          <w:p>
            <w:pPr>
              <w:jc w:val="right"/>
              <w:spacing w:after="0"/>
              <w:rPr>
                <w:rFonts w:ascii="Arial" w:cs="Arial" w:eastAsia="Arial" w:hAnsi="Arial"/>
                <w:sz w:val="18"/>
                <w:szCs w:val="18"/>
                <w:color w:val="0000EE"/>
              </w:rPr>
            </w:pPr>
            <w:hyperlink w:anchor="page156">
              <w:r>
                <w:rPr>
                  <w:rFonts w:ascii="Arial" w:cs="Arial" w:eastAsia="Arial" w:hAnsi="Arial"/>
                  <w:sz w:val="18"/>
                  <w:szCs w:val="18"/>
                  <w:color w:val="0000EE"/>
                </w:rPr>
                <w:t>F-30</w:t>
              </w:r>
            </w:hyperlink>
          </w:p>
        </w:tc>
      </w:tr>
      <w:tr>
        <w:trPr>
          <w:trHeight w:val="250"/>
        </w:trPr>
        <w:tc>
          <w:tcPr>
            <w:tcW w:w="140" w:type="dxa"/>
            <w:vAlign w:val="bottom"/>
          </w:tcPr>
          <w:p>
            <w:pPr>
              <w:spacing w:after="0"/>
              <w:rPr>
                <w:sz w:val="21"/>
                <w:szCs w:val="21"/>
                <w:color w:val="auto"/>
              </w:rPr>
            </w:pPr>
          </w:p>
        </w:tc>
        <w:tc>
          <w:tcPr>
            <w:tcW w:w="2400" w:type="dxa"/>
            <w:vAlign w:val="bottom"/>
            <w:tcBorders>
              <w:top w:val="single" w:sz="8" w:color="0000EE"/>
            </w:tcBorders>
            <w:gridSpan w:val="12"/>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11. Debt</w:t>
              </w:r>
            </w:hyperlink>
          </w:p>
        </w:tc>
        <w:tc>
          <w:tcPr>
            <w:tcW w:w="7820" w:type="dxa"/>
            <w:vAlign w:val="bottom"/>
            <w:gridSpan w:val="21"/>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0000EE"/>
              </w:rPr>
            </w:pPr>
            <w:hyperlink w:anchor="page157">
              <w:r>
                <w:rPr>
                  <w:rFonts w:ascii="Arial" w:cs="Arial" w:eastAsia="Arial" w:hAnsi="Arial"/>
                  <w:sz w:val="18"/>
                  <w:szCs w:val="18"/>
                  <w:color w:val="0000EE"/>
                </w:rPr>
                <w:t>F-31</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80" w:type="dxa"/>
            <w:vAlign w:val="bottom"/>
            <w:gridSpan w:val="1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61">
              <w:r>
                <w:rPr>
                  <w:rFonts w:ascii="Arial" w:cs="Arial" w:eastAsia="Arial" w:hAnsi="Arial"/>
                  <w:sz w:val="18"/>
                  <w:szCs w:val="18"/>
                  <w:color w:val="0000EE"/>
                  <w:w w:val="87"/>
                </w:rPr>
                <w:t>12.</w:t>
              </w:r>
            </w:hyperlink>
          </w:p>
        </w:tc>
        <w:tc>
          <w:tcPr>
            <w:tcW w:w="9980" w:type="dxa"/>
            <w:vAlign w:val="bottom"/>
            <w:gridSpan w:val="30"/>
          </w:tcPr>
          <w:p>
            <w:pPr>
              <w:ind w:left="20"/>
              <w:spacing w:after="0"/>
              <w:rPr>
                <w:rFonts w:ascii="Arial" w:cs="Arial" w:eastAsia="Arial" w:hAnsi="Arial"/>
                <w:sz w:val="18"/>
                <w:szCs w:val="18"/>
                <w:color w:val="0000EE"/>
              </w:rPr>
            </w:pPr>
            <w:hyperlink w:anchor="page161">
              <w:r>
                <w:rPr>
                  <w:rFonts w:ascii="Arial" w:cs="Arial" w:eastAsia="Arial" w:hAnsi="Arial"/>
                  <w:sz w:val="18"/>
                  <w:szCs w:val="18"/>
                  <w:color w:val="0000EE"/>
                </w:rPr>
                <w:t>Partners’ Capital and Distributions</w:t>
              </w:r>
            </w:hyperlink>
          </w:p>
        </w:tc>
        <w:tc>
          <w:tcPr>
            <w:tcW w:w="1020" w:type="dxa"/>
            <w:vAlign w:val="bottom"/>
          </w:tcPr>
          <w:p>
            <w:pPr>
              <w:jc w:val="right"/>
              <w:spacing w:after="0"/>
              <w:rPr>
                <w:rFonts w:ascii="Arial" w:cs="Arial" w:eastAsia="Arial" w:hAnsi="Arial"/>
                <w:sz w:val="18"/>
                <w:szCs w:val="18"/>
                <w:color w:val="0000EE"/>
              </w:rPr>
            </w:pPr>
            <w:hyperlink w:anchor="page161">
              <w:r>
                <w:rPr>
                  <w:rFonts w:ascii="Arial" w:cs="Arial" w:eastAsia="Arial" w:hAnsi="Arial"/>
                  <w:sz w:val="18"/>
                  <w:szCs w:val="18"/>
                  <w:color w:val="0000EE"/>
                </w:rPr>
                <w:t>F-35</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80" w:type="dxa"/>
            <w:vAlign w:val="bottom"/>
            <w:gridSpan w:val="1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67">
              <w:r>
                <w:rPr>
                  <w:rFonts w:ascii="Arial" w:cs="Arial" w:eastAsia="Arial" w:hAnsi="Arial"/>
                  <w:sz w:val="18"/>
                  <w:szCs w:val="18"/>
                  <w:color w:val="0000EE"/>
                  <w:w w:val="87"/>
                </w:rPr>
                <w:t>13.</w:t>
              </w:r>
            </w:hyperlink>
          </w:p>
        </w:tc>
        <w:tc>
          <w:tcPr>
            <w:tcW w:w="9980" w:type="dxa"/>
            <w:vAlign w:val="bottom"/>
            <w:gridSpan w:val="30"/>
          </w:tcPr>
          <w:p>
            <w:pPr>
              <w:ind w:left="20"/>
              <w:spacing w:after="0"/>
              <w:rPr>
                <w:rFonts w:ascii="Arial" w:cs="Arial" w:eastAsia="Arial" w:hAnsi="Arial"/>
                <w:sz w:val="18"/>
                <w:szCs w:val="18"/>
                <w:color w:val="0000EE"/>
              </w:rPr>
            </w:pPr>
            <w:hyperlink w:anchor="page167">
              <w:r>
                <w:rPr>
                  <w:rFonts w:ascii="Arial" w:cs="Arial" w:eastAsia="Arial" w:hAnsi="Arial"/>
                  <w:sz w:val="18"/>
                  <w:szCs w:val="18"/>
                  <w:color w:val="0000EE"/>
                </w:rPr>
                <w:t>Derivatives and Risk Management Activities</w:t>
              </w:r>
            </w:hyperlink>
          </w:p>
        </w:tc>
        <w:tc>
          <w:tcPr>
            <w:tcW w:w="1020" w:type="dxa"/>
            <w:vAlign w:val="bottom"/>
          </w:tcPr>
          <w:p>
            <w:pPr>
              <w:jc w:val="right"/>
              <w:spacing w:after="0"/>
              <w:rPr>
                <w:rFonts w:ascii="Arial" w:cs="Arial" w:eastAsia="Arial" w:hAnsi="Arial"/>
                <w:sz w:val="18"/>
                <w:szCs w:val="18"/>
                <w:color w:val="0000EE"/>
              </w:rPr>
            </w:pPr>
            <w:hyperlink w:anchor="page167">
              <w:r>
                <w:rPr>
                  <w:rFonts w:ascii="Arial" w:cs="Arial" w:eastAsia="Arial" w:hAnsi="Arial"/>
                  <w:sz w:val="18"/>
                  <w:szCs w:val="18"/>
                  <w:color w:val="0000EE"/>
                </w:rPr>
                <w:t>F-41</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80" w:type="dxa"/>
            <w:vAlign w:val="bottom"/>
            <w:gridSpan w:val="1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73">
              <w:r>
                <w:rPr>
                  <w:rFonts w:ascii="Arial" w:cs="Arial" w:eastAsia="Arial" w:hAnsi="Arial"/>
                  <w:sz w:val="18"/>
                  <w:szCs w:val="18"/>
                  <w:color w:val="0000EE"/>
                  <w:w w:val="87"/>
                </w:rPr>
                <w:t>14.</w:t>
              </w:r>
            </w:hyperlink>
          </w:p>
        </w:tc>
        <w:tc>
          <w:tcPr>
            <w:tcW w:w="9980" w:type="dxa"/>
            <w:vAlign w:val="bottom"/>
            <w:gridSpan w:val="30"/>
          </w:tcPr>
          <w:p>
            <w:pPr>
              <w:ind w:left="20"/>
              <w:spacing w:after="0"/>
              <w:rPr>
                <w:rFonts w:ascii="Arial" w:cs="Arial" w:eastAsia="Arial" w:hAnsi="Arial"/>
                <w:sz w:val="18"/>
                <w:szCs w:val="18"/>
                <w:color w:val="0000EE"/>
              </w:rPr>
            </w:pPr>
            <w:hyperlink w:anchor="page173">
              <w:r>
                <w:rPr>
                  <w:rFonts w:ascii="Arial" w:cs="Arial" w:eastAsia="Arial" w:hAnsi="Arial"/>
                  <w:sz w:val="18"/>
                  <w:szCs w:val="18"/>
                  <w:color w:val="0000EE"/>
                </w:rPr>
                <w:t>Income Taxes</w:t>
              </w:r>
            </w:hyperlink>
          </w:p>
        </w:tc>
        <w:tc>
          <w:tcPr>
            <w:tcW w:w="1020" w:type="dxa"/>
            <w:vAlign w:val="bottom"/>
          </w:tcPr>
          <w:p>
            <w:pPr>
              <w:jc w:val="right"/>
              <w:spacing w:after="0"/>
              <w:rPr>
                <w:rFonts w:ascii="Arial" w:cs="Arial" w:eastAsia="Arial" w:hAnsi="Arial"/>
                <w:sz w:val="18"/>
                <w:szCs w:val="18"/>
                <w:color w:val="0000EE"/>
              </w:rPr>
            </w:pPr>
            <w:hyperlink w:anchor="page173">
              <w:r>
                <w:rPr>
                  <w:rFonts w:ascii="Arial" w:cs="Arial" w:eastAsia="Arial" w:hAnsi="Arial"/>
                  <w:sz w:val="18"/>
                  <w:szCs w:val="18"/>
                  <w:color w:val="0000EE"/>
                </w:rPr>
                <w:t>F-47</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6280" w:type="dxa"/>
            <w:vAlign w:val="bottom"/>
            <w:gridSpan w:val="1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76">
              <w:r>
                <w:rPr>
                  <w:rFonts w:ascii="Arial" w:cs="Arial" w:eastAsia="Arial" w:hAnsi="Arial"/>
                  <w:sz w:val="18"/>
                  <w:szCs w:val="18"/>
                  <w:color w:val="0000EE"/>
                  <w:w w:val="87"/>
                </w:rPr>
                <w:t>15.</w:t>
              </w:r>
            </w:hyperlink>
          </w:p>
        </w:tc>
        <w:tc>
          <w:tcPr>
            <w:tcW w:w="9980" w:type="dxa"/>
            <w:vAlign w:val="bottom"/>
            <w:gridSpan w:val="30"/>
          </w:tcPr>
          <w:p>
            <w:pPr>
              <w:ind w:left="20"/>
              <w:spacing w:after="0"/>
              <w:rPr>
                <w:rFonts w:ascii="Arial" w:cs="Arial" w:eastAsia="Arial" w:hAnsi="Arial"/>
                <w:sz w:val="18"/>
                <w:szCs w:val="18"/>
                <w:color w:val="0000EE"/>
              </w:rPr>
            </w:pPr>
            <w:hyperlink w:anchor="page176">
              <w:r>
                <w:rPr>
                  <w:rFonts w:ascii="Arial" w:cs="Arial" w:eastAsia="Arial" w:hAnsi="Arial"/>
                  <w:sz w:val="18"/>
                  <w:szCs w:val="18"/>
                  <w:color w:val="0000EE"/>
                </w:rPr>
                <w:t>Major Customers and Concentration of Credit Risk</w:t>
              </w:r>
            </w:hyperlink>
          </w:p>
        </w:tc>
        <w:tc>
          <w:tcPr>
            <w:tcW w:w="1020" w:type="dxa"/>
            <w:vAlign w:val="bottom"/>
          </w:tcPr>
          <w:p>
            <w:pPr>
              <w:jc w:val="right"/>
              <w:spacing w:after="0"/>
              <w:rPr>
                <w:rFonts w:ascii="Arial" w:cs="Arial" w:eastAsia="Arial" w:hAnsi="Arial"/>
                <w:sz w:val="18"/>
                <w:szCs w:val="18"/>
                <w:color w:val="0000EE"/>
              </w:rPr>
            </w:pPr>
            <w:hyperlink w:anchor="page176">
              <w:r>
                <w:rPr>
                  <w:rFonts w:ascii="Arial" w:cs="Arial" w:eastAsia="Arial" w:hAnsi="Arial"/>
                  <w:sz w:val="18"/>
                  <w:szCs w:val="18"/>
                  <w:color w:val="0000EE"/>
                </w:rPr>
                <w:t>F-50</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4"/>
            <w:shd w:val="clear" w:color="auto" w:fill="0000EE"/>
          </w:tcPr>
          <w:p>
            <w:pPr>
              <w:spacing w:after="0" w:line="20" w:lineRule="exact"/>
              <w:rPr>
                <w:sz w:val="1"/>
                <w:szCs w:val="1"/>
                <w:color w:val="auto"/>
              </w:rPr>
            </w:pPr>
          </w:p>
        </w:tc>
        <w:tc>
          <w:tcPr>
            <w:tcW w:w="6280" w:type="dxa"/>
            <w:vAlign w:val="bottom"/>
            <w:gridSpan w:val="1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76">
              <w:r>
                <w:rPr>
                  <w:rFonts w:ascii="Arial" w:cs="Arial" w:eastAsia="Arial" w:hAnsi="Arial"/>
                  <w:sz w:val="18"/>
                  <w:szCs w:val="18"/>
                  <w:color w:val="0000EE"/>
                  <w:w w:val="87"/>
                </w:rPr>
                <w:t>16.</w:t>
              </w:r>
            </w:hyperlink>
          </w:p>
        </w:tc>
        <w:tc>
          <w:tcPr>
            <w:tcW w:w="9980" w:type="dxa"/>
            <w:vAlign w:val="bottom"/>
            <w:gridSpan w:val="30"/>
          </w:tcPr>
          <w:p>
            <w:pPr>
              <w:ind w:left="20"/>
              <w:spacing w:after="0"/>
              <w:rPr>
                <w:rFonts w:ascii="Arial" w:cs="Arial" w:eastAsia="Arial" w:hAnsi="Arial"/>
                <w:sz w:val="18"/>
                <w:szCs w:val="18"/>
                <w:color w:val="0000EE"/>
              </w:rPr>
            </w:pPr>
            <w:hyperlink w:anchor="page176">
              <w:r>
                <w:rPr>
                  <w:rFonts w:ascii="Arial" w:cs="Arial" w:eastAsia="Arial" w:hAnsi="Arial"/>
                  <w:sz w:val="18"/>
                  <w:szCs w:val="18"/>
                  <w:color w:val="0000EE"/>
                </w:rPr>
                <w:t>Related Party Transactions</w:t>
              </w:r>
            </w:hyperlink>
          </w:p>
        </w:tc>
        <w:tc>
          <w:tcPr>
            <w:tcW w:w="1020" w:type="dxa"/>
            <w:vAlign w:val="bottom"/>
          </w:tcPr>
          <w:p>
            <w:pPr>
              <w:jc w:val="right"/>
              <w:spacing w:after="0"/>
              <w:rPr>
                <w:rFonts w:ascii="Arial" w:cs="Arial" w:eastAsia="Arial" w:hAnsi="Arial"/>
                <w:sz w:val="18"/>
                <w:szCs w:val="18"/>
                <w:color w:val="0000EE"/>
              </w:rPr>
            </w:pPr>
            <w:hyperlink w:anchor="page176">
              <w:r>
                <w:rPr>
                  <w:rFonts w:ascii="Arial" w:cs="Arial" w:eastAsia="Arial" w:hAnsi="Arial"/>
                  <w:sz w:val="18"/>
                  <w:szCs w:val="18"/>
                  <w:color w:val="0000EE"/>
                </w:rPr>
                <w:t>F-50</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60" w:type="dxa"/>
            <w:vAlign w:val="bottom"/>
            <w:gridSpan w:val="1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78">
              <w:r>
                <w:rPr>
                  <w:rFonts w:ascii="Arial" w:cs="Arial" w:eastAsia="Arial" w:hAnsi="Arial"/>
                  <w:sz w:val="18"/>
                  <w:szCs w:val="18"/>
                  <w:color w:val="0000EE"/>
                  <w:w w:val="87"/>
                </w:rPr>
                <w:t>17.</w:t>
              </w:r>
            </w:hyperlink>
          </w:p>
        </w:tc>
        <w:tc>
          <w:tcPr>
            <w:tcW w:w="9980" w:type="dxa"/>
            <w:vAlign w:val="bottom"/>
            <w:gridSpan w:val="30"/>
          </w:tcPr>
          <w:p>
            <w:pPr>
              <w:ind w:left="20"/>
              <w:spacing w:after="0"/>
              <w:rPr>
                <w:rFonts w:ascii="Arial" w:cs="Arial" w:eastAsia="Arial" w:hAnsi="Arial"/>
                <w:sz w:val="18"/>
                <w:szCs w:val="18"/>
                <w:color w:val="0000EE"/>
              </w:rPr>
            </w:pPr>
            <w:hyperlink w:anchor="page178">
              <w:r>
                <w:rPr>
                  <w:rFonts w:ascii="Arial" w:cs="Arial" w:eastAsia="Arial" w:hAnsi="Arial"/>
                  <w:sz w:val="18"/>
                  <w:szCs w:val="18"/>
                  <w:color w:val="0000EE"/>
                </w:rPr>
                <w:t>Equity-Indexed Compensation Plans</w:t>
              </w:r>
            </w:hyperlink>
          </w:p>
        </w:tc>
        <w:tc>
          <w:tcPr>
            <w:tcW w:w="1020" w:type="dxa"/>
            <w:vAlign w:val="bottom"/>
          </w:tcPr>
          <w:p>
            <w:pPr>
              <w:jc w:val="right"/>
              <w:spacing w:after="0"/>
              <w:rPr>
                <w:rFonts w:ascii="Arial" w:cs="Arial" w:eastAsia="Arial" w:hAnsi="Arial"/>
                <w:sz w:val="18"/>
                <w:szCs w:val="18"/>
                <w:color w:val="0000EE"/>
              </w:rPr>
            </w:pPr>
            <w:hyperlink w:anchor="page178">
              <w:r>
                <w:rPr>
                  <w:rFonts w:ascii="Arial" w:cs="Arial" w:eastAsia="Arial" w:hAnsi="Arial"/>
                  <w:sz w:val="18"/>
                  <w:szCs w:val="18"/>
                  <w:color w:val="0000EE"/>
                </w:rPr>
                <w:t>F-52</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60" w:type="dxa"/>
            <w:vAlign w:val="bottom"/>
            <w:gridSpan w:val="1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80">
              <w:r>
                <w:rPr>
                  <w:rFonts w:ascii="Arial" w:cs="Arial" w:eastAsia="Arial" w:hAnsi="Arial"/>
                  <w:sz w:val="18"/>
                  <w:szCs w:val="18"/>
                  <w:color w:val="0000EE"/>
                  <w:w w:val="87"/>
                </w:rPr>
                <w:t>18.</w:t>
              </w:r>
            </w:hyperlink>
          </w:p>
        </w:tc>
        <w:tc>
          <w:tcPr>
            <w:tcW w:w="9980" w:type="dxa"/>
            <w:vAlign w:val="bottom"/>
            <w:gridSpan w:val="30"/>
          </w:tcPr>
          <w:p>
            <w:pPr>
              <w:ind w:left="20"/>
              <w:spacing w:after="0"/>
              <w:rPr>
                <w:rFonts w:ascii="Arial" w:cs="Arial" w:eastAsia="Arial" w:hAnsi="Arial"/>
                <w:sz w:val="18"/>
                <w:szCs w:val="18"/>
                <w:color w:val="0000EE"/>
              </w:rPr>
            </w:pPr>
            <w:hyperlink w:anchor="page180">
              <w:r>
                <w:rPr>
                  <w:rFonts w:ascii="Arial" w:cs="Arial" w:eastAsia="Arial" w:hAnsi="Arial"/>
                  <w:sz w:val="18"/>
                  <w:szCs w:val="18"/>
                  <w:color w:val="0000EE"/>
                </w:rPr>
                <w:t>Commitments and Contingencies</w:t>
              </w:r>
            </w:hyperlink>
          </w:p>
        </w:tc>
        <w:tc>
          <w:tcPr>
            <w:tcW w:w="1020" w:type="dxa"/>
            <w:vAlign w:val="bottom"/>
          </w:tcPr>
          <w:p>
            <w:pPr>
              <w:jc w:val="right"/>
              <w:spacing w:after="0"/>
              <w:rPr>
                <w:rFonts w:ascii="Arial" w:cs="Arial" w:eastAsia="Arial" w:hAnsi="Arial"/>
                <w:sz w:val="18"/>
                <w:szCs w:val="18"/>
                <w:color w:val="0000EE"/>
              </w:rPr>
            </w:pPr>
            <w:hyperlink w:anchor="page180">
              <w:r>
                <w:rPr>
                  <w:rFonts w:ascii="Arial" w:cs="Arial" w:eastAsia="Arial" w:hAnsi="Arial"/>
                  <w:sz w:val="18"/>
                  <w:szCs w:val="18"/>
                  <w:color w:val="0000EE"/>
                </w:rPr>
                <w:t>F-54</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7260" w:type="dxa"/>
            <w:vAlign w:val="bottom"/>
            <w:gridSpan w:val="1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86">
              <w:r>
                <w:rPr>
                  <w:rFonts w:ascii="Arial" w:cs="Arial" w:eastAsia="Arial" w:hAnsi="Arial"/>
                  <w:sz w:val="18"/>
                  <w:szCs w:val="18"/>
                  <w:color w:val="0000EE"/>
                  <w:w w:val="87"/>
                </w:rPr>
                <w:t>19.</w:t>
              </w:r>
            </w:hyperlink>
          </w:p>
        </w:tc>
        <w:tc>
          <w:tcPr>
            <w:tcW w:w="9980" w:type="dxa"/>
            <w:vAlign w:val="bottom"/>
            <w:gridSpan w:val="30"/>
          </w:tcPr>
          <w:p>
            <w:pPr>
              <w:ind w:left="20"/>
              <w:spacing w:after="0"/>
              <w:rPr>
                <w:rFonts w:ascii="Arial" w:cs="Arial" w:eastAsia="Arial" w:hAnsi="Arial"/>
                <w:sz w:val="18"/>
                <w:szCs w:val="18"/>
                <w:color w:val="0000EE"/>
              </w:rPr>
            </w:pPr>
            <w:hyperlink w:anchor="page186">
              <w:r>
                <w:rPr>
                  <w:rFonts w:ascii="Arial" w:cs="Arial" w:eastAsia="Arial" w:hAnsi="Arial"/>
                  <w:sz w:val="18"/>
                  <w:szCs w:val="18"/>
                  <w:color w:val="0000EE"/>
                </w:rPr>
                <w:t>Quarterly Financial Data (Unaudited)</w:t>
              </w:r>
            </w:hyperlink>
          </w:p>
        </w:tc>
        <w:tc>
          <w:tcPr>
            <w:tcW w:w="1020" w:type="dxa"/>
            <w:vAlign w:val="bottom"/>
          </w:tcPr>
          <w:p>
            <w:pPr>
              <w:jc w:val="right"/>
              <w:spacing w:after="0"/>
              <w:rPr>
                <w:rFonts w:ascii="Arial" w:cs="Arial" w:eastAsia="Arial" w:hAnsi="Arial"/>
                <w:sz w:val="18"/>
                <w:szCs w:val="18"/>
                <w:color w:val="0000EE"/>
              </w:rPr>
            </w:pPr>
            <w:hyperlink w:anchor="page186">
              <w:r>
                <w:rPr>
                  <w:rFonts w:ascii="Arial" w:cs="Arial" w:eastAsia="Arial" w:hAnsi="Arial"/>
                  <w:sz w:val="18"/>
                  <w:szCs w:val="18"/>
                  <w:color w:val="0000EE"/>
                </w:rPr>
                <w:t>F-60</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1240" w:type="dxa"/>
            <w:vAlign w:val="bottom"/>
            <w:gridSpan w:val="10"/>
            <w:shd w:val="clear" w:color="auto" w:fill="0000EE"/>
          </w:tcPr>
          <w:p>
            <w:pPr>
              <w:spacing w:after="0" w:line="20" w:lineRule="exact"/>
              <w:rPr>
                <w:sz w:val="1"/>
                <w:szCs w:val="1"/>
                <w:color w:val="auto"/>
              </w:rPr>
            </w:pPr>
          </w:p>
        </w:tc>
        <w:tc>
          <w:tcPr>
            <w:tcW w:w="7260" w:type="dxa"/>
            <w:vAlign w:val="bottom"/>
            <w:gridSpan w:val="1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86">
              <w:r>
                <w:rPr>
                  <w:rFonts w:ascii="Arial" w:cs="Arial" w:eastAsia="Arial" w:hAnsi="Arial"/>
                  <w:sz w:val="18"/>
                  <w:szCs w:val="18"/>
                  <w:color w:val="0000EE"/>
                  <w:w w:val="87"/>
                </w:rPr>
                <w:t>20.</w:t>
              </w:r>
            </w:hyperlink>
          </w:p>
        </w:tc>
        <w:tc>
          <w:tcPr>
            <w:tcW w:w="9980" w:type="dxa"/>
            <w:vAlign w:val="bottom"/>
            <w:gridSpan w:val="30"/>
          </w:tcPr>
          <w:p>
            <w:pPr>
              <w:ind w:left="20"/>
              <w:spacing w:after="0"/>
              <w:rPr>
                <w:rFonts w:ascii="Arial" w:cs="Arial" w:eastAsia="Arial" w:hAnsi="Arial"/>
                <w:sz w:val="18"/>
                <w:szCs w:val="18"/>
                <w:color w:val="0000EE"/>
              </w:rPr>
            </w:pPr>
            <w:hyperlink w:anchor="page186">
              <w:r>
                <w:rPr>
                  <w:rFonts w:ascii="Arial" w:cs="Arial" w:eastAsia="Arial" w:hAnsi="Arial"/>
                  <w:sz w:val="18"/>
                  <w:szCs w:val="18"/>
                  <w:color w:val="0000EE"/>
                </w:rPr>
                <w:t>Operating Segments</w:t>
              </w:r>
            </w:hyperlink>
          </w:p>
        </w:tc>
        <w:tc>
          <w:tcPr>
            <w:tcW w:w="1020" w:type="dxa"/>
            <w:vAlign w:val="bottom"/>
          </w:tcPr>
          <w:p>
            <w:pPr>
              <w:jc w:val="right"/>
              <w:spacing w:after="0"/>
              <w:rPr>
                <w:rFonts w:ascii="Arial" w:cs="Arial" w:eastAsia="Arial" w:hAnsi="Arial"/>
                <w:sz w:val="18"/>
                <w:szCs w:val="18"/>
                <w:color w:val="0000EE"/>
              </w:rPr>
            </w:pPr>
            <w:hyperlink w:anchor="page186">
              <w:r>
                <w:rPr>
                  <w:rFonts w:ascii="Arial" w:cs="Arial" w:eastAsia="Arial" w:hAnsi="Arial"/>
                  <w:sz w:val="18"/>
                  <w:szCs w:val="18"/>
                  <w:color w:val="0000EE"/>
                </w:rPr>
                <w:t>F-60</w:t>
              </w:r>
            </w:hyperlink>
          </w:p>
        </w:tc>
      </w:tr>
      <w:tr>
        <w:trPr>
          <w:trHeight w:val="723"/>
        </w:trPr>
        <w:tc>
          <w:tcPr>
            <w:tcW w:w="14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60" w:type="dxa"/>
            <w:vAlign w:val="bottom"/>
            <w:gridSpan w:val="6"/>
          </w:tcPr>
          <w:p>
            <w:pPr>
              <w:ind w:left="640"/>
              <w:spacing w:after="0"/>
              <w:rPr>
                <w:sz w:val="20"/>
                <w:szCs w:val="20"/>
                <w:color w:val="auto"/>
              </w:rPr>
            </w:pPr>
            <w:r>
              <w:rPr>
                <w:rFonts w:ascii="Arial" w:cs="Arial" w:eastAsia="Arial" w:hAnsi="Arial"/>
                <w:sz w:val="18"/>
                <w:szCs w:val="18"/>
                <w:color w:val="auto"/>
              </w:rPr>
              <w:t>F-1</w:t>
            </w: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Plains GP Holdings,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6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73"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Management has used the framework set forth in the report entitled “Internal Control—Integrated Framework” (2013) issued by the Committee of Sponsoring Organizations of the Treadway Commission (“COSO”) to evaluate the effectiveness of the Partnership’s internal control over financial reporting. Based on that evaluation, management has concluded that the Partnership’s internal control over financial reporting was effective as of December 31, 2018.</w:t>
      </w:r>
    </w:p>
    <w:p>
      <w:pPr>
        <w:spacing w:after="0" w:line="147" w:lineRule="exact"/>
        <w:rPr>
          <w:sz w:val="20"/>
          <w:szCs w:val="20"/>
          <w:color w:val="auto"/>
        </w:rPr>
      </w:pPr>
    </w:p>
    <w:p>
      <w:pPr>
        <w:jc w:val="both"/>
        <w:ind w:right="1780" w:firstLine="648"/>
        <w:spacing w:after="0" w:line="342" w:lineRule="auto"/>
        <w:rPr>
          <w:sz w:val="20"/>
          <w:szCs w:val="20"/>
          <w:color w:val="auto"/>
        </w:rPr>
      </w:pPr>
      <w:r>
        <w:rPr>
          <w:rFonts w:ascii="Arial" w:cs="Arial" w:eastAsia="Arial" w:hAnsi="Arial"/>
          <w:sz w:val="16"/>
          <w:szCs w:val="16"/>
          <w:color w:val="auto"/>
        </w:rPr>
        <w:t>The effectiveness of the Partnership’s internal control over financial reporting as of December 31, 2018 has been audited by PricewaterhouseCoopers LLP, an independent registered public accounting firm, as stated in their report which appears on Page F-3.</w:t>
      </w:r>
    </w:p>
    <w:p>
      <w:pPr>
        <w:spacing w:after="0" w:line="286"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31750</wp:posOffset>
            </wp:positionV>
            <wp:extent cx="50685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72">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5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Willie Chiang</w:t>
      </w:r>
    </w:p>
    <w:p>
      <w:pPr>
        <w:spacing w:after="0" w:line="63" w:lineRule="exact"/>
        <w:rPr>
          <w:sz w:val="20"/>
          <w:szCs w:val="20"/>
          <w:color w:val="auto"/>
        </w:rPr>
      </w:pPr>
    </w:p>
    <w:p>
      <w:pPr>
        <w:ind w:left="3460"/>
        <w:spacing w:after="0"/>
        <w:rPr>
          <w:sz w:val="20"/>
          <w:szCs w:val="20"/>
          <w:color w:val="auto"/>
        </w:rPr>
      </w:pPr>
      <w:r>
        <w:rPr>
          <w:rFonts w:ascii="Arial" w:cs="Arial" w:eastAsia="Arial" w:hAnsi="Arial"/>
          <w:sz w:val="18"/>
          <w:szCs w:val="18"/>
          <w:i w:val="1"/>
          <w:iCs w:val="1"/>
          <w:color w:val="auto"/>
        </w:rPr>
        <w:t>Chief Executive Officer and Director of PAA GP Holdings LLC</w:t>
      </w:r>
    </w:p>
    <w:p>
      <w:pPr>
        <w:spacing w:after="0" w:line="63" w:lineRule="exact"/>
        <w:rPr>
          <w:sz w:val="20"/>
          <w:szCs w:val="20"/>
          <w:color w:val="auto"/>
        </w:rPr>
      </w:pPr>
    </w:p>
    <w:p>
      <w:pPr>
        <w:ind w:left="3460"/>
        <w:spacing w:after="0"/>
        <w:rPr>
          <w:sz w:val="20"/>
          <w:szCs w:val="20"/>
          <w:color w:val="auto"/>
        </w:rPr>
      </w:pPr>
      <w:r>
        <w:rPr>
          <w:rFonts w:ascii="Arial" w:cs="Arial" w:eastAsia="Arial" w:hAnsi="Arial"/>
          <w:sz w:val="18"/>
          <w:szCs w:val="18"/>
          <w:i w:val="1"/>
          <w:iCs w:val="1"/>
          <w:color w:val="auto"/>
        </w:rPr>
        <w:t>(Principal Executive Officer)</w:t>
      </w:r>
    </w:p>
    <w:p>
      <w:pPr>
        <w:spacing w:after="0" w:line="360"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31750</wp:posOffset>
            </wp:positionV>
            <wp:extent cx="50685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73">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5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3460"/>
        <w:spacing w:after="0"/>
        <w:rPr>
          <w:sz w:val="20"/>
          <w:szCs w:val="20"/>
          <w:color w:val="auto"/>
        </w:rPr>
      </w:pPr>
      <w:r>
        <w:rPr>
          <w:rFonts w:ascii="Arial" w:cs="Arial" w:eastAsia="Arial" w:hAnsi="Arial"/>
          <w:sz w:val="18"/>
          <w:szCs w:val="18"/>
          <w:i w:val="1"/>
          <w:iCs w:val="1"/>
          <w:color w:val="auto"/>
        </w:rPr>
        <w:t>Executive Vice President and Chief Financial Officer of PAA GP Holdings LLC</w:t>
      </w:r>
    </w:p>
    <w:p>
      <w:pPr>
        <w:spacing w:after="0" w:line="63" w:lineRule="exact"/>
        <w:rPr>
          <w:sz w:val="20"/>
          <w:szCs w:val="20"/>
          <w:color w:val="auto"/>
        </w:rPr>
      </w:pPr>
    </w:p>
    <w:p>
      <w:pPr>
        <w:ind w:left="3460"/>
        <w:spacing w:after="0"/>
        <w:rPr>
          <w:sz w:val="20"/>
          <w:szCs w:val="20"/>
          <w:color w:val="auto"/>
        </w:rPr>
      </w:pPr>
      <w:r>
        <w:rPr>
          <w:rFonts w:ascii="Arial" w:cs="Arial" w:eastAsia="Arial" w:hAnsi="Arial"/>
          <w:sz w:val="18"/>
          <w:szCs w:val="18"/>
          <w:i w:val="1"/>
          <w:iCs w:val="1"/>
          <w:color w:val="auto"/>
        </w:rPr>
        <w:t>(Principal Financial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26, 2019</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60"/>
          </w:cols>
          <w:pgMar w:left="240" w:top="125" w:right="29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9" w:lineRule="exact"/>
        <w:rPr>
          <w:sz w:val="20"/>
          <w:szCs w:val="20"/>
          <w:color w:val="auto"/>
        </w:rPr>
      </w:pPr>
    </w:p>
    <w:p>
      <w:pPr>
        <w:ind w:left="3640"/>
        <w:spacing w:after="0"/>
        <w:rPr>
          <w:sz w:val="20"/>
          <w:szCs w:val="20"/>
          <w:color w:val="auto"/>
        </w:rPr>
      </w:pPr>
      <w:r>
        <w:rPr>
          <w:rFonts w:ascii="Arial" w:cs="Arial" w:eastAsia="Arial" w:hAnsi="Arial"/>
          <w:sz w:val="17"/>
          <w:szCs w:val="17"/>
          <w:b w:val="1"/>
          <w:bCs w:val="1"/>
          <w:i w:val="1"/>
          <w:iCs w:val="1"/>
          <w:color w:val="auto"/>
        </w:rPr>
        <w:t>Report of Independent Registered Public Accounting Firm</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of PAA GP Holdings LLC and Shareholders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Plains GP Holdings, L.P.:</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Opinions on the Financial Statements and Internal Control over Financial Reporting</w:t>
      </w:r>
    </w:p>
    <w:p>
      <w:pPr>
        <w:spacing w:after="0" w:line="115" w:lineRule="exact"/>
        <w:rPr>
          <w:sz w:val="20"/>
          <w:szCs w:val="20"/>
          <w:color w:val="auto"/>
        </w:rPr>
      </w:pPr>
    </w:p>
    <w:p>
      <w:pPr>
        <w:ind w:right="160"/>
        <w:spacing w:after="0" w:line="297" w:lineRule="auto"/>
        <w:rPr>
          <w:sz w:val="20"/>
          <w:szCs w:val="20"/>
          <w:color w:val="auto"/>
        </w:rPr>
      </w:pPr>
      <w:r>
        <w:rPr>
          <w:rFonts w:ascii="Arial" w:cs="Arial" w:eastAsia="Arial" w:hAnsi="Arial"/>
          <w:sz w:val="15"/>
          <w:szCs w:val="15"/>
          <w:color w:val="auto"/>
        </w:rPr>
        <w:t xml:space="preserve">We have audited the accompanying consolidated balance sheets of Plains GP Holdings, L.P. and its subsidiaries (the “Partnership”) as of December 31, 2018 and 2017, and the related consolidated statements of operations, of comprehensive income, of changes in accumulated other comprehensive income/(loss), of changes in partners’ capital, and of cash flows for each of the three years in the period ended December 31, 2018, including the related notes (collectively referred to as the “consolidated financial statements”). We also have audited the Partnership’s internal control over financial reporting as of December 31, 2018,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Committee of Sponsoring Organizations of the Treadway Commission (COSO).</w:t>
      </w:r>
    </w:p>
    <w:p>
      <w:pPr>
        <w:spacing w:after="0" w:line="54" w:lineRule="exact"/>
        <w:rPr>
          <w:sz w:val="20"/>
          <w:szCs w:val="20"/>
          <w:color w:val="auto"/>
        </w:rPr>
      </w:pPr>
    </w:p>
    <w:p>
      <w:pPr>
        <w:ind w:right="140"/>
        <w:spacing w:after="0" w:line="302" w:lineRule="auto"/>
        <w:rPr>
          <w:sz w:val="20"/>
          <w:szCs w:val="20"/>
          <w:color w:val="auto"/>
        </w:rPr>
      </w:pPr>
      <w:r>
        <w:rPr>
          <w:rFonts w:ascii="Arial" w:cs="Arial" w:eastAsia="Arial" w:hAnsi="Arial"/>
          <w:sz w:val="15"/>
          <w:szCs w:val="15"/>
          <w:color w:val="auto"/>
        </w:rPr>
        <w:t>In our opinion, the consolidated financial statements referred to above present fairly, in all material respects, the financial position of the Partnership as of December 31, 2018 and 2017</w:t>
      </w:r>
      <w:r>
        <w:rPr>
          <w:rFonts w:ascii="Arial" w:cs="Arial" w:eastAsia="Arial" w:hAnsi="Arial"/>
          <w:sz w:val="15"/>
          <w:szCs w:val="15"/>
          <w:b w:val="1"/>
          <w:bCs w:val="1"/>
          <w:color w:val="auto"/>
        </w:rPr>
        <w:t>,</w:t>
      </w:r>
      <w:r>
        <w:rPr>
          <w:rFonts w:ascii="Arial" w:cs="Arial" w:eastAsia="Arial" w:hAnsi="Arial"/>
          <w:sz w:val="15"/>
          <w:szCs w:val="15"/>
          <w:color w:val="auto"/>
        </w:rPr>
        <w:t xml:space="preserve"> and the results of its operations and its cash flows for each of the three years in the period ended December 31, 2018 in conformity with accounting principles generally accepted in the United States of America. Also in our opinion, the Partnership maintained, in all material respects, effective internal control over financial reporting as of December 31, 2018,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COSO.</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Opinions</w:t>
      </w:r>
    </w:p>
    <w:p>
      <w:pPr>
        <w:spacing w:after="0" w:line="115"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The Partnership’s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Partnership’s consolidated financial statements and on the Partnership’s internal control over financial reporting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87"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and Limitations of Internal Control over Financial Reporting</w:t>
      </w:r>
    </w:p>
    <w:p>
      <w:pPr>
        <w:spacing w:after="0" w:line="115"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2"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0"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PricewaterhouseCoopers LLP</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7"/>
          <w:szCs w:val="17"/>
          <w:color w:val="auto"/>
        </w:rPr>
        <w:t>Houston, Texas</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February 26, 2019</w:t>
      </w:r>
    </w:p>
    <w:p>
      <w:pPr>
        <w:spacing w:after="0" w:line="277" w:lineRule="exact"/>
        <w:rPr>
          <w:sz w:val="20"/>
          <w:szCs w:val="20"/>
          <w:color w:val="auto"/>
        </w:rPr>
      </w:pPr>
    </w:p>
    <w:p>
      <w:pPr>
        <w:ind w:left="40"/>
        <w:spacing w:after="0"/>
        <w:rPr>
          <w:sz w:val="20"/>
          <w:szCs w:val="20"/>
          <w:color w:val="auto"/>
        </w:rPr>
      </w:pPr>
      <w:r>
        <w:rPr>
          <w:rFonts w:ascii="Arial" w:cs="Arial" w:eastAsia="Arial" w:hAnsi="Arial"/>
          <w:sz w:val="17"/>
          <w:szCs w:val="17"/>
          <w:color w:val="auto"/>
        </w:rPr>
        <w:t>We have served as the Partnership’s auditor since 2013.</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125" w:right="25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2018</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2017</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84"/>
        </w:trPr>
        <w:tc>
          <w:tcPr>
            <w:tcW w:w="8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440" w:type="dxa"/>
            <w:vAlign w:val="bottom"/>
          </w:tcPr>
          <w:p>
            <w:pPr>
              <w:jc w:val="right"/>
              <w:ind w:right="254"/>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and other receivables, net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Inventory</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713</w:t>
            </w:r>
          </w:p>
        </w:tc>
      </w:tr>
      <w:tr>
        <w:trPr>
          <w:trHeight w:val="27"/>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3,536</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4,003</w:t>
            </w:r>
          </w:p>
        </w:tc>
      </w:tr>
      <w:tr>
        <w:trPr>
          <w:trHeight w:val="27"/>
        </w:trPr>
        <w:tc>
          <w:tcPr>
            <w:tcW w:w="8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7"/>
        </w:trPr>
        <w:tc>
          <w:tcPr>
            <w:tcW w:w="85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17,905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16,901</w:t>
            </w:r>
          </w:p>
        </w:tc>
      </w:tr>
      <w:tr>
        <w:trPr>
          <w:trHeight w:val="27"/>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(2,796)</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14,802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14,105</w:t>
            </w:r>
          </w:p>
        </w:tc>
      </w:tr>
      <w:tr>
        <w:trPr>
          <w:trHeight w:val="27"/>
        </w:trPr>
        <w:tc>
          <w:tcPr>
            <w:tcW w:w="8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7"/>
        </w:trPr>
        <w:tc>
          <w:tcPr>
            <w:tcW w:w="85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Investments in unconsolidated entities</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2,702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2,756</w:t>
            </w:r>
          </w:p>
        </w:tc>
      </w:tr>
      <w:tr>
        <w:trPr>
          <w:trHeight w:val="27"/>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Linefill and base gas</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872</w:t>
            </w:r>
          </w:p>
        </w:tc>
      </w:tr>
      <w:tr>
        <w:trPr>
          <w:trHeight w:val="27"/>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inventory</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long-term assets, net</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901</w:t>
            </w:r>
          </w:p>
        </w:tc>
      </w:tr>
      <w:tr>
        <w:trPr>
          <w:trHeight w:val="27"/>
        </w:trPr>
        <w:tc>
          <w:tcPr>
            <w:tcW w:w="8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26,830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26,753</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8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PARTNERS’ CAPITAL</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84"/>
        </w:trPr>
        <w:tc>
          <w:tcPr>
            <w:tcW w:w="8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Trade accounts payable</w:t>
            </w:r>
          </w:p>
        </w:tc>
        <w:tc>
          <w:tcPr>
            <w:tcW w:w="440" w:type="dxa"/>
            <w:vAlign w:val="bottom"/>
          </w:tcPr>
          <w:p>
            <w:pPr>
              <w:jc w:val="right"/>
              <w:ind w:right="254"/>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2,705</w:t>
            </w:r>
          </w:p>
        </w:tc>
        <w:tc>
          <w:tcPr>
            <w:tcW w:w="120" w:type="dxa"/>
            <w:vAlign w:val="bottom"/>
          </w:tcPr>
          <w:p>
            <w:pPr>
              <w:spacing w:after="0"/>
              <w:rPr>
                <w:sz w:val="21"/>
                <w:szCs w:val="21"/>
                <w:color w:val="auto"/>
              </w:rPr>
            </w:pP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3,324</w:t>
            </w:r>
          </w:p>
        </w:tc>
      </w:tr>
      <w:tr>
        <w:trPr>
          <w:trHeight w:val="27"/>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472</w:t>
            </w:r>
          </w:p>
        </w:tc>
      </w:tr>
      <w:tr>
        <w:trPr>
          <w:trHeight w:val="27"/>
        </w:trPr>
        <w:tc>
          <w:tcPr>
            <w:tcW w:w="8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4,533</w:t>
            </w:r>
          </w:p>
        </w:tc>
      </w:tr>
      <w:tr>
        <w:trPr>
          <w:trHeight w:val="277"/>
        </w:trPr>
        <w:tc>
          <w:tcPr>
            <w:tcW w:w="85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Senior notes, net</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8,941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8,933</w:t>
            </w:r>
          </w:p>
        </w:tc>
      </w:tr>
      <w:tr>
        <w:trPr>
          <w:trHeight w:val="27"/>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debt, net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679</w:t>
            </w:r>
          </w:p>
        </w:tc>
      </w:tr>
      <w:tr>
        <w:trPr>
          <w:trHeight w:val="27"/>
        </w:trPr>
        <w:tc>
          <w:tcPr>
            <w:tcW w:w="8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liabilities</w:t>
            </w: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9,862</w:t>
            </w:r>
          </w:p>
        </w:tc>
      </w:tr>
      <w:tr>
        <w:trPr>
          <w:trHeight w:val="277"/>
        </w:trPr>
        <w:tc>
          <w:tcPr>
            <w:tcW w:w="85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(NOTE 18)</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84"/>
        </w:trPr>
        <w:tc>
          <w:tcPr>
            <w:tcW w:w="8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PARTNERS’ CAPITAL</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Class A shareholders (159,485,588 and 156,111,139 shares outstanding, respectively)</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1,846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1,695</w:t>
            </w:r>
          </w:p>
        </w:tc>
      </w:tr>
      <w:tr>
        <w:trPr>
          <w:trHeight w:val="27"/>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11,473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10,663</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partners’ capital</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13,319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12,358</w:t>
            </w:r>
          </w:p>
        </w:tc>
      </w:tr>
      <w:tr>
        <w:trPr>
          <w:trHeight w:val="27"/>
        </w:trPr>
        <w:tc>
          <w:tcPr>
            <w:tcW w:w="8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partners’ capital</w:t>
            </w:r>
          </w:p>
        </w:tc>
        <w:tc>
          <w:tcPr>
            <w:tcW w:w="44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26,830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26,753</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125"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Supply and Logistics segment 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32,819</w:t>
            </w:r>
          </w:p>
        </w:tc>
        <w:tc>
          <w:tcPr>
            <w:tcW w:w="5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25,056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19,004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segment revenues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Facilities segment revenues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546</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34,055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26,223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20,182</w:t>
            </w:r>
          </w:p>
        </w:tc>
      </w:tr>
      <w:tr>
        <w:trPr>
          <w:trHeight w:val="284"/>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Purchases and related costs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29,793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22,985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17,233</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282</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(Gains)/losses on asset sales and asset impairments, net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31,783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25,076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19,192</w:t>
            </w:r>
          </w:p>
        </w:tc>
      </w:tr>
      <w:tr>
        <w:trPr>
          <w:trHeight w:val="297"/>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990</w:t>
            </w:r>
          </w:p>
        </w:tc>
      </w:tr>
      <w:tr>
        <w:trPr>
          <w:trHeight w:val="284"/>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195</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investment in unconsolidated entities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Interest expense (net of capitalized interest of $30, $35 and $47, respectively)</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r>
      <w:tr>
        <w:trPr>
          <w:trHeight w:val="291"/>
        </w:trPr>
        <w:tc>
          <w:tcPr>
            <w:tcW w:w="70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TAX</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Current income tax expense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(expense)/benefit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318"/>
        </w:trPr>
        <w:tc>
          <w:tcPr>
            <w:tcW w:w="70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INCOME/(LOSS)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(566)</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INCOME/(LOSS) ATTRIBUTABLE TO PAGP</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5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4"/>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INCOME/(LOSS) PER CLASS A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0.94</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4"/>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INCOME/(LOSS) PER CLASS A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0.94</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WEIGHTED AVERAGE CLASS A SHARES OUTSTANDING</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8980" w:type="dxa"/>
            <w:vAlign w:val="bottom"/>
            <w:gridSpan w:val="6"/>
          </w:tcPr>
          <w:p>
            <w:pPr>
              <w:ind w:left="2580"/>
              <w:spacing w:after="0"/>
              <w:rPr>
                <w:sz w:val="20"/>
                <w:szCs w:val="20"/>
                <w:color w:val="auto"/>
              </w:rPr>
            </w:pPr>
            <w:r>
              <w:rPr>
                <w:rFonts w:ascii="Arial" w:cs="Arial" w:eastAsia="Arial" w:hAnsi="Arial"/>
                <w:sz w:val="18"/>
                <w:szCs w:val="18"/>
                <w:color w:val="auto"/>
                <w:w w:val="90"/>
              </w:rPr>
              <w:t>The accompanying notes are an integral part of these consolidated financial statements.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59"/>
        </w:trPr>
        <w:tc>
          <w:tcPr>
            <w:tcW w:w="7080" w:type="dxa"/>
            <w:vAlign w:val="bottom"/>
          </w:tcPr>
          <w:p>
            <w:pPr>
              <w:ind w:left="5580"/>
              <w:spacing w:after="0"/>
              <w:rPr>
                <w:sz w:val="20"/>
                <w:szCs w:val="20"/>
                <w:color w:val="auto"/>
              </w:rPr>
            </w:pPr>
            <w:r>
              <w:rPr>
                <w:rFonts w:ascii="Arial" w:cs="Arial" w:eastAsia="Arial" w:hAnsi="Arial"/>
                <w:sz w:val="18"/>
                <w:szCs w:val="18"/>
                <w:color w:val="auto"/>
              </w:rPr>
              <w:t>F-5</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income/(loss)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72</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732</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Comprehensive income attributable to noncontrolling interests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(618)</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income/(loss) attributable to PAGP</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ACCUMULATED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Derivative</w:t>
            </w:r>
          </w:p>
        </w:tc>
        <w:tc>
          <w:tcPr>
            <w:tcW w:w="1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Translation</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9"/>
              </w:rPr>
              <w:t>Instruments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Adjustments</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Unrealized loss on hedges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2016 Activity</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Reclassification adjustments</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 on hedges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Currency translation adjustments</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2017 Activity</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Reclassification adjustments</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on hedges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Currency translation adjustments</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2018 Activity</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5" w:right="239" w:bottom="1440" w:gutter="0" w:footer="0" w:header="0"/>
        </w:sectPr>
      </w:pPr>
    </w:p>
    <w:bookmarkStart w:id="131" w:name="page132"/>
    <w:bookmarkEnd w:id="131"/>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43"/>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4"/>
        </w:trPr>
        <w:tc>
          <w:tcPr>
            <w:tcW w:w="74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CASH FLOWS FROM OPERATING ACTIVITIES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7440" w:type="dxa"/>
            <w:vAlign w:val="bottom"/>
          </w:tcPr>
          <w:p>
            <w:pPr>
              <w:ind w:left="40"/>
              <w:spacing w:after="0"/>
              <w:rPr>
                <w:sz w:val="20"/>
                <w:szCs w:val="20"/>
                <w:color w:val="auto"/>
              </w:rPr>
            </w:pPr>
            <w:r>
              <w:rPr>
                <w:rFonts w:ascii="Arial" w:cs="Arial" w:eastAsia="Arial" w:hAnsi="Arial"/>
                <w:sz w:val="15"/>
                <w:szCs w:val="15"/>
                <w:color w:val="auto"/>
              </w:rPr>
              <w:t>Net income/(loss)</w:t>
            </w:r>
          </w:p>
        </w:tc>
        <w:tc>
          <w:tcPr>
            <w:tcW w:w="300" w:type="dxa"/>
            <w:vAlign w:val="bottom"/>
            <w:vMerge w:val="restart"/>
          </w:tcPr>
          <w:p>
            <w:pPr>
              <w:jc w:val="right"/>
              <w:ind w:right="123"/>
              <w:spacing w:after="0"/>
              <w:rPr>
                <w:sz w:val="20"/>
                <w:szCs w:val="20"/>
                <w:color w:val="auto"/>
              </w:rPr>
            </w:pPr>
            <w:r>
              <w:rPr>
                <w:rFonts w:ascii="Arial" w:cs="Arial" w:eastAsia="Arial" w:hAnsi="Arial"/>
                <w:sz w:val="15"/>
                <w:szCs w:val="15"/>
                <w:color w:val="auto"/>
                <w:w w:val="95"/>
              </w:rPr>
              <w:t>$</w:t>
            </w:r>
          </w:p>
        </w:tc>
        <w:tc>
          <w:tcPr>
            <w:tcW w:w="980" w:type="dxa"/>
            <w:vAlign w:val="bottom"/>
            <w:vMerge w:val="restart"/>
          </w:tcPr>
          <w:p>
            <w:pPr>
              <w:jc w:val="right"/>
              <w:ind w:right="44"/>
              <w:spacing w:after="0"/>
              <w:rPr>
                <w:sz w:val="20"/>
                <w:szCs w:val="20"/>
                <w:color w:val="auto"/>
              </w:rPr>
            </w:pPr>
            <w:r>
              <w:rPr>
                <w:rFonts w:ascii="Arial" w:cs="Arial" w:eastAsia="Arial" w:hAnsi="Arial"/>
                <w:sz w:val="15"/>
                <w:szCs w:val="15"/>
                <w:color w:val="auto"/>
              </w:rPr>
              <w:t>2,107</w:t>
            </w:r>
          </w:p>
        </w:tc>
        <w:tc>
          <w:tcPr>
            <w:tcW w:w="100" w:type="dxa"/>
            <w:vAlign w:val="bottom"/>
          </w:tcPr>
          <w:p>
            <w:pPr>
              <w:spacing w:after="0"/>
              <w:rPr>
                <w:sz w:val="18"/>
                <w:szCs w:val="18"/>
                <w:color w:val="auto"/>
              </w:rPr>
            </w:pPr>
          </w:p>
        </w:tc>
        <w:tc>
          <w:tcPr>
            <w:tcW w:w="300" w:type="dxa"/>
            <w:vAlign w:val="bottom"/>
            <w:vMerge w:val="restart"/>
          </w:tcPr>
          <w:p>
            <w:pPr>
              <w:jc w:val="right"/>
              <w:ind w:right="103"/>
              <w:spacing w:after="0"/>
              <w:rPr>
                <w:sz w:val="20"/>
                <w:szCs w:val="20"/>
                <w:color w:val="auto"/>
              </w:rPr>
            </w:pPr>
            <w:r>
              <w:rPr>
                <w:rFonts w:ascii="Arial" w:cs="Arial" w:eastAsia="Arial" w:hAnsi="Arial"/>
                <w:sz w:val="15"/>
                <w:szCs w:val="15"/>
                <w:color w:val="auto"/>
              </w:rPr>
              <w:t>$</w:t>
            </w: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(41)</w:t>
            </w:r>
          </w:p>
        </w:tc>
        <w:tc>
          <w:tcPr>
            <w:tcW w:w="120" w:type="dxa"/>
            <w:vAlign w:val="bottom"/>
          </w:tcPr>
          <w:p>
            <w:pPr>
              <w:spacing w:after="0"/>
              <w:rPr>
                <w:sz w:val="18"/>
                <w:szCs w:val="18"/>
                <w:color w:val="auto"/>
              </w:rPr>
            </w:pPr>
          </w:p>
        </w:tc>
        <w:tc>
          <w:tcPr>
            <w:tcW w:w="280" w:type="dxa"/>
            <w:vAlign w:val="bottom"/>
            <w:vMerge w:val="restart"/>
          </w:tcPr>
          <w:p>
            <w:pPr>
              <w:jc w:val="right"/>
              <w:ind w:right="103"/>
              <w:spacing w:after="0"/>
              <w:rPr>
                <w:sz w:val="20"/>
                <w:szCs w:val="20"/>
                <w:color w:val="auto"/>
              </w:rPr>
            </w:pPr>
            <w:r>
              <w:rPr>
                <w:rFonts w:ascii="Arial" w:cs="Arial" w:eastAsia="Arial" w:hAnsi="Arial"/>
                <w:sz w:val="15"/>
                <w:szCs w:val="15"/>
                <w:color w:val="auto"/>
                <w:w w:val="95"/>
              </w:rPr>
              <w:t>$</w:t>
            </w:r>
          </w:p>
        </w:tc>
        <w:tc>
          <w:tcPr>
            <w:tcW w:w="960" w:type="dxa"/>
            <w:vAlign w:val="bottom"/>
            <w:vMerge w:val="restart"/>
          </w:tcPr>
          <w:p>
            <w:pPr>
              <w:jc w:val="right"/>
              <w:ind w:right="24"/>
              <w:spacing w:after="0"/>
              <w:rPr>
                <w:sz w:val="20"/>
                <w:szCs w:val="20"/>
                <w:color w:val="auto"/>
              </w:rPr>
            </w:pPr>
            <w:r>
              <w:rPr>
                <w:rFonts w:ascii="Arial" w:cs="Arial" w:eastAsia="Arial" w:hAnsi="Arial"/>
                <w:sz w:val="15"/>
                <w:szCs w:val="15"/>
                <w:color w:val="auto"/>
              </w:rPr>
              <w:t>660</w:t>
            </w:r>
          </w:p>
        </w:tc>
        <w:tc>
          <w:tcPr>
            <w:tcW w:w="0" w:type="dxa"/>
            <w:vAlign w:val="bottom"/>
          </w:tcPr>
          <w:p>
            <w:pPr>
              <w:spacing w:after="0"/>
              <w:rPr>
                <w:sz w:val="1"/>
                <w:szCs w:val="1"/>
                <w:color w:val="auto"/>
              </w:rPr>
            </w:pPr>
          </w:p>
        </w:tc>
      </w:tr>
      <w:tr>
        <w:trPr>
          <w:trHeight w:val="58"/>
        </w:trPr>
        <w:tc>
          <w:tcPr>
            <w:tcW w:w="744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Reconciliation of net income to net cash provided by operating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4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40" w:type="dxa"/>
            <w:vAlign w:val="bottom"/>
          </w:tcPr>
          <w:p>
            <w:pPr>
              <w:ind w:left="180"/>
              <w:spacing w:after="0"/>
              <w:rPr>
                <w:sz w:val="20"/>
                <w:szCs w:val="20"/>
                <w:color w:val="auto"/>
              </w:rPr>
            </w:pPr>
            <w:r>
              <w:rPr>
                <w:rFonts w:ascii="Arial" w:cs="Arial" w:eastAsia="Arial" w:hAnsi="Arial"/>
                <w:sz w:val="15"/>
                <w:szCs w:val="15"/>
                <w:color w:val="auto"/>
              </w:rPr>
              <w:t>Depreciation and amortization</w:t>
            </w:r>
          </w:p>
        </w:tc>
        <w:tc>
          <w:tcPr>
            <w:tcW w:w="300" w:type="dxa"/>
            <w:vAlign w:val="bottom"/>
          </w:tcPr>
          <w:p>
            <w:pPr>
              <w:spacing w:after="0"/>
              <w:rPr>
                <w:sz w:val="18"/>
                <w:szCs w:val="18"/>
                <w:color w:val="auto"/>
              </w:rPr>
            </w:pPr>
          </w:p>
        </w:tc>
        <w:tc>
          <w:tcPr>
            <w:tcW w:w="980" w:type="dxa"/>
            <w:vAlign w:val="bottom"/>
            <w:vMerge w:val="restart"/>
          </w:tcPr>
          <w:p>
            <w:pPr>
              <w:jc w:val="right"/>
              <w:ind w:right="44"/>
              <w:spacing w:after="0"/>
              <w:rPr>
                <w:sz w:val="20"/>
                <w:szCs w:val="20"/>
                <w:color w:val="auto"/>
              </w:rPr>
            </w:pPr>
            <w:r>
              <w:rPr>
                <w:rFonts w:ascii="Arial" w:cs="Arial" w:eastAsia="Arial" w:hAnsi="Arial"/>
                <w:sz w:val="15"/>
                <w:szCs w:val="15"/>
                <w:color w:val="auto"/>
              </w:rPr>
              <w:t>521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restart"/>
          </w:tcPr>
          <w:p>
            <w:pPr>
              <w:jc w:val="right"/>
              <w:ind w:right="24"/>
              <w:spacing w:after="0"/>
              <w:rPr>
                <w:sz w:val="20"/>
                <w:szCs w:val="20"/>
                <w:color w:val="auto"/>
              </w:rPr>
            </w:pPr>
            <w:r>
              <w:rPr>
                <w:rFonts w:ascii="Arial" w:cs="Arial" w:eastAsia="Arial" w:hAnsi="Arial"/>
                <w:sz w:val="15"/>
                <w:szCs w:val="15"/>
                <w:color w:val="auto"/>
              </w:rPr>
              <w:t>519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4"/>
              <w:spacing w:after="0"/>
              <w:rPr>
                <w:sz w:val="20"/>
                <w:szCs w:val="20"/>
                <w:color w:val="auto"/>
              </w:rPr>
            </w:pPr>
            <w:r>
              <w:rPr>
                <w:rFonts w:ascii="Arial" w:cs="Arial" w:eastAsia="Arial" w:hAnsi="Arial"/>
                <w:sz w:val="15"/>
                <w:szCs w:val="15"/>
                <w:color w:val="auto"/>
              </w:rPr>
              <w:t>515</w:t>
            </w:r>
          </w:p>
        </w:tc>
        <w:tc>
          <w:tcPr>
            <w:tcW w:w="0" w:type="dxa"/>
            <w:vAlign w:val="bottom"/>
          </w:tcPr>
          <w:p>
            <w:pPr>
              <w:spacing w:after="0"/>
              <w:rPr>
                <w:sz w:val="1"/>
                <w:szCs w:val="1"/>
                <w:color w:val="auto"/>
              </w:rPr>
            </w:pPr>
          </w:p>
        </w:tc>
      </w:tr>
      <w:tr>
        <w:trPr>
          <w:trHeight w:val="58"/>
        </w:trPr>
        <w:tc>
          <w:tcPr>
            <w:tcW w:w="7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(Gains)/losses on asset sales and asset impairments, net</w:t>
            </w:r>
          </w:p>
        </w:tc>
        <w:tc>
          <w:tcPr>
            <w:tcW w:w="30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109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62"/>
        </w:trPr>
        <w:tc>
          <w:tcPr>
            <w:tcW w:w="74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40" w:type="dxa"/>
            <w:vAlign w:val="bottom"/>
          </w:tcPr>
          <w:p>
            <w:pPr>
              <w:ind w:left="180"/>
              <w:spacing w:after="0"/>
              <w:rPr>
                <w:sz w:val="20"/>
                <w:szCs w:val="20"/>
                <w:color w:val="auto"/>
              </w:rPr>
            </w:pPr>
            <w:r>
              <w:rPr>
                <w:rFonts w:ascii="Arial" w:cs="Arial" w:eastAsia="Arial" w:hAnsi="Arial"/>
                <w:sz w:val="15"/>
                <w:szCs w:val="15"/>
                <w:color w:val="auto"/>
              </w:rPr>
              <w:t>Equity-indexed compensation expense</w:t>
            </w:r>
          </w:p>
        </w:tc>
        <w:tc>
          <w:tcPr>
            <w:tcW w:w="300" w:type="dxa"/>
            <w:vAlign w:val="bottom"/>
          </w:tcPr>
          <w:p>
            <w:pPr>
              <w:spacing w:after="0"/>
              <w:rPr>
                <w:sz w:val="18"/>
                <w:szCs w:val="18"/>
                <w:color w:val="auto"/>
              </w:rPr>
            </w:pPr>
          </w:p>
        </w:tc>
        <w:tc>
          <w:tcPr>
            <w:tcW w:w="980" w:type="dxa"/>
            <w:vAlign w:val="bottom"/>
            <w:vMerge w:val="restart"/>
          </w:tcPr>
          <w:p>
            <w:pPr>
              <w:jc w:val="right"/>
              <w:ind w:right="44"/>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restart"/>
          </w:tcPr>
          <w:p>
            <w:pPr>
              <w:jc w:val="right"/>
              <w:ind w:right="24"/>
              <w:spacing w:after="0"/>
              <w:rPr>
                <w:sz w:val="20"/>
                <w:szCs w:val="20"/>
                <w:color w:val="auto"/>
              </w:rPr>
            </w:pPr>
            <w:r>
              <w:rPr>
                <w:rFonts w:ascii="Arial" w:cs="Arial" w:eastAsia="Arial" w:hAnsi="Arial"/>
                <w:sz w:val="15"/>
                <w:szCs w:val="15"/>
                <w:color w:val="auto"/>
              </w:rPr>
              <w:t>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4"/>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58"/>
        </w:trPr>
        <w:tc>
          <w:tcPr>
            <w:tcW w:w="7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Inventory valuation adjustments (Note 5)</w:t>
            </w:r>
          </w:p>
        </w:tc>
        <w:tc>
          <w:tcPr>
            <w:tcW w:w="30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62"/>
        </w:trPr>
        <w:tc>
          <w:tcPr>
            <w:tcW w:w="74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40" w:type="dxa"/>
            <w:vAlign w:val="bottom"/>
          </w:tcPr>
          <w:p>
            <w:pPr>
              <w:ind w:left="180"/>
              <w:spacing w:after="0"/>
              <w:rPr>
                <w:sz w:val="20"/>
                <w:szCs w:val="20"/>
                <w:color w:val="auto"/>
              </w:rPr>
            </w:pPr>
            <w:r>
              <w:rPr>
                <w:rFonts w:ascii="Arial" w:cs="Arial" w:eastAsia="Arial" w:hAnsi="Arial"/>
                <w:sz w:val="15"/>
                <w:szCs w:val="15"/>
                <w:color w:val="auto"/>
              </w:rPr>
              <w:t>Deferred income tax expense/(benefit)</w:t>
            </w:r>
          </w:p>
        </w:tc>
        <w:tc>
          <w:tcPr>
            <w:tcW w:w="300" w:type="dxa"/>
            <w:vAlign w:val="bottom"/>
          </w:tcPr>
          <w:p>
            <w:pPr>
              <w:spacing w:after="0"/>
              <w:rPr>
                <w:sz w:val="18"/>
                <w:szCs w:val="18"/>
                <w:color w:val="auto"/>
              </w:rPr>
            </w:pPr>
          </w:p>
        </w:tc>
        <w:tc>
          <w:tcPr>
            <w:tcW w:w="980" w:type="dxa"/>
            <w:vAlign w:val="bottom"/>
            <w:vMerge w:val="restart"/>
          </w:tcPr>
          <w:p>
            <w:pPr>
              <w:jc w:val="right"/>
              <w:ind w:right="44"/>
              <w:spacing w:after="0"/>
              <w:rPr>
                <w:sz w:val="20"/>
                <w:szCs w:val="20"/>
                <w:color w:val="auto"/>
              </w:rPr>
            </w:pPr>
            <w:r>
              <w:rPr>
                <w:rFonts w:ascii="Arial" w:cs="Arial" w:eastAsia="Arial" w:hAnsi="Arial"/>
                <w:sz w:val="15"/>
                <w:szCs w:val="15"/>
                <w:color w:val="auto"/>
              </w:rPr>
              <w:t>236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restart"/>
          </w:tcPr>
          <w:p>
            <w:pPr>
              <w:jc w:val="right"/>
              <w:ind w:right="24"/>
              <w:spacing w:after="0"/>
              <w:rPr>
                <w:sz w:val="20"/>
                <w:szCs w:val="20"/>
                <w:color w:val="auto"/>
              </w:rPr>
            </w:pPr>
            <w:r>
              <w:rPr>
                <w:rFonts w:ascii="Arial" w:cs="Arial" w:eastAsia="Arial" w:hAnsi="Arial"/>
                <w:sz w:val="15"/>
                <w:szCs w:val="15"/>
                <w:color w:val="auto"/>
              </w:rPr>
              <w:t>909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58"/>
        </w:trPr>
        <w:tc>
          <w:tcPr>
            <w:tcW w:w="7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Settlement of terminated interest rate hedging instruments</w:t>
            </w:r>
          </w:p>
        </w:tc>
        <w:tc>
          <w:tcPr>
            <w:tcW w:w="30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62"/>
        </w:trPr>
        <w:tc>
          <w:tcPr>
            <w:tcW w:w="74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40" w:type="dxa"/>
            <w:vAlign w:val="bottom"/>
          </w:tcPr>
          <w:p>
            <w:pPr>
              <w:ind w:left="180"/>
              <w:spacing w:after="0"/>
              <w:rPr>
                <w:sz w:val="20"/>
                <w:szCs w:val="20"/>
                <w:color w:val="auto"/>
              </w:rPr>
            </w:pPr>
            <w:r>
              <w:rPr>
                <w:rFonts w:ascii="Arial" w:cs="Arial" w:eastAsia="Arial" w:hAnsi="Arial"/>
                <w:sz w:val="15"/>
                <w:szCs w:val="15"/>
                <w:color w:val="auto"/>
              </w:rPr>
              <w:t>Change in fair value of Preferred Distribution Rate Reset Option (Note 13)</w:t>
            </w:r>
          </w:p>
        </w:tc>
        <w:tc>
          <w:tcPr>
            <w:tcW w:w="300" w:type="dxa"/>
            <w:vAlign w:val="bottom"/>
          </w:tcPr>
          <w:p>
            <w:pPr>
              <w:spacing w:after="0"/>
              <w:rPr>
                <w:sz w:val="18"/>
                <w:szCs w:val="18"/>
                <w:color w:val="auto"/>
              </w:rPr>
            </w:pPr>
          </w:p>
        </w:tc>
        <w:tc>
          <w:tcPr>
            <w:tcW w:w="980" w:type="dxa"/>
            <w:vAlign w:val="bottom"/>
            <w:vMerge w:val="restart"/>
          </w:tcPr>
          <w:p>
            <w:pPr>
              <w:jc w:val="right"/>
              <w:ind w:right="44"/>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58"/>
        </w:trPr>
        <w:tc>
          <w:tcPr>
            <w:tcW w:w="7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Equity earnings in unconsolidated entities</w:t>
            </w:r>
          </w:p>
        </w:tc>
        <w:tc>
          <w:tcPr>
            <w:tcW w:w="30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(375)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(290)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(195)</w:t>
            </w:r>
          </w:p>
        </w:tc>
        <w:tc>
          <w:tcPr>
            <w:tcW w:w="0" w:type="dxa"/>
            <w:vAlign w:val="bottom"/>
          </w:tcPr>
          <w:p>
            <w:pPr>
              <w:spacing w:after="0"/>
              <w:rPr>
                <w:sz w:val="1"/>
                <w:szCs w:val="1"/>
                <w:color w:val="auto"/>
              </w:rPr>
            </w:pPr>
          </w:p>
        </w:tc>
      </w:tr>
      <w:tr>
        <w:trPr>
          <w:trHeight w:val="62"/>
        </w:trPr>
        <w:tc>
          <w:tcPr>
            <w:tcW w:w="74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40" w:type="dxa"/>
            <w:vAlign w:val="bottom"/>
          </w:tcPr>
          <w:p>
            <w:pPr>
              <w:ind w:left="180"/>
              <w:spacing w:after="0"/>
              <w:rPr>
                <w:sz w:val="20"/>
                <w:szCs w:val="20"/>
                <w:color w:val="auto"/>
              </w:rPr>
            </w:pPr>
            <w:r>
              <w:rPr>
                <w:rFonts w:ascii="Arial" w:cs="Arial" w:eastAsia="Arial" w:hAnsi="Arial"/>
                <w:sz w:val="15"/>
                <w:szCs w:val="15"/>
                <w:color w:val="auto"/>
              </w:rPr>
              <w:t>Distributions on earnings from unconsolidated entities</w:t>
            </w:r>
          </w:p>
        </w:tc>
        <w:tc>
          <w:tcPr>
            <w:tcW w:w="300" w:type="dxa"/>
            <w:vAlign w:val="bottom"/>
          </w:tcPr>
          <w:p>
            <w:pPr>
              <w:spacing w:after="0"/>
              <w:rPr>
                <w:sz w:val="18"/>
                <w:szCs w:val="18"/>
                <w:color w:val="auto"/>
              </w:rPr>
            </w:pPr>
          </w:p>
        </w:tc>
        <w:tc>
          <w:tcPr>
            <w:tcW w:w="980" w:type="dxa"/>
            <w:vAlign w:val="bottom"/>
            <w:vMerge w:val="restart"/>
          </w:tcPr>
          <w:p>
            <w:pPr>
              <w:jc w:val="right"/>
              <w:ind w:right="44"/>
              <w:spacing w:after="0"/>
              <w:rPr>
                <w:sz w:val="20"/>
                <w:szCs w:val="20"/>
                <w:color w:val="auto"/>
              </w:rPr>
            </w:pPr>
            <w:r>
              <w:rPr>
                <w:rFonts w:ascii="Arial" w:cs="Arial" w:eastAsia="Arial" w:hAnsi="Arial"/>
                <w:sz w:val="15"/>
                <w:szCs w:val="15"/>
                <w:color w:val="auto"/>
              </w:rPr>
              <w:t>422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restart"/>
          </w:tcPr>
          <w:p>
            <w:pPr>
              <w:jc w:val="right"/>
              <w:ind w:right="24"/>
              <w:spacing w:after="0"/>
              <w:rPr>
                <w:sz w:val="20"/>
                <w:szCs w:val="20"/>
                <w:color w:val="auto"/>
              </w:rPr>
            </w:pPr>
            <w:r>
              <w:rPr>
                <w:rFonts w:ascii="Arial" w:cs="Arial" w:eastAsia="Arial" w:hAnsi="Arial"/>
                <w:sz w:val="15"/>
                <w:szCs w:val="15"/>
                <w:color w:val="auto"/>
              </w:rPr>
              <w:t>304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4"/>
              <w:spacing w:after="0"/>
              <w:rPr>
                <w:sz w:val="20"/>
                <w:szCs w:val="20"/>
                <w:color w:val="auto"/>
              </w:rPr>
            </w:pPr>
            <w:r>
              <w:rPr>
                <w:rFonts w:ascii="Arial" w:cs="Arial" w:eastAsia="Arial" w:hAnsi="Arial"/>
                <w:sz w:val="15"/>
                <w:szCs w:val="15"/>
                <w:color w:val="auto"/>
              </w:rPr>
              <w:t>216</w:t>
            </w:r>
          </w:p>
        </w:tc>
        <w:tc>
          <w:tcPr>
            <w:tcW w:w="0" w:type="dxa"/>
            <w:vAlign w:val="bottom"/>
          </w:tcPr>
          <w:p>
            <w:pPr>
              <w:spacing w:after="0"/>
              <w:rPr>
                <w:sz w:val="1"/>
                <w:szCs w:val="1"/>
                <w:color w:val="auto"/>
              </w:rPr>
            </w:pPr>
          </w:p>
        </w:tc>
      </w:tr>
      <w:tr>
        <w:trPr>
          <w:trHeight w:val="58"/>
        </w:trPr>
        <w:tc>
          <w:tcPr>
            <w:tcW w:w="7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Gain on sale of investment in unconsolidated entities</w:t>
            </w:r>
          </w:p>
        </w:tc>
        <w:tc>
          <w:tcPr>
            <w:tcW w:w="30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74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6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40" w:type="dxa"/>
            <w:vAlign w:val="bottom"/>
          </w:tcPr>
          <w:p>
            <w:pPr>
              <w:ind w:left="180"/>
              <w:spacing w:after="0"/>
              <w:rPr>
                <w:sz w:val="20"/>
                <w:szCs w:val="20"/>
                <w:color w:val="auto"/>
              </w:rPr>
            </w:pPr>
            <w:r>
              <w:rPr>
                <w:rFonts w:ascii="Arial" w:cs="Arial" w:eastAsia="Arial" w:hAnsi="Arial"/>
                <w:sz w:val="15"/>
                <w:szCs w:val="15"/>
                <w:color w:val="auto"/>
              </w:rPr>
              <w:t>Other</w:t>
            </w:r>
          </w:p>
        </w:tc>
        <w:tc>
          <w:tcPr>
            <w:tcW w:w="300" w:type="dxa"/>
            <w:vAlign w:val="bottom"/>
          </w:tcPr>
          <w:p>
            <w:pPr>
              <w:spacing w:after="0"/>
              <w:rPr>
                <w:sz w:val="18"/>
                <w:szCs w:val="18"/>
                <w:color w:val="auto"/>
              </w:rPr>
            </w:pPr>
          </w:p>
        </w:tc>
        <w:tc>
          <w:tcPr>
            <w:tcW w:w="980" w:type="dxa"/>
            <w:vAlign w:val="bottom"/>
            <w:vMerge w:val="restart"/>
          </w:tcPr>
          <w:p>
            <w:pPr>
              <w:jc w:val="right"/>
              <w:ind w:right="44"/>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restart"/>
          </w:tcPr>
          <w:p>
            <w:pPr>
              <w:jc w:val="right"/>
              <w:ind w:right="24"/>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4"/>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58"/>
        </w:trPr>
        <w:tc>
          <w:tcPr>
            <w:tcW w:w="7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Changes in assets and liabilities, net of acquisitions: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4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40" w:type="dxa"/>
            <w:vAlign w:val="bottom"/>
          </w:tcPr>
          <w:p>
            <w:pPr>
              <w:ind w:left="180"/>
              <w:spacing w:after="0"/>
              <w:rPr>
                <w:sz w:val="20"/>
                <w:szCs w:val="20"/>
                <w:color w:val="auto"/>
              </w:rPr>
            </w:pPr>
            <w:r>
              <w:rPr>
                <w:rFonts w:ascii="Arial" w:cs="Arial" w:eastAsia="Arial" w:hAnsi="Arial"/>
                <w:sz w:val="15"/>
                <w:szCs w:val="15"/>
                <w:color w:val="auto"/>
              </w:rPr>
              <w:t>Trade accounts receivable and other</w:t>
            </w:r>
          </w:p>
        </w:tc>
        <w:tc>
          <w:tcPr>
            <w:tcW w:w="300" w:type="dxa"/>
            <w:vAlign w:val="bottom"/>
          </w:tcPr>
          <w:p>
            <w:pPr>
              <w:spacing w:after="0"/>
              <w:rPr>
                <w:sz w:val="18"/>
                <w:szCs w:val="18"/>
                <w:color w:val="auto"/>
              </w:rPr>
            </w:pPr>
          </w:p>
        </w:tc>
        <w:tc>
          <w:tcPr>
            <w:tcW w:w="980" w:type="dxa"/>
            <w:vAlign w:val="bottom"/>
            <w:vMerge w:val="restart"/>
          </w:tcPr>
          <w:p>
            <w:pPr>
              <w:jc w:val="right"/>
              <w:ind w:right="44"/>
              <w:spacing w:after="0"/>
              <w:rPr>
                <w:sz w:val="20"/>
                <w:szCs w:val="20"/>
                <w:color w:val="auto"/>
              </w:rPr>
            </w:pPr>
            <w:r>
              <w:rPr>
                <w:rFonts w:ascii="Arial" w:cs="Arial" w:eastAsia="Arial" w:hAnsi="Arial"/>
                <w:sz w:val="15"/>
                <w:szCs w:val="15"/>
                <w:color w:val="auto"/>
              </w:rPr>
              <w:t>309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(511)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(524)</w:t>
            </w:r>
          </w:p>
        </w:tc>
        <w:tc>
          <w:tcPr>
            <w:tcW w:w="0" w:type="dxa"/>
            <w:vAlign w:val="bottom"/>
          </w:tcPr>
          <w:p>
            <w:pPr>
              <w:spacing w:after="0"/>
              <w:rPr>
                <w:sz w:val="1"/>
                <w:szCs w:val="1"/>
                <w:color w:val="auto"/>
              </w:rPr>
            </w:pPr>
          </w:p>
        </w:tc>
      </w:tr>
      <w:tr>
        <w:trPr>
          <w:trHeight w:val="58"/>
        </w:trPr>
        <w:tc>
          <w:tcPr>
            <w:tcW w:w="7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Inventory</w:t>
            </w:r>
          </w:p>
        </w:tc>
        <w:tc>
          <w:tcPr>
            <w:tcW w:w="30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605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(463)</w:t>
            </w:r>
          </w:p>
        </w:tc>
        <w:tc>
          <w:tcPr>
            <w:tcW w:w="0" w:type="dxa"/>
            <w:vAlign w:val="bottom"/>
          </w:tcPr>
          <w:p>
            <w:pPr>
              <w:spacing w:after="0"/>
              <w:rPr>
                <w:sz w:val="1"/>
                <w:szCs w:val="1"/>
                <w:color w:val="auto"/>
              </w:rPr>
            </w:pPr>
          </w:p>
        </w:tc>
      </w:tr>
      <w:tr>
        <w:trPr>
          <w:trHeight w:val="62"/>
        </w:trPr>
        <w:tc>
          <w:tcPr>
            <w:tcW w:w="74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40" w:type="dxa"/>
            <w:vAlign w:val="bottom"/>
          </w:tcPr>
          <w:p>
            <w:pPr>
              <w:ind w:left="180"/>
              <w:spacing w:after="0"/>
              <w:rPr>
                <w:sz w:val="20"/>
                <w:szCs w:val="20"/>
                <w:color w:val="auto"/>
              </w:rPr>
            </w:pPr>
            <w:r>
              <w:rPr>
                <w:rFonts w:ascii="Arial" w:cs="Arial" w:eastAsia="Arial" w:hAnsi="Arial"/>
                <w:sz w:val="15"/>
                <w:szCs w:val="15"/>
                <w:color w:val="auto"/>
              </w:rPr>
              <w:t>Trade accounts payable and other current liabilities</w:t>
            </w:r>
          </w:p>
        </w:tc>
        <w:tc>
          <w:tcPr>
            <w:tcW w:w="300" w:type="dxa"/>
            <w:vAlign w:val="bottom"/>
          </w:tcPr>
          <w:p>
            <w:pPr>
              <w:spacing w:after="0"/>
              <w:rPr>
                <w:sz w:val="18"/>
                <w:szCs w:val="18"/>
                <w:color w:val="auto"/>
              </w:rPr>
            </w:pPr>
          </w:p>
        </w:tc>
        <w:tc>
          <w:tcPr>
            <w:tcW w:w="980" w:type="dxa"/>
            <w:vAlign w:val="bottom"/>
            <w:vMerge w:val="restart"/>
          </w:tcPr>
          <w:p>
            <w:pPr>
              <w:jc w:val="right"/>
              <w:ind w:right="4"/>
              <w:spacing w:after="0"/>
              <w:rPr>
                <w:sz w:val="20"/>
                <w:szCs w:val="20"/>
                <w:color w:val="auto"/>
              </w:rPr>
            </w:pPr>
            <w:r>
              <w:rPr>
                <w:rFonts w:ascii="Arial" w:cs="Arial" w:eastAsia="Arial" w:hAnsi="Arial"/>
                <w:sz w:val="15"/>
                <w:szCs w:val="15"/>
                <w:color w:val="auto"/>
              </w:rPr>
              <w:t>(367)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restart"/>
          </w:tcPr>
          <w:p>
            <w:pPr>
              <w:jc w:val="right"/>
              <w:ind w:right="24"/>
              <w:spacing w:after="0"/>
              <w:rPr>
                <w:sz w:val="20"/>
                <w:szCs w:val="20"/>
                <w:color w:val="auto"/>
              </w:rPr>
            </w:pPr>
            <w:r>
              <w:rPr>
                <w:rFonts w:ascii="Arial" w:cs="Arial" w:eastAsia="Arial" w:hAnsi="Arial"/>
                <w:sz w:val="15"/>
                <w:szCs w:val="15"/>
                <w:color w:val="auto"/>
              </w:rPr>
              <w:t>848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4"/>
              <w:spacing w:after="0"/>
              <w:rPr>
                <w:sz w:val="20"/>
                <w:szCs w:val="20"/>
                <w:color w:val="auto"/>
              </w:rPr>
            </w:pPr>
            <w:r>
              <w:rPr>
                <w:rFonts w:ascii="Arial" w:cs="Arial" w:eastAsia="Arial" w:hAnsi="Arial"/>
                <w:sz w:val="15"/>
                <w:szCs w:val="15"/>
                <w:color w:val="auto"/>
              </w:rPr>
              <w:t>507</w:t>
            </w:r>
          </w:p>
        </w:tc>
        <w:tc>
          <w:tcPr>
            <w:tcW w:w="0" w:type="dxa"/>
            <w:vAlign w:val="bottom"/>
          </w:tcPr>
          <w:p>
            <w:pPr>
              <w:spacing w:after="0"/>
              <w:rPr>
                <w:sz w:val="1"/>
                <w:szCs w:val="1"/>
                <w:color w:val="auto"/>
              </w:rPr>
            </w:pPr>
          </w:p>
        </w:tc>
      </w:tr>
      <w:tr>
        <w:trPr>
          <w:trHeight w:val="58"/>
        </w:trPr>
        <w:tc>
          <w:tcPr>
            <w:tcW w:w="74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5"/>
                <w:szCs w:val="15"/>
                <w:color w:val="auto"/>
              </w:rPr>
              <w:t>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2,604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2,496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718</w:t>
            </w:r>
          </w:p>
        </w:tc>
        <w:tc>
          <w:tcPr>
            <w:tcW w:w="0" w:type="dxa"/>
            <w:vAlign w:val="bottom"/>
          </w:tcPr>
          <w:p>
            <w:pPr>
              <w:spacing w:after="0"/>
              <w:rPr>
                <w:sz w:val="1"/>
                <w:szCs w:val="1"/>
                <w:color w:val="auto"/>
              </w:rPr>
            </w:pPr>
          </w:p>
        </w:tc>
      </w:tr>
      <w:tr>
        <w:trPr>
          <w:trHeight w:val="241"/>
        </w:trPr>
        <w:tc>
          <w:tcPr>
            <w:tcW w:w="74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4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4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40" w:type="dxa"/>
            <w:vAlign w:val="bottom"/>
          </w:tcPr>
          <w:p>
            <w:pPr>
              <w:ind w:left="40"/>
              <w:spacing w:after="0"/>
              <w:rPr>
                <w:sz w:val="20"/>
                <w:szCs w:val="20"/>
                <w:color w:val="auto"/>
              </w:rPr>
            </w:pPr>
            <w:r>
              <w:rPr>
                <w:rFonts w:ascii="Arial" w:cs="Arial" w:eastAsia="Arial" w:hAnsi="Arial"/>
                <w:sz w:val="15"/>
                <w:szCs w:val="15"/>
                <w:color w:val="auto"/>
              </w:rPr>
              <w:t>Cash paid in connection with acquisitions, net of cash acquired (Note 7)</w:t>
            </w:r>
          </w:p>
        </w:tc>
        <w:tc>
          <w:tcPr>
            <w:tcW w:w="300" w:type="dxa"/>
            <w:vAlign w:val="bottom"/>
          </w:tcPr>
          <w:p>
            <w:pPr>
              <w:spacing w:after="0"/>
              <w:rPr>
                <w:sz w:val="18"/>
                <w:szCs w:val="18"/>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(1,280)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(282)</w:t>
            </w:r>
          </w:p>
        </w:tc>
        <w:tc>
          <w:tcPr>
            <w:tcW w:w="0" w:type="dxa"/>
            <w:vAlign w:val="bottom"/>
          </w:tcPr>
          <w:p>
            <w:pPr>
              <w:spacing w:after="0"/>
              <w:rPr>
                <w:sz w:val="1"/>
                <w:szCs w:val="1"/>
                <w:color w:val="auto"/>
              </w:rPr>
            </w:pPr>
          </w:p>
        </w:tc>
      </w:tr>
      <w:tr>
        <w:trPr>
          <w:trHeight w:val="58"/>
        </w:trPr>
        <w:tc>
          <w:tcPr>
            <w:tcW w:w="7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Investments in unconsolidated entities (Note 9)</w:t>
            </w:r>
          </w:p>
        </w:tc>
        <w:tc>
          <w:tcPr>
            <w:tcW w:w="30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(468)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(416)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(301)</w:t>
            </w:r>
          </w:p>
        </w:tc>
        <w:tc>
          <w:tcPr>
            <w:tcW w:w="0" w:type="dxa"/>
            <w:vAlign w:val="bottom"/>
          </w:tcPr>
          <w:p>
            <w:pPr>
              <w:spacing w:after="0"/>
              <w:rPr>
                <w:sz w:val="1"/>
                <w:szCs w:val="1"/>
                <w:color w:val="auto"/>
              </w:rPr>
            </w:pPr>
          </w:p>
        </w:tc>
      </w:tr>
      <w:tr>
        <w:trPr>
          <w:trHeight w:val="62"/>
        </w:trPr>
        <w:tc>
          <w:tcPr>
            <w:tcW w:w="74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40" w:type="dxa"/>
            <w:vAlign w:val="bottom"/>
          </w:tcPr>
          <w:p>
            <w:pPr>
              <w:ind w:left="40"/>
              <w:spacing w:after="0"/>
              <w:rPr>
                <w:sz w:val="20"/>
                <w:szCs w:val="20"/>
                <w:color w:val="auto"/>
              </w:rPr>
            </w:pPr>
            <w:r>
              <w:rPr>
                <w:rFonts w:ascii="Arial" w:cs="Arial" w:eastAsia="Arial" w:hAnsi="Arial"/>
                <w:sz w:val="15"/>
                <w:szCs w:val="15"/>
                <w:color w:val="auto"/>
              </w:rPr>
              <w:t>Additions to property, equipment and other</w:t>
            </w:r>
          </w:p>
        </w:tc>
        <w:tc>
          <w:tcPr>
            <w:tcW w:w="300" w:type="dxa"/>
            <w:vAlign w:val="bottom"/>
          </w:tcPr>
          <w:p>
            <w:pPr>
              <w:spacing w:after="0"/>
              <w:rPr>
                <w:sz w:val="18"/>
                <w:szCs w:val="18"/>
                <w:color w:val="auto"/>
              </w:rPr>
            </w:pPr>
          </w:p>
        </w:tc>
        <w:tc>
          <w:tcPr>
            <w:tcW w:w="980" w:type="dxa"/>
            <w:vAlign w:val="bottom"/>
            <w:vMerge w:val="restart"/>
          </w:tcPr>
          <w:p>
            <w:pPr>
              <w:jc w:val="right"/>
              <w:ind w:right="4"/>
              <w:spacing w:after="0"/>
              <w:rPr>
                <w:sz w:val="20"/>
                <w:szCs w:val="20"/>
                <w:color w:val="auto"/>
              </w:rPr>
            </w:pPr>
            <w:r>
              <w:rPr>
                <w:rFonts w:ascii="Arial" w:cs="Arial" w:eastAsia="Arial" w:hAnsi="Arial"/>
                <w:sz w:val="15"/>
                <w:szCs w:val="15"/>
                <w:color w:val="auto"/>
              </w:rPr>
              <w:t>(1,634)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(1,024)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(1,334)</w:t>
            </w:r>
          </w:p>
        </w:tc>
        <w:tc>
          <w:tcPr>
            <w:tcW w:w="0" w:type="dxa"/>
            <w:vAlign w:val="bottom"/>
          </w:tcPr>
          <w:p>
            <w:pPr>
              <w:spacing w:after="0"/>
              <w:rPr>
                <w:sz w:val="1"/>
                <w:szCs w:val="1"/>
                <w:color w:val="auto"/>
              </w:rPr>
            </w:pPr>
          </w:p>
        </w:tc>
      </w:tr>
      <w:tr>
        <w:trPr>
          <w:trHeight w:val="58"/>
        </w:trPr>
        <w:tc>
          <w:tcPr>
            <w:tcW w:w="7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40"/>
              <w:spacing w:after="0"/>
              <w:rPr>
                <w:sz w:val="20"/>
                <w:szCs w:val="20"/>
                <w:color w:val="auto"/>
              </w:rPr>
            </w:pPr>
            <w:r>
              <w:rPr>
                <w:rFonts w:ascii="Arial" w:cs="Arial" w:eastAsia="Arial" w:hAnsi="Arial"/>
                <w:sz w:val="15"/>
                <w:szCs w:val="15"/>
                <w:color w:val="auto"/>
              </w:rPr>
              <w:t>Proceeds from sales of assets (Note 7)</w:t>
            </w:r>
          </w:p>
        </w:tc>
        <w:tc>
          <w:tcPr>
            <w:tcW w:w="30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1,334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1,083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654</w:t>
            </w:r>
          </w:p>
        </w:tc>
        <w:tc>
          <w:tcPr>
            <w:tcW w:w="0" w:type="dxa"/>
            <w:vAlign w:val="bottom"/>
          </w:tcPr>
          <w:p>
            <w:pPr>
              <w:spacing w:after="0"/>
              <w:rPr>
                <w:sz w:val="1"/>
                <w:szCs w:val="1"/>
                <w:color w:val="auto"/>
              </w:rPr>
            </w:pPr>
          </w:p>
        </w:tc>
      </w:tr>
      <w:tr>
        <w:trPr>
          <w:trHeight w:val="62"/>
        </w:trPr>
        <w:tc>
          <w:tcPr>
            <w:tcW w:w="74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40" w:type="dxa"/>
            <w:vAlign w:val="bottom"/>
          </w:tcPr>
          <w:p>
            <w:pPr>
              <w:ind w:left="40"/>
              <w:spacing w:after="0"/>
              <w:rPr>
                <w:sz w:val="20"/>
                <w:szCs w:val="20"/>
                <w:color w:val="auto"/>
              </w:rPr>
            </w:pPr>
            <w:r>
              <w:rPr>
                <w:rFonts w:ascii="Arial" w:cs="Arial" w:eastAsia="Arial" w:hAnsi="Arial"/>
                <w:sz w:val="15"/>
                <w:szCs w:val="15"/>
                <w:color w:val="auto"/>
              </w:rPr>
              <w:t>Return of investment from unconsolidated entities (Note 9)</w:t>
            </w:r>
          </w:p>
        </w:tc>
        <w:tc>
          <w:tcPr>
            <w:tcW w:w="300" w:type="dxa"/>
            <w:vAlign w:val="bottom"/>
          </w:tcPr>
          <w:p>
            <w:pPr>
              <w:spacing w:after="0"/>
              <w:rPr>
                <w:sz w:val="18"/>
                <w:szCs w:val="18"/>
                <w:color w:val="auto"/>
              </w:rPr>
            </w:pPr>
          </w:p>
        </w:tc>
        <w:tc>
          <w:tcPr>
            <w:tcW w:w="980" w:type="dxa"/>
            <w:vAlign w:val="bottom"/>
            <w:vMerge w:val="restart"/>
          </w:tcPr>
          <w:p>
            <w:pPr>
              <w:jc w:val="right"/>
              <w:ind w:right="44"/>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restart"/>
          </w:tcPr>
          <w:p>
            <w:pPr>
              <w:jc w:val="right"/>
              <w:ind w:right="24"/>
              <w:spacing w:after="0"/>
              <w:rPr>
                <w:sz w:val="20"/>
                <w:szCs w:val="20"/>
                <w:color w:val="auto"/>
              </w:rPr>
            </w:pPr>
            <w:r>
              <w:rPr>
                <w:rFonts w:ascii="Arial" w:cs="Arial" w:eastAsia="Arial" w:hAnsi="Arial"/>
                <w:sz w:val="15"/>
                <w:szCs w:val="15"/>
                <w:color w:val="auto"/>
              </w:rPr>
              <w:t>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7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received from sales of linefill and base gas</w:t>
            </w:r>
          </w:p>
        </w:tc>
        <w:tc>
          <w:tcPr>
            <w:tcW w:w="30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74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80" w:type="dxa"/>
            <w:vAlign w:val="bottom"/>
            <w:gridSpan w:val="2"/>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40" w:type="dxa"/>
            <w:vAlign w:val="bottom"/>
          </w:tcPr>
          <w:p>
            <w:pPr>
              <w:ind w:left="40"/>
              <w:spacing w:after="0"/>
              <w:rPr>
                <w:sz w:val="20"/>
                <w:szCs w:val="20"/>
                <w:color w:val="auto"/>
              </w:rPr>
            </w:pPr>
            <w:r>
              <w:rPr>
                <w:rFonts w:ascii="Arial" w:cs="Arial" w:eastAsia="Arial" w:hAnsi="Arial"/>
                <w:sz w:val="15"/>
                <w:szCs w:val="15"/>
                <w:color w:val="auto"/>
              </w:rPr>
              <w:t>Cash paid for purchases of linefill and base gas</w:t>
            </w:r>
          </w:p>
        </w:tc>
        <w:tc>
          <w:tcPr>
            <w:tcW w:w="300" w:type="dxa"/>
            <w:vAlign w:val="bottom"/>
          </w:tcPr>
          <w:p>
            <w:pPr>
              <w:spacing w:after="0"/>
              <w:rPr>
                <w:sz w:val="18"/>
                <w:szCs w:val="18"/>
                <w:color w:val="auto"/>
              </w:rPr>
            </w:pPr>
          </w:p>
        </w:tc>
        <w:tc>
          <w:tcPr>
            <w:tcW w:w="980" w:type="dxa"/>
            <w:vAlign w:val="bottom"/>
            <w:vMerge w:val="restart"/>
          </w:tcPr>
          <w:p>
            <w:pPr>
              <w:jc w:val="right"/>
              <w:ind w:right="4"/>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58"/>
        </w:trPr>
        <w:tc>
          <w:tcPr>
            <w:tcW w:w="7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investing activities</w:t>
            </w:r>
          </w:p>
        </w:tc>
        <w:tc>
          <w:tcPr>
            <w:tcW w:w="30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62"/>
        </w:trPr>
        <w:tc>
          <w:tcPr>
            <w:tcW w:w="7440" w:type="dxa"/>
            <w:vAlign w:val="bottom"/>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9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440" w:type="dxa"/>
            <w:vAlign w:val="bottom"/>
          </w:tcPr>
          <w:p>
            <w:pPr>
              <w:ind w:left="380"/>
              <w:spacing w:after="0"/>
              <w:rPr>
                <w:sz w:val="20"/>
                <w:szCs w:val="20"/>
                <w:color w:val="auto"/>
              </w:rPr>
            </w:pPr>
            <w:r>
              <w:rPr>
                <w:rFonts w:ascii="Arial" w:cs="Arial" w:eastAsia="Arial" w:hAnsi="Arial"/>
                <w:sz w:val="15"/>
                <w:szCs w:val="15"/>
                <w:color w:val="auto"/>
              </w:rPr>
              <w:t>Net cash used in investing activities</w:t>
            </w:r>
          </w:p>
        </w:tc>
        <w:tc>
          <w:tcPr>
            <w:tcW w:w="300" w:type="dxa"/>
            <w:vAlign w:val="bottom"/>
          </w:tcPr>
          <w:p>
            <w:pPr>
              <w:spacing w:after="0"/>
              <w:rPr>
                <w:sz w:val="16"/>
                <w:szCs w:val="16"/>
                <w:color w:val="auto"/>
              </w:rPr>
            </w:pPr>
          </w:p>
        </w:tc>
        <w:tc>
          <w:tcPr>
            <w:tcW w:w="980" w:type="dxa"/>
            <w:vAlign w:val="bottom"/>
            <w:vMerge w:val="restart"/>
          </w:tcPr>
          <w:p>
            <w:pPr>
              <w:jc w:val="right"/>
              <w:ind w:right="4"/>
              <w:spacing w:after="0"/>
              <w:rPr>
                <w:sz w:val="20"/>
                <w:szCs w:val="20"/>
                <w:color w:val="auto"/>
              </w:rPr>
            </w:pPr>
            <w:r>
              <w:rPr>
                <w:rFonts w:ascii="Arial" w:cs="Arial" w:eastAsia="Arial" w:hAnsi="Arial"/>
                <w:sz w:val="15"/>
                <w:szCs w:val="15"/>
                <w:color w:val="auto"/>
              </w:rPr>
              <w:t>(813)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(1,570)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(1,273)</w:t>
            </w:r>
          </w:p>
        </w:tc>
        <w:tc>
          <w:tcPr>
            <w:tcW w:w="0" w:type="dxa"/>
            <w:vAlign w:val="bottom"/>
          </w:tcPr>
          <w:p>
            <w:pPr>
              <w:spacing w:after="0"/>
              <w:rPr>
                <w:sz w:val="1"/>
                <w:szCs w:val="1"/>
                <w:color w:val="auto"/>
              </w:rPr>
            </w:pPr>
          </w:p>
        </w:tc>
      </w:tr>
      <w:tr>
        <w:trPr>
          <w:trHeight w:val="58"/>
        </w:trPr>
        <w:tc>
          <w:tcPr>
            <w:tcW w:w="74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7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440" w:type="dxa"/>
            <w:vAlign w:val="bottom"/>
          </w:tcPr>
          <w:p>
            <w:pPr>
              <w:ind w:left="40"/>
              <w:spacing w:after="0"/>
              <w:rPr>
                <w:sz w:val="20"/>
                <w:szCs w:val="20"/>
                <w:color w:val="auto"/>
              </w:rPr>
            </w:pPr>
            <w:r>
              <w:rPr>
                <w:rFonts w:ascii="Arial" w:cs="Arial" w:eastAsia="Arial" w:hAnsi="Arial"/>
                <w:sz w:val="15"/>
                <w:szCs w:val="15"/>
                <w:b w:val="1"/>
                <w:bCs w:val="1"/>
                <w:color w:val="auto"/>
              </w:rPr>
              <w:t>CASH FLOWS FROM FINANCING ACTIVITIES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repayments under PAA commercial paper program (Note 11)</w:t>
            </w:r>
          </w:p>
        </w:tc>
        <w:tc>
          <w:tcPr>
            <w:tcW w:w="30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(690)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(564)</w:t>
            </w:r>
          </w:p>
        </w:tc>
        <w:tc>
          <w:tcPr>
            <w:tcW w:w="0" w:type="dxa"/>
            <w:vAlign w:val="bottom"/>
          </w:tcPr>
          <w:p>
            <w:pPr>
              <w:spacing w:after="0"/>
              <w:rPr>
                <w:sz w:val="1"/>
                <w:szCs w:val="1"/>
                <w:color w:val="auto"/>
              </w:rPr>
            </w:pPr>
          </w:p>
        </w:tc>
      </w:tr>
      <w:tr>
        <w:trPr>
          <w:trHeight w:val="62"/>
        </w:trPr>
        <w:tc>
          <w:tcPr>
            <w:tcW w:w="74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40" w:type="dxa"/>
            <w:vAlign w:val="bottom"/>
          </w:tcPr>
          <w:p>
            <w:pPr>
              <w:ind w:left="40"/>
              <w:spacing w:after="0"/>
              <w:rPr>
                <w:sz w:val="20"/>
                <w:szCs w:val="20"/>
                <w:color w:val="auto"/>
              </w:rPr>
            </w:pPr>
            <w:r>
              <w:rPr>
                <w:rFonts w:ascii="Arial" w:cs="Arial" w:eastAsia="Arial" w:hAnsi="Arial"/>
                <w:sz w:val="15"/>
                <w:szCs w:val="15"/>
                <w:color w:val="auto"/>
              </w:rPr>
              <w:t>Net borrowings/(repayments) under PAA senior secured hedged inventory facility (Note 11)</w:t>
            </w:r>
          </w:p>
        </w:tc>
        <w:tc>
          <w:tcPr>
            <w:tcW w:w="300" w:type="dxa"/>
            <w:vAlign w:val="bottom"/>
          </w:tcPr>
          <w:p>
            <w:pPr>
              <w:spacing w:after="0"/>
              <w:rPr>
                <w:sz w:val="18"/>
                <w:szCs w:val="18"/>
                <w:color w:val="auto"/>
              </w:rPr>
            </w:pPr>
          </w:p>
        </w:tc>
        <w:tc>
          <w:tcPr>
            <w:tcW w:w="980" w:type="dxa"/>
            <w:vAlign w:val="bottom"/>
            <w:vMerge w:val="restart"/>
          </w:tcPr>
          <w:p>
            <w:pPr>
              <w:jc w:val="right"/>
              <w:ind w:right="4"/>
              <w:spacing w:after="0"/>
              <w:rPr>
                <w:sz w:val="20"/>
                <w:szCs w:val="20"/>
                <w:color w:val="auto"/>
              </w:rPr>
            </w:pPr>
            <w:r>
              <w:rPr>
                <w:rFonts w:ascii="Arial" w:cs="Arial" w:eastAsia="Arial" w:hAnsi="Arial"/>
                <w:sz w:val="15"/>
                <w:szCs w:val="15"/>
                <w:color w:val="auto"/>
              </w:rPr>
              <w:t>(778)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restart"/>
          </w:tcPr>
          <w:p>
            <w:pPr>
              <w:jc w:val="right"/>
              <w:ind w:right="24"/>
              <w:spacing w:after="0"/>
              <w:rPr>
                <w:sz w:val="20"/>
                <w:szCs w:val="20"/>
                <w:color w:val="auto"/>
              </w:rPr>
            </w:pPr>
            <w:r>
              <w:rPr>
                <w:rFonts w:ascii="Arial" w:cs="Arial" w:eastAsia="Arial" w:hAnsi="Arial"/>
                <w:sz w:val="15"/>
                <w:szCs w:val="15"/>
                <w:color w:val="auto"/>
              </w:rPr>
              <w:t>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4"/>
              <w:spacing w:after="0"/>
              <w:rPr>
                <w:sz w:val="20"/>
                <w:szCs w:val="20"/>
                <w:color w:val="auto"/>
              </w:rPr>
            </w:pPr>
            <w:r>
              <w:rPr>
                <w:rFonts w:ascii="Arial" w:cs="Arial" w:eastAsia="Arial" w:hAnsi="Arial"/>
                <w:sz w:val="15"/>
                <w:szCs w:val="15"/>
                <w:color w:val="auto"/>
              </w:rPr>
              <w:t>447</w:t>
            </w:r>
          </w:p>
        </w:tc>
        <w:tc>
          <w:tcPr>
            <w:tcW w:w="0" w:type="dxa"/>
            <w:vAlign w:val="bottom"/>
          </w:tcPr>
          <w:p>
            <w:pPr>
              <w:spacing w:after="0"/>
              <w:rPr>
                <w:sz w:val="1"/>
                <w:szCs w:val="1"/>
                <w:color w:val="auto"/>
              </w:rPr>
            </w:pPr>
          </w:p>
        </w:tc>
      </w:tr>
      <w:tr>
        <w:trPr>
          <w:trHeight w:val="58"/>
        </w:trPr>
        <w:tc>
          <w:tcPr>
            <w:tcW w:w="7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repayments under AAP senior secured revolving credit facility (Note 11)</w:t>
            </w:r>
          </w:p>
        </w:tc>
        <w:tc>
          <w:tcPr>
            <w:tcW w:w="30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62"/>
        </w:trPr>
        <w:tc>
          <w:tcPr>
            <w:tcW w:w="74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80" w:type="dxa"/>
            <w:vAlign w:val="bottom"/>
            <w:gridSpan w:val="2"/>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6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40" w:type="dxa"/>
            <w:vAlign w:val="bottom"/>
          </w:tcPr>
          <w:p>
            <w:pPr>
              <w:ind w:left="40"/>
              <w:spacing w:after="0"/>
              <w:rPr>
                <w:sz w:val="20"/>
                <w:szCs w:val="20"/>
                <w:color w:val="auto"/>
              </w:rPr>
            </w:pPr>
            <w:r>
              <w:rPr>
                <w:rFonts w:ascii="Arial" w:cs="Arial" w:eastAsia="Arial" w:hAnsi="Arial"/>
                <w:sz w:val="15"/>
                <w:szCs w:val="15"/>
                <w:color w:val="auto"/>
              </w:rPr>
              <w:t>Repayment of AAP term loan (Note 11)</w:t>
            </w:r>
          </w:p>
        </w:tc>
        <w:tc>
          <w:tcPr>
            <w:tcW w:w="300" w:type="dxa"/>
            <w:vAlign w:val="bottom"/>
          </w:tcPr>
          <w:p>
            <w:pPr>
              <w:spacing w:after="0"/>
              <w:rPr>
                <w:sz w:val="18"/>
                <w:szCs w:val="18"/>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(550)</w:t>
            </w:r>
          </w:p>
        </w:tc>
        <w:tc>
          <w:tcPr>
            <w:tcW w:w="0" w:type="dxa"/>
            <w:vAlign w:val="bottom"/>
          </w:tcPr>
          <w:p>
            <w:pPr>
              <w:spacing w:after="0"/>
              <w:rPr>
                <w:sz w:val="1"/>
                <w:szCs w:val="1"/>
                <w:color w:val="auto"/>
              </w:rPr>
            </w:pPr>
          </w:p>
        </w:tc>
      </w:tr>
      <w:tr>
        <w:trPr>
          <w:trHeight w:val="58"/>
        </w:trPr>
        <w:tc>
          <w:tcPr>
            <w:tcW w:w="7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40"/>
              <w:spacing w:after="0"/>
              <w:rPr>
                <w:sz w:val="20"/>
                <w:szCs w:val="20"/>
                <w:color w:val="auto"/>
              </w:rPr>
            </w:pPr>
            <w:r>
              <w:rPr>
                <w:rFonts w:ascii="Arial" w:cs="Arial" w:eastAsia="Arial" w:hAnsi="Arial"/>
                <w:sz w:val="15"/>
                <w:szCs w:val="15"/>
                <w:color w:val="auto"/>
              </w:rPr>
              <w:t>Proceeds from PAA GO Zone term loans (Note 11)</w:t>
            </w:r>
          </w:p>
        </w:tc>
        <w:tc>
          <w:tcPr>
            <w:tcW w:w="30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200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74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6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40" w:type="dxa"/>
            <w:vAlign w:val="bottom"/>
          </w:tcPr>
          <w:p>
            <w:pPr>
              <w:ind w:left="40"/>
              <w:spacing w:after="0"/>
              <w:rPr>
                <w:sz w:val="20"/>
                <w:szCs w:val="20"/>
                <w:color w:val="auto"/>
              </w:rPr>
            </w:pPr>
            <w:r>
              <w:rPr>
                <w:rFonts w:ascii="Arial" w:cs="Arial" w:eastAsia="Arial" w:hAnsi="Arial"/>
                <w:sz w:val="15"/>
                <w:szCs w:val="15"/>
                <w:color w:val="auto"/>
              </w:rPr>
              <w:t>Proceeds from the issuance of PAA senior notes (Note 11)</w:t>
            </w:r>
          </w:p>
        </w:tc>
        <w:tc>
          <w:tcPr>
            <w:tcW w:w="300" w:type="dxa"/>
            <w:vAlign w:val="bottom"/>
          </w:tcPr>
          <w:p>
            <w:pPr>
              <w:spacing w:after="0"/>
              <w:rPr>
                <w:sz w:val="18"/>
                <w:szCs w:val="18"/>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4"/>
              <w:spacing w:after="0"/>
              <w:rPr>
                <w:sz w:val="20"/>
                <w:szCs w:val="20"/>
                <w:color w:val="auto"/>
              </w:rPr>
            </w:pPr>
            <w:r>
              <w:rPr>
                <w:rFonts w:ascii="Arial" w:cs="Arial" w:eastAsia="Arial" w:hAnsi="Arial"/>
                <w:sz w:val="15"/>
                <w:szCs w:val="15"/>
                <w:color w:val="auto"/>
              </w:rPr>
              <w:t>748</w:t>
            </w:r>
          </w:p>
        </w:tc>
        <w:tc>
          <w:tcPr>
            <w:tcW w:w="0" w:type="dxa"/>
            <w:vAlign w:val="bottom"/>
          </w:tcPr>
          <w:p>
            <w:pPr>
              <w:spacing w:after="0"/>
              <w:rPr>
                <w:sz w:val="1"/>
                <w:szCs w:val="1"/>
                <w:color w:val="auto"/>
              </w:rPr>
            </w:pPr>
          </w:p>
        </w:tc>
      </w:tr>
      <w:tr>
        <w:trPr>
          <w:trHeight w:val="58"/>
        </w:trPr>
        <w:tc>
          <w:tcPr>
            <w:tcW w:w="7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Repayments of PAA senior notes (Note 11)</w:t>
            </w:r>
          </w:p>
        </w:tc>
        <w:tc>
          <w:tcPr>
            <w:tcW w:w="30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(1,350)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(175)</w:t>
            </w:r>
          </w:p>
        </w:tc>
        <w:tc>
          <w:tcPr>
            <w:tcW w:w="0" w:type="dxa"/>
            <w:vAlign w:val="bottom"/>
          </w:tcPr>
          <w:p>
            <w:pPr>
              <w:spacing w:after="0"/>
              <w:rPr>
                <w:sz w:val="1"/>
                <w:szCs w:val="1"/>
                <w:color w:val="auto"/>
              </w:rPr>
            </w:pPr>
          </w:p>
        </w:tc>
      </w:tr>
      <w:tr>
        <w:trPr>
          <w:trHeight w:val="62"/>
        </w:trPr>
        <w:tc>
          <w:tcPr>
            <w:tcW w:w="74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80" w:type="dxa"/>
            <w:vAlign w:val="bottom"/>
            <w:gridSpan w:val="2"/>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40" w:type="dxa"/>
            <w:vAlign w:val="bottom"/>
          </w:tcPr>
          <w:p>
            <w:pPr>
              <w:ind w:left="40"/>
              <w:spacing w:after="0"/>
              <w:rPr>
                <w:sz w:val="20"/>
                <w:szCs w:val="20"/>
                <w:color w:val="auto"/>
              </w:rPr>
            </w:pPr>
            <w:r>
              <w:rPr>
                <w:rFonts w:ascii="Arial" w:cs="Arial" w:eastAsia="Arial" w:hAnsi="Arial"/>
                <w:sz w:val="15"/>
                <w:szCs w:val="15"/>
                <w:color w:val="auto"/>
              </w:rPr>
              <w:t>Net proceeds from the sale of Class A shares (Note 12)</w:t>
            </w:r>
          </w:p>
        </w:tc>
        <w:tc>
          <w:tcPr>
            <w:tcW w:w="300" w:type="dxa"/>
            <w:vAlign w:val="bottom"/>
          </w:tcPr>
          <w:p>
            <w:pPr>
              <w:spacing w:after="0"/>
              <w:rPr>
                <w:sz w:val="18"/>
                <w:szCs w:val="18"/>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940" w:type="dxa"/>
            <w:vAlign w:val="bottom"/>
            <w:vMerge w:val="restart"/>
          </w:tcPr>
          <w:p>
            <w:pPr>
              <w:jc w:val="right"/>
              <w:ind w:right="24"/>
              <w:spacing w:after="0"/>
              <w:rPr>
                <w:sz w:val="20"/>
                <w:szCs w:val="20"/>
                <w:color w:val="auto"/>
              </w:rPr>
            </w:pPr>
            <w:r>
              <w:rPr>
                <w:rFonts w:ascii="Arial" w:cs="Arial" w:eastAsia="Arial" w:hAnsi="Arial"/>
                <w:sz w:val="15"/>
                <w:szCs w:val="15"/>
                <w:color w:val="auto"/>
              </w:rPr>
              <w:t>1,535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7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proceeds from the sale of preferred units by a subsidiary (Note 12)</w:t>
            </w:r>
          </w:p>
        </w:tc>
        <w:tc>
          <w:tcPr>
            <w:tcW w:w="30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788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1,569</w:t>
            </w:r>
          </w:p>
        </w:tc>
        <w:tc>
          <w:tcPr>
            <w:tcW w:w="0" w:type="dxa"/>
            <w:vAlign w:val="bottom"/>
          </w:tcPr>
          <w:p>
            <w:pPr>
              <w:spacing w:after="0"/>
              <w:rPr>
                <w:sz w:val="1"/>
                <w:szCs w:val="1"/>
                <w:color w:val="auto"/>
              </w:rPr>
            </w:pPr>
          </w:p>
        </w:tc>
      </w:tr>
      <w:tr>
        <w:trPr>
          <w:trHeight w:val="62"/>
        </w:trPr>
        <w:tc>
          <w:tcPr>
            <w:tcW w:w="74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80" w:type="dxa"/>
            <w:vAlign w:val="bottom"/>
            <w:gridSpan w:val="2"/>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40" w:type="dxa"/>
            <w:vAlign w:val="bottom"/>
          </w:tcPr>
          <w:p>
            <w:pPr>
              <w:ind w:left="40"/>
              <w:spacing w:after="0"/>
              <w:rPr>
                <w:sz w:val="20"/>
                <w:szCs w:val="20"/>
                <w:color w:val="auto"/>
              </w:rPr>
            </w:pPr>
            <w:r>
              <w:rPr>
                <w:rFonts w:ascii="Arial" w:cs="Arial" w:eastAsia="Arial" w:hAnsi="Arial"/>
                <w:sz w:val="15"/>
                <w:szCs w:val="15"/>
                <w:color w:val="auto"/>
              </w:rPr>
              <w:t>Net proceeds from the sale of common units by a subsidiary (Note 12)</w:t>
            </w:r>
          </w:p>
        </w:tc>
        <w:tc>
          <w:tcPr>
            <w:tcW w:w="300" w:type="dxa"/>
            <w:vAlign w:val="bottom"/>
          </w:tcPr>
          <w:p>
            <w:pPr>
              <w:spacing w:after="0"/>
              <w:rPr>
                <w:sz w:val="18"/>
                <w:szCs w:val="18"/>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940" w:type="dxa"/>
            <w:vAlign w:val="bottom"/>
            <w:vMerge w:val="restart"/>
          </w:tcPr>
          <w:p>
            <w:pPr>
              <w:jc w:val="right"/>
              <w:ind w:right="24"/>
              <w:spacing w:after="0"/>
              <w:rPr>
                <w:sz w:val="20"/>
                <w:szCs w:val="20"/>
                <w:color w:val="auto"/>
              </w:rPr>
            </w:pPr>
            <w:r>
              <w:rPr>
                <w:rFonts w:ascii="Arial" w:cs="Arial" w:eastAsia="Arial" w:hAnsi="Arial"/>
                <w:sz w:val="15"/>
                <w:szCs w:val="15"/>
                <w:color w:val="auto"/>
              </w:rPr>
              <w:t>129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4"/>
              <w:spacing w:after="0"/>
              <w:rPr>
                <w:sz w:val="20"/>
                <w:szCs w:val="20"/>
                <w:color w:val="auto"/>
              </w:rPr>
            </w:pPr>
            <w:r>
              <w:rPr>
                <w:rFonts w:ascii="Arial" w:cs="Arial" w:eastAsia="Arial" w:hAnsi="Arial"/>
                <w:sz w:val="15"/>
                <w:szCs w:val="15"/>
                <w:color w:val="auto"/>
              </w:rPr>
              <w:t>796</w:t>
            </w:r>
          </w:p>
        </w:tc>
        <w:tc>
          <w:tcPr>
            <w:tcW w:w="0" w:type="dxa"/>
            <w:vAlign w:val="bottom"/>
          </w:tcPr>
          <w:p>
            <w:pPr>
              <w:spacing w:after="0"/>
              <w:rPr>
                <w:sz w:val="1"/>
                <w:szCs w:val="1"/>
                <w:color w:val="auto"/>
              </w:rPr>
            </w:pPr>
          </w:p>
        </w:tc>
      </w:tr>
      <w:tr>
        <w:trPr>
          <w:trHeight w:val="58"/>
        </w:trPr>
        <w:tc>
          <w:tcPr>
            <w:tcW w:w="7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40"/>
              <w:spacing w:after="0"/>
              <w:rPr>
                <w:sz w:val="20"/>
                <w:szCs w:val="20"/>
                <w:color w:val="auto"/>
              </w:rPr>
            </w:pPr>
            <w:r>
              <w:rPr>
                <w:rFonts w:ascii="Arial" w:cs="Arial" w:eastAsia="Arial" w:hAnsi="Arial"/>
                <w:sz w:val="15"/>
                <w:szCs w:val="15"/>
                <w:color w:val="auto"/>
              </w:rPr>
              <w:t>Distributions paid to Class A shareholders (Note 12)</w:t>
            </w:r>
          </w:p>
        </w:tc>
        <w:tc>
          <w:tcPr>
            <w:tcW w:w="30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(271)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(234)</w:t>
            </w:r>
          </w:p>
        </w:tc>
        <w:tc>
          <w:tcPr>
            <w:tcW w:w="0" w:type="dxa"/>
            <w:vAlign w:val="bottom"/>
          </w:tcPr>
          <w:p>
            <w:pPr>
              <w:spacing w:after="0"/>
              <w:rPr>
                <w:sz w:val="1"/>
                <w:szCs w:val="1"/>
                <w:color w:val="auto"/>
              </w:rPr>
            </w:pPr>
          </w:p>
        </w:tc>
      </w:tr>
      <w:tr>
        <w:trPr>
          <w:trHeight w:val="62"/>
        </w:trPr>
        <w:tc>
          <w:tcPr>
            <w:tcW w:w="74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40" w:type="dxa"/>
            <w:vAlign w:val="bottom"/>
          </w:tcPr>
          <w:p>
            <w:pPr>
              <w:ind w:left="40"/>
              <w:spacing w:after="0"/>
              <w:rPr>
                <w:sz w:val="20"/>
                <w:szCs w:val="20"/>
                <w:color w:val="auto"/>
              </w:rPr>
            </w:pPr>
            <w:r>
              <w:rPr>
                <w:rFonts w:ascii="Arial" w:cs="Arial" w:eastAsia="Arial" w:hAnsi="Arial"/>
                <w:sz w:val="15"/>
                <w:szCs w:val="15"/>
                <w:color w:val="auto"/>
              </w:rPr>
              <w:t>Distributions paid to noncontrolling interests (Note 12)</w:t>
            </w:r>
          </w:p>
        </w:tc>
        <w:tc>
          <w:tcPr>
            <w:tcW w:w="300" w:type="dxa"/>
            <w:vAlign w:val="bottom"/>
          </w:tcPr>
          <w:p>
            <w:pPr>
              <w:spacing w:after="0"/>
              <w:rPr>
                <w:sz w:val="18"/>
                <w:szCs w:val="18"/>
                <w:color w:val="auto"/>
              </w:rPr>
            </w:pPr>
          </w:p>
        </w:tc>
        <w:tc>
          <w:tcPr>
            <w:tcW w:w="980" w:type="dxa"/>
            <w:vAlign w:val="bottom"/>
            <w:vMerge w:val="restart"/>
          </w:tcPr>
          <w:p>
            <w:pPr>
              <w:jc w:val="right"/>
              <w:ind w:right="4"/>
              <w:spacing w:after="0"/>
              <w:rPr>
                <w:sz w:val="20"/>
                <w:szCs w:val="20"/>
                <w:color w:val="auto"/>
              </w:rPr>
            </w:pPr>
            <w:r>
              <w:rPr>
                <w:rFonts w:ascii="Arial" w:cs="Arial" w:eastAsia="Arial" w:hAnsi="Arial"/>
                <w:sz w:val="15"/>
                <w:szCs w:val="15"/>
                <w:color w:val="auto"/>
              </w:rPr>
              <w:t>(843)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(1,122)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(1,419)</w:t>
            </w:r>
          </w:p>
        </w:tc>
        <w:tc>
          <w:tcPr>
            <w:tcW w:w="0" w:type="dxa"/>
            <w:vAlign w:val="bottom"/>
          </w:tcPr>
          <w:p>
            <w:pPr>
              <w:spacing w:after="0"/>
              <w:rPr>
                <w:sz w:val="1"/>
                <w:szCs w:val="1"/>
                <w:color w:val="auto"/>
              </w:rPr>
            </w:pPr>
          </w:p>
        </w:tc>
      </w:tr>
      <w:tr>
        <w:trPr>
          <w:trHeight w:val="58"/>
        </w:trPr>
        <w:tc>
          <w:tcPr>
            <w:tcW w:w="7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financing activities</w:t>
            </w:r>
          </w:p>
        </w:tc>
        <w:tc>
          <w:tcPr>
            <w:tcW w:w="30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62"/>
        </w:trPr>
        <w:tc>
          <w:tcPr>
            <w:tcW w:w="7440" w:type="dxa"/>
            <w:vAlign w:val="bottom"/>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9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440" w:type="dxa"/>
            <w:vAlign w:val="bottom"/>
          </w:tcPr>
          <w:p>
            <w:pPr>
              <w:ind w:left="380"/>
              <w:spacing w:after="0"/>
              <w:rPr>
                <w:sz w:val="20"/>
                <w:szCs w:val="20"/>
                <w:color w:val="auto"/>
              </w:rPr>
            </w:pPr>
            <w:r>
              <w:rPr>
                <w:rFonts w:ascii="Arial" w:cs="Arial" w:eastAsia="Arial" w:hAnsi="Arial"/>
                <w:sz w:val="15"/>
                <w:szCs w:val="15"/>
                <w:color w:val="auto"/>
              </w:rPr>
              <w:t>Net cash provided by/(used in) financing activities</w:t>
            </w:r>
          </w:p>
        </w:tc>
        <w:tc>
          <w:tcPr>
            <w:tcW w:w="300" w:type="dxa"/>
            <w:vAlign w:val="bottom"/>
          </w:tcPr>
          <w:p>
            <w:pPr>
              <w:spacing w:after="0"/>
              <w:rPr>
                <w:sz w:val="16"/>
                <w:szCs w:val="16"/>
                <w:color w:val="auto"/>
              </w:rPr>
            </w:pPr>
          </w:p>
        </w:tc>
        <w:tc>
          <w:tcPr>
            <w:tcW w:w="980" w:type="dxa"/>
            <w:vAlign w:val="bottom"/>
            <w:vMerge w:val="restart"/>
          </w:tcPr>
          <w:p>
            <w:pPr>
              <w:jc w:val="right"/>
              <w:ind w:right="4"/>
              <w:spacing w:after="0"/>
              <w:rPr>
                <w:sz w:val="20"/>
                <w:szCs w:val="20"/>
                <w:color w:val="auto"/>
              </w:rPr>
            </w:pPr>
            <w:r>
              <w:rPr>
                <w:rFonts w:ascii="Arial" w:cs="Arial" w:eastAsia="Arial" w:hAnsi="Arial"/>
                <w:sz w:val="15"/>
                <w:szCs w:val="15"/>
                <w:color w:val="auto"/>
              </w:rPr>
              <w:t>(1,753)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(940)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4"/>
              <w:spacing w:after="0"/>
              <w:rPr>
                <w:sz w:val="20"/>
                <w:szCs w:val="20"/>
                <w:color w:val="auto"/>
              </w:rPr>
            </w:pPr>
            <w:r>
              <w:rPr>
                <w:rFonts w:ascii="Arial" w:cs="Arial" w:eastAsia="Arial" w:hAnsi="Arial"/>
                <w:sz w:val="15"/>
                <w:szCs w:val="15"/>
                <w:color w:val="auto"/>
              </w:rPr>
              <w:t>571</w:t>
            </w:r>
          </w:p>
        </w:tc>
        <w:tc>
          <w:tcPr>
            <w:tcW w:w="0" w:type="dxa"/>
            <w:vAlign w:val="bottom"/>
          </w:tcPr>
          <w:p>
            <w:pPr>
              <w:spacing w:after="0"/>
              <w:rPr>
                <w:sz w:val="1"/>
                <w:szCs w:val="1"/>
                <w:color w:val="auto"/>
              </w:rPr>
            </w:pPr>
          </w:p>
        </w:tc>
      </w:tr>
      <w:tr>
        <w:trPr>
          <w:trHeight w:val="58"/>
        </w:trPr>
        <w:tc>
          <w:tcPr>
            <w:tcW w:w="74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7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440" w:type="dxa"/>
            <w:vAlign w:val="bottom"/>
          </w:tcPr>
          <w:p>
            <w:pPr>
              <w:ind w:left="40"/>
              <w:spacing w:after="0"/>
              <w:rPr>
                <w:sz w:val="20"/>
                <w:szCs w:val="20"/>
                <w:color w:val="auto"/>
              </w:rPr>
            </w:pPr>
            <w:r>
              <w:rPr>
                <w:rFonts w:ascii="Arial" w:cs="Arial" w:eastAsia="Arial" w:hAnsi="Arial"/>
                <w:sz w:val="15"/>
                <w:szCs w:val="15"/>
                <w:color w:val="auto"/>
              </w:rPr>
              <w:t>Effect of translation adjustment on cash</w:t>
            </w:r>
          </w:p>
        </w:tc>
        <w:tc>
          <w:tcPr>
            <w:tcW w:w="300" w:type="dxa"/>
            <w:vAlign w:val="bottom"/>
          </w:tcPr>
          <w:p>
            <w:pPr>
              <w:spacing w:after="0"/>
              <w:rPr>
                <w:sz w:val="18"/>
                <w:szCs w:val="18"/>
                <w:color w:val="auto"/>
              </w:rPr>
            </w:pPr>
          </w:p>
        </w:tc>
        <w:tc>
          <w:tcPr>
            <w:tcW w:w="980" w:type="dxa"/>
            <w:vAlign w:val="bottom"/>
            <w:vMerge w:val="restart"/>
          </w:tcPr>
          <w:p>
            <w:pPr>
              <w:jc w:val="right"/>
              <w:ind w:right="4"/>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restart"/>
          </w:tcPr>
          <w:p>
            <w:pPr>
              <w:jc w:val="right"/>
              <w:ind w:right="24"/>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4"/>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58"/>
        </w:trPr>
        <w:tc>
          <w:tcPr>
            <w:tcW w:w="7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7440" w:type="dxa"/>
            <w:vAlign w:val="bottom"/>
          </w:tcPr>
          <w:p>
            <w:pPr>
              <w:ind w:left="40"/>
              <w:spacing w:after="0"/>
              <w:rPr>
                <w:sz w:val="20"/>
                <w:szCs w:val="20"/>
                <w:color w:val="auto"/>
              </w:rPr>
            </w:pPr>
            <w:r>
              <w:rPr>
                <w:rFonts w:ascii="Arial" w:cs="Arial" w:eastAsia="Arial" w:hAnsi="Arial"/>
                <w:sz w:val="15"/>
                <w:szCs w:val="15"/>
                <w:color w:val="auto"/>
              </w:rPr>
              <w:t>Net increase/(decrease) in cash and cash equivalents</w:t>
            </w:r>
          </w:p>
        </w:tc>
        <w:tc>
          <w:tcPr>
            <w:tcW w:w="300" w:type="dxa"/>
            <w:vAlign w:val="bottom"/>
          </w:tcPr>
          <w:p>
            <w:pPr>
              <w:spacing w:after="0"/>
              <w:rPr>
                <w:sz w:val="18"/>
                <w:szCs w:val="18"/>
                <w:color w:val="auto"/>
              </w:rPr>
            </w:pPr>
          </w:p>
        </w:tc>
        <w:tc>
          <w:tcPr>
            <w:tcW w:w="980" w:type="dxa"/>
            <w:vAlign w:val="bottom"/>
            <w:vMerge w:val="restart"/>
          </w:tcPr>
          <w:p>
            <w:pPr>
              <w:jc w:val="right"/>
              <w:ind w:right="44"/>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4"/>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58"/>
        </w:trPr>
        <w:tc>
          <w:tcPr>
            <w:tcW w:w="7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and cash equivalents, beginning of period</w:t>
            </w:r>
          </w:p>
        </w:tc>
        <w:tc>
          <w:tcPr>
            <w:tcW w:w="30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50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62"/>
        </w:trPr>
        <w:tc>
          <w:tcPr>
            <w:tcW w:w="7440" w:type="dxa"/>
            <w:vAlign w:val="bottom"/>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9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Cash and cash equivalents, end of period</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69</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40</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228"/>
        </w:trPr>
        <w:tc>
          <w:tcPr>
            <w:tcW w:w="7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440" w:type="dxa"/>
            <w:vAlign w:val="bottom"/>
          </w:tcPr>
          <w:p>
            <w:pPr>
              <w:ind w:left="40"/>
              <w:spacing w:after="0"/>
              <w:rPr>
                <w:sz w:val="20"/>
                <w:szCs w:val="20"/>
                <w:color w:val="auto"/>
              </w:rPr>
            </w:pPr>
            <w:r>
              <w:rPr>
                <w:rFonts w:ascii="Arial" w:cs="Arial" w:eastAsia="Arial" w:hAnsi="Arial"/>
                <w:sz w:val="15"/>
                <w:szCs w:val="15"/>
                <w:color w:val="auto"/>
              </w:rPr>
              <w:t>Cash paid for:</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Interest, net of amounts capitalized</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486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462</w:t>
            </w:r>
          </w:p>
        </w:tc>
        <w:tc>
          <w:tcPr>
            <w:tcW w:w="0" w:type="dxa"/>
            <w:vAlign w:val="bottom"/>
          </w:tcPr>
          <w:p>
            <w:pPr>
              <w:spacing w:after="0"/>
              <w:rPr>
                <w:sz w:val="1"/>
                <w:szCs w:val="1"/>
                <w:color w:val="auto"/>
              </w:rPr>
            </w:pPr>
          </w:p>
        </w:tc>
      </w:tr>
      <w:tr>
        <w:trPr>
          <w:trHeight w:val="24"/>
        </w:trPr>
        <w:tc>
          <w:tcPr>
            <w:tcW w:w="7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125" w:right="239" w:bottom="0" w:gutter="0" w:footer="0" w:header="0"/>
        </w:sectPr>
      </w:pPr>
    </w:p>
    <w:bookmarkStart w:id="132" w:name="page133"/>
    <w:bookmarkEnd w:id="132"/>
    <w:p>
      <w:pPr>
        <w:spacing w:after="0"/>
        <w:tabs>
          <w:tab w:leader="none" w:pos="7260" w:val="left"/>
          <w:tab w:leader="none" w:pos="8240" w:val="left"/>
          <w:tab w:leader="none" w:pos="8660" w:val="left"/>
          <w:tab w:leader="none" w:pos="9600" w:val="left"/>
          <w:tab w:leader="none" w:pos="10000" w:val="left"/>
          <w:tab w:leader="none" w:pos="10960" w:val="left"/>
        </w:tabs>
        <w:rPr>
          <w:sz w:val="20"/>
          <w:szCs w:val="20"/>
          <w:color w:val="auto"/>
        </w:rPr>
      </w:pPr>
      <w:r>
        <w:rPr>
          <w:rFonts w:ascii="Arial" w:cs="Arial" w:eastAsia="Arial" w:hAnsi="Arial"/>
          <w:sz w:val="15"/>
          <w:szCs w:val="15"/>
          <w:color w:val="auto"/>
        </w:rPr>
        <w:t>Income taxes, net of amounts refunded</w:t>
      </w:r>
      <w:r>
        <w:rPr>
          <w:sz w:val="20"/>
          <w:szCs w:val="20"/>
          <w:color w:val="auto"/>
        </w:rPr>
        <w:tab/>
      </w:r>
      <w:r>
        <w:rPr>
          <w:rFonts w:ascii="Arial" w:cs="Arial" w:eastAsia="Arial" w:hAnsi="Arial"/>
          <w:sz w:val="31"/>
          <w:szCs w:val="31"/>
          <w:color w:val="auto"/>
          <w:vertAlign w:val="subscript"/>
        </w:rPr>
        <w:t>$</w:t>
      </w:r>
      <w:r>
        <w:rPr>
          <w:sz w:val="20"/>
          <w:szCs w:val="20"/>
          <w:color w:val="auto"/>
        </w:rPr>
        <w:tab/>
      </w:r>
      <w:r>
        <w:rPr>
          <w:rFonts w:ascii="Arial" w:cs="Arial" w:eastAsia="Arial" w:hAnsi="Arial"/>
          <w:sz w:val="31"/>
          <w:szCs w:val="31"/>
          <w:color w:val="auto"/>
          <w:vertAlign w:val="subscript"/>
        </w:rPr>
        <w:t>21</w:t>
      </w:r>
      <w:r>
        <w:rPr>
          <w:rFonts w:ascii="Arial" w:cs="Arial" w:eastAsia="Arial" w:hAnsi="Arial"/>
          <w:sz w:val="31"/>
          <w:szCs w:val="31"/>
          <w:color w:val="auto"/>
        </w:rPr>
        <w:tab/>
      </w:r>
      <w:r>
        <w:rPr>
          <w:rFonts w:ascii="Arial" w:cs="Arial" w:eastAsia="Arial" w:hAnsi="Arial"/>
          <w:sz w:val="31"/>
          <w:szCs w:val="31"/>
          <w:color w:val="auto"/>
          <w:vertAlign w:val="subscript"/>
        </w:rPr>
        <w:t>$</w:t>
      </w:r>
      <w:r>
        <w:rPr>
          <w:sz w:val="20"/>
          <w:szCs w:val="20"/>
          <w:color w:val="auto"/>
        </w:rPr>
        <w:tab/>
      </w:r>
      <w:r>
        <w:rPr>
          <w:rFonts w:ascii="Arial" w:cs="Arial" w:eastAsia="Arial" w:hAnsi="Arial"/>
          <w:sz w:val="31"/>
          <w:szCs w:val="31"/>
          <w:color w:val="auto"/>
          <w:vertAlign w:val="subscript"/>
        </w:rPr>
        <w:t>50</w:t>
      </w:r>
      <w:r>
        <w:rPr>
          <w:rFonts w:ascii="Arial" w:cs="Arial" w:eastAsia="Arial" w:hAnsi="Arial"/>
          <w:sz w:val="31"/>
          <w:szCs w:val="31"/>
          <w:color w:val="auto"/>
        </w:rPr>
        <w:tab/>
      </w:r>
      <w:r>
        <w:rPr>
          <w:rFonts w:ascii="Arial" w:cs="Arial" w:eastAsia="Arial" w:hAnsi="Arial"/>
          <w:sz w:val="31"/>
          <w:szCs w:val="31"/>
          <w:color w:val="auto"/>
          <w:vertAlign w:val="subscript"/>
        </w:rPr>
        <w:t>$</w:t>
      </w:r>
      <w:r>
        <w:rPr>
          <w:sz w:val="20"/>
          <w:szCs w:val="20"/>
          <w:color w:val="auto"/>
        </w:rPr>
        <w:tab/>
      </w:r>
      <w:r>
        <w:rPr>
          <w:rFonts w:ascii="Arial" w:cs="Arial" w:eastAsia="Arial" w:hAnsi="Arial"/>
          <w:sz w:val="21"/>
          <w:szCs w:val="21"/>
          <w:color w:val="auto"/>
          <w:vertAlign w:val="subscript"/>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-156210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420" w:top="30" w:right="339" w:bottom="1440" w:gutter="0" w:footer="0" w:header="0"/>
        </w:sectPr>
      </w:pPr>
    </w:p>
    <w:p>
      <w:pPr>
        <w:spacing w:after="0" w:line="4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6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420" w:top="30" w:right="339" w:bottom="1440" w:gutter="0" w:footer="0" w:header="0"/>
          <w:type w:val="continuous"/>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GP HOLDINGS, L.P. AND SUBSIDIARIES CONSOLIDATED STATEMENTS OF CHANGES IN PARTNERS’ CAPITAL (in millions)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Class A Shareholders</w:t>
            </w: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4"/>
                <w:szCs w:val="14"/>
                <w:color w:val="auto"/>
              </w:rPr>
            </w:pPr>
          </w:p>
        </w:tc>
        <w:tc>
          <w:tcPr>
            <w:tcW w:w="1200" w:type="dxa"/>
            <w:vAlign w:val="bottom"/>
          </w:tcPr>
          <w:p>
            <w:pPr>
              <w:jc w:val="right"/>
              <w:ind w:right="131"/>
              <w:spacing w:after="0"/>
              <w:rPr>
                <w:sz w:val="20"/>
                <w:szCs w:val="20"/>
                <w:color w:val="auto"/>
              </w:rPr>
            </w:pPr>
            <w:r>
              <w:rPr>
                <w:rFonts w:ascii="Arial" w:cs="Arial" w:eastAsia="Arial" w:hAnsi="Arial"/>
                <w:sz w:val="14"/>
                <w:szCs w:val="14"/>
                <w:b w:val="1"/>
                <w:bCs w:val="1"/>
                <w:color w:val="auto"/>
                <w:w w:val="97"/>
              </w:rPr>
              <w:t>Total Partners’</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Pr>
          <w:p>
            <w:pPr>
              <w:spacing w:after="0"/>
              <w:rPr>
                <w:sz w:val="16"/>
                <w:szCs w:val="16"/>
                <w:color w:val="auto"/>
              </w:rPr>
            </w:pPr>
          </w:p>
        </w:tc>
        <w:tc>
          <w:tcPr>
            <w:tcW w:w="1200" w:type="dxa"/>
            <w:vAlign w:val="bottom"/>
          </w:tcPr>
          <w:p>
            <w:pPr>
              <w:jc w:val="right"/>
              <w:ind w:right="371"/>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275"/>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5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9,234</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Distributions (Note 12)</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 (Note 14)</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Change in ownership interest in connection with Exchange Right exercises (Note 12)</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 of Series A preferred units by a subsidiary</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Sales of common units by a subsidiary</w:t>
            </w:r>
          </w:p>
        </w:tc>
        <w:tc>
          <w:tcPr>
            <w:tcW w:w="5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 (Note 12)</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Equity-indexed compensation expense</w:t>
            </w:r>
          </w:p>
        </w:tc>
        <w:tc>
          <w:tcPr>
            <w:tcW w:w="5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8,970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10,707</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70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Net income/(loss)</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(Note 12)</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Deferred tax asset (Note 14)</w:t>
            </w:r>
          </w:p>
        </w:tc>
        <w:tc>
          <w:tcPr>
            <w:tcW w:w="5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of Class A shares (Note 12)</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Change in ownership interest in connection with Exchange Right exercises (Note 12)</w:t>
            </w:r>
          </w:p>
        </w:tc>
        <w:tc>
          <w:tcPr>
            <w:tcW w:w="5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 of Series B preferred units by a subsidiary</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Sales of common units by a subsidiary</w:t>
            </w:r>
          </w:p>
        </w:tc>
        <w:tc>
          <w:tcPr>
            <w:tcW w:w="5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units by a subsidiary for acquisition of interest in Advantage Joint</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Venture (Note 7)</w:t>
            </w:r>
          </w:p>
        </w:tc>
        <w:tc>
          <w:tcPr>
            <w:tcW w:w="5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Sale of interest in SLC Pipeline LLC by a subsidiary (Note 7)</w:t>
            </w:r>
          </w:p>
        </w:tc>
        <w:tc>
          <w:tcPr>
            <w:tcW w:w="5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 (Note 12)</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Equity-indexed compensation expense</w:t>
            </w:r>
          </w:p>
        </w:tc>
        <w:tc>
          <w:tcPr>
            <w:tcW w:w="5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1,695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10,663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12,358</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70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Impact of adoption of ASU 2017-05 (Note 2)</w:t>
            </w:r>
          </w:p>
        </w:tc>
        <w:tc>
          <w:tcPr>
            <w:tcW w:w="5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12,471</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5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(Note 12)</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Deferred tax asset (Note 14)</w:t>
            </w:r>
          </w:p>
        </w:tc>
        <w:tc>
          <w:tcPr>
            <w:tcW w:w="5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ownership interest in connection with Exchange Right exercises (Note 12)</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comprehensive loss (Note 12)</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11,473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13,319</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25"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Plains GP Holdings, L.P. (“PAGP”) is a Delaware limited partnership formed in July 2013 that has elected to be taxed as a corporation for United States federal income tax purposes. PAGP does not directly own any operating assets; as of December 31, 2018, its principal sources of cash flow are derived from an indirect investment in Plains All American Pipeline, L.P. (“PAA”), a publicly traded Delaware limited partnership. As used in this Form 10-K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7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As of December 31, 2018, PAGP owned (i) a 100% managing member interest in Plains All American GP LLC (“GP LLC”), an entity that has also elected to be taxed as a corporation for United States federal income tax purposes and (ii) an approximate 57% limited partner interest in Plains AAP, L.P. (“AAP”) through our direct ownership of approximately 158.5 million Class A units of AAP (“AAP units”) and indirect ownership of approximately 1.0 million AAP units through GP LLC. GP LLC is a Delaware limited liability company that also holds the non-economic general partner interest in AAP. AAP is a Delaware limited partnership that, as of December 31, 2018, directly owned a limited partner interest in PAA through its ownership of approximately 280.5 million PAA common units (approximately 35% of PAA’s total outstanding common units and Series A preferred units combined (together, “PAA Common Unit Equivalents”)). AAP is the sole member of PAA GP LLC (“PAA GP”), a Delaware limited liability company that directly holds the non-economic general partner interest in PAA.</w:t>
      </w:r>
    </w:p>
    <w:p>
      <w:pPr>
        <w:spacing w:after="0" w:line="19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primarily for crude oil, natural gas liquids (“NGL”) and natural gas. PAA owns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20 for further discussion of our operating segments.</w:t>
      </w:r>
    </w:p>
    <w:p>
      <w:pPr>
        <w:spacing w:after="0" w:line="18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to the “Plains Entities” include us, our general partner, GP LLC, AAP, PAA GP and PAA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Simplification Transactions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On November 15, 2016, the Plains Entities closed a series of transactions and executed several organizational and ancillary documents (the “Simplification Transactions”) intended to simplify our capital structure, better align the interests of our stakeholders and improve our overall credit profile. The Simplification Transactions included, among other things:</w:t>
      </w:r>
    </w:p>
    <w:p>
      <w:pPr>
        <w:spacing w:after="0" w:line="181" w:lineRule="exact"/>
        <w:rPr>
          <w:sz w:val="20"/>
          <w:szCs w:val="20"/>
          <w:color w:val="auto"/>
        </w:rPr>
      </w:pPr>
    </w:p>
    <w:p>
      <w:pPr>
        <w:ind w:left="660" w:hanging="328"/>
        <w:spacing w:after="0" w:line="264"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permanent elimination of PAA’s incentive distribution rights (“IDRs”) and the economic rights associated with its 2% general partner interest in exchange for the issuance by PAA to AAP of 245.5 million PAA common units (including approximately 0.8 million units to be issued in the future) and the assumption by PAA of all of AAP’s outstanding debt ($642 million);</w:t>
      </w:r>
    </w:p>
    <w:p>
      <w:pPr>
        <w:spacing w:after="0" w:line="181"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implementation of a unified governance structure pursuant to which the board of directors of GP LLC was eliminated and an expanded board of directors of our general partner assumed oversight responsibility over both us and PAA;</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60"/>
          </w:cols>
          <w:pgMar w:left="240" w:top="125" w:right="29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20" w:hanging="328"/>
        <w:spacing w:after="0" w:line="259"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provision for annual shareholder elections beginning in 2018 for the purpose of electing certain directors, and the participation of PAA’s common unitholders and Series A preferred unitholders in such elections through PAA’s ownership of our Class C shares, which provide PAA, as the sole holder of such Class C shares, the right to vote, as directed by PAA’s common and Series A preferred unitholders, in elections of eligible directors together with the holders of our Class A and Class B shares;</w:t>
      </w:r>
    </w:p>
    <w:p>
      <w:pPr>
        <w:spacing w:after="0" w:line="186" w:lineRule="exact"/>
        <w:rPr>
          <w:rFonts w:ascii="Arial" w:cs="Arial" w:eastAsia="Arial" w:hAnsi="Arial"/>
          <w:sz w:val="18"/>
          <w:szCs w:val="18"/>
          <w:color w:val="auto"/>
        </w:rPr>
      </w:pPr>
    </w:p>
    <w:p>
      <w:pPr>
        <w:ind w:left="660" w:hanging="328"/>
        <w:spacing w:after="0" w:line="270" w:lineRule="auto"/>
        <w:tabs>
          <w:tab w:leader="none" w:pos="6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execution by AAP of a reverse split to adjust the number of AAP units such that the number of outstanding AAP units (assuming the conversion of AAP Class B units (the “AAP Management Units”) into AAP units) equaled the number of PAA common units received by AAP at the closing of the Simplification Transactions. Simultaneously, we executed reverse splits to adjust the number of (i) Class A shares outstanding to equal the number of AAP units we owned following AAP’s reverse unit split and (ii) Class B shares outstanding to equal the number of AAP units owned by AAP’s unitholders other than us following AAP’s reverse unit split. These reverse splits, along with the Omnibus Agreement, resulted in economic alignment between our Class A shareholders and PAA’s common unitholders, such that the number of outstanding Class A shares equals the number of AAP units owned by us, which in turn equals the number of PAA common units held by AAP that are attributable to our interest in AAP. The Plains Entities also entered into an Omnibus Agreement, pursuant to which such one-to-one relationship will be maintained subsequent to the closing of the Simplification Transactions; and</w:t>
      </w:r>
    </w:p>
    <w:p>
      <w:pPr>
        <w:spacing w:after="0" w:line="181" w:lineRule="exact"/>
        <w:rPr>
          <w:rFonts w:ascii="Arial" w:cs="Arial" w:eastAsia="Arial" w:hAnsi="Arial"/>
          <w:sz w:val="17"/>
          <w:szCs w:val="17"/>
          <w:color w:val="auto"/>
        </w:rPr>
      </w:pPr>
    </w:p>
    <w:p>
      <w:pPr>
        <w:ind w:left="660" w:right="140" w:hanging="328"/>
        <w:spacing w:after="0" w:line="286" w:lineRule="auto"/>
        <w:tabs>
          <w:tab w:leader="none" w:pos="6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creation of a right for certain holders of the AAP units to cause AAP to redeem such AAP units in exchange for an equal number of PAA common units held by AAP. Holders of AAP units other than us and GP LLC continue to have the right to exchange their AAP units (together with the corresponding Class B shares and, if applicable, units of our general partner) for our Class A shares on a one-for-one basis.</w:t>
      </w:r>
    </w:p>
    <w:p>
      <w:pPr>
        <w:spacing w:after="0" w:line="11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Simplification Transactions were between and among consolidated subsidiaries of PAGP that are considered entities under common control. These equity transactions did not result in a change in the carrying value of the underlying assets and liabilities. In addition, the Simplification Transactions did not result in a change in ownership interest of PAGP in PAA as described in Accounting Standards Codification (“ASC”) 810-10-45-22, but instead were designed to be an exchange of equal economic ownership interests.</w:t>
      </w:r>
    </w:p>
    <w:p>
      <w:pPr>
        <w:spacing w:after="0" w:line="187"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As part of the Simplification Transactions, as discussed above, we effected a reverse split of our Class A and Class B shares, in each case, at a ratio of approximately 1-for-2.663. The effect of the reverse split has been retroactively applied to all share and per-share amounts presented in this Form 10-K.</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the following notes and shall have the meanings indicated below:</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AOCI</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ASC</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ASU</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Bcf</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CAD</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DERs</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Distribution equivalent rights</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EBITDA</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0"/>
              </w:rPr>
              <w:t>Earnings before interest, taxes, depreciation and amortization</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EPA</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FASB</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GAAP</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0"/>
              </w:rPr>
              <w:t>Generally accepted accounting principles in the United States</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ICE</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ISDA</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International Swaps and Derivatives Association</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LIBOR</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LTIP</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Mcf</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NGL</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6"/>
              </w:rPr>
              <w:t>Natural gas liquids, including ethane, propane and butane</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NYMEX</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Oxy</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Occidental Petroleum Corporation or its subsidiaries</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PLA</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Pipeline loss allowance</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USD</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WTI</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r>
        <w:trPr>
          <w:trHeight w:val="486"/>
        </w:trPr>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0" w:type="dxa"/>
            <w:vAlign w:val="bottom"/>
          </w:tcPr>
          <w:p>
            <w:pPr>
              <w:ind w:left="3280"/>
              <w:spacing w:after="0"/>
              <w:rPr>
                <w:sz w:val="20"/>
                <w:szCs w:val="20"/>
                <w:color w:val="auto"/>
              </w:rPr>
            </w:pPr>
            <w:r>
              <w:rPr>
                <w:rFonts w:ascii="Arial" w:cs="Arial" w:eastAsia="Arial" w:hAnsi="Arial"/>
                <w:sz w:val="18"/>
                <w:szCs w:val="18"/>
                <w:color w:val="auto"/>
              </w:rPr>
              <w:t>F-10</w:t>
            </w:r>
          </w:p>
        </w:tc>
      </w:tr>
    </w:tbl>
    <w:p>
      <w:pPr>
        <w:sectPr>
          <w:pgSz w:w="11900" w:h="16838" w:orient="portrait"/>
          <w:cols w:equalWidth="0" w:num="1">
            <w:col w:w="11400"/>
          </w:cols>
          <w:pgMar w:left="240" w:top="125" w:right="25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accompanying financial statements and related notes present and discuss our consolidated financial position as of December 31, 2018 and 2017, and the consolidated results of our operations, cash flows, changes in partners’ capital, comprehensive income and changes in accumulated other comprehensive income/(loss) for the years ended December 31, 2018, 2017 and 2016. All significant intercompany transactions have been eliminated in consolidation, and certain reclassifications have been made to information from previous years to conform to the current presentation.</w:t>
      </w:r>
    </w:p>
    <w:p>
      <w:pPr>
        <w:spacing w:after="0" w:line="171" w:lineRule="exact"/>
        <w:rPr>
          <w:sz w:val="20"/>
          <w:szCs w:val="20"/>
          <w:color w:val="auto"/>
        </w:rPr>
      </w:pPr>
    </w:p>
    <w:p>
      <w:pPr>
        <w:ind w:right="40" w:firstLine="648"/>
        <w:spacing w:after="0" w:line="327" w:lineRule="auto"/>
        <w:rPr>
          <w:sz w:val="20"/>
          <w:szCs w:val="20"/>
          <w:color w:val="auto"/>
        </w:rPr>
      </w:pPr>
      <w:r>
        <w:rPr>
          <w:rFonts w:ascii="Arial" w:cs="Arial" w:eastAsia="Arial" w:hAnsi="Arial"/>
          <w:sz w:val="15"/>
          <w:szCs w:val="15"/>
          <w:color w:val="auto"/>
        </w:rPr>
        <w:t>Effective for the fourth quarter of 2018, we present “(Gains)/losses on asset sales and asset impairments, net” as a separate line item on our Consolidated Statements of Operations. To conform to the current year presentation, amounts related to gains and losses on asset sales and asset impairments previously presented in “Depreciation and amortization” are now presented in “(Gains)/losses on asset sales and asset impairments, net” on our Consolidated Statements of Operations. This change was applied retrospectively and does not affect Operating income, Net income or Net income attributable to PAGP.</w:t>
      </w:r>
    </w:p>
    <w:p>
      <w:pPr>
        <w:spacing w:after="0" w:line="14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Also effective for the fourth quarter of 2018, we began presenting “Trade accounts payable” as a separate line item within Current Liabilities on our Consolidated Balance Sheets. To conform to the current year presentation, approximately $135 million previously reported in “Accounts payable and accrued liabilities” is now presented in “Other current liabilities” as of December 31, 2017. This change does not affect Total Current Liabilities, Total Liabilities or working capital.</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determined that our subsidiaries, PAA and AAP, are VIEs and should be consolidated by PAGP because:</w:t>
      </w:r>
    </w:p>
    <w:p>
      <w:pPr>
        <w:spacing w:after="0" w:line="225" w:lineRule="exact"/>
        <w:rPr>
          <w:sz w:val="20"/>
          <w:szCs w:val="20"/>
          <w:color w:val="auto"/>
        </w:rPr>
      </w:pPr>
    </w:p>
    <w:p>
      <w:pPr>
        <w:ind w:left="980" w:right="380" w:hanging="324"/>
        <w:spacing w:after="0" w:line="264" w:lineRule="auto"/>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w:t>
      </w:r>
    </w:p>
    <w:p>
      <w:pPr>
        <w:spacing w:after="0" w:line="181"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AAP is the primary beneficiary of PAA because it has the power to direct the activities that most significantly impact PAA’s performance and the right to receive benefits, and obligation to absorb losses, that could be significant to PAA.</w:t>
      </w:r>
    </w:p>
    <w:p>
      <w:pPr>
        <w:spacing w:after="0" w:line="170"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PAGP is the primary beneficiary of AAP because it has the power to direct the activities that most significantly impact AAP’s performance and the right to receive benefits, and obligation to absorb losses, that could be significant to AAP.</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With the exception of a deferred tax asset of $1,304 million and $1,386 million as of December 31, 2018 and 2017, respectively, substantially all assets and liabilities presented on PAGP’s Consolidated Balance Sheets are those of PAA. Only the assets of each respective VIE can be used to settle the obligations of that individual VIE, and the creditors of each/either of those VIEs do not have recourse against the general credit of PAGP. PAGP did not provide any financial support to PAA or AAP during the years ended December 31, 2018, 2017 or 2016. See Note 16 for information regarding the Omnibus Agreement entered into in connection with the Simplification Transactions.</w:t>
      </w:r>
    </w:p>
    <w:p>
      <w:pPr>
        <w:spacing w:after="0" w:line="18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60"/>
          </w:cols>
          <w:pgMar w:left="240" w:top="125" w:right="29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The preparation of financial statements in conformity with GAAP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We make significant estimates with respect to (i) estimated fair value of assets and liabilities acquired and identification of associated goodwill and intangible assets, (ii) impairment assessments of goodwill and intangible assets,</w:t>
      </w:r>
    </w:p>
    <w:p>
      <w:pPr>
        <w:spacing w:after="0" w:line="2" w:lineRule="exact"/>
        <w:rPr>
          <w:sz w:val="20"/>
          <w:szCs w:val="20"/>
          <w:color w:val="auto"/>
        </w:rPr>
      </w:pPr>
    </w:p>
    <w:p>
      <w:pPr>
        <w:ind w:firstLine="8"/>
        <w:spacing w:after="0" w:line="255" w:lineRule="auto"/>
        <w:tabs>
          <w:tab w:leader="none" w:pos="315" w:val="left"/>
        </w:tabs>
        <w:numPr>
          <w:ilvl w:val="0"/>
          <w:numId w:val="98"/>
        </w:numPr>
        <w:rPr>
          <w:rFonts w:ascii="Arial" w:cs="Arial" w:eastAsia="Arial" w:hAnsi="Arial"/>
          <w:sz w:val="18"/>
          <w:szCs w:val="18"/>
          <w:color w:val="auto"/>
        </w:rPr>
      </w:pPr>
      <w:r>
        <w:rPr>
          <w:rFonts w:ascii="Arial" w:cs="Arial" w:eastAsia="Arial" w:hAnsi="Arial"/>
          <w:sz w:val="18"/>
          <w:szCs w:val="18"/>
          <w:color w:val="auto"/>
        </w:rPr>
        <w:t>fair value of derivatives, (iv) accruals and contingent liabilities, (v) equity-indexed compensation plan accruals, (vi) property and equipment, depreciation and amortization expense, asset retirement obligations and impairments, (vii) allowance for doubtful accounts and (viii) inventory valuations. Although we believe these estimates are reasonable, actual results could differ from these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and Related Costs</w:t>
      </w:r>
    </w:p>
    <w:p>
      <w:pPr>
        <w:spacing w:after="0" w:line="225"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Purchases and related costs include (i) the weighted average cost of crude oil, NGL and natural gas sold to customers, (ii) fees incurred for storage and transportation, whether by pipeline, truck, rail, ship or barge and (iii) performance-related bonus costs. These costs are recognized when incurred except in the case of products sold, which are recognized at the time title transfers to our customers. Inventory exchanges under buy/sell transactions are presented net in “Purchases and related costs” in our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Field Operating Costs and General and Administrative Expenses</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Field operating costs consist of various field operating expenses, including payroll, compensation and benefits costs for operations personnel; fuel and power costs (including the impact of gains and losses from derivative related activities); third-party trucking transportation costs for our U.S. crude oil operations; maintenance and integrity management costs; regulatory compliance; environmental remediation; insurance; costs for usage of third-party owned pipeline, rail and storage assets; vehicle leases; and property taxes. General and administrative expenses consist primarily of payroll, compensation and benefits costs; certain information systems and legal costs; office rent; contract and consultant costs; and audit and tax fees.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Transactions/Translation</w:t>
      </w:r>
    </w:p>
    <w:p>
      <w:pPr>
        <w:spacing w:after="0" w:line="225"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Certain of our subsidiaries use the Canadian dollar as their functional currency. Assets and liabilities of subsidiaries with a Canadian dollar functional currency are translated at period-end rates of exchange, and revenues and expenses are translated at average exchange rates prevailing for each month. The resulting translation adjustments are made directly to a separate component of other comprehensive income, which is reflected in Partners’ Capital on our Consolidated Balance Sheets.</w:t>
      </w:r>
    </w:p>
    <w:p>
      <w:pPr>
        <w:spacing w:after="0" w:line="187"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included in the Consolidated Statements of Operations. The revaluation of foreign currency transactions and monetary assets and liabilities resulted in a net gain of $1 million and $21 million for the years ended December 31, 2018 and 2017, respectively, and a net loss of $8 million for the year ended December 31,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Cash and cash equivalents consist of all unrestricted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accordance with our policy, unless they may be covered by funds on deposit, outstanding checks are classified as trade accounts payable rather than negative cash. As of December 31, 2018 and 2017, trade accounts payable included $57 million and $61 million, respectively, of outstanding checks that were reclassified from cash and cash equivalents.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Noncontrolling interest represents the portion of assets and liabilities in a consolidated subsidiary that is owned by a third party. FASB guidance requires all entities to report noncontrolling interests in subsidiaries as a component of equity in the consolidated financial statements. See Note 12 for additional discussion regarding our noncontrolling interests.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125" w:right="25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1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FASB guidance establishes accounting requirements for retirement obligations associated with tangible long-lived assets, including estimates related to (i) the time of the liability recognition, (ii) initial measurement of the liability, (iii) allocation of asset retirement cost to expense, (iv) subsequent measurement of the liability and (v) financial statement disclosures. FASB guidance also requires that the cost for asset retirement should be capitalized as part of the cost of the related long-lived asset and subsequently allocated to expense using a systematic and rational method.</w:t>
      </w:r>
    </w:p>
    <w:p>
      <w:pPr>
        <w:spacing w:after="0" w:line="6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Some of our assets, primarily related to our Transportation and Facilities segments,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These assets have been in existence for many years and with regular maintenance will continue to be in service for many years to come. It is not possible to predict when demand for these transportation or storage services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 retirement obligations for these assets in the period in which sufficient information becomes available for us to reasonably determine the settlement dates.</w:t>
      </w:r>
    </w:p>
    <w:p>
      <w:pPr>
        <w:spacing w:after="0" w:line="16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The following table presents the change in the liability for asset retirement obligations, of which $107 million, $99 million and $33 million were reflected in “Other long-term liabilities and deferred credits” with the remaining portion reflected in “Other current liabilities” on our Consolidated Balance Sheets as of December 31, 2018, 2017 and 2016, respectively (in millions):</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73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7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2016</w:t>
            </w:r>
          </w:p>
        </w:tc>
      </w:tr>
      <w:tr>
        <w:trPr>
          <w:trHeight w:val="33"/>
        </w:trPr>
        <w:tc>
          <w:tcPr>
            <w:tcW w:w="73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40" w:type="dxa"/>
            <w:vAlign w:val="bottom"/>
            <w:tcBorders>
              <w:bottom w:val="single" w:sz="8" w:color="CCEEFF"/>
            </w:tcBorders>
            <w:shd w:val="clear" w:color="auto" w:fill="CCEEFF"/>
          </w:tcPr>
          <w:p>
            <w:pPr>
              <w:jc w:val="right"/>
              <w:ind w:right="63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r>
      <w:tr>
        <w:trPr>
          <w:trHeight w:val="243"/>
        </w:trPr>
        <w:tc>
          <w:tcPr>
            <w:tcW w:w="7380" w:type="dxa"/>
            <w:vAlign w:val="bottom"/>
          </w:tcPr>
          <w:p>
            <w:pPr>
              <w:ind w:left="160"/>
              <w:spacing w:after="0"/>
              <w:rPr>
                <w:sz w:val="20"/>
                <w:szCs w:val="20"/>
                <w:color w:val="auto"/>
              </w:rPr>
            </w:pPr>
            <w:r>
              <w:rPr>
                <w:rFonts w:ascii="Arial" w:cs="Arial" w:eastAsia="Arial" w:hAnsi="Arial"/>
                <w:sz w:val="18"/>
                <w:szCs w:val="18"/>
                <w:color w:val="auto"/>
              </w:rPr>
              <w:t>Liabilities incurred</w:t>
            </w:r>
          </w:p>
        </w:tc>
        <w:tc>
          <w:tcPr>
            <w:tcW w:w="8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w:t>
            </w:r>
          </w:p>
        </w:tc>
      </w:tr>
      <w:tr>
        <w:trPr>
          <w:trHeight w:val="27"/>
        </w:trPr>
        <w:tc>
          <w:tcPr>
            <w:tcW w:w="7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Liabilities settled</w:t>
            </w: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7380" w:type="dxa"/>
            <w:vAlign w:val="bottom"/>
          </w:tcPr>
          <w:p>
            <w:pPr>
              <w:ind w:left="160"/>
              <w:spacing w:after="0"/>
              <w:rPr>
                <w:sz w:val="20"/>
                <w:szCs w:val="20"/>
                <w:color w:val="auto"/>
              </w:rPr>
            </w:pPr>
            <w:r>
              <w:rPr>
                <w:rFonts w:ascii="Arial" w:cs="Arial" w:eastAsia="Arial" w:hAnsi="Arial"/>
                <w:sz w:val="18"/>
                <w:szCs w:val="18"/>
                <w:color w:val="auto"/>
              </w:rPr>
              <w:t>Accretion expense</w:t>
            </w:r>
          </w:p>
        </w:tc>
        <w:tc>
          <w:tcPr>
            <w:tcW w:w="8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27"/>
        </w:trPr>
        <w:tc>
          <w:tcPr>
            <w:tcW w:w="7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Revisions in estimated cash flows</w:t>
            </w:r>
          </w:p>
        </w:tc>
        <w:tc>
          <w:tcPr>
            <w:tcW w:w="8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57"/>
        </w:trPr>
        <w:tc>
          <w:tcPr>
            <w:tcW w:w="73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84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109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44</w:t>
            </w:r>
          </w:p>
        </w:tc>
      </w:tr>
      <w:tr>
        <w:trPr>
          <w:trHeight w:val="20"/>
        </w:trPr>
        <w:tc>
          <w:tcPr>
            <w:tcW w:w="7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 The determination of the fair values includes not only the credit standing of the counterparties involved and the impact of credit enhancements (such as cash deposits and letters of credit) but also the impact of our nonperformance risk on our liabilities. The fair value of our commodity derivatives, interest rate derivatives and foreign currency derivatives includes adjustments for credit risk. Our credit adjustment methodology uses market observable inputs and requires judgment. There were no changes to any of our valuation techniques during the period. See Note 13 for further discussion.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Significant Accounting Policies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the respective footnotes for our accounting policies regarding (i) revenues and accounts receivable, (ii) net income per Class A share,</w:t>
      </w:r>
    </w:p>
    <w:p>
      <w:pPr>
        <w:spacing w:after="0" w:line="35" w:lineRule="exact"/>
        <w:rPr>
          <w:sz w:val="20"/>
          <w:szCs w:val="20"/>
          <w:color w:val="auto"/>
        </w:rPr>
      </w:pPr>
    </w:p>
    <w:p>
      <w:pPr>
        <w:jc w:val="both"/>
        <w:ind w:right="140" w:firstLine="8"/>
        <w:spacing w:after="0" w:line="255" w:lineRule="auto"/>
        <w:tabs>
          <w:tab w:leader="none" w:pos="315"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inventory, linefill and base gas and long-term inventory, (iv) property and equipment, (v) acquisitions, (vi) goodwill, (vii) investments in unconsolidated entities, (viii) other long-term assets, net, (ix) derivatives and risk management activities, (x) income taxes, (xi) equity-indexed compensation and (xii) legal and environmental matters.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5" w:right="2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In October 2018, the FASB issued ASU 2018-17, </w:t>
      </w:r>
      <w:r>
        <w:rPr>
          <w:rFonts w:ascii="Arial" w:cs="Arial" w:eastAsia="Arial" w:hAnsi="Arial"/>
          <w:sz w:val="16"/>
          <w:szCs w:val="16"/>
          <w:i w:val="1"/>
          <w:iCs w:val="1"/>
          <w:color w:val="auto"/>
        </w:rPr>
        <w:t>Consolidation (Topic 810): Targeted Improvements to Related Party Guidance for Variable Interest</w:t>
      </w:r>
      <w:r>
        <w:rPr>
          <w:rFonts w:ascii="Arial" w:cs="Arial" w:eastAsia="Arial" w:hAnsi="Arial"/>
          <w:sz w:val="16"/>
          <w:szCs w:val="16"/>
          <w:color w:val="auto"/>
        </w:rPr>
        <w:t xml:space="preserve"> </w:t>
      </w:r>
      <w:r>
        <w:rPr>
          <w:rFonts w:ascii="Arial" w:cs="Arial" w:eastAsia="Arial" w:hAnsi="Arial"/>
          <w:sz w:val="16"/>
          <w:szCs w:val="16"/>
          <w:i w:val="1"/>
          <w:iCs w:val="1"/>
          <w:color w:val="auto"/>
        </w:rPr>
        <w:t>Entities</w:t>
      </w:r>
      <w:r>
        <w:rPr>
          <w:rFonts w:ascii="Arial" w:cs="Arial" w:eastAsia="Arial" w:hAnsi="Arial"/>
          <w:sz w:val="16"/>
          <w:szCs w:val="16"/>
          <w:color w:val="auto"/>
        </w:rPr>
        <w:t>, in response to stakeholder observations that improvements could be made by requiring reporting entities to consider indirect interests held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parties under common control on a proportional basis rather than as the equivalent of a direct interest in its entirety as currently required in GAAP. This guidance is effective for interim and annual periods beginning after December 15, 2019, with early adoption permitted. We expect to adopt this guidance on January 1, 2020, and do not currently anticipate that our adoption will have a material impact on our financial position, results of operations or cash flows.</w:t>
      </w:r>
    </w:p>
    <w:p>
      <w:pPr>
        <w:spacing w:after="0" w:line="15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In October 2018, the FASB issued ASU 2018-16, </w:t>
      </w:r>
      <w:r>
        <w:rPr>
          <w:rFonts w:ascii="Arial" w:cs="Arial" w:eastAsia="Arial" w:hAnsi="Arial"/>
          <w:sz w:val="16"/>
          <w:szCs w:val="16"/>
          <w:i w:val="1"/>
          <w:iCs w:val="1"/>
          <w:color w:val="auto"/>
        </w:rPr>
        <w:t>Derivatives and Hedging (Topic 815): Inclusion of the Secured Overnight Financing Rate (SOFR)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Overnight Index Swap (OIS) Rate as a Benchmark Interest Rate for Hedge Accounting Purposes, </w:t>
      </w:r>
      <w:r>
        <w:rPr>
          <w:rFonts w:ascii="Arial" w:cs="Arial" w:eastAsia="Arial" w:hAnsi="Arial"/>
          <w:sz w:val="16"/>
          <w:szCs w:val="16"/>
          <w:color w:val="auto"/>
        </w:rPr>
        <w:t>to include the OIS rate based on SOFR as an eligible</w:t>
      </w:r>
      <w:r>
        <w:rPr>
          <w:rFonts w:ascii="Arial" w:cs="Arial" w:eastAsia="Arial" w:hAnsi="Arial"/>
          <w:sz w:val="16"/>
          <w:szCs w:val="16"/>
          <w:i w:val="1"/>
          <w:iCs w:val="1"/>
          <w:color w:val="auto"/>
        </w:rPr>
        <w:t xml:space="preserve"> </w:t>
      </w:r>
      <w:r>
        <w:rPr>
          <w:rFonts w:ascii="Arial" w:cs="Arial" w:eastAsia="Arial" w:hAnsi="Arial"/>
          <w:sz w:val="16"/>
          <w:szCs w:val="16"/>
          <w:color w:val="auto"/>
        </w:rPr>
        <w:t>benchmark interest rate during the early stages of the marketplace transition to facilitate the LIBOR to SOFR transition and provide sufficient lead time for entities to prepare for changes to interest rate risk hedging strategies for both risk management and hedge accounting purposes</w:t>
      </w:r>
      <w:r>
        <w:rPr>
          <w:rFonts w:ascii="Arial" w:cs="Arial" w:eastAsia="Arial" w:hAnsi="Arial"/>
          <w:sz w:val="16"/>
          <w:szCs w:val="16"/>
          <w:i w:val="1"/>
          <w:iCs w:val="1"/>
          <w:color w:val="auto"/>
        </w:rPr>
        <w:t>.</w:t>
      </w:r>
      <w:r>
        <w:rPr>
          <w:rFonts w:ascii="Arial" w:cs="Arial" w:eastAsia="Arial" w:hAnsi="Arial"/>
          <w:sz w:val="16"/>
          <w:szCs w:val="16"/>
          <w:color w:val="auto"/>
        </w:rPr>
        <w:t xml:space="preserve"> This guidance is effective for interim and annual periods beginning after December 15, 2018, and must be adopted concurrently with the amendments in ASU 2017-12 (see below). We will adopt this ASU effective January 1, 2019 and will apply the new guidance to applicable transactions occurring after that date.</w:t>
      </w:r>
    </w:p>
    <w:p>
      <w:pPr>
        <w:spacing w:after="0" w:line="16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August 2018, the FASB issued ASU 2018-15, Intangibles—Goodwill and Other—Internal-Use Software (Subtopic 350-40): Customer’s Accounting for Implementation Costs Incurred in a Cloud Computing Arrangement That Is a Service Contract (a consensus of the FASB Emerging Issues Task Force), to address the accounting for implementation costs of a hosting arrangement that is a service contract and to align the accounting for implementation costs for hosting arrangements, regardless of whether they convey a license to the hosted software. This guidance is effective for interim and annual periods beginning after December 15, 2019, with early adoption permitted. We expect to adopt this guidance on January 1, 2020, and we are currently evaluating the effect that our adoption of this guidance will have on our financial position, results of operations and cash flows.</w:t>
      </w:r>
    </w:p>
    <w:p>
      <w:pPr>
        <w:spacing w:after="0" w:line="17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August 2018, the FASB issued ASU 2018-13, Fair Value Measurement (Topic 820): Disclosure Framework—Changes to the Disclosure Requirements for Fair Value Measurement, modifying the disclosure requirements on fair value measurements in Topic 820. This guidance is effective for interim and annual periods beginning after December 15, 2019, with early adoption permitted. We expect to adopt this guidance on January 1, 2020, and we are currently evaluating the effect that our adoption of this guidance will have on our disclosures.</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July 2018, the FASB issued ASU 2018-09, Codification Improvements, which makes updates for clarifications, technical corrections and other minor improvements to a wide variety of Topics to make the ASC easier to understand and to apply. The transition and effective date is based on the facts and circumstances of each amendment with some amendments effective upon issuance. The remaining amendments are effective for annual periods beginning after December 15, 2018. We will adopt this guidance effective January 1, 2019 and do not anticipate that the adoption will have a material impact on our financial position, results of operations or cash flows.</w:t>
      </w:r>
    </w:p>
    <w:p>
      <w:pPr>
        <w:spacing w:after="0" w:line="18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June 2018, the FASB issued ASU 2018-07, Compensation—Stock Compensation (Topic 718): Improvements to Nonemployee Share-Based Payment Accounting, which expands the scope of Topic 718 to include share-based payment awards to nonemployees and eliminates the classification differences for employee and nonemployee share-based payment awards. This guidance is effective for interim and annual periods beginning after December 15, 2018, with early adoption permitted. We will adopt this guidance effective January 1, 2019 and do not anticipate that the adoption will have a material impact on our financial position, results of operations or cash flows.</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In August 2017, the FASB issued ASU 2017-12, </w:t>
      </w:r>
      <w:r>
        <w:rPr>
          <w:rFonts w:ascii="Arial" w:cs="Arial" w:eastAsia="Arial" w:hAnsi="Arial"/>
          <w:sz w:val="18"/>
          <w:szCs w:val="18"/>
          <w:i w:val="1"/>
          <w:iCs w:val="1"/>
          <w:color w:val="auto"/>
        </w:rPr>
        <w:t>Derivatives and Hedging (Topic 815): Targeted Improvements to Accounting for Hedging Activities</w:t>
      </w:r>
      <w:r>
        <w:rPr>
          <w:rFonts w:ascii="Arial" w:cs="Arial" w:eastAsia="Arial" w:hAnsi="Arial"/>
          <w:sz w:val="18"/>
          <w:szCs w:val="18"/>
          <w:color w:val="auto"/>
        </w:rPr>
        <w:t xml:space="preserve"> to better align an entity’s risk management activities and financial reporting for hedging relationships through changes to both the designation and measurement guidance for qualifying hedging relationships and the presentation of hedge results. Under the new guidance, (i) more financial and nonfinancial hedging strategies will be eligible for hedge accounting, (ii) presentation and disclosure requirements are amended and (iii) companies will change the way they assess effectiveness. This guidance is effective for interim and annual periods beginning after December 15, 2018, with early adoption permitted. We will adopt this guidance effective January 1, 2019 and do not anticipate that the adoption will have a material impact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5" w:right="2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Compensation—Stock Compensation (Topic 718): Scope of Modification Accounting</w:t>
      </w:r>
      <w:r>
        <w:rPr>
          <w:rFonts w:ascii="Arial" w:cs="Arial" w:eastAsia="Arial" w:hAnsi="Arial"/>
          <w:sz w:val="17"/>
          <w:szCs w:val="17"/>
          <w:color w:val="auto"/>
        </w:rPr>
        <w:t xml:space="preserve"> to provide guidance about which changes to the terms or conditions of a share-based payment award require an entity to apply modification accounting. Under the new guidance, modification accounting is required only if the fair value (or calculated value or intrinsic value, if such alternative method is used), the vesting conditions, or the classification of the award (equity or liability) changes as a result of the change in terms or conditions. This guidance is effective for interim and annual periods beginning after December 15, 2017, with early adoption permitted, and prospective application required. We adopted this ASU on January 1, 2018. Our adoption did not have a material impact on our financial position, results of operations or cash flows.</w:t>
      </w:r>
    </w:p>
    <w:p>
      <w:pPr>
        <w:spacing w:after="0" w:line="9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In February 2017, the FASB issued ASU 2017-05, </w:t>
      </w:r>
      <w:r>
        <w:rPr>
          <w:rFonts w:ascii="Arial" w:cs="Arial" w:eastAsia="Arial" w:hAnsi="Arial"/>
          <w:sz w:val="17"/>
          <w:szCs w:val="17"/>
          <w:i w:val="1"/>
          <w:iCs w:val="1"/>
          <w:color w:val="auto"/>
        </w:rPr>
        <w:t>Other Income—Gains and Losses from the Derecognition of Nonfinancial Assets (Subtopic 610-20): Clarifying the Scope of Asset Derecognition Guidance and Accounting for Partial Sales of Nonfinancial Assets</w:t>
      </w:r>
      <w:r>
        <w:rPr>
          <w:rFonts w:ascii="Arial" w:cs="Arial" w:eastAsia="Arial" w:hAnsi="Arial"/>
          <w:sz w:val="17"/>
          <w:szCs w:val="17"/>
          <w:color w:val="auto"/>
        </w:rPr>
        <w:t>. The ASU clarifies what type of</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involving nonfinancial assets are covered by the scope of the standard and provides guidance on how to account for those transactions, including partial sales of real estate. Within this guidance, all sales and partial sales of businesses, which may have previously been accounted for using the in-substance real estate guidance, should follow the consolidation guidance. This guidance is effective for interim and annual periods beginning after December 15, 2017, and must be adopted at the same time as Topic 606 (defined below). We adopted this ASU on January 1, 2018, using the modified retrospective approach. The cumulative effect of our adoption resulted in increases in both the carrying value of investments in unconsolidated entities and retained earnings of $113 million related to the retained non-controlling interest in those entities from partial sales of businesses accounted for under in-substance real estate guidance (FASB ASC 360-20) during 2016 and 2017.</w:t>
      </w:r>
    </w:p>
    <w:p>
      <w:pPr>
        <w:spacing w:after="0" w:line="182"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which improves the guidance for determining whether a transaction involves the purchase or disposal of a business or an asset. This guidance is effective for interim and annual periods beginning after December 15, 2017, with early adoption permitted, and prospective application required. We adopted this ASU on January 1, 2018 and will apply the new guidance to applicable transactions occurring after that date.</w:t>
      </w:r>
    </w:p>
    <w:p>
      <w:pPr>
        <w:spacing w:after="0" w:line="18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(Topic 230): Restricted Cash (a consensus of the FASB Emerging</w:t>
      </w:r>
      <w:r>
        <w:rPr>
          <w:rFonts w:ascii="Arial" w:cs="Arial" w:eastAsia="Arial" w:hAnsi="Arial"/>
          <w:sz w:val="18"/>
          <w:szCs w:val="18"/>
          <w:color w:val="auto"/>
        </w:rPr>
        <w:t xml:space="preserve"> </w:t>
      </w:r>
      <w:r>
        <w:rPr>
          <w:rFonts w:ascii="Arial" w:cs="Arial" w:eastAsia="Arial" w:hAnsi="Arial"/>
          <w:sz w:val="18"/>
          <w:szCs w:val="18"/>
          <w:i w:val="1"/>
          <w:iCs w:val="1"/>
          <w:color w:val="auto"/>
        </w:rPr>
        <w:t>Issues Task Force)</w:t>
      </w:r>
      <w:r>
        <w:rPr>
          <w:rFonts w:ascii="Arial" w:cs="Arial" w:eastAsia="Arial" w:hAnsi="Arial"/>
          <w:sz w:val="18"/>
          <w:szCs w:val="18"/>
          <w:color w:val="auto"/>
        </w:rPr>
        <w:t>, requiring that a statement of cash flows explain the change in total cash, cash equivalents, and amounts generally described as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cash or restricted cash equivalents during the period. Therefore, amounts generally described as restricted cash and restricted cash equivalents should be included with cash and cash equivalents when reconciling the beginning-of-period total amounts shown on the statement of cash flows. This guidance is effective for interim and annual periods beginning after December 31, 2017. We adopted this ASU on January 1, 2018. Our adoption did not have an impact on our statements of cash flows.</w:t>
      </w:r>
    </w:p>
    <w:p>
      <w:pPr>
        <w:spacing w:after="0" w:line="193" w:lineRule="exact"/>
        <w:rPr>
          <w:sz w:val="20"/>
          <w:szCs w:val="20"/>
          <w:color w:val="auto"/>
        </w:rPr>
      </w:pPr>
    </w:p>
    <w:p>
      <w:pPr>
        <w:jc w:val="both"/>
        <w:ind w:right="160" w:firstLine="648"/>
        <w:spacing w:after="0" w:line="279" w:lineRule="auto"/>
        <w:rPr>
          <w:sz w:val="20"/>
          <w:szCs w:val="20"/>
          <w:color w:val="auto"/>
        </w:rPr>
      </w:pPr>
      <w:r>
        <w:rPr>
          <w:rFonts w:ascii="Arial" w:cs="Arial" w:eastAsia="Arial" w:hAnsi="Arial"/>
          <w:sz w:val="17"/>
          <w:szCs w:val="17"/>
          <w:color w:val="auto"/>
        </w:rPr>
        <w:t xml:space="preserve">In October 2016, the FASB issued ASU 2016-16,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to improve the accounting for the income tax consequences of intra-entity transfers of assets other than inventory. This guidance is effective for interim and annual periods beginning after December 15, 2017, with early adoption permitted in the first interim period of an annual reporting period. We adopted this ASU on January 1, 2018. Our adoption did not have a material impact on our financial position, results of operations or cash flows.</w:t>
      </w:r>
    </w:p>
    <w:p>
      <w:pPr>
        <w:spacing w:after="0" w:line="171"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In order to clarify the scope of the guidance in the amendments in ASU 2016-13, the FASB issued ASU 2018-19,</w:t>
      </w:r>
      <w:r>
        <w:rPr>
          <w:rFonts w:ascii="Arial" w:cs="Arial" w:eastAsia="Arial" w:hAnsi="Arial"/>
          <w:sz w:val="17"/>
          <w:szCs w:val="17"/>
          <w:i w:val="1"/>
          <w:iCs w:val="1"/>
          <w:color w:val="auto"/>
        </w:rPr>
        <w:t xml:space="preserve"> Codification Improvements to Topic 326, Financial Instruments—Credit Losses </w:t>
      </w:r>
      <w:r>
        <w:rPr>
          <w:rFonts w:ascii="Arial" w:cs="Arial" w:eastAsia="Arial" w:hAnsi="Arial"/>
          <w:sz w:val="17"/>
          <w:szCs w:val="17"/>
          <w:color w:val="auto"/>
        </w:rPr>
        <w:t>in November 2018. Both ASUs will become effective for interim and annual periods beginning after</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15, 2019, with early adoption permitted by one year. We expect to adopt these ASUs on January 1, 2020, and we are currently evaluating the effect that our adoption will have on our financial position, results of operations and cash flows.</w:t>
      </w:r>
    </w:p>
    <w:p>
      <w:pPr>
        <w:spacing w:after="0" w:line="173"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(followed by a series of related accounting standard updates (collectively referred to as “Topic 842”)), that revises the current accounting model for leases. The most significant changes are the clarification of the definition of a lease and required lessee recognition on the balance sheet of right-of-use assets and lease liabilities with lease terms of more than 12 months (with the election of the practical expedient to exclude short-term leases on the balance sheet), including extensive quantitative and qualitative disclosures. This guidance became effective for interim and annual periods beginning after December 15, 2018. We will adopt this guidance effective January 1, 2019.</w:t>
      </w:r>
    </w:p>
    <w:p>
      <w:pPr>
        <w:spacing w:after="0" w:line="173"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We elected the package of practical expedients permitted under the transition guidance within the new standard, which among other things, allowed us to carry forward the historical accounting related to lease identification, classification and indirect costs. We also elected the practical expedient related to land easements, allowing us to carry forward our accounting treatment for land easements on existing agreements. Further, we elected the practical expedient which provides us with an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5" w:right="2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optional transitional method, thereby applying the new guidance at the effective date, without adjusting the comparative periods and, if necessary, recognizing a cumulative-effect adjustment to the opening balance of Partners’ Capital upon adoption at January 1, 2019. We did not elect the practical expedient related to using hindsight in determining the lease term as this was not relevant following our election of the optional transitional method. We also did not elect the non-lease component separation practical expedient. We have implemented a process to evaluate the impact of adopting this guidance on each type of lease contract we have entered into with counterparties. Our implementation team determined appropriate changes to our business processes, systems and controls to support recognition and disclosure under the new standard. Based upon our lease portfolio as of December 31, 2018, we currently anticipate recording both right-of-use assets and lease liabilities of approximately $550 million to $600 million related to several asset categories including land, railcars, vehicles and trailers, and office buildings to our Consolidated Balance Sheet. Further we expect an increase in disclosures related to leases. We do not anticipate a material impact to our Consolidated Statement of Operations or Cash Flows. In addition to the above, which primarily relates to our accounting as a lessee, our accounting from a lessor perspective remains substantially unchanged under Topic 842. However, the determination of the ultimate impact of adopting this guidance will not be finalized until our implementation procedures are complete.</w:t>
      </w:r>
    </w:p>
    <w:p>
      <w:pPr>
        <w:spacing w:after="0" w:line="17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May 2014, the FASB issued ASU 2014-09, Revenue from Contracts with Customers, followed by a series of related accounting standard updates (collectively referred to as “Topic 606”) with the underlying principle that an entity will recognize revenue to reflect amounts expected to be received in exchange for the provision of goods and services to customers upon the transfer of control of those goods or services. We adopted Topic 606 on January 1, 2018, and applied the modified retrospective approach. See Note 3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 and Accounts Receivable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On January 1, 2018, we adopted Topic 606 using the modified retrospective approach applied to those contracts which were not completed as of January 1, 2018. Results for reporting periods beginning after January 1, 2018 are presented under Topic 606, while prior period amounts are not adjusted and continue to be reported in accordance with our historic accounting under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w:t>
      </w:r>
    </w:p>
    <w:p>
      <w:pPr>
        <w:spacing w:after="0" w:line="16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There was no material impact to opening retained earnings as of January 1, 2018 due to the adoption of Topic 606. There also was no material impact to revenues, or any other financial statement line items, for the year ended December 31, 2018 as a result of applying Topic 606.</w:t>
      </w:r>
    </w:p>
    <w:p>
      <w:pPr>
        <w:spacing w:after="0" w:line="14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Under Topic 606, we disaggregate our revenues by segment and type of activity. These categories depict how the nature, amount, timing and uncertainty of revenues and cash flows are affected by economic factors.</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Supply and Logistics Segment Revenues from Contracts with Customers. </w:t>
      </w:r>
      <w:r>
        <w:rPr>
          <w:rFonts w:ascii="Arial" w:cs="Arial" w:eastAsia="Arial" w:hAnsi="Arial"/>
          <w:sz w:val="18"/>
          <w:szCs w:val="18"/>
          <w:color w:val="auto"/>
        </w:rPr>
        <w:t>The following table presents our Supply and Logistics segment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from contracts with customers disaggregated by type of activity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82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w w:val="97"/>
              </w:rPr>
              <w:t>Year Ended December 31,</w:t>
            </w:r>
          </w:p>
        </w:tc>
      </w:tr>
      <w:tr>
        <w:trPr>
          <w:trHeight w:val="192"/>
        </w:trPr>
        <w:tc>
          <w:tcPr>
            <w:tcW w:w="96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Supply and Logistics segment revenues from contracts with customers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9600" w:type="dxa"/>
            <w:vAlign w:val="bottom"/>
          </w:tcPr>
          <w:p>
            <w:pPr>
              <w:ind w:left="180"/>
              <w:spacing w:after="0"/>
              <w:rPr>
                <w:sz w:val="20"/>
                <w:szCs w:val="20"/>
                <w:color w:val="auto"/>
              </w:rPr>
            </w:pPr>
            <w:r>
              <w:rPr>
                <w:rFonts w:ascii="Arial" w:cs="Arial" w:eastAsia="Arial" w:hAnsi="Arial"/>
                <w:sz w:val="18"/>
                <w:szCs w:val="18"/>
                <w:color w:val="auto"/>
              </w:rPr>
              <w:t>Crude oil transactions</w:t>
            </w:r>
          </w:p>
        </w:tc>
        <w:tc>
          <w:tcPr>
            <w:tcW w:w="440" w:type="dxa"/>
            <w:vAlign w:val="bottom"/>
          </w:tcPr>
          <w:p>
            <w:pPr>
              <w:jc w:val="right"/>
              <w:ind w:right="236"/>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29,592</w:t>
            </w:r>
          </w:p>
        </w:tc>
      </w:tr>
      <w:tr>
        <w:trPr>
          <w:trHeight w:val="27"/>
        </w:trPr>
        <w:tc>
          <w:tcPr>
            <w:tcW w:w="9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and other transactions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3,108</w:t>
            </w:r>
          </w:p>
        </w:tc>
      </w:tr>
      <w:tr>
        <w:trPr>
          <w:trHeight w:val="257"/>
        </w:trPr>
        <w:tc>
          <w:tcPr>
            <w:tcW w:w="9600" w:type="dxa"/>
            <w:vAlign w:val="bottom"/>
          </w:tcPr>
          <w:p>
            <w:pPr>
              <w:ind w:left="40"/>
              <w:spacing w:after="0"/>
              <w:rPr>
                <w:sz w:val="20"/>
                <w:szCs w:val="20"/>
                <w:color w:val="auto"/>
              </w:rPr>
            </w:pPr>
            <w:r>
              <w:rPr>
                <w:rFonts w:ascii="Arial" w:cs="Arial" w:eastAsia="Arial" w:hAnsi="Arial"/>
                <w:sz w:val="18"/>
                <w:szCs w:val="18"/>
                <w:color w:val="auto"/>
              </w:rPr>
              <w:t>Total Supply and Logistics segment revenues from contracts with customers</w:t>
            </w:r>
          </w:p>
        </w:tc>
        <w:tc>
          <w:tcPr>
            <w:tcW w:w="4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32,700</w:t>
            </w:r>
          </w:p>
        </w:tc>
      </w:tr>
      <w:tr>
        <w:trPr>
          <w:trHeight w:val="20"/>
        </w:trPr>
        <w:tc>
          <w:tcPr>
            <w:tcW w:w="9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Revenues from sales of crude oil, NGL and natural gas are recognized at the time title to the product sold transfers to the purchaser, which occurs upon delivery of the product to the purchaser or its designee. Sales of crude oil and NGL consist of outright sales contracts. The consideration received under these contracts is variable based on commodity prices. Inventory exchanges under buy/sell transactions are excluded from Supply and Logistics segment revenues in our Consolidated Statements of Operations. Revenues recognized by our Supply and Logistics segment primarily represent margin based activities.</w:t>
      </w:r>
    </w:p>
    <w:p>
      <w:pPr>
        <w:spacing w:after="0" w:line="188"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In addition, we have certain crude oil sales agreements that are entered into in conjunction with storage arrangements and future inventory exchanges. The revenues under these agreements are deferred until all performance obligations associated with the related agreements are completed. The inventory that has been sold under these crude oil sales agreements is reflected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25"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“Other current assets” on our Consolidated Balance Sheet until all of our performance obligations are complete. At that time, the inventory that has been sold is removed from our Consolidated Balance Sheet and recorded as “Purchases and related costs” in our Consolidated Statement of Operations. At December 31, 2018, other current assets and deferred revenue associated with these agreements was approximately $115 million and $116 million, respectively. See Contract Balances below for further discussion of contract liabilities associated with these agreements.</w:t>
      </w:r>
    </w:p>
    <w:p>
      <w:pPr>
        <w:spacing w:after="0" w:line="171"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We may also utilize derivatives in connection with the transactions described above. Derivative revenue is not included as a component of revenue from contracts with customers, but is included in other items in revenue. The change in the fair value of derivatives that are not designated or do not qualify for hedge accounting is recognized in revenues each period.</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Transportation Segment Revenues from Contracts with Customers. </w:t>
      </w:r>
      <w:r>
        <w:rPr>
          <w:rFonts w:ascii="Arial" w:cs="Arial" w:eastAsia="Arial" w:hAnsi="Arial"/>
          <w:sz w:val="18"/>
          <w:szCs w:val="18"/>
          <w:color w:val="auto"/>
        </w:rPr>
        <w:t>The following table presents our Transportation segment revenues from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with customers disaggregated by type of activity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82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w w:val="97"/>
              </w:rPr>
              <w:t>Year Ended December 31,</w:t>
            </w:r>
          </w:p>
        </w:tc>
      </w:tr>
      <w:tr>
        <w:trPr>
          <w:trHeight w:val="192"/>
        </w:trPr>
        <w:tc>
          <w:tcPr>
            <w:tcW w:w="96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2018</w:t>
            </w: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Transportation segment revenues from contracts with customers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9600" w:type="dxa"/>
            <w:vAlign w:val="bottom"/>
          </w:tcPr>
          <w:p>
            <w:pPr>
              <w:ind w:left="180"/>
              <w:spacing w:after="0"/>
              <w:rPr>
                <w:sz w:val="20"/>
                <w:szCs w:val="20"/>
                <w:color w:val="auto"/>
              </w:rPr>
            </w:pPr>
            <w:r>
              <w:rPr>
                <w:rFonts w:ascii="Arial" w:cs="Arial" w:eastAsia="Arial" w:hAnsi="Arial"/>
                <w:sz w:val="18"/>
                <w:szCs w:val="18"/>
                <w:color w:val="auto"/>
              </w:rPr>
              <w:t>Tariff activities:</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9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Crude oil pipelines</w:t>
            </w: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1,724</w:t>
            </w:r>
          </w:p>
        </w:tc>
      </w:tr>
      <w:tr>
        <w:trPr>
          <w:trHeight w:val="243"/>
        </w:trPr>
        <w:tc>
          <w:tcPr>
            <w:tcW w:w="9600" w:type="dxa"/>
            <w:vAlign w:val="bottom"/>
          </w:tcPr>
          <w:p>
            <w:pPr>
              <w:ind w:left="280"/>
              <w:spacing w:after="0"/>
              <w:rPr>
                <w:sz w:val="20"/>
                <w:szCs w:val="20"/>
                <w:color w:val="auto"/>
              </w:rPr>
            </w:pPr>
            <w:r>
              <w:rPr>
                <w:rFonts w:ascii="Arial" w:cs="Arial" w:eastAsia="Arial" w:hAnsi="Arial"/>
                <w:sz w:val="18"/>
                <w:szCs w:val="18"/>
                <w:color w:val="auto"/>
              </w:rPr>
              <w:t>NGL pipelines</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103</w:t>
            </w:r>
          </w:p>
        </w:tc>
      </w:tr>
      <w:tr>
        <w:trPr>
          <w:trHeight w:val="27"/>
        </w:trPr>
        <w:tc>
          <w:tcPr>
            <w:tcW w:w="96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tariff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1,827</w:t>
            </w:r>
          </w:p>
        </w:tc>
      </w:tr>
      <w:tr>
        <w:trPr>
          <w:trHeight w:val="243"/>
        </w:trPr>
        <w:tc>
          <w:tcPr>
            <w:tcW w:w="9600" w:type="dxa"/>
            <w:vAlign w:val="bottom"/>
          </w:tcPr>
          <w:p>
            <w:pPr>
              <w:ind w:left="180"/>
              <w:spacing w:after="0"/>
              <w:rPr>
                <w:sz w:val="20"/>
                <w:szCs w:val="20"/>
                <w:color w:val="auto"/>
              </w:rPr>
            </w:pPr>
            <w:r>
              <w:rPr>
                <w:rFonts w:ascii="Arial" w:cs="Arial" w:eastAsia="Arial" w:hAnsi="Arial"/>
                <w:sz w:val="18"/>
                <w:szCs w:val="18"/>
                <w:color w:val="auto"/>
              </w:rPr>
              <w:t>Trucking</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149</w:t>
            </w:r>
          </w:p>
        </w:tc>
      </w:tr>
      <w:tr>
        <w:trPr>
          <w:trHeight w:val="27"/>
        </w:trPr>
        <w:tc>
          <w:tcPr>
            <w:tcW w:w="96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Transportation segment revenues from contracts with customers</w:t>
            </w: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1,976</w:t>
            </w:r>
          </w:p>
        </w:tc>
      </w:tr>
      <w:tr>
        <w:trPr>
          <w:trHeight w:val="20"/>
        </w:trPr>
        <w:tc>
          <w:tcPr>
            <w:tcW w:w="9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firstLine="648"/>
        <w:spacing w:after="0" w:line="276" w:lineRule="auto"/>
        <w:rPr>
          <w:sz w:val="20"/>
          <w:szCs w:val="20"/>
          <w:color w:val="auto"/>
        </w:rPr>
      </w:pPr>
      <w:r>
        <w:rPr>
          <w:rFonts w:ascii="Arial" w:cs="Arial" w:eastAsia="Arial" w:hAnsi="Arial"/>
          <w:sz w:val="17"/>
          <w:szCs w:val="17"/>
          <w:color w:val="auto"/>
        </w:rPr>
        <w:t>Our Transportation segment operations generally consist of fee-based activities associated with transporting crude oil and NGL on pipelines, gathering systems and trucks. Revenues from pipeline tariffs and fees are associated with the transportation of crude oil and NGL at a published tariff. We primarily recognize pipeline tariff and fee revenues over time as services are rendered, based on the volumes transported. As is common in the pipeline transportation industry, our tariffs incorporate a loss allowance factor. We recognize the allowance volumes collected as part of the transaction price and record this non-cash consideration at fair value, measured as of the contract inception date.</w:t>
      </w:r>
    </w:p>
    <w:p>
      <w:pPr>
        <w:spacing w:after="0" w:line="17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i w:val="1"/>
          <w:iCs w:val="1"/>
          <w:color w:val="auto"/>
        </w:rPr>
        <w:t xml:space="preserve">Facilities Segment Revenues from Contracts with Customers. </w:t>
      </w:r>
      <w:r>
        <w:rPr>
          <w:rFonts w:ascii="Arial" w:cs="Arial" w:eastAsia="Arial" w:hAnsi="Arial"/>
          <w:sz w:val="18"/>
          <w:szCs w:val="18"/>
          <w:color w:val="auto"/>
        </w:rPr>
        <w:t>The following table presents our Facilities segment revenues from contracts with</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disaggregated by type of activity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82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w w:val="97"/>
              </w:rPr>
              <w:t>Year Ended December 31,</w:t>
            </w:r>
          </w:p>
        </w:tc>
      </w:tr>
      <w:tr>
        <w:trPr>
          <w:trHeight w:val="192"/>
        </w:trPr>
        <w:tc>
          <w:tcPr>
            <w:tcW w:w="96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Facilities segment revenues from contracts with customers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9600" w:type="dxa"/>
            <w:vAlign w:val="bottom"/>
          </w:tcPr>
          <w:p>
            <w:pPr>
              <w:ind w:left="180"/>
              <w:spacing w:after="0"/>
              <w:rPr>
                <w:sz w:val="20"/>
                <w:szCs w:val="20"/>
                <w:color w:val="auto"/>
              </w:rPr>
            </w:pPr>
            <w:r>
              <w:rPr>
                <w:rFonts w:ascii="Arial" w:cs="Arial" w:eastAsia="Arial" w:hAnsi="Arial"/>
                <w:sz w:val="18"/>
                <w:szCs w:val="18"/>
                <w:color w:val="auto"/>
              </w:rPr>
              <w:t>Crude oil, NGL and other terminalling and storage</w:t>
            </w:r>
          </w:p>
        </w:tc>
        <w:tc>
          <w:tcPr>
            <w:tcW w:w="440" w:type="dxa"/>
            <w:vAlign w:val="bottom"/>
          </w:tcPr>
          <w:p>
            <w:pPr>
              <w:jc w:val="right"/>
              <w:ind w:right="236"/>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688</w:t>
            </w:r>
          </w:p>
        </w:tc>
      </w:tr>
      <w:tr>
        <w:trPr>
          <w:trHeight w:val="27"/>
        </w:trPr>
        <w:tc>
          <w:tcPr>
            <w:tcW w:w="9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and natural gas processing and fractionation</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364</w:t>
            </w:r>
          </w:p>
        </w:tc>
      </w:tr>
      <w:tr>
        <w:trPr>
          <w:trHeight w:val="243"/>
        </w:trPr>
        <w:tc>
          <w:tcPr>
            <w:tcW w:w="9600" w:type="dxa"/>
            <w:vAlign w:val="bottom"/>
          </w:tcPr>
          <w:p>
            <w:pPr>
              <w:ind w:left="180"/>
              <w:spacing w:after="0"/>
              <w:rPr>
                <w:sz w:val="20"/>
                <w:szCs w:val="20"/>
                <w:color w:val="auto"/>
              </w:rPr>
            </w:pPr>
            <w:r>
              <w:rPr>
                <w:rFonts w:ascii="Arial" w:cs="Arial" w:eastAsia="Arial" w:hAnsi="Arial"/>
                <w:sz w:val="18"/>
                <w:szCs w:val="18"/>
                <w:color w:val="auto"/>
              </w:rPr>
              <w:t>Rail load / unload</w:t>
            </w: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84</w:t>
            </w:r>
          </w:p>
        </w:tc>
      </w:tr>
      <w:tr>
        <w:trPr>
          <w:trHeight w:val="27"/>
        </w:trPr>
        <w:tc>
          <w:tcPr>
            <w:tcW w:w="96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Facilities segment revenues from contracts with customers</w:t>
            </w: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1,136</w:t>
            </w:r>
          </w:p>
        </w:tc>
      </w:tr>
      <w:tr>
        <w:trPr>
          <w:trHeight w:val="20"/>
        </w:trPr>
        <w:tc>
          <w:tcPr>
            <w:tcW w:w="9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Revenues generated in this segment include (i) fees that are generated when we receive liquids from one connecting source and deliver the applicable product to another connecting carrier, fees from storage capacity agreements and fees associated with natural gas storage related activities (collectively “Crude oil, NGL and other terminalling and storage”), (ii) fees from natural gas and condensate processing services and from NGL fractionation and isomerization services (collectively, “NGL and natural gas processing and fractionation”) and (iii) loading and unloading fees at our rail terminals.</w:t>
      </w:r>
    </w:p>
    <w:p>
      <w:pPr>
        <w:spacing w:after="0" w:line="16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generate revenue through a combination of month-to-month and multi-year agreements and processing arrangements. Storage fees are typically recognized in revenue ratably over the term of the contract regardless of the actual storage capacity utilized as our performance obligation is to make available storage capacity for a period of time. Terminal fees (including throughput and rail fees) are recognized as the liquids enter or exit the terminal and are received from or delivered to the connecting carrier or third-party terminal, as applicable. Fees from NGL fractionation and isomerization services and gas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5" w:right="2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processing services are recognized in the period when the services are performed. Natural gas storage related activities fees are recognized in the period the natural gas moves across our header system. We recognize rail loading and unloading fees when the volumes are delivered or received.</w:t>
      </w:r>
    </w:p>
    <w:p>
      <w:pPr>
        <w:spacing w:after="0" w:line="14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i w:val="1"/>
          <w:iCs w:val="1"/>
          <w:color w:val="auto"/>
        </w:rPr>
        <w:t xml:space="preserve">Reconciliation to Total Revenues of Reportable Segments. </w:t>
      </w:r>
      <w:r>
        <w:rPr>
          <w:rFonts w:ascii="Arial" w:cs="Arial" w:eastAsia="Arial" w:hAnsi="Arial"/>
          <w:sz w:val="18"/>
          <w:szCs w:val="18"/>
          <w:color w:val="auto"/>
        </w:rPr>
        <w:t>Topic 606 requires us to provide information about the relationship between the</w:t>
      </w:r>
      <w:r>
        <w:rPr>
          <w:rFonts w:ascii="Arial" w:cs="Arial" w:eastAsia="Arial" w:hAnsi="Arial"/>
          <w:sz w:val="18"/>
          <w:szCs w:val="18"/>
          <w:i w:val="1"/>
          <w:iCs w:val="1"/>
          <w:color w:val="auto"/>
        </w:rPr>
        <w:t xml:space="preserve"> </w:t>
      </w:r>
      <w:r>
        <w:rPr>
          <w:rFonts w:ascii="Arial" w:cs="Arial" w:eastAsia="Arial" w:hAnsi="Arial"/>
          <w:sz w:val="18"/>
          <w:szCs w:val="18"/>
          <w:color w:val="auto"/>
        </w:rPr>
        <w:t>disaggregated revenues presented above and segment revenues. These disclosures only include information regarding revenues associated with consolidated entities, and revenues from entities accounted for by the equity method are not included in the disclosures. The following table presents the reconciliation of our revenues from contracts with customers (as described above for each segment) to segment revenues and total revenues as disclosed in our Consolidated Statement of Operations (in millions):</w:t>
      </w:r>
    </w:p>
    <w:p>
      <w:pPr>
        <w:spacing w:after="0" w:line="33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Ended December 31, 2018</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7"/>
              </w:rPr>
              <w:t>Transportation</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Facilities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Supply and</w:t>
            </w:r>
          </w:p>
        </w:tc>
        <w:tc>
          <w:tcPr>
            <w:tcW w:w="320" w:type="dxa"/>
            <w:vAlign w:val="bottom"/>
          </w:tcPr>
          <w:p>
            <w:pPr>
              <w:spacing w:after="0"/>
              <w:rPr>
                <w:sz w:val="14"/>
                <w:szCs w:val="14"/>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Logistics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32,700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35,812</w:t>
            </w: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32,822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35,973</w:t>
            </w:r>
          </w:p>
        </w:tc>
        <w:tc>
          <w:tcPr>
            <w:tcW w:w="0" w:type="dxa"/>
            <w:vAlign w:val="bottom"/>
          </w:tcPr>
          <w:p>
            <w:pPr>
              <w:spacing w:after="0"/>
              <w:rPr>
                <w:sz w:val="1"/>
                <w:szCs w:val="1"/>
                <w:color w:val="auto"/>
              </w:rPr>
            </w:pPr>
          </w:p>
        </w:tc>
      </w:tr>
      <w:tr>
        <w:trPr>
          <w:trHeight w:val="237"/>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34,055</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Minimum Volume Commitments. </w:t>
      </w:r>
      <w:r>
        <w:rPr>
          <w:rFonts w:ascii="Arial" w:cs="Arial" w:eastAsia="Arial" w:hAnsi="Arial"/>
          <w:sz w:val="17"/>
          <w:szCs w:val="17"/>
          <w:color w:val="auto"/>
        </w:rPr>
        <w:t>We have certain agreements that require counterparties to transport or throughput a minimum volume over an</w:t>
      </w:r>
      <w:r>
        <w:rPr>
          <w:rFonts w:ascii="Arial" w:cs="Arial" w:eastAsia="Arial" w:hAnsi="Arial"/>
          <w:sz w:val="17"/>
          <w:szCs w:val="17"/>
          <w:i w:val="1"/>
          <w:iCs w:val="1"/>
          <w:color w:val="auto"/>
        </w:rPr>
        <w:t xml:space="preserve"> </w:t>
      </w:r>
      <w:r>
        <w:rPr>
          <w:rFonts w:ascii="Arial" w:cs="Arial" w:eastAsia="Arial" w:hAnsi="Arial"/>
          <w:sz w:val="17"/>
          <w:szCs w:val="17"/>
          <w:color w:val="auto"/>
        </w:rPr>
        <w:t>agreed upon period.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as a contract liability and subsequently recognize the revenue at the earlier of when the deficiency volume is delivered or shipped, when the make-up right expires or when it is determined that the counterparty’s ability to utilize the make-up right is remote.</w:t>
      </w:r>
    </w:p>
    <w:p>
      <w:pPr>
        <w:spacing w:after="0" w:line="17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At December 31, 2018 and December 31, 2017, counterparty deficiencies associated with agreements (including buy/sell arrangements) that include minimum volume commitments totaled $62 million and $57 million, respectively, of which $40 million and $37 million, respectively, was recorded as a contract liability, which we refer to as deferred revenue. The remaining balance of $22 million and $20 million at December 31, 2018 and December 31, 2017, respectively, was related to deficiencies for which the counterparties had not met their contractual minimum commitments and were not reflected in our Consolidated Financial Statements as we had not yet billed or collected such amounts.</w:t>
      </w:r>
    </w:p>
    <w:p>
      <w:pPr>
        <w:spacing w:after="0" w:line="173"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i w:val="1"/>
          <w:iCs w:val="1"/>
          <w:color w:val="auto"/>
        </w:rPr>
        <w:t>Contract Balances</w:t>
      </w:r>
      <w:r>
        <w:rPr>
          <w:rFonts w:ascii="Arial" w:cs="Arial" w:eastAsia="Arial" w:hAnsi="Arial"/>
          <w:sz w:val="18"/>
          <w:szCs w:val="18"/>
          <w:color w:val="auto"/>
        </w:rPr>
        <w:t>. Our contract balances consist of amounts received associated with services or sales for which we have not yet completed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performance obligation. The following table presents the change in the contract liability balance during the year ended December 31, 2018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Contract Liabilities</w:t>
            </w:r>
          </w:p>
        </w:tc>
      </w:tr>
      <w:tr>
        <w:trPr>
          <w:trHeight w:val="263"/>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w:t>
            </w:r>
          </w:p>
        </w:tc>
      </w:tr>
      <w:tr>
        <w:trPr>
          <w:trHeight w:val="20"/>
        </w:trPr>
        <w:tc>
          <w:tcPr>
            <w:tcW w:w="9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30"/>
        </w:trPr>
        <w:tc>
          <w:tcPr>
            <w:tcW w:w="9360" w:type="dxa"/>
            <w:vAlign w:val="bottom"/>
          </w:tcPr>
          <w:p>
            <w:pPr>
              <w:ind w:left="180"/>
              <w:spacing w:after="0"/>
              <w:rPr>
                <w:sz w:val="20"/>
                <w:szCs w:val="20"/>
                <w:color w:val="auto"/>
              </w:rPr>
            </w:pPr>
            <w:r>
              <w:rPr>
                <w:rFonts w:ascii="Arial" w:cs="Arial" w:eastAsia="Arial" w:hAnsi="Arial"/>
                <w:sz w:val="18"/>
                <w:szCs w:val="18"/>
                <w:color w:val="auto"/>
              </w:rPr>
              <w:t>Amounts recognized as revenue</w:t>
            </w:r>
          </w:p>
        </w:tc>
        <w:tc>
          <w:tcPr>
            <w:tcW w:w="2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93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5"/>
                <w:szCs w:val="25"/>
                <w:color w:val="auto"/>
                <w:vertAlign w:val="superscript"/>
              </w:rPr>
              <w:t>(1) (2)</w:t>
            </w:r>
          </w:p>
        </w:tc>
        <w:tc>
          <w:tcPr>
            <w:tcW w:w="2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332</w:t>
            </w:r>
          </w:p>
        </w:tc>
      </w:tr>
      <w:tr>
        <w:trPr>
          <w:trHeight w:val="243"/>
        </w:trPr>
        <w:tc>
          <w:tcPr>
            <w:tcW w:w="936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9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338</w:t>
            </w:r>
          </w:p>
        </w:tc>
      </w:tr>
      <w:tr>
        <w:trPr>
          <w:trHeight w:val="20"/>
        </w:trPr>
        <w:tc>
          <w:tcPr>
            <w:tcW w:w="9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7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200" w:hanging="652"/>
        <w:spacing w:after="0" w:line="216" w:lineRule="auto"/>
        <w:tabs>
          <w:tab w:leader="none" w:pos="660" w:val="left"/>
        </w:tabs>
        <w:numPr>
          <w:ilvl w:val="0"/>
          <w:numId w:val="100"/>
        </w:numPr>
        <w:rPr>
          <w:rFonts w:ascii="Arial" w:cs="Arial" w:eastAsia="Arial" w:hAnsi="Arial"/>
          <w:sz w:val="25"/>
          <w:szCs w:val="25"/>
          <w:color w:val="auto"/>
          <w:vertAlign w:val="superscript"/>
        </w:rPr>
      </w:pPr>
      <w:r>
        <w:rPr>
          <w:rFonts w:ascii="Arial" w:cs="Arial" w:eastAsia="Arial" w:hAnsi="Arial"/>
          <w:sz w:val="18"/>
          <w:szCs w:val="18"/>
          <w:color w:val="auto"/>
        </w:rPr>
        <w:t>Includes approximately $116 million associated with crude oil sales agreements that are entered into in conjunction with storage arrangements and future inventory exchanges. Such amount is expected to be recognized as revenue in the first quarter of 2019.</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00"/>
        </w:numPr>
        <w:rPr>
          <w:rFonts w:ascii="Arial" w:cs="Arial" w:eastAsia="Arial" w:hAnsi="Arial"/>
          <w:sz w:val="25"/>
          <w:szCs w:val="25"/>
          <w:color w:val="auto"/>
          <w:vertAlign w:val="superscript"/>
        </w:rPr>
      </w:pPr>
      <w:r>
        <w:rPr>
          <w:rFonts w:ascii="Arial" w:cs="Arial" w:eastAsia="Arial" w:hAnsi="Arial"/>
          <w:sz w:val="18"/>
          <w:szCs w:val="18"/>
          <w:color w:val="auto"/>
        </w:rPr>
        <w:t>Includes $100 million associated with long-term capacity agreements with Cactus II Pipeline LLC. See Note 9 for additional information.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25" w:right="2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i w:val="1"/>
          <w:iCs w:val="1"/>
          <w:color w:val="auto"/>
        </w:rPr>
        <w:t>Remaining Performance Obligations</w:t>
      </w:r>
      <w:r>
        <w:rPr>
          <w:rFonts w:ascii="Arial" w:cs="Arial" w:eastAsia="Arial" w:hAnsi="Arial"/>
          <w:sz w:val="17"/>
          <w:szCs w:val="17"/>
          <w:color w:val="auto"/>
        </w:rPr>
        <w:t>. Topic 606 requires a presentation of information about partially and wholly unsatisfied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under contracts that exist as of the end of the period. The information includes the amount of consideration allocated to those remaining performance obligations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These contracts are all within the scope of Topic 606. The following table presents the amount of consideration associated with remaining performance obligations for the population of contracts with external customers meeting the presentation requirements as of December 31, 2018 (in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57"/>
              <w:spacing w:after="0"/>
              <w:rPr>
                <w:sz w:val="20"/>
                <w:szCs w:val="20"/>
                <w:color w:val="auto"/>
              </w:rPr>
            </w:pPr>
            <w:r>
              <w:rPr>
                <w:rFonts w:ascii="Arial" w:cs="Arial" w:eastAsia="Arial" w:hAnsi="Arial"/>
                <w:sz w:val="14"/>
                <w:szCs w:val="14"/>
                <w:b w:val="1"/>
                <w:bCs w:val="1"/>
                <w:color w:val="auto"/>
              </w:rPr>
              <w:t>2024 and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215"/>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Pipeline revenues supported by minimum volume commitments</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and long-term capacity agreements </w:t>
            </w:r>
            <w:r>
              <w:rPr>
                <w:rFonts w:ascii="Arial" w:cs="Arial" w:eastAsia="Arial" w:hAnsi="Arial"/>
                <w:sz w:val="25"/>
                <w:szCs w:val="25"/>
                <w:color w:val="auto"/>
                <w:vertAlign w:val="superscript"/>
              </w:rPr>
              <w:t>(1)</w:t>
            </w:r>
          </w:p>
        </w:tc>
        <w:tc>
          <w:tcPr>
            <w:tcW w:w="66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157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9"/>
              </w:rPr>
              <w:t>Long-term storage, terminalling and throughput agreement</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revenues</w:t>
            </w:r>
          </w:p>
        </w:tc>
        <w:tc>
          <w:tcPr>
            <w:tcW w:w="66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389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546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7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640" w:hanging="652"/>
        <w:spacing w:after="0" w:line="216" w:lineRule="auto"/>
        <w:tabs>
          <w:tab w:leader="none" w:pos="660" w:val="left"/>
        </w:tabs>
        <w:numPr>
          <w:ilvl w:val="0"/>
          <w:numId w:val="101"/>
        </w:numPr>
        <w:rPr>
          <w:rFonts w:ascii="Arial" w:cs="Arial" w:eastAsia="Arial" w:hAnsi="Arial"/>
          <w:sz w:val="25"/>
          <w:szCs w:val="25"/>
          <w:color w:val="auto"/>
          <w:vertAlign w:val="superscript"/>
        </w:rPr>
      </w:pPr>
      <w:r>
        <w:rPr>
          <w:rFonts w:ascii="Arial" w:cs="Arial" w:eastAsia="Arial" w:hAnsi="Arial"/>
          <w:sz w:val="18"/>
          <w:szCs w:val="18"/>
          <w:color w:val="auto"/>
        </w:rPr>
        <w:t>Includes revenues from certain contracts for which the amount and timing of revenue is subject to the completion of underlying construction projects.</w:t>
      </w:r>
    </w:p>
    <w:p>
      <w:pPr>
        <w:spacing w:after="0" w:line="203"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Topic 606 or do not meet the requirements for presentation as remaining performance obligations under Topic 606. The following are examples of contracts that are not included in the table above because they are not within the scope of Topic 606 or do not meet the Topic 606 requirements for presentation:</w:t>
      </w:r>
    </w:p>
    <w:p>
      <w:pPr>
        <w:spacing w:after="0" w:line="158" w:lineRule="exact"/>
        <w:rPr>
          <w:sz w:val="20"/>
          <w:szCs w:val="20"/>
          <w:color w:val="auto"/>
        </w:rPr>
      </w:pPr>
    </w:p>
    <w:p>
      <w:pPr>
        <w:ind w:left="820" w:right="160" w:hanging="164"/>
        <w:spacing w:after="0" w:line="277" w:lineRule="auto"/>
        <w:tabs>
          <w:tab w:leader="none" w:pos="8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Minimum volume commitments related to the assets of equity method investees — Contracts include those related to the Eagle Ford, BridgeTex, STACK, Caddo, Saddlehorn, White Cliffs, Cheyenne, Diamond and Cactus II pipeline systems;</w:t>
      </w:r>
    </w:p>
    <w:p>
      <w:pPr>
        <w:spacing w:after="0" w:line="62" w:lineRule="exact"/>
        <w:rPr>
          <w:rFonts w:ascii="Arial" w:cs="Arial" w:eastAsia="Arial" w:hAnsi="Arial"/>
          <w:sz w:val="18"/>
          <w:szCs w:val="18"/>
          <w:color w:val="auto"/>
        </w:rPr>
      </w:pPr>
    </w:p>
    <w:p>
      <w:pPr>
        <w:ind w:left="820" w:hanging="164"/>
        <w:spacing w:after="0"/>
        <w:tabs>
          <w:tab w:leader="none" w:pos="8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Acreage dedications — Contracts include those related to the Permian Basin, Eagle Ford, Central, Rocky Mountain and Canada regions;</w:t>
      </w:r>
    </w:p>
    <w:p>
      <w:pPr>
        <w:spacing w:after="0" w:line="128" w:lineRule="exact"/>
        <w:rPr>
          <w:rFonts w:ascii="Arial" w:cs="Arial" w:eastAsia="Arial" w:hAnsi="Arial"/>
          <w:sz w:val="17"/>
          <w:szCs w:val="17"/>
          <w:color w:val="auto"/>
        </w:rPr>
      </w:pPr>
    </w:p>
    <w:p>
      <w:pPr>
        <w:ind w:left="820" w:right="380" w:hanging="164"/>
        <w:spacing w:after="0" w:line="277" w:lineRule="auto"/>
        <w:tabs>
          <w:tab w:leader="none" w:pos="8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Supply and Logistics buy/sell arrangements — Contracts include agreements with future committed volumes on certain Permian Basin, Eagle Ford, Central and Canada region systems;</w:t>
      </w:r>
    </w:p>
    <w:p>
      <w:pPr>
        <w:spacing w:after="0" w:line="62" w:lineRule="exact"/>
        <w:rPr>
          <w:rFonts w:ascii="Arial" w:cs="Arial" w:eastAsia="Arial" w:hAnsi="Arial"/>
          <w:sz w:val="18"/>
          <w:szCs w:val="18"/>
          <w:color w:val="auto"/>
        </w:rPr>
      </w:pPr>
    </w:p>
    <w:p>
      <w:pPr>
        <w:ind w:left="820" w:right="220" w:hanging="164"/>
        <w:spacing w:after="0" w:line="277" w:lineRule="auto"/>
        <w:tabs>
          <w:tab w:leader="none" w:pos="8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All other Supply and Logistics contracts, due to the election of practical expedients related to variable consideration and short-term contracts, as discussed below;</w:t>
      </w:r>
    </w:p>
    <w:p>
      <w:pPr>
        <w:spacing w:after="0" w:line="62" w:lineRule="exact"/>
        <w:rPr>
          <w:rFonts w:ascii="Arial" w:cs="Arial" w:eastAsia="Arial" w:hAnsi="Arial"/>
          <w:sz w:val="18"/>
          <w:szCs w:val="18"/>
          <w:color w:val="auto"/>
        </w:rPr>
      </w:pPr>
    </w:p>
    <w:p>
      <w:pPr>
        <w:ind w:left="820" w:hanging="164"/>
        <w:spacing w:after="0"/>
        <w:tabs>
          <w:tab w:leader="none" w:pos="8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Transportation and Facilities contracts that are short-term, as discussed below;</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840, </w:t>
      </w:r>
      <w:r>
        <w:rPr>
          <w:rFonts w:ascii="Arial" w:cs="Arial" w:eastAsia="Arial" w:hAnsi="Arial"/>
          <w:sz w:val="18"/>
          <w:szCs w:val="18"/>
          <w:i w:val="1"/>
          <w:iCs w:val="1"/>
          <w:color w:val="auto"/>
        </w:rPr>
        <w:t>Leases</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333"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have elected practical expedients to exclude the presentation of remaining performance obligations for variable consideration which relates to wholly unsatisfied performance obligations. Certain contracts do not meet the requirements for presentation of remaining performance obligations under Topic 606 due to variability in amount of performance obligation remaining, variability in the timing of recognition or variability in consideration. Acreage dedications do require us to perform future services but do not contain a minimum level of services and are therefore excluded from this presentation. Long-term supply and logistics arrangements contain variable timing, volumes and/or consideration and are excluded from this presentation. The duration of these contracts varies across the periods presented above.</w:t>
      </w:r>
    </w:p>
    <w:p>
      <w:pPr>
        <w:spacing w:after="0" w:line="193" w:lineRule="exact"/>
        <w:rPr>
          <w:sz w:val="20"/>
          <w:szCs w:val="20"/>
          <w:color w:val="auto"/>
        </w:rPr>
      </w:pPr>
    </w:p>
    <w:p>
      <w:pPr>
        <w:jc w:val="both"/>
        <w:ind w:right="460" w:firstLine="648"/>
        <w:spacing w:after="0" w:line="312" w:lineRule="auto"/>
        <w:rPr>
          <w:sz w:val="20"/>
          <w:szCs w:val="20"/>
          <w:color w:val="auto"/>
        </w:rPr>
      </w:pPr>
      <w:r>
        <w:rPr>
          <w:rFonts w:ascii="Arial" w:cs="Arial" w:eastAsia="Arial" w:hAnsi="Arial"/>
          <w:sz w:val="16"/>
          <w:szCs w:val="16"/>
          <w:color w:val="auto"/>
        </w:rPr>
        <w:t>Additionally, we have elected practical expedients to exclude contracts with terms of one year or less, and therefore exclude the presentation of remaining performance obligations for short-term transportation, storage and processing services, supply and logistics arrangements, including the non-cancelable period of evergreen arrangements, and any other types of arrangements with terms of one year or less.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5"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Other Receivables, Net</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Our accounts receivable are primarily from purchasers and shippers of crude oil and, to a lesser extent, purchasers of NGL and natural gas. These purchasers include, but are not limited to, refiners, producers, marketing and trading companies and financial institutions. The majority of our accounts receivable relate to our crude oil supply and logistics activities that can generally be described as high volume and low margin activities, in many cases involving exchanges of crude oil volumes.</w:t>
      </w:r>
    </w:p>
    <w:p>
      <w:pPr>
        <w:spacing w:after="0" w:line="1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Prices for crude oil, natural gas and NGLs can fluctuate widely. For example, over a less than three month time period during 2018, NYMEX West Texas Intermediate oil prices decreased by 44% from a high of $76.41 in early October 2018 to a low of $42.53 in late December 2018. Price volatility has caused liquidity and leverage issues throughout the energy industry, which in turn has increased the potential credit risks associated with certain counterparties with which we do business. 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As of December 31, 2018 and December 31, 2017, we had received $140 million and $117 million, respectively, of advance cash payments from third parties to mitigate credit risk. We also received $117 million and $54 million as of December 31, 2018 and December 31, 2017, respectively, of standby letters of credit to support obligations due from third parties, a portion of which applies to future business.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16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generally invoice customers in the month following that in which products or services were provided and generally require payment within 30 days of the invoice date. We review all outstanding accounts receivable balances on a monthly basis and record a reserve for amounts that we expect will not be fully recovered. We do not apply actual balances against the reserve until we have exhausted substantially all collection efforts. At December 31, 2018 and December 31, 2017, substantially all of our trade accounts receivable (net of allowance for doubtful accounts) were less than 30 days past their scheduled invoice date. Our allowance for doubtful accounts receivable totaled $3 million at both December 31, 2018 and December 31, 2017. Although we consider our allowance for doubtful accounts receivable to be adequate, actual amounts could vary significantly from estimated amounts.</w:t>
      </w:r>
    </w:p>
    <w:p>
      <w:pPr>
        <w:spacing w:after="0" w:line="16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is a reconciliation of trade accounts receivable from revenues from contracts with customers to total Trade accounts receivable and other receivables, net as presented on our Consolidated Balance Sheet (in millions):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16"/>
                <w:szCs w:val="16"/>
                <w:color w:val="auto"/>
              </w:rPr>
            </w:pPr>
          </w:p>
        </w:tc>
      </w:tr>
      <w:tr>
        <w:trPr>
          <w:trHeight w:val="264"/>
        </w:trPr>
        <w:tc>
          <w:tcPr>
            <w:tcW w:w="738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2017</w:t>
            </w: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receivable arising from revenues from contracts with customers</w:t>
            </w:r>
          </w:p>
        </w:tc>
        <w:tc>
          <w:tcPr>
            <w:tcW w:w="124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2,277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2,584</w:t>
            </w:r>
          </w:p>
        </w:tc>
      </w:tr>
      <w:tr>
        <w:trPr>
          <w:trHeight w:val="270"/>
        </w:trPr>
        <w:tc>
          <w:tcPr>
            <w:tcW w:w="73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Other trade accounts receivables and other receivables </w:t>
            </w:r>
            <w:r>
              <w:rPr>
                <w:rFonts w:ascii="Arial" w:cs="Arial" w:eastAsia="Arial" w:hAnsi="Arial"/>
                <w:sz w:val="25"/>
                <w:szCs w:val="25"/>
                <w:color w:val="auto"/>
                <w:vertAlign w:val="superscript"/>
              </w:rPr>
              <w:t>(1)</w:t>
            </w:r>
          </w:p>
        </w:tc>
        <w:tc>
          <w:tcPr>
            <w:tcW w:w="1240" w:type="dxa"/>
            <w:vAlign w:val="bottom"/>
          </w:tcPr>
          <w:p>
            <w:pPr>
              <w:spacing w:after="0"/>
              <w:rPr>
                <w:sz w:val="23"/>
                <w:szCs w:val="23"/>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2,732</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3,709</w:t>
            </w:r>
          </w:p>
        </w:tc>
      </w:tr>
      <w:tr>
        <w:trPr>
          <w:trHeight w:val="27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due to contractual rights of offset with counterparties</w:t>
            </w:r>
          </w:p>
        </w:tc>
        <w:tc>
          <w:tcPr>
            <w:tcW w:w="1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(3,264)</w:t>
            </w:r>
          </w:p>
        </w:tc>
      </w:tr>
      <w:tr>
        <w:trPr>
          <w:trHeight w:val="257"/>
        </w:trPr>
        <w:tc>
          <w:tcPr>
            <w:tcW w:w="7380" w:type="dxa"/>
            <w:vAlign w:val="bottom"/>
          </w:tcPr>
          <w:p>
            <w:pPr>
              <w:ind w:left="160"/>
              <w:spacing w:after="0"/>
              <w:rPr>
                <w:sz w:val="20"/>
                <w:szCs w:val="20"/>
                <w:color w:val="auto"/>
              </w:rPr>
            </w:pPr>
            <w:r>
              <w:rPr>
                <w:rFonts w:ascii="Arial" w:cs="Arial" w:eastAsia="Arial" w:hAnsi="Arial"/>
                <w:sz w:val="18"/>
                <w:szCs w:val="18"/>
                <w:color w:val="auto"/>
              </w:rPr>
              <w:t>Trade accounts receivable and other receivables, net</w:t>
            </w:r>
          </w:p>
        </w:tc>
        <w:tc>
          <w:tcPr>
            <w:tcW w:w="1240" w:type="dxa"/>
            <w:vAlign w:val="bottom"/>
            <w:tcBorders>
              <w:top w:val="single" w:sz="8" w:color="auto"/>
              <w:bottom w:val="single" w:sz="8" w:color="auto"/>
            </w:tcBorders>
          </w:tcPr>
          <w:p>
            <w:pPr>
              <w:jc w:val="right"/>
              <w:ind w:right="103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2,454</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3,029</w:t>
            </w:r>
          </w:p>
        </w:tc>
      </w:tr>
      <w:tr>
        <w:trPr>
          <w:trHeight w:val="20"/>
        </w:trPr>
        <w:tc>
          <w:tcPr>
            <w:tcW w:w="73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7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44" w:lineRule="exact"/>
        <w:rPr>
          <w:sz w:val="20"/>
          <w:szCs w:val="20"/>
          <w:color w:val="auto"/>
        </w:rPr>
      </w:pPr>
    </w:p>
    <w:p>
      <w:pPr>
        <w:ind w:left="660" w:hanging="652"/>
        <w:spacing w:after="0"/>
        <w:tabs>
          <w:tab w:leader="none" w:pos="660" w:val="left"/>
        </w:tabs>
        <w:numPr>
          <w:ilvl w:val="0"/>
          <w:numId w:val="103"/>
        </w:numPr>
        <w:rPr>
          <w:rFonts w:ascii="Arial" w:cs="Arial" w:eastAsia="Arial" w:hAnsi="Arial"/>
          <w:sz w:val="24"/>
          <w:szCs w:val="24"/>
          <w:color w:val="auto"/>
          <w:vertAlign w:val="superscript"/>
        </w:rPr>
      </w:pPr>
      <w:r>
        <w:rPr>
          <w:rFonts w:ascii="Arial" w:cs="Arial" w:eastAsia="Arial" w:hAnsi="Arial"/>
          <w:sz w:val="17"/>
          <w:szCs w:val="17"/>
          <w:color w:val="auto"/>
        </w:rPr>
        <w:t>The balance is comprised primarily of accounts receivable associated with buy/sell arrangements that are not within the scope of Topic 606.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Income/(Loss) Per Class A Share</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Basic net income/(loss) per Class A share is determined by dividing net income/(loss) attributable to PAGP by the weighted average number of Class A shares outstanding during the period. Our Class B and Class C shares do not share in the earnings of the Partnership; accordingly, basic and diluted net income/(loss) per Class B and Class C share has not been presented.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125" w:right="25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Diluted net income/(loss) per Class A share is determined by dividing net income/(loss) attributable to PAGP by the diluted weighted average number of Class A shares outstanding during the period. For purposes of calculating diluted net income/(loss) per Class A share, both the net income/(loss) attributable to PAGP and the diluted weighted average number of Class A shares outstanding consider the impact of possible future exchanges of (i) AAP units and the associated Class B shares into our Class A shares and (ii) certain AAP Management Units into our Class A shares. In addition, the calculation of the diluted weighted average number of Class A shares outstanding considers the effect of potentially dilutive awards under the Plains GP Holdings, L.P. Long-Term Incentive Plan (the “PAGP LTIP”).</w:t>
      </w:r>
    </w:p>
    <w:p>
      <w:pPr>
        <w:spacing w:after="0" w:line="19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All AAP Management Units that have satisfied the applicable performance conditions are considered potentially dilutive. Exchanges of potentially dilutive AAP units and AAP Management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12 for information regarding exchanges of AAP units and AAP Management Units. PAGP LTIP awards that are deemed to be dilutive are reduced by a hypothetical share repurchase based on the remaining unamortized fair value, as prescribed by the treasury stock method in guidance issued by the FASB. See Note 17 for a complete discussion of PAGP LTIP awards.</w:t>
      </w:r>
    </w:p>
    <w:p>
      <w:pPr>
        <w:spacing w:after="0" w:line="17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For the year ended December 31, 2018, the possible exchange of any AAP units and certain AAP Management Units would have had a dilutive effect on basic net income per Class A share. For the years ended December 31, 2017 and 2016, the possible exchange of any AAP units and certain AAP Management Units would have had an antidilutive effect on basic net income/(loss) per Class A share. For the years ended December 31, 2018 and 2016 our PAGP LTIP awards were dilutive and for the year ended December 31, 2017, our PAGP LTIP awards were antidilutive; however, there were less than 0.1 million dilutive LTIP awards in each period.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computation of basic and diluted net income/(loss) per Class A share (in millions, except per share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Income/(Loss) per Class A Share</w:t>
            </w: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Net income/(loss) attributable to PAGP</w:t>
            </w:r>
          </w:p>
        </w:tc>
        <w:tc>
          <w:tcPr>
            <w:tcW w:w="720" w:type="dxa"/>
            <w:vAlign w:val="bottom"/>
          </w:tcPr>
          <w:p>
            <w:pPr>
              <w:jc w:val="right"/>
              <w:ind w:right="513"/>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2"/>
              <w:spacing w:after="0"/>
              <w:rPr>
                <w:sz w:val="20"/>
                <w:szCs w:val="20"/>
                <w:color w:val="auto"/>
              </w:rPr>
            </w:pPr>
            <w:r>
              <w:rPr>
                <w:rFonts w:ascii="Arial" w:cs="Arial" w:eastAsia="Arial" w:hAnsi="Arial"/>
                <w:sz w:val="18"/>
                <w:szCs w:val="18"/>
                <w:color w:val="auto"/>
                <w:w w:val="99"/>
              </w:rPr>
              <w:t>334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weighted average Class A shares outstanding</w:t>
            </w: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0"/>
        </w:trPr>
        <w:tc>
          <w:tcPr>
            <w:tcW w:w="7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net income/(loss) per Class A share</w:t>
            </w:r>
          </w:p>
        </w:tc>
        <w:tc>
          <w:tcPr>
            <w:tcW w:w="72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5"/>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Income/(Loss) per Class A Share</w:t>
            </w: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Net income/(loss) attributable to PAGP</w:t>
            </w:r>
          </w:p>
        </w:tc>
        <w:tc>
          <w:tcPr>
            <w:tcW w:w="720" w:type="dxa"/>
            <w:vAlign w:val="bottom"/>
          </w:tcPr>
          <w:p>
            <w:pPr>
              <w:jc w:val="right"/>
              <w:ind w:right="513"/>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2"/>
              <w:spacing w:after="0"/>
              <w:rPr>
                <w:sz w:val="20"/>
                <w:szCs w:val="20"/>
                <w:color w:val="auto"/>
              </w:rPr>
            </w:pPr>
            <w:r>
              <w:rPr>
                <w:rFonts w:ascii="Arial" w:cs="Arial" w:eastAsia="Arial" w:hAnsi="Arial"/>
                <w:sz w:val="18"/>
                <w:szCs w:val="18"/>
                <w:color w:val="auto"/>
                <w:w w:val="99"/>
              </w:rPr>
              <w:t>334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Incremental net income attributable to PAGP resulting from assumed exchange of AAP units</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and AAP Management Units</w:t>
            </w:r>
          </w:p>
        </w:tc>
        <w:tc>
          <w:tcPr>
            <w:tcW w:w="7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262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7780" w:type="dxa"/>
            <w:vAlign w:val="bottom"/>
          </w:tcPr>
          <w:p>
            <w:pPr>
              <w:ind w:left="180"/>
              <w:spacing w:after="0"/>
              <w:rPr>
                <w:sz w:val="20"/>
                <w:szCs w:val="20"/>
                <w:color w:val="auto"/>
              </w:rPr>
            </w:pPr>
            <w:r>
              <w:rPr>
                <w:rFonts w:ascii="Arial" w:cs="Arial" w:eastAsia="Arial" w:hAnsi="Arial"/>
                <w:sz w:val="18"/>
                <w:szCs w:val="18"/>
                <w:color w:val="auto"/>
                <w:w w:val="94"/>
              </w:rPr>
              <w:t>Net income/(loss) attributable to PAGP including incremental net income from assumed exchange of</w:t>
            </w:r>
          </w:p>
        </w:tc>
        <w:tc>
          <w:tcPr>
            <w:tcW w:w="720" w:type="dxa"/>
            <w:vAlign w:val="bottom"/>
            <w:tcBorders>
              <w:top w:val="single" w:sz="8" w:color="auto"/>
            </w:tcBorders>
            <w:vMerge w:val="restart"/>
          </w:tcPr>
          <w:p>
            <w:pPr>
              <w:jc w:val="right"/>
              <w:ind w:right="513"/>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w w:val="99"/>
              </w:rPr>
              <w:t>596</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7"/>
        </w:trPr>
        <w:tc>
          <w:tcPr>
            <w:tcW w:w="7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AAP units and AAP Management Units</w:t>
            </w:r>
          </w:p>
        </w:tc>
        <w:tc>
          <w:tcPr>
            <w:tcW w:w="720" w:type="dxa"/>
            <w:vAlign w:val="bottom"/>
            <w:tcBorders>
              <w:bottom w:val="single" w:sz="8" w:color="auto"/>
            </w:tcBorders>
            <w:vMerge w:val="continue"/>
          </w:tcPr>
          <w:p>
            <w:pPr>
              <w:spacing w:after="0"/>
              <w:rPr>
                <w:sz w:val="24"/>
                <w:szCs w:val="24"/>
                <w:color w:val="auto"/>
              </w:rPr>
            </w:pPr>
          </w:p>
        </w:tc>
        <w:tc>
          <w:tcPr>
            <w:tcW w:w="4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7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Basic weighted average Class A shares outstanding</w:t>
            </w:r>
          </w:p>
        </w:tc>
        <w:tc>
          <w:tcPr>
            <w:tcW w:w="720" w:type="dxa"/>
            <w:vAlign w:val="bottom"/>
          </w:tcPr>
          <w:p>
            <w:pPr>
              <w:spacing w:after="0"/>
              <w:rPr>
                <w:sz w:val="21"/>
                <w:szCs w:val="21"/>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w w:val="99"/>
              </w:rPr>
              <w:t>158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Dilutive shares resulting from assumed exchange of AAP units and AAP Management Units</w:t>
            </w:r>
          </w:p>
        </w:tc>
        <w:tc>
          <w:tcPr>
            <w:tcW w:w="7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8"/>
                <w:szCs w:val="18"/>
                <w:color w:val="auto"/>
              </w:rPr>
              <w:t>Diluted weighted average Class A shares outstanding</w:t>
            </w:r>
          </w:p>
        </w:tc>
        <w:tc>
          <w:tcPr>
            <w:tcW w:w="7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9"/>
              </w:rPr>
              <w:t>282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67"/>
        </w:trPr>
        <w:tc>
          <w:tcPr>
            <w:tcW w:w="7780" w:type="dxa"/>
            <w:vAlign w:val="bottom"/>
            <w:tcBorders>
              <w:bottom w:val="single" w:sz="8" w:color="CCEEFF"/>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77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Diluted net income/(loss) per Class A share</w:t>
            </w:r>
          </w:p>
        </w:tc>
        <w:tc>
          <w:tcPr>
            <w:tcW w:w="720" w:type="dxa"/>
            <w:vAlign w:val="bottom"/>
          </w:tcPr>
          <w:p>
            <w:pPr>
              <w:jc w:val="right"/>
              <w:ind w:right="513"/>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2"/>
              <w:spacing w:after="0"/>
              <w:rPr>
                <w:sz w:val="20"/>
                <w:szCs w:val="20"/>
                <w:color w:val="auto"/>
              </w:rPr>
            </w:pPr>
            <w:r>
              <w:rPr>
                <w:rFonts w:ascii="Arial" w:cs="Arial" w:eastAsia="Arial" w:hAnsi="Arial"/>
                <w:sz w:val="18"/>
                <w:szCs w:val="18"/>
                <w:color w:val="auto"/>
                <w:w w:val="85"/>
              </w:rPr>
              <w:t>2.11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7"/>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80" w:type="dxa"/>
            <w:vAlign w:val="bottom"/>
            <w:vMerge w:val="continue"/>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8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Inventory primarily consists of crude oil, NGL and natural gas in pipelines, storage facilities and railcars that are valued at the lower of cost or net realizable value, with cost determined using an average cost method within specific inventory pools. 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Consolidated Statements of Operations. During the years ended December 31, 2018,</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5"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2017 and 2016, we recorded charges of $8 million, $35 million and $3 million, respectively, related to the writedown of our crude oil, NGL and natural gas inventory due to declines in prices. A portion of these inventory valuation adjustments was offset by the recognition of gains on derivative instruments being utilized to hedge future sales of our crude oil and NGL inventory. Such gains were recorded to “Supply and Logistics segment revenues” in our accompanying Consolidated Statements of Operations. See Note 13 for discussion of our derivative and risk management activities.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Linefill and base gas in assets we own are recorded at historical cost and consist of crude oil, NGL and natural gas. We classify as linefill or base gas</w:t>
      </w:r>
    </w:p>
    <w:p>
      <w:pPr>
        <w:spacing w:after="0" w:line="46" w:lineRule="exact"/>
        <w:rPr>
          <w:sz w:val="20"/>
          <w:szCs w:val="20"/>
          <w:color w:val="auto"/>
        </w:rPr>
      </w:pPr>
    </w:p>
    <w:p>
      <w:pPr>
        <w:ind w:right="180" w:firstLine="8"/>
        <w:spacing w:after="0" w:line="255" w:lineRule="auto"/>
        <w:tabs>
          <w:tab w:leader="none" w:pos="21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our proportionate share of barrels used to fill a pipeline that we own such that when an incremental barrel is pumped into or enters a pipeline it forces product out at another location, (ii) barrels that represent the minimum working requirements in tanks and caverns that we own and (iii) natural gas required to maintain the minimum operating pressure of natural gas storage facilities we own.</w:t>
      </w:r>
    </w:p>
    <w:p>
      <w:pPr>
        <w:spacing w:after="0" w:line="19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Linefill and base gas carrying amounts are reviewed for impairment in accordance with FASB guidance with respect to accounting for the impairment or disposal of long-lived assets. Carrying amounts that are not expected to be recoverable through future cash flows are written down to estimated fair value. See Note 6 for further discussion regarding impairment of long-lived assets. During 2018, 2017 and 2016, we did not recognize any impairments of linefill and base gas.</w:t>
      </w:r>
    </w:p>
    <w:p>
      <w:pPr>
        <w:spacing w:after="0" w:line="187" w:lineRule="exact"/>
        <w:rPr>
          <w:sz w:val="20"/>
          <w:szCs w:val="20"/>
          <w:color w:val="auto"/>
        </w:rPr>
      </w:pPr>
    </w:p>
    <w:p>
      <w:pPr>
        <w:ind w:right="360" w:firstLine="648"/>
        <w:spacing w:after="0" w:line="257" w:lineRule="auto"/>
        <w:rPr>
          <w:sz w:val="20"/>
          <w:szCs w:val="20"/>
          <w:color w:val="auto"/>
        </w:rPr>
      </w:pPr>
      <w:r>
        <w:rPr>
          <w:rFonts w:ascii="Arial" w:cs="Arial" w:eastAsia="Arial" w:hAnsi="Arial"/>
          <w:sz w:val="18"/>
          <w:szCs w:val="18"/>
          <w:color w:val="auto"/>
        </w:rPr>
        <w:t>Minimum working inventory requirements in third-party assets and other working inventory in our assets that are needed for our commercial operations are included within specific inventory pools in inventory (a current asset) in determining the average cost of operating inventory. At the end of each period, we reclassify the inventory not expected to be liquidated within the succeeding twelve months out of inventory, at the average cost of the applicable inventory pools, and into “Long-term inventory,” which is reflected as a separate line item under “Other assets” on our Consolidated Balance Sheets.</w:t>
      </w:r>
    </w:p>
    <w:p>
      <w:pPr>
        <w:spacing w:after="0" w:line="18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0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Volumes</w:t>
            </w:r>
          </w:p>
        </w:tc>
        <w:tc>
          <w:tcPr>
            <w:tcW w:w="104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Unit of</w:t>
            </w:r>
          </w:p>
        </w:tc>
        <w:tc>
          <w:tcPr>
            <w:tcW w:w="160" w:type="dxa"/>
            <w:vAlign w:val="bottom"/>
          </w:tcPr>
          <w:p>
            <w:pPr>
              <w:spacing w:after="0"/>
              <w:rPr>
                <w:sz w:val="13"/>
                <w:szCs w:val="13"/>
                <w:color w:val="auto"/>
              </w:rPr>
            </w:pPr>
          </w:p>
        </w:tc>
        <w:tc>
          <w:tcPr>
            <w:tcW w:w="780" w:type="dxa"/>
            <w:vAlign w:val="bottom"/>
          </w:tcPr>
          <w:p>
            <w:pPr>
              <w:jc w:val="right"/>
              <w:ind w:right="93"/>
              <w:spacing w:after="0" w:line="153"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Price/</w:t>
            </w:r>
          </w:p>
        </w:tc>
        <w:tc>
          <w:tcPr>
            <w:tcW w:w="100" w:type="dxa"/>
            <w:vAlign w:val="bottom"/>
          </w:tcPr>
          <w:p>
            <w:pPr>
              <w:spacing w:after="0"/>
              <w:rPr>
                <w:sz w:val="13"/>
                <w:szCs w:val="13"/>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Volumes</w:t>
            </w:r>
          </w:p>
        </w:tc>
        <w:tc>
          <w:tcPr>
            <w:tcW w:w="102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760" w:type="dxa"/>
            <w:vAlign w:val="bottom"/>
          </w:tcPr>
          <w:p>
            <w:pPr>
              <w:jc w:val="right"/>
              <w:ind w:right="73"/>
              <w:spacing w:after="0" w:line="15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Measure</w:t>
            </w:r>
          </w:p>
        </w:tc>
        <w:tc>
          <w:tcPr>
            <w:tcW w:w="160" w:type="dxa"/>
            <w:vAlign w:val="bottom"/>
          </w:tcPr>
          <w:p>
            <w:pPr>
              <w:spacing w:after="0"/>
              <w:rPr>
                <w:sz w:val="16"/>
                <w:szCs w:val="16"/>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6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54"/>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Inventory</w:t>
            </w: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Crude oil</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9,657</w:t>
            </w:r>
          </w:p>
        </w:tc>
        <w:tc>
          <w:tcPr>
            <w:tcW w:w="12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367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38.00</w:t>
            </w:r>
          </w:p>
        </w:tc>
        <w:tc>
          <w:tcPr>
            <w:tcW w:w="140" w:type="dxa"/>
            <w:vAlign w:val="bottom"/>
            <w:tcBorders>
              <w:right w:val="single" w:sz="8" w:color="auto"/>
            </w:tcBorders>
          </w:tcPr>
          <w:p>
            <w:pPr>
              <w:spacing w:after="0"/>
              <w:rPr>
                <w:sz w:val="21"/>
                <w:szCs w:val="21"/>
                <w:color w:val="auto"/>
              </w:rPr>
            </w:pPr>
          </w:p>
        </w:tc>
        <w:tc>
          <w:tcPr>
            <w:tcW w:w="1000" w:type="dxa"/>
            <w:vAlign w:val="bottom"/>
            <w:gridSpan w:val="2"/>
          </w:tcPr>
          <w:p>
            <w:pPr>
              <w:jc w:val="right"/>
              <w:ind w:right="19"/>
              <w:spacing w:after="0"/>
              <w:rPr>
                <w:sz w:val="20"/>
                <w:szCs w:val="20"/>
                <w:color w:val="auto"/>
              </w:rPr>
            </w:pPr>
            <w:r>
              <w:rPr>
                <w:rFonts w:ascii="Arial" w:cs="Arial" w:eastAsia="Arial" w:hAnsi="Arial"/>
                <w:sz w:val="18"/>
                <w:szCs w:val="18"/>
                <w:color w:val="auto"/>
              </w:rPr>
              <w:t>7,800</w:t>
            </w:r>
          </w:p>
        </w:tc>
        <w:tc>
          <w:tcPr>
            <w:tcW w:w="100" w:type="dxa"/>
            <w:vAlign w:val="bottom"/>
          </w:tcPr>
          <w:p>
            <w:pPr>
              <w:spacing w:after="0"/>
              <w:rPr>
                <w:sz w:val="21"/>
                <w:szCs w:val="21"/>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402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51.54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10,384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10,774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Other</w:t>
            </w: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Borders>
              <w:right w:val="single" w:sz="8" w:color="auto"/>
            </w:tcBorders>
            <w:gridSpan w:val="2"/>
          </w:tcPr>
          <w:p>
            <w:pPr>
              <w:ind w:left="3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1"/>
                <w:szCs w:val="21"/>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subtotal</w:t>
            </w: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Linefill and base gas</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Crude oil</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13,312</w:t>
            </w:r>
          </w:p>
        </w:tc>
        <w:tc>
          <w:tcPr>
            <w:tcW w:w="12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761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57.17</w:t>
            </w:r>
          </w:p>
        </w:tc>
        <w:tc>
          <w:tcPr>
            <w:tcW w:w="140" w:type="dxa"/>
            <w:vAlign w:val="bottom"/>
            <w:tcBorders>
              <w:right w:val="single" w:sz="8" w:color="auto"/>
            </w:tcBorders>
          </w:tcPr>
          <w:p>
            <w:pPr>
              <w:spacing w:after="0"/>
              <w:rPr>
                <w:sz w:val="21"/>
                <w:szCs w:val="21"/>
                <w:color w:val="auto"/>
              </w:rPr>
            </w:pPr>
          </w:p>
        </w:tc>
        <w:tc>
          <w:tcPr>
            <w:tcW w:w="1000" w:type="dxa"/>
            <w:vAlign w:val="bottom"/>
            <w:gridSpan w:val="2"/>
          </w:tcPr>
          <w:p>
            <w:pPr>
              <w:jc w:val="right"/>
              <w:ind w:right="19"/>
              <w:spacing w:after="0"/>
              <w:rPr>
                <w:sz w:val="20"/>
                <w:szCs w:val="20"/>
                <w:color w:val="auto"/>
              </w:rPr>
            </w:pPr>
            <w:r>
              <w:rPr>
                <w:rFonts w:ascii="Arial" w:cs="Arial" w:eastAsia="Arial" w:hAnsi="Arial"/>
                <w:sz w:val="18"/>
                <w:szCs w:val="18"/>
                <w:color w:val="auto"/>
              </w:rPr>
              <w:t>12,340</w:t>
            </w:r>
          </w:p>
        </w:tc>
        <w:tc>
          <w:tcPr>
            <w:tcW w:w="100" w:type="dxa"/>
            <w:vAlign w:val="bottom"/>
          </w:tcPr>
          <w:p>
            <w:pPr>
              <w:spacing w:after="0"/>
              <w:rPr>
                <w:sz w:val="21"/>
                <w:szCs w:val="21"/>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719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58.27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1,597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24,976</w:t>
            </w:r>
          </w:p>
        </w:tc>
        <w:tc>
          <w:tcPr>
            <w:tcW w:w="12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6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108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4.32</w:t>
            </w:r>
          </w:p>
        </w:tc>
        <w:tc>
          <w:tcPr>
            <w:tcW w:w="140" w:type="dxa"/>
            <w:vAlign w:val="bottom"/>
            <w:tcBorders>
              <w:right w:val="single" w:sz="8" w:color="auto"/>
            </w:tcBorders>
          </w:tcPr>
          <w:p>
            <w:pPr>
              <w:spacing w:after="0"/>
              <w:rPr>
                <w:sz w:val="21"/>
                <w:szCs w:val="21"/>
                <w:color w:val="auto"/>
              </w:rPr>
            </w:pPr>
          </w:p>
        </w:tc>
        <w:tc>
          <w:tcPr>
            <w:tcW w:w="1000" w:type="dxa"/>
            <w:vAlign w:val="bottom"/>
            <w:gridSpan w:val="2"/>
          </w:tcPr>
          <w:p>
            <w:pPr>
              <w:jc w:val="right"/>
              <w:ind w:right="19"/>
              <w:spacing w:after="0"/>
              <w:rPr>
                <w:sz w:val="20"/>
                <w:szCs w:val="20"/>
                <w:color w:val="auto"/>
              </w:rPr>
            </w:pPr>
            <w:r>
              <w:rPr>
                <w:rFonts w:ascii="Arial" w:cs="Arial" w:eastAsia="Arial" w:hAnsi="Arial"/>
                <w:sz w:val="18"/>
                <w:szCs w:val="18"/>
                <w:color w:val="auto"/>
              </w:rPr>
              <w:t>24,976</w:t>
            </w:r>
          </w:p>
        </w:tc>
        <w:tc>
          <w:tcPr>
            <w:tcW w:w="100" w:type="dxa"/>
            <w:vAlign w:val="bottom"/>
          </w:tcPr>
          <w:p>
            <w:pPr>
              <w:spacing w:after="0"/>
              <w:rPr>
                <w:sz w:val="21"/>
                <w:szCs w:val="21"/>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Linefill and base gas subtotal</w:t>
            </w: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inventory</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Crude oil</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1,890</w:t>
            </w:r>
          </w:p>
        </w:tc>
        <w:tc>
          <w:tcPr>
            <w:tcW w:w="12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79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41.80</w:t>
            </w:r>
          </w:p>
        </w:tc>
        <w:tc>
          <w:tcPr>
            <w:tcW w:w="140" w:type="dxa"/>
            <w:vAlign w:val="bottom"/>
            <w:tcBorders>
              <w:right w:val="single" w:sz="8" w:color="auto"/>
            </w:tcBorders>
          </w:tcPr>
          <w:p>
            <w:pPr>
              <w:spacing w:after="0"/>
              <w:rPr>
                <w:sz w:val="21"/>
                <w:szCs w:val="21"/>
                <w:color w:val="auto"/>
              </w:rPr>
            </w:pPr>
          </w:p>
        </w:tc>
        <w:tc>
          <w:tcPr>
            <w:tcW w:w="1000" w:type="dxa"/>
            <w:vAlign w:val="bottom"/>
            <w:gridSpan w:val="2"/>
          </w:tcPr>
          <w:p>
            <w:pPr>
              <w:jc w:val="right"/>
              <w:ind w:right="19"/>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1"/>
                <w:szCs w:val="21"/>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105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56.15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2,368</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24.07</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2,167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8"/>
                <w:szCs w:val="18"/>
                <w:color w:val="auto"/>
              </w:rPr>
              <w:t>Long-term inventory subtotal</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78">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right="160" w:hanging="652"/>
        <w:spacing w:after="0" w:line="216" w:lineRule="auto"/>
        <w:tabs>
          <w:tab w:leader="none" w:pos="660" w:val="left"/>
        </w:tabs>
        <w:numPr>
          <w:ilvl w:val="0"/>
          <w:numId w:val="105"/>
        </w:numPr>
        <w:rPr>
          <w:rFonts w:ascii="Arial" w:cs="Arial" w:eastAsia="Arial" w:hAnsi="Arial"/>
          <w:sz w:val="25"/>
          <w:szCs w:val="25"/>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5" w:right="2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6—Property and Equipment</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 accordance with our capitalization policy, expenditures made to expand the existing operating and/or earnings capacity of our assets are capitalized. We also capitalize certain costs directly related to the construction of such assets, including related internal labor costs, engineering costs and interest costs. For the years ended December 31, 2018, 2017 and 2016, capitalized interest recorded to property and equipment was $21 million, $17 million and $34 million, respectively. In addition, we capitalize interest related to investments in certain unconsolidated entities. See Note 9 for additional information. We also capitalize expenditures for the replacement and/or refurbishment of partially or fully depreciated assets in order to maintain the operating and/or earnings capacity of our existing assets. Repair and maintenance expenditures incurred in order to maintain the day to day operation of our existing assets are expensed as incurred.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is stated at cost and consisted of the following (in millions):</w:t>
      </w:r>
    </w:p>
    <w:p>
      <w:pPr>
        <w:spacing w:after="0" w:line="220"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47"/>
        </w:trPr>
        <w:tc>
          <w:tcPr>
            <w:tcW w:w="6640" w:type="dxa"/>
            <w:vAlign w:val="bottom"/>
          </w:tcPr>
          <w:p>
            <w:pPr>
              <w:spacing w:after="0"/>
              <w:rPr>
                <w:sz w:val="4"/>
                <w:szCs w:val="4"/>
                <w:color w:val="auto"/>
              </w:rPr>
            </w:pPr>
          </w:p>
        </w:tc>
        <w:tc>
          <w:tcPr>
            <w:tcW w:w="1720" w:type="dxa"/>
            <w:vAlign w:val="bottom"/>
            <w:gridSpan w:val="2"/>
            <w:vMerge w:val="restart"/>
          </w:tcPr>
          <w:p>
            <w:pPr>
              <w:jc w:val="center"/>
              <w:ind w:right="120"/>
              <w:spacing w:after="0" w:line="133" w:lineRule="exact"/>
              <w:rPr>
                <w:sz w:val="20"/>
                <w:szCs w:val="20"/>
                <w:color w:val="auto"/>
              </w:rPr>
            </w:pPr>
            <w:r>
              <w:rPr>
                <w:rFonts w:ascii="Arial" w:cs="Arial" w:eastAsia="Arial" w:hAnsi="Arial"/>
                <w:sz w:val="14"/>
                <w:szCs w:val="14"/>
                <w:b w:val="1"/>
                <w:bCs w:val="1"/>
                <w:color w:val="auto"/>
                <w:w w:val="91"/>
              </w:rPr>
              <w:t>Estimated Useful</w:t>
            </w: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6640" w:type="dxa"/>
            <w:vAlign w:val="bottom"/>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Lives (Years)</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64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Pipelines and related facilities </w:t>
            </w:r>
            <w:r>
              <w:rPr>
                <w:rFonts w:ascii="Arial" w:cs="Arial" w:eastAsia="Arial" w:hAnsi="Arial"/>
                <w:sz w:val="25"/>
                <w:szCs w:val="25"/>
                <w:color w:val="auto"/>
                <w:vertAlign w:val="superscript"/>
              </w:rPr>
              <w:t>(1)</w:t>
            </w: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10 - 70</w:t>
            </w:r>
          </w:p>
        </w:tc>
        <w:tc>
          <w:tcPr>
            <w:tcW w:w="12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10,176</w:t>
            </w: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9,624</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Storage, terminal and rail facilities</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30 - 70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5,854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5,558</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Trucking equipment and other</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2 - 15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property and equipment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2 - 50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Land and other</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gross</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16,901</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14,105</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7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06"/>
        </w:numPr>
        <w:rPr>
          <w:rFonts w:ascii="Arial" w:cs="Arial" w:eastAsia="Arial" w:hAnsi="Arial"/>
          <w:sz w:val="25"/>
          <w:szCs w:val="25"/>
          <w:color w:val="auto"/>
          <w:vertAlign w:val="superscript"/>
        </w:rPr>
      </w:pPr>
      <w:r>
        <w:rPr>
          <w:rFonts w:ascii="Arial" w:cs="Arial" w:eastAsia="Arial" w:hAnsi="Arial"/>
          <w:sz w:val="18"/>
          <w:szCs w:val="18"/>
          <w:color w:val="auto"/>
        </w:rPr>
        <w:t>We include rights-of-way, which are intangible assets, in our Pipelines and related facilities amounts within property and equipment.</w:t>
      </w:r>
    </w:p>
    <w:p>
      <w:pPr>
        <w:spacing w:after="0" w:line="20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calculate our depreciation using the straight-line method, based on estimated useful lives and salvage values of our assets. Depreciation expense for the years ended December 31, 2018, 2017 and 2016 was $455 million, $465 million and $471 million, respectively (including amounts related to the discontinuation of certain capital projects). See “Impairment of Long-Lived Assets” below for a discussion of our policy for the recognition of asset impairments.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Long-lived assets with recorded values that are not expected to be recovered through future cash flows are written down to estimated fair value in accordance with FASB guidance with respect to the accounting for the impairment or disposal of long-lived assets. Under this guidance,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w:t>
      </w:r>
    </w:p>
    <w:p>
      <w:pPr>
        <w:spacing w:after="0" w:line="19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periodically evaluate property and equipment and other long-lived assets for impairment when events or circumstances indicate that the carrying value of these assets may not be recoverable. The evaluation is highly dependent on the underlying assumptions of related cash flows. The subjective assumptions used to determine the existence of an impairment in carrying value include:</w:t>
      </w:r>
    </w:p>
    <w:p>
      <w:pPr>
        <w:spacing w:after="0" w:line="73" w:lineRule="exact"/>
        <w:rPr>
          <w:sz w:val="20"/>
          <w:szCs w:val="20"/>
          <w:color w:val="auto"/>
        </w:rPr>
      </w:pPr>
    </w:p>
    <w:p>
      <w:pPr>
        <w:ind w:left="980" w:hanging="324"/>
        <w:spacing w:after="0"/>
        <w:tabs>
          <w:tab w:leader="none" w:pos="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whether there is an indication of impairment;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grouping of assets;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intention of “holding,” “abandoning” or “selling” an asset;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forecast of undiscounted expected future cash flow over the asset’s estimated useful life;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an impairment exists, the fair value of the asset or asset group.</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5" w:right="2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In addition, when we evaluate property and equipment and other long-lived assets for recoverability, it may also be necessary to review related depreciation estimates and methods.</w:t>
      </w:r>
    </w:p>
    <w:p>
      <w:pPr>
        <w:spacing w:after="0" w:line="17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recognized impairments of $6 million during the year ended December 31, 2018 related to assets included in our Facilities segment. During the years ended December 31, 2017 and 2016, we recognized $152 million and $80 million, respectively, of non-cash charges related to the write-down of certain of our long-lived rail and other terminal assets included in our Facilities segment due to asset impairments and accelerated depreciation. Such charges are reflected in “(Gains)/losses on asset sales and asset impairments, net” on our Consolidated Financial Statements. The decline in demand for movements of crude oil by rail in the United States due to sustained unfavorable market conditions resulted in expected decreases in future cash flows for certain of our rail terminal assets, which was a triggering event that required us to assess the recoverability of our carrying value of such long-lived assets. As a result of our impairment review, we wrote off the portion of the carrying amount of these long-lived assets that exceeded their fair value. Our estimated fair values were based upon recent sales prices of comparable facilities, as well as management’s expectation of the market values for such assets based on their industry experience. We consider such inputs to be a Level 3 input in the fair value hierarchy.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7—Acquisitions and 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jc w:val="both"/>
        <w:ind w:right="280" w:firstLine="648"/>
        <w:spacing w:after="0" w:line="286" w:lineRule="auto"/>
        <w:rPr>
          <w:sz w:val="20"/>
          <w:szCs w:val="20"/>
          <w:color w:val="auto"/>
        </w:rPr>
      </w:pPr>
      <w:r>
        <w:rPr>
          <w:rFonts w:ascii="Arial" w:cs="Arial" w:eastAsia="Arial" w:hAnsi="Arial"/>
          <w:sz w:val="17"/>
          <w:szCs w:val="17"/>
          <w:color w:val="auto"/>
        </w:rPr>
        <w:t>The following acquisitions, excluding acquired interests accounted for under the equity method of accounting mentioned specifically below, were accounted for using the acquisition method of accounting and the determination of the fair value of the assets and liabilities acquired has been estimated in accordance with the applicable accounting guidance. There were no acquisitions during the year ended December 31,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Alpha Crude Connector Acquisition</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On February 14, 2017, we acquired all of the issued and outstanding membership interests in Alpha Holding Company, LLC for cash consideration of $1.215 billion, subject to working capital and other adjustments (the “ACC Acquisition”). The ACC Acquisition was initially funded through borrowings under PAA’s senior unsecured revolving credit facility. Such borrowings were subsequently repaid with proceeds from PAA’s March 2017 issuance of its common units to AAP pursuant to the Omnibus Agreement and in connection with our underwritten equity offering. See Note 12 for additional information.</w:t>
      </w:r>
    </w:p>
    <w:p>
      <w:pPr>
        <w:spacing w:after="0" w:line="154"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Upon completion of the ACC Acquisition, we became the owner of a crude oil gathering system known as the “Alpha Crude Connector” (the “ACC System”) located in the Northern Delaware Basin in Southeastern New Mexico and West Texas. The ACC System comprises approximately 515 miles of gathering and transmission lines and five market interconnects, including to our Basin Pipeline at Wink. During 2017, we made additional interconnects to our existing Northern Delaware Basin systems as well as additional enhancements to increase the ACC System capacity to approximately 350,000 barrels per day, depending on the level of volume at each delivery point. The ACC System is supported by acreage dedications covering approximately 315,000 gross acres, including a significant acreage dedication from one of the largest producers in the region. The ACC System complements our other Permian Basin assets and enhances the services available to the producers in the Northern Delaware Basin.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the fair value determination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Identifiable assets acquired and liabilities assumed:</w:t>
            </w: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Estimated Useful Lives</w:t>
            </w:r>
          </w:p>
        </w:tc>
        <w:tc>
          <w:tcPr>
            <w:tcW w:w="160" w:type="dxa"/>
            <w:vAlign w:val="bottom"/>
          </w:tcPr>
          <w:p>
            <w:pPr>
              <w:spacing w:after="0"/>
              <w:rPr>
                <w:sz w:val="14"/>
                <w:szCs w:val="14"/>
                <w:color w:val="auto"/>
              </w:rPr>
            </w:pPr>
          </w:p>
        </w:tc>
        <w:tc>
          <w:tcPr>
            <w:tcW w:w="14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1"/>
              </w:rPr>
              <w:t>Recognized amount</w:t>
            </w:r>
          </w:p>
        </w:tc>
        <w:tc>
          <w:tcPr>
            <w:tcW w:w="0" w:type="dxa"/>
            <w:vAlign w:val="bottom"/>
          </w:tcPr>
          <w:p>
            <w:pPr>
              <w:spacing w:after="0"/>
              <w:rPr>
                <w:sz w:val="1"/>
                <w:szCs w:val="1"/>
                <w:color w:val="auto"/>
              </w:rPr>
            </w:pPr>
          </w:p>
        </w:tc>
      </w:tr>
      <w:tr>
        <w:trPr>
          <w:trHeight w:val="192"/>
        </w:trPr>
        <w:tc>
          <w:tcPr>
            <w:tcW w:w="5320" w:type="dxa"/>
            <w:vAlign w:val="bottom"/>
            <w:tcBorders>
              <w:bottom w:val="single" w:sz="8" w:color="auto"/>
            </w:tcBorders>
            <w:vMerge w:val="continue"/>
          </w:tcPr>
          <w:p>
            <w:pPr>
              <w:spacing w:after="0"/>
              <w:rPr>
                <w:sz w:val="16"/>
                <w:szCs w:val="16"/>
                <w:color w:val="auto"/>
              </w:rPr>
            </w:pPr>
          </w:p>
        </w:tc>
        <w:tc>
          <w:tcPr>
            <w:tcW w:w="26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4400" w:type="dxa"/>
            <w:vAlign w:val="bottom"/>
            <w:tcBorders>
              <w:bottom w:val="single" w:sz="8" w:color="CCEEFF"/>
            </w:tcBorders>
            <w:gridSpan w:val="3"/>
            <w:shd w:val="clear" w:color="auto" w:fill="CCEEFF"/>
          </w:tcPr>
          <w:p>
            <w:pPr>
              <w:jc w:val="right"/>
              <w:ind w:right="499"/>
              <w:spacing w:after="0"/>
              <w:rPr>
                <w:sz w:val="20"/>
                <w:szCs w:val="20"/>
                <w:color w:val="auto"/>
              </w:rPr>
            </w:pPr>
            <w:r>
              <w:rPr>
                <w:rFonts w:ascii="Arial" w:cs="Arial" w:eastAsia="Arial" w:hAnsi="Arial"/>
                <w:sz w:val="18"/>
                <w:szCs w:val="18"/>
                <w:color w:val="auto"/>
              </w:rPr>
              <w:t>3 - 70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4400" w:type="dxa"/>
            <w:vAlign w:val="bottom"/>
            <w:gridSpan w:val="3"/>
          </w:tcPr>
          <w:p>
            <w:pPr>
              <w:jc w:val="right"/>
              <w:ind w:right="619"/>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w w:val="95"/>
              </w:rPr>
              <w:t>Other assets and liabilities, net (including $4 million of cash acquired)</w:t>
            </w:r>
          </w:p>
        </w:tc>
        <w:tc>
          <w:tcPr>
            <w:tcW w:w="2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20" w:type="dxa"/>
            <w:vAlign w:val="bottom"/>
            <w:tcBorders>
              <w:bottom w:val="single" w:sz="8" w:color="CCEEFF"/>
            </w:tcBorders>
            <w:shd w:val="clear" w:color="auto" w:fill="CCEEFF"/>
          </w:tcPr>
          <w:p>
            <w:pPr>
              <w:spacing w:after="0"/>
              <w:rPr>
                <w:sz w:val="22"/>
                <w:szCs w:val="22"/>
                <w:color w:val="auto"/>
              </w:rPr>
            </w:pPr>
          </w:p>
        </w:tc>
        <w:tc>
          <w:tcPr>
            <w:tcW w:w="2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bottom w:val="single" w:sz="8" w:color="CCEEFF"/>
            </w:tcBorders>
            <w:gridSpan w:val="4"/>
            <w:vMerge w:val="restart"/>
          </w:tcPr>
          <w:p>
            <w:pPr>
              <w:ind w:left="220"/>
              <w:spacing w:after="0"/>
              <w:rPr>
                <w:sz w:val="20"/>
                <w:szCs w:val="20"/>
                <w:color w:val="auto"/>
              </w:rPr>
            </w:pPr>
            <w:r>
              <w:rPr>
                <w:rFonts w:ascii="Arial" w:cs="Arial" w:eastAsia="Arial" w:hAnsi="Arial"/>
                <w:sz w:val="18"/>
                <w:szCs w:val="18"/>
                <w:color w:val="auto"/>
              </w:rPr>
              <w:t>F-24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320" w:type="dxa"/>
            <w:vAlign w:val="bottom"/>
          </w:tcPr>
          <w:p>
            <w:pPr>
              <w:spacing w:after="0"/>
              <w:rPr>
                <w:sz w:val="24"/>
                <w:szCs w:val="24"/>
                <w:color w:val="auto"/>
              </w:rPr>
            </w:pPr>
          </w:p>
        </w:tc>
        <w:tc>
          <w:tcPr>
            <w:tcW w:w="450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Intangible assets are included in “Other long-term assets, net” on our Consolidated Balance Sheets. The determination of fair value to intangible assets above is comprised of five acreage dedication contracts and associated customer relationships that will be amortized over a remaining weighted average useful life of approximately 20 years. The value assigned to such intangible assets will be amortized to earnings using methods that closely resemble the pattern in which the economic benefits will be consumed. Amortization expense was approximately $25 million and $10 million during the years ended December 31, 2018 and 2017, respectively, and the future amortization expense through 2022 is estimated as follows (in millions):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5140" w:type="dxa"/>
            <w:vAlign w:val="bottom"/>
            <w:shd w:val="clear" w:color="auto" w:fill="CCEEFF"/>
          </w:tcPr>
          <w:p>
            <w:pPr>
              <w:jc w:val="right"/>
              <w:ind w:right="4670"/>
              <w:spacing w:after="0"/>
              <w:rPr>
                <w:sz w:val="20"/>
                <w:szCs w:val="20"/>
                <w:color w:val="auto"/>
              </w:rPr>
            </w:pPr>
            <w:r>
              <w:rPr>
                <w:rFonts w:ascii="Arial" w:cs="Arial" w:eastAsia="Arial" w:hAnsi="Arial"/>
                <w:sz w:val="18"/>
                <w:szCs w:val="18"/>
                <w:color w:val="auto"/>
                <w:w w:val="89"/>
              </w:rPr>
              <w:t>2019</w:t>
            </w:r>
          </w:p>
        </w:tc>
        <w:tc>
          <w:tcPr>
            <w:tcW w:w="54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r>
      <w:tr>
        <w:trPr>
          <w:trHeight w:val="243"/>
        </w:trPr>
        <w:tc>
          <w:tcPr>
            <w:tcW w:w="5140" w:type="dxa"/>
            <w:vAlign w:val="bottom"/>
          </w:tcPr>
          <w:p>
            <w:pPr>
              <w:jc w:val="right"/>
              <w:ind w:right="4670"/>
              <w:spacing w:after="0"/>
              <w:rPr>
                <w:sz w:val="20"/>
                <w:szCs w:val="20"/>
                <w:color w:val="auto"/>
              </w:rPr>
            </w:pPr>
            <w:r>
              <w:rPr>
                <w:rFonts w:ascii="Arial" w:cs="Arial" w:eastAsia="Arial" w:hAnsi="Arial"/>
                <w:sz w:val="18"/>
                <w:szCs w:val="18"/>
                <w:color w:val="auto"/>
                <w:w w:val="89"/>
              </w:rPr>
              <w:t>2020</w:t>
            </w:r>
          </w:p>
        </w:tc>
        <w:tc>
          <w:tcPr>
            <w:tcW w:w="54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42</w:t>
            </w:r>
          </w:p>
        </w:tc>
      </w:tr>
      <w:tr>
        <w:trPr>
          <w:trHeight w:val="27"/>
        </w:trPr>
        <w:tc>
          <w:tcPr>
            <w:tcW w:w="5140" w:type="dxa"/>
            <w:vAlign w:val="bottom"/>
          </w:tcPr>
          <w:p>
            <w:pPr>
              <w:spacing w:after="0"/>
              <w:rPr>
                <w:sz w:val="2"/>
                <w:szCs w:val="2"/>
                <w:color w:val="auto"/>
              </w:rPr>
            </w:pPr>
          </w:p>
        </w:tc>
        <w:tc>
          <w:tcPr>
            <w:tcW w:w="5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jc w:val="right"/>
              <w:ind w:right="4670"/>
              <w:spacing w:after="0"/>
              <w:rPr>
                <w:sz w:val="20"/>
                <w:szCs w:val="20"/>
                <w:color w:val="auto"/>
              </w:rPr>
            </w:pPr>
            <w:r>
              <w:rPr>
                <w:rFonts w:ascii="Arial" w:cs="Arial" w:eastAsia="Arial" w:hAnsi="Arial"/>
                <w:sz w:val="18"/>
                <w:szCs w:val="18"/>
                <w:color w:val="auto"/>
                <w:w w:val="89"/>
              </w:rPr>
              <w:t>2021</w:t>
            </w:r>
          </w:p>
        </w:tc>
        <w:tc>
          <w:tcPr>
            <w:tcW w:w="54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r>
      <w:tr>
        <w:trPr>
          <w:trHeight w:val="243"/>
        </w:trPr>
        <w:tc>
          <w:tcPr>
            <w:tcW w:w="5140" w:type="dxa"/>
            <w:vAlign w:val="bottom"/>
          </w:tcPr>
          <w:p>
            <w:pPr>
              <w:jc w:val="right"/>
              <w:ind w:right="4670"/>
              <w:spacing w:after="0"/>
              <w:rPr>
                <w:sz w:val="20"/>
                <w:szCs w:val="20"/>
                <w:color w:val="auto"/>
              </w:rPr>
            </w:pPr>
            <w:r>
              <w:rPr>
                <w:rFonts w:ascii="Arial" w:cs="Arial" w:eastAsia="Arial" w:hAnsi="Arial"/>
                <w:sz w:val="18"/>
                <w:szCs w:val="18"/>
                <w:color w:val="auto"/>
                <w:w w:val="89"/>
              </w:rPr>
              <w:t>2022</w:t>
            </w:r>
          </w:p>
        </w:tc>
        <w:tc>
          <w:tcPr>
            <w:tcW w:w="54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54</w:t>
            </w:r>
          </w:p>
        </w:tc>
      </w:tr>
    </w:tbl>
    <w:p>
      <w:pPr>
        <w:spacing w:after="0" w:line="229"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Goodwill is an intangible asset representing the future economic benefits expected to be derived from other assets acquired that are not individually identified and separately recognized. The goodwill arising from the ACC Acquisition, which is tax deductible, represents the anticipated opportunities to generate future cash flows from undedicated acreage and the synergies created between the ACC System and our existing assets. The assets acquired in the ACC Acquisition, as well as the associated goodwill, are primarily included in our Transportation segment.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2017, we incurred approximately $6 million of acquisition-related costs associated with the ACC Acquisition.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costs are reflected as a component of “General and administrative expenses” on our Consolidated Statements of Operations.</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Pro forma financial information assuming the ACC Acquisition had occurred as of the beginning of the calendar year prior to the year of acquisition were not material for disclosure purposes.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Acquisitions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February 2017, we acquired a propane marine terminal for cash consideration of approximately $41 million. The assets acquired are included in our Facilities segment. We did not recognize any goodwill related to this acquisition.</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On April 3, 2017, we and an affiliate of Noble Midstream Partners LP (“Noble”) completed the acquisition of Advantage Pipeline, L.L.C. (“Advantage”) through a newly formed 50/50 joint venture (the “Advantage Joint Venture”). We account for our interest in the Advantage Joint Venture under the equity method of accounting. See Note 9 for additional discussion of our equity method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During the year ended December 31, 2016, we completed two acquisitions for aggregate cash consideration of $289 million. These acquisitions included (i) an integrated system of NGL assets in Western Canada for cash consideration of approximately $204 million and (ii) the remaining interest in a Gulf Coast pipeline that was subsequently sold during the year. The assets acquired were primarily included in our Transportation and Facilities segments. We did not recognize any goodwill related to these acquisitions.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 ended December 31, 2018, we received proceeds from asset sales of $1.334 billion, which included the following:</w:t>
      </w:r>
    </w:p>
    <w:p>
      <w:pPr>
        <w:spacing w:after="0" w:line="22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We sold a 30% interest in BridgeTex Pipeline Company, LLC for proceeds of $868 million, resulting in a gain of $200 million. See Note 9 for additional discussion. The other assets sold during the year ended December 31, 2018 primarily included non-core property and equipment or are associated with the formation of strategic joint ventures and were previously reported in our Facilities and Transportation segments. For the year ended December 31, 2018, we recognized a net gain on sales of assets of $120 million, which is comprised of gains of $146 million and losses of $26 million. Such amounts are included in “(Gains)/losses on asset sales and asset impairments, net” on our Consolidated Statements of Operations.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25" w:right="2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 ended December 31, 2017, we sold certain non-core assets for total proceeds of $1.083 billion, including:</w:t>
      </w:r>
    </w:p>
    <w:p>
      <w:pPr>
        <w:spacing w:after="0" w:line="225" w:lineRule="exact"/>
        <w:rPr>
          <w:sz w:val="20"/>
          <w:szCs w:val="20"/>
          <w:color w:val="auto"/>
        </w:rPr>
      </w:pPr>
    </w:p>
    <w:p>
      <w:pPr>
        <w:ind w:left="980" w:hanging="324"/>
        <w:spacing w:after="0"/>
        <w:tabs>
          <w:tab w:leader="none" w:pos="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certain of our Bay Area terminal assets located in California;</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our Bluewater natural gas storage facility located in Michigan;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certain non-core pipelines in the Rocky Mountain and Bakken regions, including PAA’s interest in SLC Pipeline LLC;</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non-core pipeline segments primarily located in the Midwestern United States; and</w:t>
      </w:r>
    </w:p>
    <w:p>
      <w:pPr>
        <w:spacing w:after="0" w:line="117"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40% undivided interest in a segment of our Red River Pipeline extending from Cushing, Oklahoma to the Hewitt Station near Ardmore, Oklahoma for our net book value.</w:t>
      </w:r>
    </w:p>
    <w:p>
      <w:pPr>
        <w:spacing w:after="0" w:line="17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Bay Area terminal assets and the Bluewater natural gas storage facility were reported in our Facilities segment. The pipeline assets were reported in our Transportation segment.</w:t>
      </w:r>
    </w:p>
    <w:p>
      <w:pPr>
        <w:spacing w:after="0" w:line="170"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In the aggregate, including non-cash impairments recognized upon reclassifications to assets held for sale, we recognized a net gain related to pending or completed asset sales of approximately $43 million for the year ended December 31, 2017, which is included in “(Gains)/losses on asset sales and asset impairments, net” on our Consolidated Statement of Operations. Such amount is comprised of gains of $123 million and losses of $80 million.</w:t>
      </w:r>
    </w:p>
    <w:p>
      <w:pPr>
        <w:spacing w:after="0" w:line="14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During the year ended December 31, 2016, we sold several non-core assets, including certain of our Gulf Coast pipelines and East Coast refined products terminals. In addition, we sold interests in Cheyenne Pipeline LLC and STACK Pipeline LLC. See Note 9 for additional discussion. In the aggregate, we recognized a net gain of approximately $100 million related to these transactions, which is included in “(Gains)/losses on asset sales and asset impairments, net” on our Consolidated Statement of Operations. Such amount is comprised of gains of $158 million and losses of $58 million, including $15 million of impairment of goodwill that was included in a disposal group classified as held for sale prior to the closing of such transaction.</w:t>
      </w:r>
    </w:p>
    <w:p>
      <w:pPr>
        <w:spacing w:after="0" w:line="17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As of December 31, 2017, we classified approximately $80 million of assets as held for sale on our Consolidated Balance Sheet (in “Other current assets”) primarily related to a definitive agreement to sell non-core property and equipment included in our Facilities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8—Goodwill</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Goodwill represents the future economic benefits arising from assets acquired in a business combination that are not individually identified and separately recognized.</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accordance with FASB guidance, we test goodwill to determine whether an impairment has occurred at least annually (as of June 30) and on an interim basis if it is more likely than not that a reporting unit’s fair value is less than its carrying value. Goodwill is tested for impairment at a level of reporting referred to as a reporting unit. A reporting unit is an operating segment or one level below an operating segment for which discrete financial information is available and regularly reviewed by segment management. Our reporting units are our operating segments. FASB guidance provides for a quantitative approach to testing goodwill for impairment; however, we may first assess certain qualitative factors to determine whether it is necessary to perform the quantitative goodwill impairment test. In the quantitative test, we compare the fair value of the reporting unit with the respective book values, including goodwill, by using an income approach based on a discounted cash flow analysis. This approach requires us to make long-term forecasts of future revenues, expenses and other expenditures. Those forecasts require the use of various assumptions and estimates, the most significant of which are net revenues (total revenues less purchases and related costs), operating expenses, general and administrative expenses and the weighted average cost of capital. Fair value of the reporting units is determined using significant unobservable inputs, or Level 3 inputs in the fair value hierarchy. When the fair value is greater than book value, then the reporting unit’s goodwill is not considered impaired. If the book value is greater than fair value, then goodwill is impaired by the amount by which a reporting unit’s carrying value exceeds its fair value, not to exceed the carrying value of goodwill.</w:t>
      </w:r>
    </w:p>
    <w:p>
      <w:pPr>
        <w:spacing w:after="0" w:line="16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We completed our goodwill impairment test as of June 30, 2018 using a quantitative assessment, which also includes a sensitivity analysis regarding the excess of our reporting unit’s fair value over book value. We determined that the fair value of each reporting unit was greater than its respective book value; therefore, goodwill was not considered impaired. We did not recognize any impairments of goodwill during the last three years.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125" w:right="2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by segment and changes in goodwill is reflected in the following table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Facilities</w:t>
            </w:r>
          </w:p>
        </w:tc>
        <w:tc>
          <w:tcPr>
            <w:tcW w:w="180" w:type="dxa"/>
            <w:vAlign w:val="bottom"/>
          </w:tcPr>
          <w:p>
            <w:pPr>
              <w:spacing w:after="0"/>
              <w:rPr>
                <w:sz w:val="16"/>
                <w:szCs w:val="16"/>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Supply and Logistics</w:t>
            </w:r>
          </w:p>
        </w:tc>
        <w:tc>
          <w:tcPr>
            <w:tcW w:w="30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263"/>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806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504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2,344</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269</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Divestitures and reclassifications to assets held for sale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988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2,566</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Divestitures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978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2,521</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9—Investments in Unconsolidated Entities</w:t>
      </w:r>
    </w:p>
    <w:p>
      <w:pPr>
        <w:spacing w:after="0" w:line="229"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Investments in entities over which we have significant influence but not control are accounted for under the equity method. We do not consolidate any part of the assets or liabilities of our equity investees. Our share of net income or loss is reflected as one line item on our Consolidated Statements of Operations entitled “Equity earnings in unconsolidated entities” and will increase or decrease, as applicable, the carrying value of our investments in unconsolidated entities on our Consolidated Balance Sheets. We evaluate our equity investments for impairment in accordance with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investments in unconsolidated entities consisted of the following (in millions, except percentage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Ownership</w:t>
            </w:r>
          </w:p>
        </w:tc>
        <w:tc>
          <w:tcPr>
            <w:tcW w:w="300" w:type="dxa"/>
            <w:vAlign w:val="bottom"/>
          </w:tcPr>
          <w:p>
            <w:pPr>
              <w:spacing w:after="0"/>
              <w:rPr>
                <w:sz w:val="14"/>
                <w:szCs w:val="14"/>
                <w:color w:val="auto"/>
              </w:rPr>
            </w:pPr>
          </w:p>
        </w:tc>
        <w:tc>
          <w:tcPr>
            <w:tcW w:w="15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5"/>
              </w:rPr>
              <w:t>Interest at</w:t>
            </w:r>
          </w:p>
        </w:tc>
        <w:tc>
          <w:tcPr>
            <w:tcW w:w="3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vMerge w:val="continue"/>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Entity </w:t>
            </w:r>
            <w:r>
              <w:rPr>
                <w:rFonts w:ascii="Arial" w:cs="Arial" w:eastAsia="Arial" w:hAnsi="Arial"/>
                <w:sz w:val="8"/>
                <w:szCs w:val="8"/>
                <w:b w:val="1"/>
                <w:bCs w:val="1"/>
                <w:color w:val="auto"/>
              </w:rPr>
              <w:t>(1)</w:t>
            </w:r>
          </w:p>
        </w:tc>
        <w:tc>
          <w:tcPr>
            <w:tcW w:w="120" w:type="dxa"/>
            <w:vAlign w:val="bottom"/>
            <w:vMerge w:val="restart"/>
          </w:tcPr>
          <w:p>
            <w:pPr>
              <w:spacing w:after="0"/>
              <w:rPr>
                <w:sz w:val="10"/>
                <w:szCs w:val="10"/>
                <w:color w:val="auto"/>
              </w:rPr>
            </w:pPr>
          </w:p>
        </w:tc>
        <w:tc>
          <w:tcPr>
            <w:tcW w:w="2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Type of Operation</w:t>
            </w:r>
          </w:p>
        </w:tc>
        <w:tc>
          <w:tcPr>
            <w:tcW w:w="120" w:type="dxa"/>
            <w:vAlign w:val="bottom"/>
          </w:tcPr>
          <w:p>
            <w:pPr>
              <w:spacing w:after="0"/>
              <w:rPr>
                <w:sz w:val="10"/>
                <w:szCs w:val="10"/>
                <w:color w:val="auto"/>
              </w:rPr>
            </w:pPr>
          </w:p>
        </w:tc>
        <w:tc>
          <w:tcPr>
            <w:tcW w:w="12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300" w:type="dxa"/>
            <w:vAlign w:val="bottom"/>
          </w:tcPr>
          <w:p>
            <w:pPr>
              <w:spacing w:after="0"/>
              <w:rPr>
                <w:sz w:val="10"/>
                <w:szCs w:val="10"/>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8"/>
              </w:rPr>
              <w:t>Advantage Pipeline Holdings LLC (“Advantage Joint Venture”)</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BridgeTex Pipeline Company, LLC (“BridgeTex”)</w:t>
            </w: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Cactus II Pipeline LLC (“Cactus II”)</w:t>
            </w:r>
          </w:p>
        </w:tc>
        <w:tc>
          <w:tcPr>
            <w:tcW w:w="2520" w:type="dxa"/>
            <w:vAlign w:val="bottom"/>
            <w:shd w:val="clear" w:color="auto" w:fill="CCEEFF"/>
          </w:tcPr>
          <w:p>
            <w:pPr>
              <w:jc w:val="center"/>
              <w:spacing w:after="0" w:line="270" w:lineRule="exact"/>
              <w:rPr>
                <w:sz w:val="20"/>
                <w:szCs w:val="20"/>
                <w:color w:val="auto"/>
              </w:rPr>
            </w:pPr>
            <w:r>
              <w:rPr>
                <w:rFonts w:ascii="Arial" w:cs="Arial" w:eastAsia="Arial" w:hAnsi="Arial"/>
                <w:sz w:val="18"/>
                <w:szCs w:val="18"/>
                <w:color w:val="auto"/>
                <w:w w:val="91"/>
              </w:rPr>
              <w:t xml:space="preserve">Crude Oil Pipeline </w:t>
            </w:r>
            <w:r>
              <w:rPr>
                <w:rFonts w:ascii="Arial" w:cs="Arial" w:eastAsia="Arial" w:hAnsi="Arial"/>
                <w:sz w:val="25"/>
                <w:szCs w:val="25"/>
                <w:color w:val="auto"/>
                <w:w w:val="91"/>
                <w:vertAlign w:val="superscript"/>
              </w:rPr>
              <w:t>(2)</w:t>
            </w:r>
          </w:p>
        </w:tc>
        <w:tc>
          <w:tcPr>
            <w:tcW w:w="12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65%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Caddo Pipeline LLC</w:t>
            </w: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Cheyenne Pipeline LLC (“Cheyenne”)</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Diamond Pipeline LLC (“Diamond”)</w:t>
            </w: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Eagle Ford Pipeline LLC (“Eagle Ford Pipeline”)</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29"/>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Eagle Ford Terminals Corpus Christi LLC (“Eagle Ford</w:t>
            </w:r>
          </w:p>
        </w:tc>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20" w:type="dxa"/>
            <w:vAlign w:val="bottom"/>
            <w:gridSpan w:val="2"/>
          </w:tcPr>
          <w:p>
            <w:pPr>
              <w:ind w:left="200"/>
              <w:spacing w:after="0"/>
              <w:rPr>
                <w:sz w:val="20"/>
                <w:szCs w:val="20"/>
                <w:color w:val="auto"/>
              </w:rPr>
            </w:pPr>
            <w:r>
              <w:rPr>
                <w:rFonts w:ascii="Arial" w:cs="Arial" w:eastAsia="Arial" w:hAnsi="Arial"/>
                <w:sz w:val="18"/>
                <w:szCs w:val="18"/>
                <w:color w:val="auto"/>
              </w:rPr>
              <w:t>Terminals”)</w:t>
            </w:r>
          </w:p>
        </w:tc>
        <w:tc>
          <w:tcPr>
            <w:tcW w:w="2520" w:type="dxa"/>
            <w:vAlign w:val="bottom"/>
          </w:tcPr>
          <w:p>
            <w:pPr>
              <w:jc w:val="center"/>
              <w:spacing w:after="0" w:line="257" w:lineRule="exact"/>
              <w:rPr>
                <w:sz w:val="20"/>
                <w:szCs w:val="20"/>
                <w:color w:val="auto"/>
              </w:rPr>
            </w:pPr>
            <w:r>
              <w:rPr>
                <w:rFonts w:ascii="Arial" w:cs="Arial" w:eastAsia="Arial" w:hAnsi="Arial"/>
                <w:sz w:val="18"/>
                <w:szCs w:val="18"/>
                <w:color w:val="auto"/>
                <w:w w:val="90"/>
              </w:rPr>
              <w:t xml:space="preserve">Crude Oil Terminal and Dock </w:t>
            </w:r>
            <w:r>
              <w:rPr>
                <w:rFonts w:ascii="Arial" w:cs="Arial" w:eastAsia="Arial" w:hAnsi="Arial"/>
                <w:sz w:val="25"/>
                <w:szCs w:val="25"/>
                <w:color w:val="auto"/>
                <w:w w:val="90"/>
                <w:vertAlign w:val="superscript"/>
              </w:rPr>
              <w:t>(2)</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Midway Pipeline LLC</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Saddlehorn Pipeline Company, LLC</w:t>
            </w: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Settoon Towing, LLC</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Barge Transportation Services</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STACK Pipeline LLC (“STACK”)</w:t>
            </w: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White Cliffs Pipeline, LLC</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57"/>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Total Investments in Unconsolidated Entities</w:t>
            </w:r>
          </w:p>
        </w:tc>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2,702</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8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4" w:lineRule="exact"/>
        <w:rPr>
          <w:sz w:val="20"/>
          <w:szCs w:val="20"/>
          <w:color w:val="auto"/>
        </w:rPr>
      </w:pPr>
    </w:p>
    <w:p>
      <w:pPr>
        <w:ind w:left="660" w:right="40" w:hanging="652"/>
        <w:spacing w:after="0" w:line="216" w:lineRule="auto"/>
        <w:tabs>
          <w:tab w:leader="none" w:pos="660" w:val="left"/>
        </w:tabs>
        <w:numPr>
          <w:ilvl w:val="0"/>
          <w:numId w:val="109"/>
        </w:numPr>
        <w:rPr>
          <w:rFonts w:ascii="Arial" w:cs="Arial" w:eastAsia="Arial" w:hAnsi="Arial"/>
          <w:sz w:val="25"/>
          <w:szCs w:val="25"/>
          <w:color w:val="auto"/>
          <w:vertAlign w:val="superscript"/>
        </w:rPr>
      </w:pPr>
      <w:r>
        <w:rPr>
          <w:rFonts w:ascii="Arial" w:cs="Arial" w:eastAsia="Arial" w:hAnsi="Arial"/>
          <w:sz w:val="18"/>
          <w:szCs w:val="18"/>
          <w:color w:val="auto"/>
        </w:rPr>
        <w:t>Except for Eagle Ford Terminals, which is reported in our Facilities segment, the financial results from the entities are reported in our Transportation segment.</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09"/>
        </w:numPr>
        <w:rPr>
          <w:rFonts w:ascii="Arial" w:cs="Arial" w:eastAsia="Arial" w:hAnsi="Arial"/>
          <w:sz w:val="25"/>
          <w:szCs w:val="25"/>
          <w:color w:val="auto"/>
          <w:vertAlign w:val="superscript"/>
        </w:rPr>
      </w:pPr>
      <w:r>
        <w:rPr>
          <w:rFonts w:ascii="Arial" w:cs="Arial" w:eastAsia="Arial" w:hAnsi="Arial"/>
          <w:sz w:val="18"/>
          <w:szCs w:val="18"/>
          <w:color w:val="auto"/>
        </w:rPr>
        <w:t>Asset is currently under construction by the entity and has not yet been placed in service.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25" w:right="2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Formations and Divestitures</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i w:val="1"/>
          <w:iCs w:val="1"/>
          <w:color w:val="auto"/>
        </w:rPr>
        <w:t xml:space="preserve">Cactus II. </w:t>
      </w:r>
      <w:r>
        <w:rPr>
          <w:rFonts w:ascii="Arial" w:cs="Arial" w:eastAsia="Arial" w:hAnsi="Arial"/>
          <w:sz w:val="16"/>
          <w:szCs w:val="16"/>
          <w:color w:val="auto"/>
        </w:rPr>
        <w:t>In the second quarter of 2018, a subsidiary of Oxy and another third party each exercised their purchase options for a 20% interest and a</w:t>
      </w:r>
      <w:r>
        <w:rPr>
          <w:rFonts w:ascii="Arial" w:cs="Arial" w:eastAsia="Arial" w:hAnsi="Arial"/>
          <w:sz w:val="16"/>
          <w:szCs w:val="16"/>
          <w:i w:val="1"/>
          <w:iCs w:val="1"/>
          <w:color w:val="auto"/>
        </w:rPr>
        <w:t xml:space="preserve"> </w:t>
      </w:r>
      <w:r>
        <w:rPr>
          <w:rFonts w:ascii="Arial" w:cs="Arial" w:eastAsia="Arial" w:hAnsi="Arial"/>
          <w:sz w:val="16"/>
          <w:szCs w:val="16"/>
          <w:color w:val="auto"/>
        </w:rPr>
        <w:t>15% interest, respectively, in Cactus II, which owns the Cactus II pipeline system that is currently under construction. Although we own a majority of Cactus II’s equity, we do not have a controlling financial interest in Cactus II because the other members have substantive participating rights. Therefore, we account for our ownership interest in Cactus II as an equity method investment. Following the exercise of the purchase options, we deconsolidated Cactus II resulting in a reduction of property and equipment of $74 million (which was representative of the costs incurred to date to construct the pipeline and equivalent to fair value), and we received $26 million of cash from Cactus II, which represented the other members’ portion of the property and equipment.</w:t>
      </w:r>
    </w:p>
    <w:p>
      <w:pPr>
        <w:spacing w:after="0" w:line="165"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In addition, during the second quarter of 2018, we received a $100 million advance cash payment from Cactus II associated with pipeline capacity agreements, which is recorded as long-term deferred revenue within “Other long-term liabilities and deferred credits” on our Consolidated Balance Sheet. Such amount will be recognized in revenue ratably over the life of the contracts beginning once the Cactus II pipeline system has been placed into service.</w:t>
      </w:r>
    </w:p>
    <w:p>
      <w:pPr>
        <w:spacing w:after="0" w:line="147"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i w:val="1"/>
          <w:iCs w:val="1"/>
          <w:color w:val="auto"/>
        </w:rPr>
        <w:t>BridgeTex</w:t>
      </w:r>
      <w:r>
        <w:rPr>
          <w:rFonts w:ascii="Arial" w:cs="Arial" w:eastAsia="Arial" w:hAnsi="Arial"/>
          <w:sz w:val="18"/>
          <w:szCs w:val="18"/>
          <w:color w:val="auto"/>
        </w:rPr>
        <w:t>. During the third quarter of 2018, we sold a 30% interest in BridgeTex for proceeds of $868 million, including working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and have retained a 20% interest. We recorded a gain of $200 million related to this sale, which is included in “Gain on sale of investment in unconsolidated entities” on our Consolidated Statement of Operations. We continue to account for our remaining interest under the equity method of accounting.</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Advantage Joint Venture</w:t>
      </w:r>
      <w:r>
        <w:rPr>
          <w:rFonts w:ascii="Arial" w:cs="Arial" w:eastAsia="Arial" w:hAnsi="Arial"/>
          <w:sz w:val="17"/>
          <w:szCs w:val="17"/>
          <w:color w:val="auto"/>
        </w:rPr>
        <w:t>. On April 3, 2017, we and an affiliate of Noble completed the acquisition of Advantage Pipeline, L.L.C. for a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price of $133 million through a newly formed 50/50 joint venture (the “Advantage Joint Venture”). For our 50% share ($66.5 million), we contributed approximately 1.3 million PAA common units with a value of approximately $40 million and approximately $26 million in cash. Through the acquisition, the Advantage Joint Venture owns a 70-mile, 16-inch crude oil pipeline located in the southern Delaware Basin (the “Advantage Pipeline”), which is contractually supported by a third-party acreage dedication and a volume commitment from our wholly-owned marketing subsidiary. Noble serves as operator of the Advantage Pipeline. We account for our interest in the Advantage Joint Venture under the equity method of accounting.</w:t>
      </w:r>
    </w:p>
    <w:p>
      <w:pPr>
        <w:spacing w:after="0" w:line="17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Midway Pipeline LLC. </w:t>
      </w:r>
      <w:r>
        <w:rPr>
          <w:rFonts w:ascii="Arial" w:cs="Arial" w:eastAsia="Arial" w:hAnsi="Arial"/>
          <w:sz w:val="18"/>
          <w:szCs w:val="18"/>
          <w:color w:val="auto"/>
        </w:rPr>
        <w:t>During the fourth quarter of 2017, we and an affiliate of CVR Refining, LP (“CVR Refining”) formed a 50/50 joint venture,</w:t>
      </w:r>
      <w:r>
        <w:rPr>
          <w:rFonts w:ascii="Arial" w:cs="Arial" w:eastAsia="Arial" w:hAnsi="Arial"/>
          <w:sz w:val="18"/>
          <w:szCs w:val="18"/>
          <w:i w:val="1"/>
          <w:iCs w:val="1"/>
          <w:color w:val="auto"/>
        </w:rPr>
        <w:t xml:space="preserve"> </w:t>
      </w:r>
      <w:r>
        <w:rPr>
          <w:rFonts w:ascii="Arial" w:cs="Arial" w:eastAsia="Arial" w:hAnsi="Arial"/>
          <w:sz w:val="18"/>
          <w:szCs w:val="18"/>
          <w:color w:val="auto"/>
        </w:rPr>
        <w:t>Midway Pipeline LLC, which acquired from us the Cushing to Broome crude oil pipeline system. The Cushing to Broome pipeline system connects CVR Refining’s Coffeyville, Kansas refinery to the Cushing, Oklahoma oil hub. We continue to serve as operator of the pipeline. We account for our interest in Midway Pipeline LLC under the equity method of accounting.</w:t>
      </w:r>
    </w:p>
    <w:p>
      <w:pPr>
        <w:spacing w:after="0" w:line="187"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i w:val="1"/>
          <w:iCs w:val="1"/>
          <w:color w:val="auto"/>
        </w:rPr>
        <w:t>Other</w:t>
      </w:r>
      <w:r>
        <w:rPr>
          <w:rFonts w:ascii="Arial" w:cs="Arial" w:eastAsia="Arial" w:hAnsi="Arial"/>
          <w:sz w:val="17"/>
          <w:szCs w:val="17"/>
          <w:color w:val="auto"/>
        </w:rPr>
        <w:t>. In June 2016, we sold 50% of our investment in Cheyenne, and in August 2016 we sold 50% of our investment in STACK. As a result of</w:t>
      </w:r>
      <w:r>
        <w:rPr>
          <w:rFonts w:ascii="Arial" w:cs="Arial" w:eastAsia="Arial" w:hAnsi="Arial"/>
          <w:sz w:val="17"/>
          <w:szCs w:val="17"/>
          <w:i w:val="1"/>
          <w:iCs w:val="1"/>
          <w:color w:val="auto"/>
        </w:rPr>
        <w:t xml:space="preserve"> </w:t>
      </w:r>
      <w:r>
        <w:rPr>
          <w:rFonts w:ascii="Arial" w:cs="Arial" w:eastAsia="Arial" w:hAnsi="Arial"/>
          <w:sz w:val="17"/>
          <w:szCs w:val="17"/>
          <w:color w:val="auto"/>
        </w:rPr>
        <w:t>these transactions, we now account for our remaining 50% equity interest in such entities under the equity method of accounting.</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7 for additional information related to certain of these transactions.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Capline Pipeline Company LLC</w:t>
      </w:r>
      <w:r>
        <w:rPr>
          <w:rFonts w:ascii="Arial" w:cs="Arial" w:eastAsia="Arial" w:hAnsi="Arial"/>
          <w:sz w:val="18"/>
          <w:szCs w:val="18"/>
          <w:color w:val="auto"/>
        </w:rPr>
        <w:t>. As of December 31, 2018 we owned a 54% undivided joint interest in the Capline pipeline system, which originates</w:t>
      </w:r>
      <w:r>
        <w:rPr>
          <w:rFonts w:ascii="Arial" w:cs="Arial" w:eastAsia="Arial" w:hAnsi="Arial"/>
          <w:sz w:val="18"/>
          <w:szCs w:val="18"/>
          <w:i w:val="1"/>
          <w:iCs w:val="1"/>
          <w:color w:val="auto"/>
        </w:rPr>
        <w:t xml:space="preserve"> </w:t>
      </w:r>
      <w:r>
        <w:rPr>
          <w:rFonts w:ascii="Arial" w:cs="Arial" w:eastAsia="Arial" w:hAnsi="Arial"/>
          <w:sz w:val="18"/>
          <w:szCs w:val="18"/>
          <w:color w:val="auto"/>
        </w:rPr>
        <w:t>in St. James, Louisiana and terminates in Patoka, Illinois. In January 2019, the owners converted their undivided joint interests into a limited liability company.</w:t>
      </w:r>
    </w:p>
    <w:p>
      <w:pPr>
        <w:spacing w:after="0" w:line="18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i w:val="1"/>
          <w:iCs w:val="1"/>
          <w:color w:val="auto"/>
        </w:rPr>
        <w:t xml:space="preserve">Wink to Webster Pipeline LLC. </w:t>
      </w:r>
      <w:r>
        <w:rPr>
          <w:rFonts w:ascii="Arial" w:cs="Arial" w:eastAsia="Arial" w:hAnsi="Arial"/>
          <w:sz w:val="17"/>
          <w:szCs w:val="17"/>
          <w:color w:val="auto"/>
        </w:rPr>
        <w:t>In January 2019, we announced the formation of Wink to Webster Pipeline LLC (“W2W Pipeline”), a joint venture</w:t>
      </w:r>
      <w:r>
        <w:rPr>
          <w:rFonts w:ascii="Arial" w:cs="Arial" w:eastAsia="Arial" w:hAnsi="Arial"/>
          <w:sz w:val="17"/>
          <w:szCs w:val="17"/>
          <w:i w:val="1"/>
          <w:iCs w:val="1"/>
          <w:color w:val="auto"/>
        </w:rPr>
        <w:t xml:space="preserve"> </w:t>
      </w:r>
      <w:r>
        <w:rPr>
          <w:rFonts w:ascii="Arial" w:cs="Arial" w:eastAsia="Arial" w:hAnsi="Arial"/>
          <w:sz w:val="17"/>
          <w:szCs w:val="17"/>
          <w:color w:val="auto"/>
        </w:rPr>
        <w:t>with subsidiaries of ExxonMobil and Lotus Midstream, LLC. We own a 20% interest in W2W Pipeline, which is currently developing a new pipeline system that will originate in the Permian Basin in West Texas and transport crude oil to the Texas Gulf Coast. The pipeline system will provide more than 1 million barrels per day of crude oil and condensate capacity, and the project is targeted to commence operations in the first half of 2021.</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26" w:right="2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Distributions received from unconsolidated entities are classified based on the nature of the distribution approach, which looks to the activity that generated the distribution. We consider distributions received from unconsolidated entities as a return on investment in those entities to the extent that the distribution was generated through operating results, and therefore classify these distributions as cash flows from operating activities in our Consolidated Statement of Cash Flows. Other distributions received from unconsolidated entities are considered a return of investment and classified as cash flows from investing activities on the Consolidated Statement of Cash Flows. During the year ended December 31, 2018, we received $10 million as a return of investment. During the year ended December 31, 2017, we received $21 million as a return of investment from Settoon Towing, LLC related to the sale of certain of its marine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Contributions</w:t>
      </w:r>
    </w:p>
    <w:p>
      <w:pPr>
        <w:spacing w:after="0" w:line="225" w:lineRule="exact"/>
        <w:rPr>
          <w:sz w:val="20"/>
          <w:szCs w:val="20"/>
          <w:color w:val="auto"/>
        </w:rPr>
      </w:pPr>
    </w:p>
    <w:p>
      <w:pPr>
        <w:ind w:right="360" w:firstLine="648"/>
        <w:spacing w:after="0" w:line="273" w:lineRule="auto"/>
        <w:rPr>
          <w:sz w:val="20"/>
          <w:szCs w:val="20"/>
          <w:color w:val="auto"/>
        </w:rPr>
      </w:pPr>
      <w:r>
        <w:rPr>
          <w:rFonts w:ascii="Arial" w:cs="Arial" w:eastAsia="Arial" w:hAnsi="Arial"/>
          <w:sz w:val="17"/>
          <w:szCs w:val="17"/>
          <w:color w:val="auto"/>
        </w:rPr>
        <w:t>We generally fund our portion of development, construction or capital expansion projects of our equity method investees through capital contributions. Our contributions to these entities increase the carrying value of our investments and are reflected in our Consolidated Statements of Cash Flows as cash used in investing activities. During the years ended December 31, 2018, 2017 and 2016, we made cash contributions of $459 million, $398 million and $288 million, respectively, to certain of our equity method investees. In addition, we capitalized interest of $9 million, $18 million and $13 million during the years ended December 31, 2018, 2017 and 2016, respectively, related to contributions to unconsolidated entities for projects under development and construction. We anticipate that we will make additional contributions in 2019 related to ongoing projects.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Differences</w:t>
      </w:r>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Our investments in unconsolidated entities exceeded our share of the underlying equity in the net assets of such entities by $467 million and $736 million at December 31, 2018 and 2017, respectively. Such basis differences are included in the carrying values of our investments on our Consolidated Balance Sheets. The portion of the basis differences attributable to depreciable or amortizable assets is amortized on a straight-line basis over the estimated useful life of the related assets, which reduces “Equity earnings in unconsolidated entities” on our Consolidated Statements of Operations. The portion of the basis differences attributable to goodwill is not amortized. The majority of the basis difference at both December 31, 2018 and 2017 was related to our interest in BridgeTex and decreased from 2017 to 2018 due to our sale of 30% of such interest during the third quarter of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Summarized Financial Information of Unconsolidated Entities</w:t>
      </w:r>
    </w:p>
    <w:p>
      <w:pPr>
        <w:spacing w:after="0" w:line="225"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Combined summarized financial information for all of our unconsolidated entities is shown in the tables below (in millions). None of our unconsolidated entities have noncontrolling interests.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3560" w:type="dxa"/>
            <w:vAlign w:val="bottom"/>
            <w:tcBorders>
              <w:bottom w:val="single" w:sz="8" w:color="CCEEFF"/>
            </w:tcBorders>
          </w:tcPr>
          <w:p>
            <w:pPr>
              <w:spacing w:after="0"/>
              <w:rPr>
                <w:sz w:val="22"/>
                <w:szCs w:val="22"/>
                <w:color w:val="auto"/>
              </w:rPr>
            </w:pPr>
          </w:p>
        </w:tc>
        <w:tc>
          <w:tcPr>
            <w:tcW w:w="318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311</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3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4,861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4,162</w:t>
            </w:r>
          </w:p>
        </w:tc>
      </w:tr>
      <w:tr>
        <w:trPr>
          <w:trHeight w:val="27"/>
        </w:trPr>
        <w:tc>
          <w:tcPr>
            <w:tcW w:w="35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3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41</w:t>
            </w:r>
          </w:p>
        </w:tc>
      </w:tr>
      <w:tr>
        <w:trPr>
          <w:trHeight w:val="642"/>
        </w:trPr>
        <w:tc>
          <w:tcPr>
            <w:tcW w:w="35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64"/>
        </w:trPr>
        <w:tc>
          <w:tcPr>
            <w:tcW w:w="3560" w:type="dxa"/>
            <w:vAlign w:val="bottom"/>
            <w:tcBorders>
              <w:bottom w:val="single" w:sz="8" w:color="CCEEFF"/>
            </w:tcBorders>
          </w:tcPr>
          <w:p>
            <w:pPr>
              <w:spacing w:after="0"/>
              <w:rPr>
                <w:sz w:val="22"/>
                <w:szCs w:val="22"/>
                <w:color w:val="auto"/>
              </w:rPr>
            </w:pPr>
          </w:p>
        </w:tc>
        <w:tc>
          <w:tcPr>
            <w:tcW w:w="318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140" w:type="dxa"/>
            <w:vAlign w:val="bottom"/>
            <w:tcBorders>
              <w:bottom w:val="single" w:sz="8" w:color="CCEEFF"/>
            </w:tcBorders>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1,235</w:t>
            </w:r>
          </w:p>
        </w:tc>
        <w:tc>
          <w:tcPr>
            <w:tcW w:w="4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802</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414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824</w:t>
            </w:r>
          </w:p>
        </w:tc>
        <w:tc>
          <w:tcPr>
            <w:tcW w:w="4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469</w:t>
            </w:r>
          </w:p>
        </w:tc>
      </w:tr>
      <w:tr>
        <w:trPr>
          <w:trHeight w:val="27"/>
        </w:trPr>
        <w:tc>
          <w:tcPr>
            <w:tcW w:w="35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140" w:type="dxa"/>
            <w:vAlign w:val="bottom"/>
            <w:tcBorders>
              <w:bottom w:val="single" w:sz="8" w:color="CCEEFF"/>
            </w:tcBorders>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824</w:t>
            </w:r>
          </w:p>
        </w:tc>
        <w:tc>
          <w:tcPr>
            <w:tcW w:w="4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452</w:t>
            </w:r>
          </w:p>
        </w:tc>
      </w:tr>
      <w:tr>
        <w:trPr>
          <w:trHeight w:val="675"/>
        </w:trPr>
        <w:tc>
          <w:tcPr>
            <w:tcW w:w="3560" w:type="dxa"/>
            <w:vAlign w:val="bottom"/>
          </w:tcPr>
          <w:p>
            <w:pPr>
              <w:spacing w:after="0"/>
              <w:rPr>
                <w:sz w:val="24"/>
                <w:szCs w:val="24"/>
                <w:color w:val="auto"/>
              </w:rPr>
            </w:pPr>
          </w:p>
        </w:tc>
        <w:tc>
          <w:tcPr>
            <w:tcW w:w="4140" w:type="dxa"/>
            <w:vAlign w:val="bottom"/>
            <w:gridSpan w:val="2"/>
          </w:tcPr>
          <w:p>
            <w:pPr>
              <w:jc w:val="right"/>
              <w:ind w:right="1748"/>
              <w:spacing w:after="0"/>
              <w:rPr>
                <w:sz w:val="20"/>
                <w:szCs w:val="20"/>
                <w:color w:val="auto"/>
              </w:rPr>
            </w:pPr>
            <w:r>
              <w:rPr>
                <w:rFonts w:ascii="Arial" w:cs="Arial" w:eastAsia="Arial" w:hAnsi="Arial"/>
                <w:sz w:val="18"/>
                <w:szCs w:val="18"/>
                <w:color w:val="auto"/>
              </w:rPr>
              <w:t>F-29</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10—Other Long-Term Assets,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long-term assets, net of accumulated amortization, consisted of the following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1,209</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1,265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(421)</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8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right="80" w:hanging="652"/>
        <w:spacing w:after="0" w:line="216" w:lineRule="auto"/>
        <w:tabs>
          <w:tab w:leader="none" w:pos="660" w:val="left"/>
        </w:tabs>
        <w:numPr>
          <w:ilvl w:val="0"/>
          <w:numId w:val="110"/>
        </w:numPr>
        <w:rPr>
          <w:rFonts w:ascii="Arial" w:cs="Arial" w:eastAsia="Arial" w:hAnsi="Arial"/>
          <w:sz w:val="25"/>
          <w:szCs w:val="25"/>
          <w:color w:val="auto"/>
          <w:vertAlign w:val="superscript"/>
        </w:rPr>
      </w:pPr>
      <w:r>
        <w:rPr>
          <w:rFonts w:ascii="Arial" w:cs="Arial" w:eastAsia="Arial" w:hAnsi="Arial"/>
          <w:sz w:val="18"/>
          <w:szCs w:val="18"/>
          <w:color w:val="auto"/>
        </w:rPr>
        <w:t>We include rights-of-way, which are intangible assets, in our pipeline and related facilities amounts within property and equipment. See Note 6 for a discussion of property and equipment.</w:t>
      </w:r>
    </w:p>
    <w:p>
      <w:pPr>
        <w:spacing w:after="0" w:line="20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Amortization expense for finite-lived intangible assets for the years ended December 31, 2018, 2017 and 2016 was $66 million, $54 million and $44 million, respectively.</w:t>
      </w:r>
    </w:p>
    <w:p>
      <w:pPr>
        <w:spacing w:after="0" w:line="170"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Intangible assets that have finite lives are tested for impairment when events or circumstances indicate that the carrying value may not be recoverable. We did not recognize any impairments of finite-lived intangible assets during the three years ended December 31, 2018. Our intangible assets that have finite lives consisted of the following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1"/>
              </w:rPr>
              <w:t>December 31, 2017</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16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Estimated Useful</w:t>
            </w:r>
          </w:p>
        </w:tc>
        <w:tc>
          <w:tcPr>
            <w:tcW w:w="260" w:type="dxa"/>
            <w:vAlign w:val="bottom"/>
          </w:tcPr>
          <w:p>
            <w:pPr>
              <w:spacing w:after="0"/>
              <w:rPr>
                <w:sz w:val="13"/>
                <w:szCs w:val="13"/>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3"/>
                <w:szCs w:val="13"/>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3"/>
                <w:szCs w:val="13"/>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3"/>
                <w:szCs w:val="13"/>
                <w:color w:val="auto"/>
              </w:rPr>
            </w:pPr>
          </w:p>
        </w:tc>
        <w:tc>
          <w:tcPr>
            <w:tcW w:w="7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Lives (Years)</w:t>
            </w:r>
          </w:p>
        </w:tc>
        <w:tc>
          <w:tcPr>
            <w:tcW w:w="2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 and</w:t>
            </w: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relationships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1 – 20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Property tax abatement</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7 – 13</w:t>
            </w:r>
          </w:p>
        </w:tc>
        <w:tc>
          <w:tcPr>
            <w:tcW w:w="26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agreements</w:t>
            </w:r>
          </w:p>
        </w:tc>
        <w:tc>
          <w:tcPr>
            <w:tcW w:w="1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25 – 70</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1,209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10220" w:type="dxa"/>
            <w:vAlign w:val="bottom"/>
          </w:tcPr>
          <w:p>
            <w:pPr>
              <w:jc w:val="right"/>
              <w:ind w:right="210"/>
              <w:spacing w:after="0"/>
              <w:rPr>
                <w:sz w:val="20"/>
                <w:szCs w:val="20"/>
                <w:color w:val="auto"/>
              </w:rPr>
            </w:pPr>
            <w:r>
              <w:rPr>
                <w:rFonts w:ascii="Arial" w:cs="Arial" w:eastAsia="Arial" w:hAnsi="Arial"/>
                <w:sz w:val="18"/>
                <w:szCs w:val="18"/>
                <w:color w:val="auto"/>
                <w:w w:val="93"/>
              </w:rPr>
              <w:t>We estimate that our amortization expense related to finite-lived intangible assets for the next five years will be as follows (in millions):</w:t>
            </w:r>
          </w:p>
        </w:tc>
        <w:tc>
          <w:tcPr>
            <w:tcW w:w="580" w:type="dxa"/>
            <w:vAlign w:val="bottom"/>
          </w:tcPr>
          <w:p>
            <w:pPr>
              <w:spacing w:after="0"/>
              <w:rPr>
                <w:sz w:val="20"/>
                <w:szCs w:val="20"/>
                <w:color w:val="auto"/>
              </w:rPr>
            </w:pPr>
          </w:p>
        </w:tc>
      </w:tr>
      <w:tr>
        <w:trPr>
          <w:trHeight w:val="135"/>
        </w:trPr>
        <w:tc>
          <w:tcPr>
            <w:tcW w:w="520" w:type="dxa"/>
            <w:vAlign w:val="bottom"/>
          </w:tcPr>
          <w:p>
            <w:pPr>
              <w:spacing w:after="0"/>
              <w:rPr>
                <w:sz w:val="11"/>
                <w:szCs w:val="11"/>
                <w:color w:val="auto"/>
              </w:rPr>
            </w:pPr>
          </w:p>
        </w:tc>
        <w:tc>
          <w:tcPr>
            <w:tcW w:w="102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250"/>
        </w:trPr>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2019</w:t>
            </w:r>
          </w:p>
        </w:tc>
        <w:tc>
          <w:tcPr>
            <w:tcW w:w="10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43"/>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94"/>
              </w:rPr>
              <w:t>2020</w:t>
            </w:r>
          </w:p>
        </w:tc>
        <w:tc>
          <w:tcPr>
            <w:tcW w:w="10220" w:type="dxa"/>
            <w:vAlign w:val="bottom"/>
          </w:tcPr>
          <w:p>
            <w:pPr>
              <w:jc w:val="right"/>
              <w:ind w:right="10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520" w:type="dxa"/>
            <w:vAlign w:val="bottom"/>
          </w:tcPr>
          <w:p>
            <w:pPr>
              <w:spacing w:after="0"/>
              <w:rPr>
                <w:sz w:val="2"/>
                <w:szCs w:val="2"/>
                <w:color w:val="auto"/>
              </w:rPr>
            </w:pPr>
          </w:p>
        </w:tc>
        <w:tc>
          <w:tcPr>
            <w:tcW w:w="102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2021</w:t>
            </w:r>
          </w:p>
        </w:tc>
        <w:tc>
          <w:tcPr>
            <w:tcW w:w="10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94"/>
              </w:rPr>
              <w:t>2022</w:t>
            </w:r>
          </w:p>
        </w:tc>
        <w:tc>
          <w:tcPr>
            <w:tcW w:w="10220" w:type="dxa"/>
            <w:vAlign w:val="bottom"/>
          </w:tcPr>
          <w:p>
            <w:pPr>
              <w:jc w:val="right"/>
              <w:ind w:right="10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
        </w:trPr>
        <w:tc>
          <w:tcPr>
            <w:tcW w:w="520" w:type="dxa"/>
            <w:vAlign w:val="bottom"/>
          </w:tcPr>
          <w:p>
            <w:pPr>
              <w:spacing w:after="0"/>
              <w:rPr>
                <w:sz w:val="2"/>
                <w:szCs w:val="2"/>
                <w:color w:val="auto"/>
              </w:rPr>
            </w:pPr>
          </w:p>
        </w:tc>
        <w:tc>
          <w:tcPr>
            <w:tcW w:w="102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2023</w:t>
            </w:r>
          </w:p>
        </w:tc>
        <w:tc>
          <w:tcPr>
            <w:tcW w:w="10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675"/>
        </w:trPr>
        <w:tc>
          <w:tcPr>
            <w:tcW w:w="520" w:type="dxa"/>
            <w:vAlign w:val="bottom"/>
          </w:tcPr>
          <w:p>
            <w:pPr>
              <w:spacing w:after="0"/>
              <w:rPr>
                <w:sz w:val="24"/>
                <w:szCs w:val="24"/>
                <w:color w:val="auto"/>
              </w:rPr>
            </w:pPr>
          </w:p>
        </w:tc>
        <w:tc>
          <w:tcPr>
            <w:tcW w:w="10220" w:type="dxa"/>
            <w:vAlign w:val="bottom"/>
          </w:tcPr>
          <w:p>
            <w:pPr>
              <w:jc w:val="right"/>
              <w:ind w:right="4770"/>
              <w:spacing w:after="0"/>
              <w:rPr>
                <w:sz w:val="20"/>
                <w:szCs w:val="20"/>
                <w:color w:val="auto"/>
              </w:rPr>
            </w:pPr>
            <w:r>
              <w:rPr>
                <w:rFonts w:ascii="Arial" w:cs="Arial" w:eastAsia="Arial" w:hAnsi="Arial"/>
                <w:sz w:val="18"/>
                <w:szCs w:val="18"/>
                <w:color w:val="auto"/>
              </w:rPr>
              <w:t>F-30</w:t>
            </w:r>
          </w:p>
        </w:tc>
        <w:tc>
          <w:tcPr>
            <w:tcW w:w="5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SHORT-TERM DEBT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PAA senior secured hedged inventory facility, bearing a weighted-average interest rate of 2.6% </w:t>
            </w:r>
            <w:r>
              <w:rPr>
                <w:rFonts w:ascii="Arial" w:cs="Arial" w:eastAsia="Arial" w:hAnsi="Arial"/>
                <w:sz w:val="25"/>
                <w:szCs w:val="25"/>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664</w:t>
            </w: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short-term debt</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737</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LONG-TERM DEBT</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PAA senior notes: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70"/>
        </w:trPr>
        <w:tc>
          <w:tcPr>
            <w:tcW w:w="83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2.60% senior notes due December 2019 </w:t>
            </w:r>
            <w:r>
              <w:rPr>
                <w:rFonts w:ascii="Arial" w:cs="Arial" w:eastAsia="Arial" w:hAnsi="Arial"/>
                <w:sz w:val="25"/>
                <w:szCs w:val="25"/>
                <w:color w:val="auto"/>
                <w:vertAlign w:val="superscript"/>
              </w:rPr>
              <w:t>(2)</w:t>
            </w:r>
          </w:p>
        </w:tc>
        <w:tc>
          <w:tcPr>
            <w:tcW w:w="22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500</w:t>
            </w: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5.75% senior notes due January 2020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5.00% senior notes due February 2021</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600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3.65% senior notes due June 2022</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2.85% senior notes due January 2023</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400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3.85% senior notes due October 2023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3.60% senior notes due November 2024</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750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4.65% senior notes due October 2025</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4.50% senior notes due December 2026</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750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6.70% senior notes due May 2036</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6.65% senior notes due January 2037</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600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5.15% senior notes due June 2042</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4.30% senior notes due January 2043</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350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4.70% senior notes due June 2044</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4.90% senior notes due February 2045</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650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Unamortized discounts and debt issuance costs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PAA senior notes, net of unamortized discounts and debt issuance costs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8,941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8,933</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w w:val="90"/>
              </w:rPr>
              <w:t>PAA commercial paper notes, bearing a weighted-average interest rate of 2.4%, and PAA senior secured hedged</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7"/>
        </w:trPr>
        <w:tc>
          <w:tcPr>
            <w:tcW w:w="8340" w:type="dxa"/>
            <w:vAlign w:val="bottom"/>
          </w:tcPr>
          <w:p>
            <w:pPr>
              <w:ind w:left="340"/>
              <w:spacing w:after="0" w:line="257" w:lineRule="exact"/>
              <w:rPr>
                <w:sz w:val="20"/>
                <w:szCs w:val="20"/>
                <w:color w:val="auto"/>
              </w:rPr>
            </w:pPr>
            <w:r>
              <w:rPr>
                <w:rFonts w:ascii="Arial" w:cs="Arial" w:eastAsia="Arial" w:hAnsi="Arial"/>
                <w:sz w:val="18"/>
                <w:szCs w:val="18"/>
                <w:color w:val="auto"/>
              </w:rPr>
              <w:t xml:space="preserve">inventory facility borrowings </w:t>
            </w:r>
            <w:r>
              <w:rPr>
                <w:rFonts w:ascii="Arial" w:cs="Arial" w:eastAsia="Arial" w:hAnsi="Arial"/>
                <w:sz w:val="25"/>
                <w:szCs w:val="25"/>
                <w:color w:val="auto"/>
                <w:vertAlign w:val="superscript"/>
              </w:rPr>
              <w:t>(2)</w:t>
            </w:r>
          </w:p>
        </w:tc>
        <w:tc>
          <w:tcPr>
            <w:tcW w:w="22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247</w:t>
            </w: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PAA GO Zone term loans, net of debt issuance costs of $2, bearing a weighted-average interest rate of 3.1%</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long-term debt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9,143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9,183</w:t>
            </w:r>
          </w:p>
        </w:tc>
      </w:tr>
      <w:tr>
        <w:trPr>
          <w:trHeight w:val="264"/>
        </w:trPr>
        <w:tc>
          <w:tcPr>
            <w:tcW w:w="8340" w:type="dxa"/>
            <w:vAlign w:val="bottom"/>
          </w:tcPr>
          <w:p>
            <w:pPr>
              <w:ind w:left="600"/>
              <w:spacing w:after="0" w:line="264"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5"/>
                <w:szCs w:val="25"/>
                <w:color w:val="auto"/>
                <w:vertAlign w:val="superscript"/>
              </w:rPr>
              <w:t>(3)</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9,209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9,920</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8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4" w:lineRule="exact"/>
        <w:rPr>
          <w:sz w:val="20"/>
          <w:szCs w:val="20"/>
          <w:color w:val="auto"/>
        </w:rPr>
      </w:pPr>
    </w:p>
    <w:p>
      <w:pPr>
        <w:ind w:left="660" w:right="420" w:hanging="652"/>
        <w:spacing w:after="0" w:line="226" w:lineRule="auto"/>
        <w:tabs>
          <w:tab w:leader="none" w:pos="660" w:val="left"/>
        </w:tabs>
        <w:numPr>
          <w:ilvl w:val="0"/>
          <w:numId w:val="111"/>
        </w:numPr>
        <w:rPr>
          <w:rFonts w:ascii="Arial" w:cs="Arial" w:eastAsia="Arial" w:hAnsi="Arial"/>
          <w:sz w:val="25"/>
          <w:szCs w:val="25"/>
          <w:color w:val="auto"/>
          <w:vertAlign w:val="superscript"/>
        </w:rPr>
      </w:pPr>
      <w:r>
        <w:rPr>
          <w:rFonts w:ascii="Arial" w:cs="Arial" w:eastAsia="Arial" w:hAnsi="Arial"/>
          <w:sz w:val="18"/>
          <w:szCs w:val="18"/>
          <w:color w:val="auto"/>
        </w:rPr>
        <w:t>We classified these PAA commercial paper notes and credit facility borrowings as short-term as of December 31, 2017, as these notes and borrowings were primarily designated as working capital borrowings, were required to be repaid within one year and were primarily for hedged NGL and crude oil inventory and NYMEX and ICE margin deposits.</w:t>
      </w:r>
    </w:p>
    <w:p>
      <w:pPr>
        <w:spacing w:after="0" w:line="95" w:lineRule="exact"/>
        <w:rPr>
          <w:rFonts w:ascii="Arial" w:cs="Arial" w:eastAsia="Arial" w:hAnsi="Arial"/>
          <w:sz w:val="25"/>
          <w:szCs w:val="25"/>
          <w:color w:val="auto"/>
          <w:vertAlign w:val="superscript"/>
        </w:rPr>
      </w:pPr>
    </w:p>
    <w:p>
      <w:pPr>
        <w:ind w:left="660" w:right="100" w:hanging="652"/>
        <w:spacing w:after="0" w:line="226" w:lineRule="auto"/>
        <w:tabs>
          <w:tab w:leader="none" w:pos="660" w:val="left"/>
        </w:tabs>
        <w:numPr>
          <w:ilvl w:val="0"/>
          <w:numId w:val="111"/>
        </w:numPr>
        <w:rPr>
          <w:rFonts w:ascii="Arial" w:cs="Arial" w:eastAsia="Arial" w:hAnsi="Arial"/>
          <w:sz w:val="25"/>
          <w:szCs w:val="25"/>
          <w:color w:val="auto"/>
          <w:vertAlign w:val="superscript"/>
        </w:rPr>
      </w:pPr>
      <w:r>
        <w:rPr>
          <w:rFonts w:ascii="Arial" w:cs="Arial" w:eastAsia="Arial" w:hAnsi="Arial"/>
          <w:sz w:val="18"/>
          <w:szCs w:val="18"/>
          <w:color w:val="auto"/>
        </w:rPr>
        <w:t>As of December 31, 2018, we classified the $500 million, 2.60% PAA senior notes due December 2019 as long-term, and as of December 31, 2017, we classified a portion of the PAA commercial paper notes and the PAA senior unsecured hedged inventory facility borrowings as long-term based on our ability and intent to refinance such amounts on a long-term basis.</w:t>
      </w:r>
    </w:p>
    <w:p>
      <w:pPr>
        <w:spacing w:after="0" w:line="95" w:lineRule="exact"/>
        <w:rPr>
          <w:rFonts w:ascii="Arial" w:cs="Arial" w:eastAsia="Arial" w:hAnsi="Arial"/>
          <w:sz w:val="25"/>
          <w:szCs w:val="25"/>
          <w:color w:val="auto"/>
          <w:vertAlign w:val="superscript"/>
        </w:rPr>
      </w:pPr>
    </w:p>
    <w:p>
      <w:pPr>
        <w:ind w:left="660" w:right="220" w:hanging="652"/>
        <w:spacing w:after="0" w:line="216" w:lineRule="auto"/>
        <w:tabs>
          <w:tab w:leader="none" w:pos="660" w:val="left"/>
        </w:tabs>
        <w:numPr>
          <w:ilvl w:val="0"/>
          <w:numId w:val="111"/>
        </w:numPr>
        <w:rPr>
          <w:rFonts w:ascii="Arial" w:cs="Arial" w:eastAsia="Arial" w:hAnsi="Arial"/>
          <w:sz w:val="25"/>
          <w:szCs w:val="25"/>
          <w:color w:val="auto"/>
          <w:vertAlign w:val="superscript"/>
        </w:rPr>
      </w:pPr>
      <w:r>
        <w:rPr>
          <w:rFonts w:ascii="Arial" w:cs="Arial" w:eastAsia="Arial" w:hAnsi="Arial"/>
          <w:sz w:val="18"/>
          <w:szCs w:val="18"/>
          <w:color w:val="auto"/>
        </w:rPr>
        <w:t>PAA’s fixed-rate senior notes had a face value of approximately $9.0 billion at both December 31, 2018 and 2017. We estimated the aggregate fair value of these notes as of December 31, 2018 and 2017 to be approximately $8.6 billion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5" w:right="23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line="304" w:lineRule="auto"/>
        <w:rPr>
          <w:sz w:val="20"/>
          <w:szCs w:val="20"/>
          <w:color w:val="auto"/>
        </w:rPr>
      </w:pPr>
      <w:r>
        <w:rPr>
          <w:rFonts w:ascii="Arial" w:cs="Arial" w:eastAsia="Arial" w:hAnsi="Arial"/>
          <w:sz w:val="18"/>
          <w:szCs w:val="18"/>
          <w:color w:val="auto"/>
        </w:rPr>
        <w:t>and $9.1 billion, respectively. PAA’s fixed-rate senior notes are traded among institutions, and these trades are routinely published by a reporting service. Our determination of fair value is based on reported trading activity near year end. We estimate that the carrying value of outstanding borrowings under the credit facilities and the PAA commercial paper program approximates fair value as interest rates reflect current market rates. The fair value estimates for the PAA senior notes, the credit facilities and the PAA commercial paper program are based upon observable market data and are classified in Level 2 of the fair value hierarchy.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Commercial Paper Program</w:t>
      </w:r>
    </w:p>
    <w:p>
      <w:pPr>
        <w:spacing w:after="0" w:line="225" w:lineRule="exact"/>
        <w:rPr>
          <w:sz w:val="20"/>
          <w:szCs w:val="20"/>
          <w:color w:val="auto"/>
        </w:rPr>
      </w:pPr>
    </w:p>
    <w:p>
      <w:pPr>
        <w:ind w:right="260" w:firstLine="662"/>
        <w:spacing w:after="0" w:line="312" w:lineRule="auto"/>
        <w:rPr>
          <w:sz w:val="20"/>
          <w:szCs w:val="20"/>
          <w:color w:val="auto"/>
        </w:rPr>
      </w:pPr>
      <w:r>
        <w:rPr>
          <w:rFonts w:ascii="Arial" w:cs="Arial" w:eastAsia="Arial" w:hAnsi="Arial"/>
          <w:sz w:val="16"/>
          <w:szCs w:val="16"/>
          <w:color w:val="auto"/>
        </w:rPr>
        <w:t>PAA has a commercial paper program under which it may issue (and have outstanding at any time) up to $3.0 billion in the aggregate of privately placed, unsecured commercial paper notes. Such notes are backstopped by the PAA senior unsecured revolving credit facility and the PAA senior secured hedged inventory facility; as such, any borrowings under the PAA commercial paper program reduce the available capacity under these facilities.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PAA senior secured hedged inventory facility</w:t>
      </w:r>
      <w:r>
        <w:rPr>
          <w:rFonts w:ascii="Arial" w:cs="Arial" w:eastAsia="Arial" w:hAnsi="Arial"/>
          <w:sz w:val="16"/>
          <w:szCs w:val="16"/>
          <w:color w:val="auto"/>
        </w:rPr>
        <w:t>. PAA has a credit agreement that provides for a senior secured hedged inventory facility with a</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committed borrowing capacity of $1.4 billion, of which $400 million is available for the issuance of letters of credit. Subject to obtaining additional or increased lender commitments, the committed capacity of the facility may be increased to $1.9 billion. Proceeds from the facility are primarily used to finance purchased or stored hedged inventory, including NYMEX and ICE margin deposits. Such obligations under the committed facility are secured by the financed inventory and the associated accounts receivable and are repaid from the proceeds of the sale of the financed inventory. Borrowings accrue interest based, at PAA’s election, on either the Eurocurrency Rate or the Base Rate, in each case plus a margin based on PAA’s credit rating at the applicable time. The agreement also provides for one or more one-year extensions, subject to applicable approval. In August 2018, PAA amended this agreement to, among other things, extend the maturity date of the facility to August 2021 for each extending lender. The maturity date with respect to each non-extending lender (which represent aggregate commitments of approximately $35 million out of total commitments of $1.4 billion from all lenders) remains August 2020.</w:t>
      </w:r>
    </w:p>
    <w:p>
      <w:pPr>
        <w:spacing w:after="0" w:line="167"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i w:val="1"/>
          <w:iCs w:val="1"/>
          <w:color w:val="auto"/>
        </w:rPr>
        <w:t xml:space="preserve">PAA senior unsecured revolving credit facility. </w:t>
      </w:r>
      <w:r>
        <w:rPr>
          <w:rFonts w:ascii="Arial" w:cs="Arial" w:eastAsia="Arial" w:hAnsi="Arial"/>
          <w:sz w:val="16"/>
          <w:szCs w:val="16"/>
          <w:color w:val="auto"/>
        </w:rPr>
        <w:t>PAA has a credit agreement that provides for a senior unsecured revolving credit facility with a</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committed borrowing capacity of $1.6 billion. Subject to obtaining additional or increased lender commitments, the committed capacity may be increased to $2.1 billion. The credit agreement also provides for the issuance of letters of credit. Borrowings accrue interest based, at PAA’s election, on the Eurocurrency Rate, the Base Rate or the Canadian Prime Rate, in each case plus a margin based on PAA’s credit rating at the applicable time. The agreement also provides for one or more one-year extensions, subject to applicable approval. In August 2018, PAA amended this agreement to, among other things, extend the maturity date of the facility to August 2023 for each extending lender. The maturity date with respect to each non-extending lender (which represent aggregate commitments of $35 million out of total commitments of $1.6 billion from all lenders) remains August 2022.</w:t>
      </w:r>
    </w:p>
    <w:p>
      <w:pPr>
        <w:spacing w:after="0" w:line="16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 xml:space="preserve">PAA Senior unsecured 364-day revolving credit facility. </w:t>
      </w:r>
      <w:r>
        <w:rPr>
          <w:rFonts w:ascii="Arial" w:cs="Arial" w:eastAsia="Arial" w:hAnsi="Arial"/>
          <w:sz w:val="18"/>
          <w:szCs w:val="18"/>
          <w:color w:val="auto"/>
        </w:rPr>
        <w:t>PAA’s credit agreement that provided for a 364-day senior unsecured revolving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matured in August 2018.</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PAA GO Zone term loans</w:t>
      </w:r>
      <w:r>
        <w:rPr>
          <w:rFonts w:ascii="Arial" w:cs="Arial" w:eastAsia="Arial" w:hAnsi="Arial"/>
          <w:sz w:val="18"/>
          <w:szCs w:val="18"/>
          <w:color w:val="auto"/>
        </w:rPr>
        <w:t>. In August 2018, PAA entered into an agreement for two $100 million term loans (the “GO Zone term loans”)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remarketing of its $100,000,000 Mississippi Business Finance Corporation Gulf Opportunity Zone Industrial Development Revenue Bonds (SG Resources Mississippi, LLC Project), Series 2009 and its $100,000,000 Mississippi Business Finance Corporation Gulf Opportunity Zone Industrial Development Revenue Bonds (SG Resources Mississippi, LLC Project), Series 2010 (collectively, the “GO Bonds”). The GO Zone term loans accrue interest in accordance with the interest payable on the related GO Bonds as provided in the GO Bonds Indenture pursuant to which such GO Bonds are issued and governed. The purchasers of the two GO Zone term loans have the right to put, at par, the GO Zone term loans in July 2023. The GO Bonds mature by their terms in May 2032 and August 2035, respectively.</w:t>
      </w:r>
    </w:p>
    <w:p>
      <w:pPr>
        <w:spacing w:after="0" w:line="18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AAP senior secured credit agreement. </w:t>
      </w:r>
      <w:r>
        <w:rPr>
          <w:rFonts w:ascii="Arial" w:cs="Arial" w:eastAsia="Arial" w:hAnsi="Arial"/>
          <w:sz w:val="18"/>
          <w:szCs w:val="18"/>
          <w:color w:val="auto"/>
        </w:rPr>
        <w:t>In connection with the Simplification Transactions, on November 15, 2016, PAA assumed all of AAP’s then</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borrowings under the AAP senior secured credit agreement, and immediately repaid such amounts and canceled the credit agreement. See Note 1 for further discussion of the Simplification Transactions.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25" w:right="23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PAA Senior Notes</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PAA’s senior notes are co-issued, jointly and severally, by Plains All American Pipeline, L.P. and a 100%-owned consolidated finance subsidiary (neither of which have independent assets or operations) and are unsecured senior obligations of such entities and rank equally in right of payment with existing and future senior indebtedness of the issuers. PAA may, at its option, redeem any series of senior notes at any time in whole or from time to time in part, prior to maturity, at the redemption prices described in the indentures governing the senior notes. PAA’s senior notes are not guaranteed by any of its subsidiaries.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PAA Senior Notes Issuances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PAA’s issuances of senior unsecured notes during 2016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Year</w:t>
            </w:r>
          </w:p>
        </w:tc>
        <w:tc>
          <w:tcPr>
            <w:tcW w:w="140" w:type="dxa"/>
            <w:vAlign w:val="bottom"/>
            <w:tcBorders>
              <w:bottom w:val="single" w:sz="8" w:color="CCEEFF"/>
            </w:tcBorders>
          </w:tcPr>
          <w:p>
            <w:pPr>
              <w:spacing w:after="0"/>
              <w:rPr>
                <w:sz w:val="16"/>
                <w:szCs w:val="16"/>
                <w:color w:val="auto"/>
              </w:rPr>
            </w:pP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Maturity</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2"/>
              </w:rPr>
              <w:t>Face Value</w:t>
            </w:r>
          </w:p>
        </w:tc>
        <w:tc>
          <w:tcPr>
            <w:tcW w:w="100" w:type="dxa"/>
            <w:vAlign w:val="bottom"/>
            <w:tcBorders>
              <w:bottom w:val="single" w:sz="8" w:color="CCEEFF"/>
            </w:tcBorders>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Interest Payment Dates</w:t>
            </w:r>
          </w:p>
        </w:tc>
      </w:tr>
      <w:tr>
        <w:trPr>
          <w:trHeight w:val="243"/>
        </w:trPr>
        <w:tc>
          <w:tcPr>
            <w:tcW w:w="5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4"/>
              </w:rPr>
              <w:t>2016</w:t>
            </w:r>
          </w:p>
        </w:tc>
        <w:tc>
          <w:tcPr>
            <w:tcW w:w="140" w:type="dxa"/>
            <w:vAlign w:val="bottom"/>
            <w:shd w:val="clear" w:color="auto" w:fill="CCEEFF"/>
          </w:tcPr>
          <w:p>
            <w:pPr>
              <w:spacing w:after="0"/>
              <w:rPr>
                <w:sz w:val="21"/>
                <w:szCs w:val="21"/>
                <w:color w:val="auto"/>
              </w:rPr>
            </w:pPr>
          </w:p>
        </w:tc>
        <w:tc>
          <w:tcPr>
            <w:tcW w:w="5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4.50% PAA Senior Notes issued at 99.716% of face value</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December 2026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1"/>
                <w:szCs w:val="21"/>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15 and December 15</w:t>
            </w:r>
          </w:p>
        </w:tc>
      </w:tr>
      <w:tr>
        <w:trPr>
          <w:trHeight w:val="27"/>
        </w:trPr>
        <w:tc>
          <w:tcPr>
            <w:tcW w:w="5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did not issue any senior unsecured notes during the years ended December 31, 2018 or 2017.</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PAA Senior Notes Repayments. </w:t>
      </w:r>
      <w:r>
        <w:rPr>
          <w:rFonts w:ascii="Arial" w:cs="Arial" w:eastAsia="Arial" w:hAnsi="Arial"/>
          <w:sz w:val="18"/>
          <w:szCs w:val="18"/>
          <w:color w:val="auto"/>
        </w:rPr>
        <w:t>PAA did not repay any senior unsecured notes during 2018. During 2017 and 2016, PAA repaid the following senior</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 notes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Borders>
              <w:bottom w:val="single" w:sz="8" w:color="CCEEFF"/>
            </w:tcBorders>
          </w:tcPr>
          <w:p>
            <w:pPr>
              <w:spacing w:after="0"/>
              <w:rPr>
                <w:sz w:val="16"/>
                <w:szCs w:val="16"/>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Description</w:t>
            </w:r>
          </w:p>
        </w:tc>
        <w:tc>
          <w:tcPr>
            <w:tcW w:w="12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Repayment Date</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250"/>
        </w:trPr>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$400 million 6.13% PAA Senior Notes due January 2017</w:t>
            </w: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January 2017</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w:t>
            </w:r>
          </w:p>
        </w:tc>
      </w:tr>
      <w:tr>
        <w:trPr>
          <w:trHeight w:val="243"/>
        </w:trPr>
        <w:tc>
          <w:tcPr>
            <w:tcW w:w="21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1"/>
                <w:szCs w:val="21"/>
                <w:color w:val="auto"/>
              </w:rPr>
            </w:pPr>
          </w:p>
        </w:tc>
        <w:tc>
          <w:tcPr>
            <w:tcW w:w="57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$600 million 6.50% PAA Senior Notes due May 2018</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December 2017</w:t>
            </w:r>
          </w:p>
        </w:tc>
        <w:tc>
          <w:tcPr>
            <w:tcW w:w="560" w:type="dxa"/>
            <w:vAlign w:val="bottom"/>
          </w:tcPr>
          <w:p>
            <w:pPr>
              <w:ind w:left="20"/>
              <w:spacing w:after="0"/>
              <w:rPr>
                <w:sz w:val="20"/>
                <w:szCs w:val="20"/>
                <w:color w:val="auto"/>
              </w:rPr>
            </w:pPr>
            <w:r>
              <w:rPr>
                <w:rFonts w:ascii="Arial" w:cs="Arial" w:eastAsia="Arial" w:hAnsi="Arial"/>
                <w:sz w:val="13"/>
                <w:szCs w:val="13"/>
                <w:color w:val="auto"/>
              </w:rPr>
              <w:t>(1) (2)</w:t>
            </w: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$350 million 8.75% PAA Senior Notes due May 2019</w:t>
            </w: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December 2017</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 (2)</w:t>
            </w:r>
          </w:p>
        </w:tc>
      </w:tr>
      <w:tr>
        <w:trPr>
          <w:trHeight w:val="324"/>
        </w:trPr>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43"/>
        </w:trPr>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shd w:val="clear" w:color="auto" w:fill="CCEEFF"/>
          </w:tcPr>
          <w:p>
            <w:pPr>
              <w:spacing w:after="0"/>
              <w:rPr>
                <w:sz w:val="21"/>
                <w:szCs w:val="21"/>
                <w:color w:val="auto"/>
              </w:rPr>
            </w:pPr>
          </w:p>
        </w:tc>
        <w:tc>
          <w:tcPr>
            <w:tcW w:w="5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$175 million 5.88% PAA Senior Notes due August 2016</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August 2016</w:t>
            </w:r>
          </w:p>
        </w:tc>
        <w:tc>
          <w:tcPr>
            <w:tcW w:w="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(1)</w:t>
            </w:r>
          </w:p>
        </w:tc>
      </w:tr>
      <w:tr>
        <w:trPr>
          <w:trHeight w:val="27"/>
        </w:trPr>
        <w:tc>
          <w:tcPr>
            <w:tcW w:w="2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8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21" w:lineRule="exact"/>
        <w:rPr>
          <w:sz w:val="20"/>
          <w:szCs w:val="20"/>
          <w:color w:val="auto"/>
        </w:rPr>
      </w:pPr>
    </w:p>
    <w:p>
      <w:pPr>
        <w:ind w:left="660" w:hanging="652"/>
        <w:spacing w:after="0"/>
        <w:tabs>
          <w:tab w:leader="none" w:pos="660" w:val="left"/>
        </w:tabs>
        <w:numPr>
          <w:ilvl w:val="0"/>
          <w:numId w:val="112"/>
        </w:numPr>
        <w:rPr>
          <w:rFonts w:ascii="Arial" w:cs="Arial" w:eastAsia="Arial" w:hAnsi="Arial"/>
          <w:sz w:val="22"/>
          <w:szCs w:val="22"/>
          <w:color w:val="auto"/>
          <w:vertAlign w:val="superscript"/>
        </w:rPr>
      </w:pPr>
      <w:r>
        <w:rPr>
          <w:rFonts w:ascii="Arial" w:cs="Arial" w:eastAsia="Arial" w:hAnsi="Arial"/>
          <w:sz w:val="16"/>
          <w:szCs w:val="16"/>
          <w:color w:val="auto"/>
        </w:rPr>
        <w:t>These senior notes were repaid with cash on hand and proceeds from borrowings under the PAA credit facilities and commercial paper program.</w:t>
      </w:r>
    </w:p>
    <w:p>
      <w:pPr>
        <w:spacing w:after="0" w:line="98" w:lineRule="exact"/>
        <w:rPr>
          <w:rFonts w:ascii="Arial" w:cs="Arial" w:eastAsia="Arial" w:hAnsi="Arial"/>
          <w:sz w:val="22"/>
          <w:szCs w:val="22"/>
          <w:color w:val="auto"/>
          <w:vertAlign w:val="superscript"/>
        </w:rPr>
      </w:pPr>
    </w:p>
    <w:p>
      <w:pPr>
        <w:ind w:left="660" w:right="660" w:hanging="652"/>
        <w:spacing w:after="0" w:line="214" w:lineRule="auto"/>
        <w:tabs>
          <w:tab w:leader="none" w:pos="660" w:val="left"/>
        </w:tabs>
        <w:numPr>
          <w:ilvl w:val="0"/>
          <w:numId w:val="112"/>
        </w:numPr>
        <w:rPr>
          <w:rFonts w:ascii="Arial" w:cs="Arial" w:eastAsia="Arial" w:hAnsi="Arial"/>
          <w:sz w:val="25"/>
          <w:szCs w:val="25"/>
          <w:color w:val="auto"/>
          <w:vertAlign w:val="superscript"/>
        </w:rPr>
      </w:pPr>
      <w:r>
        <w:rPr>
          <w:rFonts w:ascii="Arial" w:cs="Arial" w:eastAsia="Arial" w:hAnsi="Arial"/>
          <w:sz w:val="18"/>
          <w:szCs w:val="18"/>
          <w:color w:val="auto"/>
        </w:rPr>
        <w:t>In conjunction with the early redemptions of these PAA senior notes, we recognized a loss of approximately $40 million, recorded to “Other income/(expense), net” in our Consolidated Statement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22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The weighted average maturity of our long-term debt outstanding at December 31, 2018 was approximately 11 years. The following table presents the aggregate contractually scheduled maturities of such long-term debt for the next five years and thereafter. The amounts presented exclude unamortized discounts and debt issuance costs.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Calendar Year</w:t>
            </w:r>
          </w:p>
        </w:tc>
        <w:tc>
          <w:tcPr>
            <w:tcW w:w="6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374"/>
              <w:spacing w:after="0"/>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auto"/>
            </w:tcBorders>
            <w:vMerge w:val="continue"/>
          </w:tcPr>
          <w:p>
            <w:pPr>
              <w:spacing w:after="0"/>
              <w:rPr>
                <w:sz w:val="16"/>
                <w:szCs w:val="16"/>
                <w:color w:val="auto"/>
              </w:rPr>
            </w:pPr>
          </w:p>
        </w:tc>
        <w:tc>
          <w:tcPr>
            <w:tcW w:w="6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6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2020</w:t>
            </w:r>
          </w:p>
        </w:tc>
        <w:tc>
          <w:tcPr>
            <w:tcW w:w="69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6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2022</w:t>
            </w:r>
          </w:p>
        </w:tc>
        <w:tc>
          <w:tcPr>
            <w:tcW w:w="69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6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9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5,554</w:t>
            </w:r>
          </w:p>
        </w:tc>
        <w:tc>
          <w:tcPr>
            <w:tcW w:w="0" w:type="dxa"/>
            <w:vAlign w:val="bottom"/>
          </w:tcPr>
          <w:p>
            <w:pPr>
              <w:spacing w:after="0"/>
              <w:rPr>
                <w:sz w:val="1"/>
                <w:szCs w:val="1"/>
                <w:color w:val="auto"/>
              </w:rPr>
            </w:pPr>
          </w:p>
        </w:tc>
      </w:tr>
      <w:tr>
        <w:trPr>
          <w:trHeight w:val="702"/>
        </w:trPr>
        <w:tc>
          <w:tcPr>
            <w:tcW w:w="3240" w:type="dxa"/>
            <w:vAlign w:val="bottom"/>
          </w:tcPr>
          <w:p>
            <w:pPr>
              <w:spacing w:after="0"/>
              <w:rPr>
                <w:sz w:val="24"/>
                <w:szCs w:val="24"/>
                <w:color w:val="auto"/>
              </w:rPr>
            </w:pPr>
          </w:p>
        </w:tc>
        <w:tc>
          <w:tcPr>
            <w:tcW w:w="6940" w:type="dxa"/>
            <w:vAlign w:val="bottom"/>
            <w:gridSpan w:val="3"/>
          </w:tcPr>
          <w:p>
            <w:pPr>
              <w:jc w:val="right"/>
              <w:ind w:right="4300"/>
              <w:spacing w:after="0"/>
              <w:rPr>
                <w:sz w:val="20"/>
                <w:szCs w:val="20"/>
                <w:color w:val="auto"/>
              </w:rPr>
            </w:pPr>
            <w:r>
              <w:rPr>
                <w:rFonts w:ascii="Arial" w:cs="Arial" w:eastAsia="Arial" w:hAnsi="Arial"/>
                <w:sz w:val="18"/>
                <w:szCs w:val="18"/>
                <w:color w:val="auto"/>
              </w:rPr>
              <w:t>F-33</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Compliance</w:t>
      </w:r>
    </w:p>
    <w:p>
      <w:pPr>
        <w:spacing w:after="0" w:line="22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credit agreements for PAA’s revolving credit facilities (which impact the ability to access the PAA commercial paper program because they provide the financial backstop that supports PAA’s short-term credit ratings) and PAA’s term loans and the indentures governing PAA’s senior notes contain cross-default provisions. PAA’s credit agreements prohibit declaration or payments of distributions on, or purchases or redemptions of, units if any default or event of default is continuing. In addition, PAA’s agreements contain various covenants limiting PAA’s ability to, among other things:</w:t>
      </w:r>
    </w:p>
    <w:p>
      <w:pPr>
        <w:spacing w:after="0" w:line="46" w:lineRule="exact"/>
        <w:rPr>
          <w:sz w:val="20"/>
          <w:szCs w:val="20"/>
          <w:color w:val="auto"/>
        </w:rPr>
      </w:pPr>
    </w:p>
    <w:p>
      <w:pPr>
        <w:ind w:left="980" w:hanging="324"/>
        <w:spacing w:after="0"/>
        <w:tabs>
          <w:tab w:leader="none" w:pos="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grant liens on certain property;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incur indebtedness, including capital leases;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sell substantially all of its assets or enter into a merger or consolidation;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enter into certain burdensome agreements.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credit agreements for the PAA senior unsecured revolving credit facility, the PAA senior secured hedged inventory facility and the PAA GO Zone term loans treat a change of control as an event of default and also require PAA to maintain a debt-to-EBITDA coverage ratio that, on a trailing four-quarter basis, will not be greater than 5.00 to 1.00 (or 5.50 to 1.00 on all outstanding debt during an acquisition period (generally, the period consisting of three fiscal quarters following an acquisition greater than $150 million)). For covenant compliance purposes, Consolidated EBITDA may include certain adjustments, including those for material projects and certain non-recurring expenses. Additionally, letters of credit and borrowings to fund hedged inventory and margin requirements are excluded when calculating the debt coverage ratio.</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 default under PAA’s credit agreements or indentures would permit the lenders to accelerate the maturity of the outstanding debt. As long as PAA is in compliance with the provisions contained in its credit agreements, PAA’s ability to make distributions of available cash is not restricted. As of December 31, 2018, PAA was in compliance with the covenants contained in its credit agreements and indentures.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Total borrowings under the credit agreements and the PAA commercial paper program for the years ended December 31, 2018, 2017 and 2016 were approximately $45.4 billion, $60.8 billion and $60.4 billion, respectively. Total repayments under the credit agreements and the PAA commercial paper program were approximately $46.3 billion, $61.5 billion and $61.0 billion for the years ended December 31, 2018, 2017 and 2016, respectively. The variance in total gross borrowings and repayments is impacted by various business and financial factors including, but not limited to, the timing, average term and method of general partnership borrowing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connection with our supply and logistics activities, we provide certain suppliers with irrevocable standby letters of credit to secure our obligation for the purchase and transportation of crude oil, NGL and natural gas. These letters of credit are issued under the PAA senior unsecured revolving credit facility and the PAA senior secured hedged inventory facility, and our liabilities with respect to these purchase obligations are recorded in accounts payable on our balance sheet in the month the crude oil, NGL or natural gas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2018 and 2017, we had outstanding letters of credit of $184 million and $166 million,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Costs incurred in connection with the issuance of senior notes are recorded as a direct deduction from the related debt liability and are amortized using the straight-line method over the term of the related debt. Use of the straight-line method does not differ materially from the “effective interest” method of amortization.</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125" w:right="25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Shares</w:t>
      </w:r>
    </w:p>
    <w:p>
      <w:pPr>
        <w:spacing w:after="0" w:line="225"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Our Class A shares, Class B shares and Class C shares represent limited partner interests in us. The holders of our Class A and Class B shares are entitled to exercise the rights or privileges available to limited partners under our partnership agreement, but only holders of Class A shares are entitled to participate in our distributions.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Class C shares, which were established in connection with the Simplification Transactions, are non-economic and provide PAA, as the sole holder of such Class C shares, the right to vote in the election of eligible directors together with the holders of our Class A and Class B shares. Pursuant to the Omnibus Agreement, we issue Class C shares to PAA in an amount equal to the PAA Common Unit Equivalents outstanding excluding common units held by AAP.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and Redemption Rights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Holders of AAP units and their permitted transferees each have the right to exchange all or a portion of their AAP units for Class A shares at an exchange ratio of one Class A share for each AAP unit exchanged (referred to herein as their “Exchange Right”). This Exchange Right may be exercised only if, simultaneously therewith, an equal number of our Class B shares and general partner units are transferred by the exercising party to us. Additionally, a holder of vested AAP Management Units is entitled to convert his or her AAP Management Units into AAP units and a like number of our Class B shares based on a conversion ratio of approximately 0.941 AAP units for each AAP Management Unit. Following any such conversion, the holder will have the Exchange Right for our Class A shares. Holders of AAP Management Units who convert such units into AAP units and Class B shares will not receive general partner units and thus will not need to include any general partner units in a transfer or the exercise of their Exchange Right. See Note 14 for additional information regarding the deferred tax asset associated with units that have been exchanged.</w:t>
      </w:r>
    </w:p>
    <w:p>
      <w:pPr>
        <w:spacing w:after="0" w:line="17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Additionally, subject to certain limitations, a holder of AAP units (other than us and GP LLC) has the right (a “Redemption Right”) to cause AAP to redeem any or all of such holder’s AAP units in exchange for the distribution of an equivalent number of PAA common units held by AAP (“AAP Unit Redemption”). In connection with any AAP Unit Redemption, the redeeming holder will transfer the AAP units to AAP and a corresponding number of our Class B shares and general partner units (if any), in each case, to us. The AAP units transferred to AAP will be canceled, the Class B shares transferred to us will be canceled and the general partner units transferred to us will remain outstanding and increase our ownership percentage in our general partner.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125" w:right="25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activity for our Class A shares, Class B shares and Class C shares: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1480" w:type="dxa"/>
            <w:vAlign w:val="bottom"/>
            <w:gridSpan w:val="2"/>
          </w:tcPr>
          <w:p>
            <w:pPr>
              <w:ind w:left="220"/>
              <w:spacing w:after="0"/>
              <w:rPr>
                <w:sz w:val="20"/>
                <w:szCs w:val="20"/>
                <w:color w:val="auto"/>
              </w:rPr>
            </w:pPr>
            <w:r>
              <w:rPr>
                <w:rFonts w:ascii="Arial" w:cs="Arial" w:eastAsia="Arial" w:hAnsi="Arial"/>
                <w:sz w:val="14"/>
                <w:szCs w:val="14"/>
                <w:b w:val="1"/>
                <w:bCs w:val="1"/>
                <w:color w:val="auto"/>
              </w:rPr>
              <w:t>Class A Shares</w:t>
            </w:r>
          </w:p>
        </w:tc>
        <w:tc>
          <w:tcPr>
            <w:tcW w:w="1440" w:type="dxa"/>
            <w:vAlign w:val="bottom"/>
            <w:gridSpan w:val="2"/>
          </w:tcPr>
          <w:p>
            <w:pPr>
              <w:ind w:left="200"/>
              <w:spacing w:after="0"/>
              <w:rPr>
                <w:sz w:val="20"/>
                <w:szCs w:val="20"/>
                <w:color w:val="auto"/>
              </w:rPr>
            </w:pPr>
            <w:r>
              <w:rPr>
                <w:rFonts w:ascii="Arial" w:cs="Arial" w:eastAsia="Arial" w:hAnsi="Arial"/>
                <w:sz w:val="14"/>
                <w:szCs w:val="14"/>
                <w:b w:val="1"/>
                <w:bCs w:val="1"/>
                <w:color w:val="auto"/>
              </w:rPr>
              <w:t>Class B Shares</w:t>
            </w:r>
          </w:p>
        </w:tc>
        <w:tc>
          <w:tcPr>
            <w:tcW w:w="1340" w:type="dxa"/>
            <w:vAlign w:val="bottom"/>
          </w:tcPr>
          <w:p>
            <w:pPr>
              <w:jc w:val="right"/>
              <w:ind w:right="131"/>
              <w:spacing w:after="0"/>
              <w:rPr>
                <w:sz w:val="20"/>
                <w:szCs w:val="20"/>
                <w:color w:val="auto"/>
              </w:rPr>
            </w:pPr>
            <w:r>
              <w:rPr>
                <w:rFonts w:ascii="Arial" w:cs="Arial" w:eastAsia="Arial" w:hAnsi="Arial"/>
                <w:sz w:val="14"/>
                <w:szCs w:val="14"/>
                <w:b w:val="1"/>
                <w:bCs w:val="1"/>
                <w:color w:val="auto"/>
              </w:rPr>
              <w:t>Class C Shares</w:t>
            </w:r>
          </w:p>
        </w:tc>
      </w:tr>
      <w:tr>
        <w:trPr>
          <w:trHeight w:val="275"/>
        </w:trPr>
        <w:tc>
          <w:tcPr>
            <w:tcW w:w="7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3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86,099,037</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3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141,485,588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3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Conversion of AAP Management Units</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14,693,093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Exchange Right exercises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15,099,678</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(15,099,678)</w:t>
            </w:r>
          </w:p>
        </w:tc>
        <w:tc>
          <w:tcPr>
            <w:tcW w:w="1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 Right exercises</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(3,035,517)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3,035,517</w:t>
            </w: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Issuance of Class C shares in connection with the Simplification Transactions</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477,648,826</w:t>
            </w:r>
          </w:p>
        </w:tc>
      </w:tr>
      <w:tr>
        <w:trPr>
          <w:trHeight w:val="27"/>
        </w:trPr>
        <w:tc>
          <w:tcPr>
            <w:tcW w:w="7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of common units by a subsidiary</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11,226,520</w:t>
            </w: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Other</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7,811</w:t>
            </w:r>
          </w:p>
        </w:tc>
        <w:tc>
          <w:tcPr>
            <w:tcW w:w="12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0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101,206,526</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138,043,486</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491,910,863</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Conversion of AAP Management Units</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1,557,860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Exchange Right exercises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4,799,227</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(4,799,227)</w:t>
            </w:r>
          </w:p>
        </w:tc>
        <w:tc>
          <w:tcPr>
            <w:tcW w:w="1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 Right exercises</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(7,817,547)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7,817,547</w:t>
            </w: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Sales of Class A shares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50,086,326</w:t>
            </w:r>
          </w:p>
        </w:tc>
        <w:tc>
          <w:tcPr>
            <w:tcW w:w="12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of common units by a subsidiary</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4,033,567</w:t>
            </w:r>
          </w:p>
        </w:tc>
      </w:tr>
      <w:tr>
        <w:trPr>
          <w:trHeight w:val="229"/>
        </w:trPr>
        <w:tc>
          <w:tcPr>
            <w:tcW w:w="7000" w:type="dxa"/>
            <w:vAlign w:val="bottom"/>
          </w:tcPr>
          <w:p>
            <w:pPr>
              <w:ind w:left="180"/>
              <w:spacing w:after="0"/>
              <w:rPr>
                <w:sz w:val="20"/>
                <w:szCs w:val="20"/>
                <w:color w:val="auto"/>
              </w:rPr>
            </w:pPr>
            <w:r>
              <w:rPr>
                <w:rFonts w:ascii="Arial" w:cs="Arial" w:eastAsia="Arial" w:hAnsi="Arial"/>
                <w:sz w:val="18"/>
                <w:szCs w:val="18"/>
                <w:color w:val="auto"/>
              </w:rPr>
              <w:t>Issuance of common units by a subsidiary in connection with acquisition of interest in</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000" w:type="dxa"/>
            <w:vAlign w:val="bottom"/>
          </w:tcPr>
          <w:p>
            <w:pPr>
              <w:ind w:left="340"/>
              <w:spacing w:after="0"/>
              <w:rPr>
                <w:sz w:val="20"/>
                <w:szCs w:val="20"/>
                <w:color w:val="auto"/>
              </w:rPr>
            </w:pPr>
            <w:r>
              <w:rPr>
                <w:rFonts w:ascii="Arial" w:cs="Arial" w:eastAsia="Arial" w:hAnsi="Arial"/>
                <w:sz w:val="18"/>
                <w:szCs w:val="18"/>
                <w:color w:val="auto"/>
              </w:rPr>
              <w:t>Advantage Joint Venture (Note 7)</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1,252,269</w:t>
            </w:r>
          </w:p>
        </w:tc>
      </w:tr>
      <w:tr>
        <w:trPr>
          <w:trHeight w:val="27"/>
        </w:trPr>
        <w:tc>
          <w:tcPr>
            <w:tcW w:w="7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Issuances of Series A preferred units by a subsidiary</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5,307,689</w:t>
            </w: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Other</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19,060</w:t>
            </w:r>
          </w:p>
        </w:tc>
        <w:tc>
          <w:tcPr>
            <w:tcW w:w="12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603,497</w:t>
            </w:r>
          </w:p>
        </w:tc>
      </w:tr>
      <w:tr>
        <w:trPr>
          <w:trHeight w:val="27"/>
        </w:trPr>
        <w:tc>
          <w:tcPr>
            <w:tcW w:w="70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156,111,139</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126,984,572</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510,925,432</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Exchange Right exercises</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3,363,199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(3,363,199)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Redemption Right exercises</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(4,017,035)</w:t>
            </w:r>
          </w:p>
        </w:tc>
        <w:tc>
          <w:tcPr>
            <w:tcW w:w="1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4,017,035</w:t>
            </w:r>
          </w:p>
        </w:tc>
      </w:tr>
      <w:tr>
        <w:trPr>
          <w:trHeight w:val="27"/>
        </w:trPr>
        <w:tc>
          <w:tcPr>
            <w:tcW w:w="7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Series A preferred units by a subsidiary</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1,393,926</w:t>
            </w: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Other</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11,250</w:t>
            </w:r>
          </w:p>
        </w:tc>
        <w:tc>
          <w:tcPr>
            <w:tcW w:w="12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601,887</w:t>
            </w:r>
          </w:p>
        </w:tc>
      </w:tr>
      <w:tr>
        <w:trPr>
          <w:trHeight w:val="27"/>
        </w:trPr>
        <w:tc>
          <w:tcPr>
            <w:tcW w:w="70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159,485,588</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119,604,338</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516,938,280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500" w:firstLine="648"/>
        <w:spacing w:after="0" w:line="286" w:lineRule="auto"/>
        <w:rPr>
          <w:sz w:val="20"/>
          <w:szCs w:val="20"/>
          <w:color w:val="auto"/>
        </w:rPr>
      </w:pPr>
      <w:r>
        <w:rPr>
          <w:rFonts w:ascii="Arial" w:cs="Arial" w:eastAsia="Arial" w:hAnsi="Arial"/>
          <w:sz w:val="17"/>
          <w:szCs w:val="17"/>
          <w:color w:val="auto"/>
        </w:rPr>
        <w:t>We distribute 100% of our available cash within 55 days following the end of each quarter to Class A shareholders of record. Available cash is generally defined as all cash on hand at the date of determination of available cash for the distribution in respect to such quarter (including expected distributions from AAP in respect of such quarter), less reserves established by our general partner for future requirements.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details the distributions paid to Class A shareholders during the periods indicated (in millions, except per share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3220" w:type="dxa"/>
            <w:vAlign w:val="bottom"/>
          </w:tcPr>
          <w:p>
            <w:pPr>
              <w:jc w:val="right"/>
              <w:ind w:right="74"/>
              <w:spacing w:after="0"/>
              <w:rPr>
                <w:sz w:val="20"/>
                <w:szCs w:val="20"/>
                <w:color w:val="auto"/>
              </w:rPr>
            </w:pPr>
            <w:r>
              <w:rPr>
                <w:rFonts w:ascii="Arial" w:cs="Arial" w:eastAsia="Arial" w:hAnsi="Arial"/>
                <w:sz w:val="14"/>
                <w:szCs w:val="14"/>
                <w:b w:val="1"/>
                <w:bCs w:val="1"/>
                <w:color w:val="auto"/>
              </w:rPr>
              <w:t>Distributions to Class A Shareholders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40" w:type="dxa"/>
            <w:vAlign w:val="bottom"/>
          </w:tcPr>
          <w:p>
            <w:pPr>
              <w:jc w:val="right"/>
              <w:ind w:right="834"/>
              <w:spacing w:after="0"/>
              <w:rPr>
                <w:sz w:val="20"/>
                <w:szCs w:val="20"/>
                <w:color w:val="auto"/>
              </w:rPr>
            </w:pPr>
            <w:r>
              <w:rPr>
                <w:rFonts w:ascii="Arial" w:cs="Arial" w:eastAsia="Arial" w:hAnsi="Arial"/>
                <w:sz w:val="14"/>
                <w:szCs w:val="14"/>
                <w:b w:val="1"/>
                <w:bCs w:val="1"/>
                <w:color w:val="auto"/>
              </w:rPr>
              <w:t>Distributions per Class A Share</w:t>
            </w:r>
          </w:p>
        </w:tc>
      </w:tr>
      <w:tr>
        <w:trPr>
          <w:trHeight w:val="250"/>
        </w:trPr>
        <w:tc>
          <w:tcPr>
            <w:tcW w:w="36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20" w:type="dxa"/>
            <w:vAlign w:val="bottom"/>
            <w:tcBorders>
              <w:top w:val="single" w:sz="8" w:color="auto"/>
              <w:bottom w:val="single" w:sz="8" w:color="CCEEFF"/>
            </w:tcBorders>
            <w:shd w:val="clear" w:color="auto" w:fill="CCEEFF"/>
          </w:tcPr>
          <w:p>
            <w:pPr>
              <w:jc w:val="right"/>
              <w:ind w:right="301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3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3220" w:type="dxa"/>
            <w:vAlign w:val="bottom"/>
          </w:tcPr>
          <w:p>
            <w:pPr>
              <w:jc w:val="right"/>
              <w:ind w:right="301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3240" w:type="dxa"/>
            <w:vAlign w:val="bottom"/>
          </w:tcPr>
          <w:p>
            <w:pPr>
              <w:jc w:val="right"/>
              <w:ind w:right="14"/>
              <w:spacing w:after="0"/>
              <w:rPr>
                <w:sz w:val="20"/>
                <w:szCs w:val="20"/>
                <w:color w:val="auto"/>
              </w:rPr>
            </w:pPr>
            <w:r>
              <w:rPr>
                <w:rFonts w:ascii="Arial" w:cs="Arial" w:eastAsia="Arial" w:hAnsi="Arial"/>
                <w:sz w:val="18"/>
                <w:szCs w:val="18"/>
                <w:color w:val="auto"/>
              </w:rPr>
              <w:t>1.95</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43"/>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1"/>
                <w:szCs w:val="21"/>
                <w:color w:val="auto"/>
              </w:rPr>
            </w:pPr>
          </w:p>
        </w:tc>
        <w:tc>
          <w:tcPr>
            <w:tcW w:w="3220" w:type="dxa"/>
            <w:vAlign w:val="bottom"/>
            <w:shd w:val="clear" w:color="auto" w:fill="CCEEFF"/>
          </w:tcPr>
          <w:p>
            <w:pPr>
              <w:jc w:val="right"/>
              <w:ind w:right="3014"/>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3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2.40</w:t>
            </w:r>
          </w:p>
        </w:tc>
      </w:tr>
      <w:tr>
        <w:trPr>
          <w:trHeight w:val="27"/>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auto"/>
        </w:rPr>
        <w:t>On January 8, 2019, we declared a cash distribution of $0.30 per outstanding Class A share. This distribution of $48 million was paid on February 14, 2019 to shareholders of record at the close of business on January 31, 2019, for the period October 1, 2018 through December 31, 2018.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125" w:right="2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Class A Shares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summarizes our sales of Class A shares during the year ended December 31, 2017, all of which occurred in the first four months of the year (net proceeds in millions). We did not sell any Class A shares during the years ended December 31, 2018 or 2016.</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0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Type of Offering</w:t>
            </w:r>
          </w:p>
        </w:tc>
        <w:tc>
          <w:tcPr>
            <w:tcW w:w="140" w:type="dxa"/>
            <w:vAlign w:val="bottom"/>
            <w:tcBorders>
              <w:bottom w:val="single" w:sz="8" w:color="CCEEFF"/>
            </w:tcBorders>
          </w:tcPr>
          <w:p>
            <w:pPr>
              <w:spacing w:after="0"/>
              <w:rPr>
                <w:sz w:val="16"/>
                <w:szCs w:val="16"/>
                <w:color w:val="auto"/>
              </w:rPr>
            </w:pPr>
          </w:p>
        </w:tc>
        <w:tc>
          <w:tcPr>
            <w:tcW w:w="328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rPr>
              <w:t>Class A Shares Issued</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tcPr>
          <w:p>
            <w:pPr>
              <w:jc w:val="right"/>
              <w:ind w:right="1094"/>
              <w:spacing w:after="0"/>
              <w:rPr>
                <w:sz w:val="20"/>
                <w:szCs w:val="20"/>
                <w:color w:val="auto"/>
              </w:rPr>
            </w:pPr>
            <w:r>
              <w:rPr>
                <w:rFonts w:ascii="Arial" w:cs="Arial" w:eastAsia="Arial" w:hAnsi="Arial"/>
                <w:sz w:val="14"/>
                <w:szCs w:val="14"/>
                <w:b w:val="1"/>
                <w:bCs w:val="1"/>
                <w:color w:val="auto"/>
              </w:rPr>
              <w:t xml:space="preserve">Net Proceeds </w:t>
            </w:r>
            <w:r>
              <w:rPr>
                <w:rFonts w:ascii="Arial" w:cs="Arial" w:eastAsia="Arial" w:hAnsi="Arial"/>
                <w:sz w:val="8"/>
                <w:szCs w:val="8"/>
                <w:b w:val="1"/>
                <w:bCs w:val="1"/>
                <w:color w:val="auto"/>
              </w:rPr>
              <w:t>(1)</w:t>
            </w:r>
          </w:p>
        </w:tc>
        <w:tc>
          <w:tcPr>
            <w:tcW w:w="340" w:type="dxa"/>
            <w:vAlign w:val="bottom"/>
            <w:tcBorders>
              <w:bottom w:val="single" w:sz="8" w:color="auto"/>
            </w:tcBorders>
          </w:tcPr>
          <w:p>
            <w:pPr>
              <w:spacing w:after="0"/>
              <w:rPr>
                <w:sz w:val="16"/>
                <w:szCs w:val="16"/>
                <w:color w:val="auto"/>
              </w:rPr>
            </w:pPr>
          </w:p>
        </w:tc>
      </w:tr>
      <w:tr>
        <w:trPr>
          <w:trHeight w:val="250"/>
        </w:trPr>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Continuous Offering Program</w:t>
            </w:r>
          </w:p>
        </w:tc>
        <w:tc>
          <w:tcPr>
            <w:tcW w:w="3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1,786,326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2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7"/>
              </w:rPr>
              <w:t>(2)</w:t>
            </w:r>
          </w:p>
        </w:tc>
      </w:tr>
      <w:tr>
        <w:trPr>
          <w:trHeight w:val="243"/>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Underwritten Offering</w:t>
            </w:r>
          </w:p>
        </w:tc>
        <w:tc>
          <w:tcPr>
            <w:tcW w:w="3280" w:type="dxa"/>
            <w:vAlign w:val="bottom"/>
          </w:tcPr>
          <w:p>
            <w:pPr>
              <w:jc w:val="right"/>
              <w:ind w:right="34"/>
              <w:spacing w:after="0"/>
              <w:rPr>
                <w:sz w:val="20"/>
                <w:szCs w:val="20"/>
                <w:color w:val="auto"/>
              </w:rPr>
            </w:pPr>
            <w:r>
              <w:rPr>
                <w:rFonts w:ascii="Arial" w:cs="Arial" w:eastAsia="Arial" w:hAnsi="Arial"/>
                <w:sz w:val="18"/>
                <w:szCs w:val="18"/>
                <w:color w:val="auto"/>
              </w:rPr>
              <w:t>48,300,000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60" w:type="dxa"/>
            <w:vAlign w:val="bottom"/>
          </w:tcPr>
          <w:p>
            <w:pPr>
              <w:jc w:val="right"/>
              <w:ind w:right="34"/>
              <w:spacing w:after="0"/>
              <w:rPr>
                <w:sz w:val="20"/>
                <w:szCs w:val="20"/>
                <w:color w:val="auto"/>
              </w:rPr>
            </w:pPr>
            <w:r>
              <w:rPr>
                <w:rFonts w:ascii="Arial" w:cs="Arial" w:eastAsia="Arial" w:hAnsi="Arial"/>
                <w:sz w:val="18"/>
                <w:szCs w:val="18"/>
                <w:color w:val="auto"/>
              </w:rPr>
              <w:t>1,474</w:t>
            </w:r>
          </w:p>
        </w:tc>
        <w:tc>
          <w:tcPr>
            <w:tcW w:w="340" w:type="dxa"/>
            <w:vAlign w:val="bottom"/>
          </w:tcPr>
          <w:p>
            <w:pPr>
              <w:spacing w:after="0"/>
              <w:rPr>
                <w:sz w:val="21"/>
                <w:szCs w:val="2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69"/>
        </w:trPr>
        <w:tc>
          <w:tcPr>
            <w:tcW w:w="4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50,086,326</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w w:val="99"/>
              </w:rPr>
              <w:t>$</w:t>
            </w:r>
          </w:p>
        </w:tc>
        <w:tc>
          <w:tcPr>
            <w:tcW w:w="2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1,535</w:t>
            </w:r>
          </w:p>
        </w:tc>
        <w:tc>
          <w:tcPr>
            <w:tcW w:w="340" w:type="dxa"/>
            <w:vAlign w:val="bottom"/>
            <w:tcBorders>
              <w:bottom w:val="single" w:sz="8" w:color="CCEEFF"/>
            </w:tcBorders>
            <w:shd w:val="clear" w:color="auto" w:fill="CCEEFF"/>
          </w:tcPr>
          <w:p>
            <w:pPr>
              <w:spacing w:after="0"/>
              <w:rPr>
                <w:sz w:val="22"/>
                <w:szCs w:val="22"/>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199" w:lineRule="exact"/>
        <w:rPr>
          <w:sz w:val="20"/>
          <w:szCs w:val="20"/>
          <w:color w:val="auto"/>
        </w:rPr>
      </w:pPr>
    </w:p>
    <w:p>
      <w:pPr>
        <w:ind w:left="660" w:hanging="652"/>
        <w:spacing w:after="0"/>
        <w:tabs>
          <w:tab w:leader="none" w:pos="660" w:val="left"/>
        </w:tabs>
        <w:numPr>
          <w:ilvl w:val="0"/>
          <w:numId w:val="114"/>
        </w:numPr>
        <w:rPr>
          <w:rFonts w:ascii="Arial" w:cs="Arial" w:eastAsia="Arial" w:hAnsi="Arial"/>
          <w:sz w:val="25"/>
          <w:szCs w:val="25"/>
          <w:color w:val="auto"/>
          <w:vertAlign w:val="superscript"/>
        </w:rPr>
      </w:pPr>
      <w:r>
        <w:rPr>
          <w:rFonts w:ascii="Arial" w:cs="Arial" w:eastAsia="Arial" w:hAnsi="Arial"/>
          <w:sz w:val="18"/>
          <w:szCs w:val="18"/>
          <w:color w:val="auto"/>
        </w:rPr>
        <w:t>Amounts are net of costs associated with the offerings.</w:t>
      </w:r>
    </w:p>
    <w:p>
      <w:pPr>
        <w:spacing w:after="0" w:line="1" w:lineRule="exact"/>
        <w:rPr>
          <w:rFonts w:ascii="Arial" w:cs="Arial" w:eastAsia="Arial" w:hAnsi="Arial"/>
          <w:sz w:val="25"/>
          <w:szCs w:val="25"/>
          <w:color w:val="auto"/>
          <w:vertAlign w:val="superscript"/>
        </w:rPr>
      </w:pPr>
    </w:p>
    <w:p>
      <w:pPr>
        <w:ind w:left="660" w:right="20" w:hanging="652"/>
        <w:spacing w:after="0" w:line="208" w:lineRule="auto"/>
        <w:tabs>
          <w:tab w:leader="none" w:pos="660" w:val="left"/>
        </w:tabs>
        <w:numPr>
          <w:ilvl w:val="0"/>
          <w:numId w:val="114"/>
        </w:numPr>
        <w:rPr>
          <w:rFonts w:ascii="Arial" w:cs="Arial" w:eastAsia="Arial" w:hAnsi="Arial"/>
          <w:sz w:val="25"/>
          <w:szCs w:val="25"/>
          <w:color w:val="auto"/>
          <w:vertAlign w:val="superscript"/>
        </w:rPr>
      </w:pPr>
      <w:r>
        <w:rPr>
          <w:rFonts w:ascii="Arial" w:cs="Arial" w:eastAsia="Arial" w:hAnsi="Arial"/>
          <w:sz w:val="18"/>
          <w:szCs w:val="18"/>
          <w:color w:val="auto"/>
        </w:rPr>
        <w:t>We pay commissions to our sales agents in connection with issuances of Class A shares under our Continuous Offering Program. We paid $1 million of such commissions during the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25044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8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8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Pursuant to the Omnibus Agreement entered into by the Plains Entities in connection with the Simplification Transactions, we used the net proceeds from the sale of our Class A shares, after deducting the sales agents’ commissions and offering expenses, to purchase from AAP a number of AAP units equal to the number of Class A shares sold in such offering at a price equal to the net proceeds from such offering. Also pursuant to the Omnibus Agreement, immediately following such purchase and sale, AAP used the net proceeds it received from such sale of AAP units to us to purchase from PAA an equivalent number of common units of PAA. See “—Issuances of Units by Subsidiaries” below.</w:t>
      </w:r>
    </w:p>
    <w:p>
      <w:pPr>
        <w:spacing w:after="0" w:line="18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cash purchase by us of additional units issued by AAP and corresponding cash purchase by AAP of additional common units issued by PAA results in the allocation of the fair value of the proceeds between controlling and noncontrolling interests in AAP and PAA based on their respective ownership percentages. Additionally, in accordance with ASC 810, an adjustment in partners’ capital based on historical carrying value is recognized by our Class A shareholders on their increase in ownership of subsidiary entities and a corresponding adjustment is recognized in partners’ capital by our noncontrolling interests due to the dilution of their ownership interest. The allocation to noncontrolling interests results from the difference between the fair value per unit of the additional units issued and the historical carrying value per unit. Such amounts are reflected in “Sales of Class A shares” on our Consolidated Statements of Changes in Partners’ Capital.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Income/(Loss)</w:t>
      </w:r>
    </w:p>
    <w:p>
      <w:pPr>
        <w:spacing w:after="0" w:line="22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Other comprehensive income/(loss) attributable to our Class A shareholders is comprised solely of their proportionate share of PAA’s other comprehensive income/(loss) based on our indirect ownership interest in PAA during the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Subsidiaries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Interests in Subsidiaries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As of December 31, 2018, noncontrolling interests in our subsidiaries consisted of (i) limited partner interests in PAA including a 65% interest in PAA’s common units and PAA’s Series A preferred units combined and 100% of PAA’s Series B preferred units and (ii) an approximate 43% limited partner interest in AAP.</w:t>
      </w:r>
    </w:p>
    <w:p>
      <w:pPr>
        <w:spacing w:after="0" w:line="181"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During the fourth quarter of 2017, PAA sold SLC Pipeline LLC, in which it previously owned a 75% interest and was consolidated under GAAP. As a result of this sale, the noncontrolling interest of 25% was derecognized. See Note 7 for additional information regarding the sale of SLC Pipeline LLC.</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Issuances of Units by Subsidiaries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PAA Series A Preferred Unit Issuance</w:t>
      </w:r>
      <w:r>
        <w:rPr>
          <w:rFonts w:ascii="Arial" w:cs="Arial" w:eastAsia="Arial" w:hAnsi="Arial"/>
          <w:sz w:val="18"/>
          <w:szCs w:val="18"/>
          <w:color w:val="auto"/>
        </w:rPr>
        <w:t>. On January 28, 2016 (the “Issuance Date”), PAA completed the private placement of approximately 61.0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Series A preferred units representing limited partner interests in PAA for a cash purchase price of $26.25 per unit (the “Issue Price”), resulting in total net proceeds, after deducting offering expenses and the 2% transaction fee due to the purchasers, of approximately $1.6 billion. Certain of the purchasers or their affiliates are related parties. See Note 16 for additional information.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125" w:right="25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716"/>
        <w:spacing w:after="0" w:line="273" w:lineRule="auto"/>
        <w:rPr>
          <w:sz w:val="20"/>
          <w:szCs w:val="20"/>
          <w:color w:val="auto"/>
        </w:rPr>
      </w:pPr>
      <w:r>
        <w:rPr>
          <w:rFonts w:ascii="Arial" w:cs="Arial" w:eastAsia="Arial" w:hAnsi="Arial"/>
          <w:sz w:val="17"/>
          <w:szCs w:val="17"/>
          <w:color w:val="auto"/>
        </w:rPr>
        <w:t>The PAA Series A preferred units rank pari passu with the PAA Series B preferred units, and senior to PAA’s common units and to each other class or series of equity securities in PAA with respect to distribution rights and rights upon liquidation. The holders of the PAA Series A preferred units receive cumulative quarterly distributions, subject to customary antidilution adjustments, equal to $0.525 per unit ($2.10 per unit annualized). With respect to quarters ending on or prior to December 31, 2017 (the “Initial Distribution Period”), PAA elected to pay distributions on the PAA Series A preferred units in additional Series A preferred units. The Initial Distribution Period ended with the February 2018 distribution; as such, with respect to quarters ending after the Initial Distribution Period, distributions on the PAA Series A preferred units are paid in cash.</w:t>
      </w:r>
    </w:p>
    <w:p>
      <w:pPr>
        <w:spacing w:after="0" w:line="17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Series A preferred units are convertible at the holders’ option into PAA common units, generally on a one-for-one basis, at any time, subject to certain conditions, and are convertible at PAA’s option in certain circumstances after January 28, 2019. For a period of 30 days following (a) the fifth anniversary of the Issuance Date of the PAA Series A preferred units and (b) each subsequent anniversary of the Issuance Date, the holders of the PAA Series A preferred units, acting by majority vote, may make a one-time election to reset the Series A preferred unit distribution rate to equal the then applicable rate of ten-year U.S. Treasury Securities plus 5.85% (the “Preferred Distribution Rate Reset Option”). The Preferred Distribution Rate Reset Option is accounted for as an embedded derivative. See Note 13 for additional information.</w:t>
      </w:r>
    </w:p>
    <w:p>
      <w:pPr>
        <w:spacing w:after="0" w:line="17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i w:val="1"/>
          <w:iCs w:val="1"/>
          <w:color w:val="auto"/>
        </w:rPr>
        <w:t xml:space="preserve">PAA Series B Preferred Unit Issuance. </w:t>
      </w:r>
      <w:r>
        <w:rPr>
          <w:rFonts w:ascii="Arial" w:cs="Arial" w:eastAsia="Arial" w:hAnsi="Arial"/>
          <w:sz w:val="17"/>
          <w:szCs w:val="17"/>
          <w:color w:val="auto"/>
        </w:rPr>
        <w:t>On October 10, 2017, PAA issued 800,000 Series B Fixed-to-Floating Rate Cumulative Redeemable</w:t>
      </w:r>
      <w:r>
        <w:rPr>
          <w:rFonts w:ascii="Arial" w:cs="Arial" w:eastAsia="Arial" w:hAnsi="Arial"/>
          <w:sz w:val="17"/>
          <w:szCs w:val="17"/>
          <w:i w:val="1"/>
          <w:iCs w:val="1"/>
          <w:color w:val="auto"/>
        </w:rPr>
        <w:t xml:space="preserve"> </w:t>
      </w:r>
      <w:r>
        <w:rPr>
          <w:rFonts w:ascii="Arial" w:cs="Arial" w:eastAsia="Arial" w:hAnsi="Arial"/>
          <w:sz w:val="17"/>
          <w:szCs w:val="17"/>
          <w:color w:val="auto"/>
        </w:rPr>
        <w:t>Perpetual Preferred Units representing limited partner interests in PAA (the “Series B preferred units”) at a price to the public of $1,000 per unit. PAA used the net proceeds of $788 million, after deducting the underwriters’ discounts and offering expenses, from the issuance of the Series B preferred units to repay amounts outstanding under its credit facilities and commercial paper program and for general partnership purposes.</w:t>
      </w:r>
    </w:p>
    <w:p>
      <w:pPr>
        <w:spacing w:after="0" w:line="17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Series B preferred units represent perpetual equity interests in PAA, and they have no stated maturity or mandatory redemption date and are not redeemable at the option of the holders under any circumstances. Holders of the Series B preferred units generally have no voting rights, except for limited voting rights with respect to (i) potential amendments to PAA’s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 in arrears, (iii) the creation or issuance of any senior securities and (iv) the payment of distributions to PAA’s common unitholders out of capital surplus. The Series B preferred units rank, as to the payment of distributions and amounts payable on a liquidation event, pari passu with PAA’s outstanding Series A preferred units and senior to PAA’s common units.</w:t>
      </w:r>
    </w:p>
    <w:p>
      <w:pPr>
        <w:spacing w:after="0" w:line="17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Series B preferred units have a liquidation preference of $1,000 per unit. Holders of PAA’s Series B preferred units are entitled to receive, when, as and if declared by PAA’s general partner out of legally available funds for such purpose, cumulative semiannual or quarterly cash distributions, as applicable. Distributions on the Series B preferred units accrue and are cumulative from October 10, 2017, the date of original issue, and are payable semiannually in arrears on the 15th day of May and November through and including November 15, 2022, and after November 15, 2022, quarterly in arrears on the 15th day of February, May, August and November of each year. The initial distribution rate for the Series B preferred units from and including October 10, 2017 to, but not including, November 15, 2022 is 6.125% per year of the liquidation preference per unit (equal to $61.25 per unit per year). On and after November 15, 2022, distributions on the Series B preferred units will accumulate for each distribution period at a percentage of the liquidation preference equal to the then-current three-month LIBOR plus a spread of 4.11%.</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occurrence of certain rating agency events, PAA may redeem the Series B preferred units, in whole but not in part, at a price</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of $1,020 (102% of the liquidation preference) per Series B preferred unit plus an amount equal to all accumulated and unpaid distributions thereon to, but not including, the date of redemption, whether or not declared. In addition, at any time on or after November 15, 2022, PAA may redeem the Series B preferred units, at its option, in whole or in part, at a redemption price of $1,000 per Series B preferred unit plus an amount equal to all accumulated and unpaid distributions thereon to, but not including, the date of redemption, whether or not declared.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125" w:right="23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i w:val="1"/>
          <w:iCs w:val="1"/>
          <w:color w:val="auto"/>
        </w:rPr>
        <w:t>Sales of PAA common units</w:t>
      </w:r>
      <w:r>
        <w:rPr>
          <w:rFonts w:ascii="Arial" w:cs="Arial" w:eastAsia="Arial" w:hAnsi="Arial"/>
          <w:sz w:val="17"/>
          <w:szCs w:val="17"/>
          <w:color w:val="auto"/>
        </w:rPr>
        <w:t>. PAA has entered into several equity distribution agreements under its Continuous Offering Program, pursuant to which</w:t>
      </w:r>
      <w:r>
        <w:rPr>
          <w:rFonts w:ascii="Arial" w:cs="Arial" w:eastAsia="Arial" w:hAnsi="Arial"/>
          <w:sz w:val="17"/>
          <w:szCs w:val="17"/>
          <w:i w:val="1"/>
          <w:iCs w:val="1"/>
          <w:color w:val="auto"/>
        </w:rPr>
        <w:t xml:space="preserve"> </w:t>
      </w:r>
      <w:r>
        <w:rPr>
          <w:rFonts w:ascii="Arial" w:cs="Arial" w:eastAsia="Arial" w:hAnsi="Arial"/>
          <w:sz w:val="17"/>
          <w:szCs w:val="17"/>
          <w:color w:val="auto"/>
        </w:rPr>
        <w:t>PAA may offer and sell, through sales agents, common units representing limited partner interests. PAA may also sell its common units through overnight or underwritten offerings. PAA did not conduct any sales of common units during the year ended December 31, 2018. The following table summarizes PAA’s sales of common units for the years ended December 31, 2017 and 2016 (net proceeds in millions):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20" w:type="dxa"/>
            <w:vAlign w:val="bottom"/>
            <w:tcBorders>
              <w:bottom w:val="single" w:sz="8" w:color="CCEEFF"/>
            </w:tcBorders>
          </w:tcPr>
          <w:p>
            <w:pPr>
              <w:spacing w:after="0"/>
              <w:rPr>
                <w:sz w:val="16"/>
                <w:szCs w:val="16"/>
                <w:color w:val="auto"/>
              </w:rPr>
            </w:pP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Type of Offering</w:t>
            </w:r>
          </w:p>
        </w:tc>
        <w:tc>
          <w:tcPr>
            <w:tcW w:w="140" w:type="dxa"/>
            <w:vAlign w:val="bottom"/>
            <w:tcBorders>
              <w:bottom w:val="single" w:sz="8" w:color="CCEEFF"/>
            </w:tcBorders>
          </w:tcPr>
          <w:p>
            <w:pPr>
              <w:spacing w:after="0"/>
              <w:rPr>
                <w:sz w:val="16"/>
                <w:szCs w:val="16"/>
                <w:color w:val="auto"/>
              </w:rPr>
            </w:pPr>
          </w:p>
        </w:tc>
        <w:tc>
          <w:tcPr>
            <w:tcW w:w="24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Common Units Sold</w:t>
            </w:r>
          </w:p>
        </w:tc>
        <w:tc>
          <w:tcPr>
            <w:tcW w:w="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 xml:space="preserve">Net Proceeds </w:t>
            </w:r>
            <w:r>
              <w:rPr>
                <w:rFonts w:ascii="Arial" w:cs="Arial" w:eastAsia="Arial" w:hAnsi="Arial"/>
                <w:sz w:val="8"/>
                <w:szCs w:val="8"/>
                <w:b w:val="1"/>
                <w:bCs w:val="1"/>
                <w:color w:val="auto"/>
              </w:rPr>
              <w:t>(1)</w:t>
            </w:r>
          </w:p>
        </w:tc>
        <w:tc>
          <w:tcPr>
            <w:tcW w:w="340" w:type="dxa"/>
            <w:vAlign w:val="bottom"/>
            <w:tcBorders>
              <w:bottom w:val="single" w:sz="8" w:color="CCEEFF"/>
            </w:tcBorders>
          </w:tcPr>
          <w:p>
            <w:pPr>
              <w:spacing w:after="0"/>
              <w:rPr>
                <w:sz w:val="16"/>
                <w:szCs w:val="16"/>
                <w:color w:val="auto"/>
              </w:rPr>
            </w:pPr>
          </w:p>
        </w:tc>
      </w:tr>
      <w:tr>
        <w:trPr>
          <w:trHeight w:val="263"/>
        </w:trPr>
        <w:tc>
          <w:tcPr>
            <w:tcW w:w="25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8"/>
              </w:rPr>
              <w:t>2017 Total</w:t>
            </w:r>
          </w:p>
        </w:tc>
        <w:tc>
          <w:tcPr>
            <w:tcW w:w="4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1"/>
              </w:rPr>
              <w:t>Continuous Offering Program</w:t>
            </w:r>
          </w:p>
        </w:tc>
        <w:tc>
          <w:tcPr>
            <w:tcW w:w="2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4,033,567</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129</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7"/>
              </w:rPr>
              <w:t>(2)</w:t>
            </w: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11"/>
        </w:trPr>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64"/>
        </w:trPr>
        <w:tc>
          <w:tcPr>
            <w:tcW w:w="25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8"/>
              </w:rPr>
              <w:t>2016 Total</w:t>
            </w:r>
          </w:p>
        </w:tc>
        <w:tc>
          <w:tcPr>
            <w:tcW w:w="4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1"/>
              </w:rPr>
              <w:t>Continuous Offering Program</w:t>
            </w:r>
          </w:p>
        </w:tc>
        <w:tc>
          <w:tcPr>
            <w:tcW w:w="2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26,278,288</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796</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7"/>
              </w:rPr>
              <w:t>(2)</w:t>
            </w: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85">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25"/>
          <w:szCs w:val="25"/>
          <w:color w:val="auto"/>
          <w:vertAlign w:val="superscript"/>
        </w:rPr>
      </w:pPr>
      <w:r>
        <w:rPr>
          <w:rFonts w:ascii="Arial" w:cs="Arial" w:eastAsia="Arial" w:hAnsi="Arial"/>
          <w:sz w:val="18"/>
          <w:szCs w:val="18"/>
          <w:color w:val="auto"/>
        </w:rPr>
        <w:t>Amounts are net of costs associated with the offerings.</w:t>
      </w:r>
    </w:p>
    <w:p>
      <w:pPr>
        <w:spacing w:after="0" w:line="98" w:lineRule="exact"/>
        <w:rPr>
          <w:rFonts w:ascii="Arial" w:cs="Arial" w:eastAsia="Arial" w:hAnsi="Arial"/>
          <w:sz w:val="25"/>
          <w:szCs w:val="25"/>
          <w:color w:val="auto"/>
          <w:vertAlign w:val="superscript"/>
        </w:rPr>
      </w:pPr>
    </w:p>
    <w:p>
      <w:pPr>
        <w:ind w:left="660" w:right="120" w:hanging="652"/>
        <w:spacing w:after="0" w:line="214" w:lineRule="auto"/>
        <w:tabs>
          <w:tab w:leader="none" w:pos="660" w:val="left"/>
        </w:tabs>
        <w:numPr>
          <w:ilvl w:val="0"/>
          <w:numId w:val="115"/>
        </w:numPr>
        <w:rPr>
          <w:rFonts w:ascii="Arial" w:cs="Arial" w:eastAsia="Arial" w:hAnsi="Arial"/>
          <w:sz w:val="25"/>
          <w:szCs w:val="25"/>
          <w:color w:val="auto"/>
          <w:vertAlign w:val="superscript"/>
        </w:rPr>
      </w:pPr>
      <w:r>
        <w:rPr>
          <w:rFonts w:ascii="Arial" w:cs="Arial" w:eastAsia="Arial" w:hAnsi="Arial"/>
          <w:sz w:val="18"/>
          <w:szCs w:val="18"/>
          <w:color w:val="auto"/>
        </w:rPr>
        <w:t>PAA pays commissions to sales agents in connection with common unit issuances under its Continuous Offering Program. PAA paid $1 million and $8 million of such commissions during 2017 and 2016, respectively.</w:t>
      </w:r>
    </w:p>
    <w:p>
      <w:pPr>
        <w:spacing w:after="0" w:line="203" w:lineRule="exact"/>
        <w:rPr>
          <w:sz w:val="20"/>
          <w:szCs w:val="20"/>
          <w:color w:val="auto"/>
        </w:rPr>
      </w:pPr>
    </w:p>
    <w:p>
      <w:pPr>
        <w:ind w:right="80" w:firstLine="716"/>
        <w:spacing w:after="0" w:line="276" w:lineRule="auto"/>
        <w:rPr>
          <w:sz w:val="20"/>
          <w:szCs w:val="20"/>
          <w:color w:val="auto"/>
        </w:rPr>
      </w:pPr>
      <w:r>
        <w:rPr>
          <w:rFonts w:ascii="Arial" w:cs="Arial" w:eastAsia="Arial" w:hAnsi="Arial"/>
          <w:sz w:val="17"/>
          <w:szCs w:val="17"/>
          <w:color w:val="auto"/>
        </w:rPr>
        <w:t>For the periods following the Simplification Transactions, the proceeds from the issuance of additional common units are shared pro rata among all of PAA’s common unitholders, including AAP, based on their percentage ownership of common units. Additionally, PAA’s capital attributable to AAP was adjusted, in accordance with ASC 810, to reflect the dilution of its interest in PAA as a result of the issuance of additional common units to the public unitholders. Such adjustments are recognized by PAGP in proportion to its ownership interest in AAP, which result in a net increase in partners’ capital attributable to PAGP. See Note 14 for additional information regarding the associated impact to the deferred tax asset.</w:t>
      </w:r>
    </w:p>
    <w:p>
      <w:pPr>
        <w:spacing w:after="0" w:line="173" w:lineRule="exact"/>
        <w:rPr>
          <w:sz w:val="20"/>
          <w:szCs w:val="20"/>
          <w:color w:val="auto"/>
        </w:rPr>
      </w:pPr>
    </w:p>
    <w:p>
      <w:pPr>
        <w:ind w:right="80" w:firstLine="716"/>
        <w:spacing w:after="0" w:line="259" w:lineRule="auto"/>
        <w:rPr>
          <w:sz w:val="20"/>
          <w:szCs w:val="20"/>
          <w:color w:val="auto"/>
        </w:rPr>
      </w:pPr>
      <w:r>
        <w:rPr>
          <w:rFonts w:ascii="Arial" w:cs="Arial" w:eastAsia="Arial" w:hAnsi="Arial"/>
          <w:sz w:val="18"/>
          <w:szCs w:val="18"/>
          <w:i w:val="1"/>
          <w:iCs w:val="1"/>
          <w:color w:val="auto"/>
        </w:rPr>
        <w:t xml:space="preserve">Omnibus Agreement. </w:t>
      </w:r>
      <w:r>
        <w:rPr>
          <w:rFonts w:ascii="Arial" w:cs="Arial" w:eastAsia="Arial" w:hAnsi="Arial"/>
          <w:sz w:val="18"/>
          <w:szCs w:val="18"/>
          <w:color w:val="auto"/>
        </w:rPr>
        <w:t>PAA may sell or otherwise issue common units to AAP pursuant to the Omnibus Agreement entered into by the Plains</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as discussed above. During the year ended December 31, 2017, pursuant to the Omnibus Agreement, PAA sold (i) approximately 1.8 million common units to AAP in connection with our issuance of Class A shares under our Continuous Offering Program and (ii) 48.3 million common units to AAP in connection with our March 2017 underwritten offering.</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Deferred Tax Asset Impact from the Sale of Subsidiary Units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connection with the sales of AAP units and PAA common units referenced above, a deferred asset was created. The tax basis of our purchase of the additional units was accounted for at fair market value for U.S. federal income tax purposes, but the GAAP basis was impacted by the adjustments that are based on historical carrying value. The resulting basis difference resulted in a deferred tax asset that was recorded as a component of partner’s capital as it results from transactions with shareholders. See Note 14 for additional information.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Distributions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 xml:space="preserve">PAA Preferred Unit Distributions. </w:t>
      </w:r>
      <w:r>
        <w:rPr>
          <w:rFonts w:ascii="Arial" w:cs="Arial" w:eastAsia="Arial" w:hAnsi="Arial"/>
          <w:sz w:val="18"/>
          <w:szCs w:val="18"/>
          <w:color w:val="auto"/>
        </w:rPr>
        <w:t>The following table details distributions paid to PAA’s preferred unitholders during the year presented (in millions,</w:t>
      </w:r>
      <w:r>
        <w:rPr>
          <w:rFonts w:ascii="Arial" w:cs="Arial" w:eastAsia="Arial" w:hAnsi="Arial"/>
          <w:sz w:val="18"/>
          <w:szCs w:val="18"/>
          <w:i w:val="1"/>
          <w:iCs w:val="1"/>
          <w:color w:val="auto"/>
        </w:rPr>
        <w:t xml:space="preserve"> </w:t>
      </w:r>
      <w:r>
        <w:rPr>
          <w:rFonts w:ascii="Arial" w:cs="Arial" w:eastAsia="Arial" w:hAnsi="Arial"/>
          <w:sz w:val="18"/>
          <w:szCs w:val="18"/>
          <w:color w:val="auto"/>
        </w:rPr>
        <w:t>except per unit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3"/>
              </w:rPr>
              <w:t>Series A Preferred Unitholders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tcPr>
          <w:p>
            <w:pPr>
              <w:jc w:val="center"/>
              <w:ind w:right="159"/>
              <w:spacing w:after="0"/>
              <w:rPr>
                <w:sz w:val="20"/>
                <w:szCs w:val="20"/>
                <w:color w:val="auto"/>
              </w:rPr>
            </w:pPr>
            <w:r>
              <w:rPr>
                <w:rFonts w:ascii="Arial" w:cs="Arial" w:eastAsia="Arial" w:hAnsi="Arial"/>
                <w:sz w:val="14"/>
                <w:szCs w:val="14"/>
                <w:b w:val="1"/>
                <w:bCs w:val="1"/>
                <w:color w:val="auto"/>
                <w:w w:val="93"/>
              </w:rPr>
              <w:t>Series B Preferred Unitholders</w:t>
            </w:r>
          </w:p>
        </w:tc>
        <w:tc>
          <w:tcPr>
            <w:tcW w:w="0" w:type="dxa"/>
            <w:vAlign w:val="bottom"/>
          </w:tcPr>
          <w:p>
            <w:pPr>
              <w:spacing w:after="0"/>
              <w:rPr>
                <w:sz w:val="1"/>
                <w:szCs w:val="1"/>
                <w:color w:val="auto"/>
              </w:rPr>
            </w:pPr>
          </w:p>
        </w:tc>
      </w:tr>
      <w:tr>
        <w:trPr>
          <w:trHeight w:val="250"/>
        </w:trPr>
        <w:tc>
          <w:tcPr>
            <w:tcW w:w="5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7"/>
              </w:rPr>
              <w:t xml:space="preserve">Distribution </w:t>
            </w:r>
            <w:r>
              <w:rPr>
                <w:rFonts w:ascii="Arial" w:cs="Arial" w:eastAsia="Arial" w:hAnsi="Arial"/>
                <w:sz w:val="8"/>
                <w:szCs w:val="8"/>
                <w:b w:val="1"/>
                <w:bCs w:val="1"/>
                <w:color w:val="auto"/>
                <w:w w:val="97"/>
              </w:rPr>
              <w:t>(1)</w:t>
            </w:r>
          </w:p>
        </w:tc>
        <w:tc>
          <w:tcPr>
            <w:tcW w:w="84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380" w:type="dxa"/>
            <w:vAlign w:val="bottom"/>
            <w:tcBorders>
              <w:top w:val="single" w:sz="8" w:color="auto"/>
              <w:bottom w:val="single" w:sz="8" w:color="auto"/>
            </w:tcBorders>
            <w:vMerge w:val="restart"/>
          </w:tcPr>
          <w:p>
            <w:pPr>
              <w:jc w:val="center"/>
              <w:ind w:right="159"/>
              <w:spacing w:after="0"/>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71"/>
        </w:trPr>
        <w:tc>
          <w:tcPr>
            <w:tcW w:w="5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140" w:type="dxa"/>
            <w:vAlign w:val="bottom"/>
            <w:vMerge w:val="restart"/>
          </w:tcPr>
          <w:p>
            <w:pPr>
              <w:spacing w:after="0"/>
              <w:rPr>
                <w:sz w:val="6"/>
                <w:szCs w:val="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Cash</w:t>
            </w: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Units</w:t>
            </w:r>
          </w:p>
        </w:tc>
        <w:tc>
          <w:tcPr>
            <w:tcW w:w="12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8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7"/>
              </w:rPr>
              <w:t xml:space="preserve">Distribution </w:t>
            </w:r>
            <w:r>
              <w:rPr>
                <w:rFonts w:ascii="Arial" w:cs="Arial" w:eastAsia="Arial" w:hAnsi="Arial"/>
                <w:sz w:val="8"/>
                <w:szCs w:val="8"/>
                <w:b w:val="1"/>
                <w:bCs w:val="1"/>
                <w:color w:val="auto"/>
                <w:w w:val="97"/>
              </w:rPr>
              <w:t>(2)</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7"/>
              </w:rPr>
              <w:t>1,393,926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1"/>
                <w:szCs w:val="21"/>
                <w:color w:val="auto"/>
              </w:rPr>
            </w:pPr>
          </w:p>
        </w:tc>
        <w:tc>
          <w:tcPr>
            <w:tcW w:w="820" w:type="dxa"/>
            <w:vAlign w:val="bottom"/>
          </w:tcPr>
          <w:p>
            <w:pPr>
              <w:jc w:val="right"/>
              <w:ind w:right="637"/>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w w:val="87"/>
              </w:rPr>
              <w:t>5,307,689</w:t>
            </w:r>
          </w:p>
        </w:tc>
        <w:tc>
          <w:tcPr>
            <w:tcW w:w="120" w:type="dxa"/>
            <w:vAlign w:val="bottom"/>
            <w:tcBorders>
              <w:right w:val="single" w:sz="8" w:color="auto"/>
            </w:tcBorders>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380" w:type="dxa"/>
            <w:vAlign w:val="bottom"/>
          </w:tcPr>
          <w:p>
            <w:pPr>
              <w:jc w:val="right"/>
              <w:ind w:right="19"/>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87"/>
              </w:rPr>
              <w:t>3,358,726</w:t>
            </w:r>
          </w:p>
        </w:tc>
        <w:tc>
          <w:tcPr>
            <w:tcW w:w="120" w:type="dxa"/>
            <w:vAlign w:val="bottom"/>
            <w:tcBorders>
              <w:right w:val="single" w:sz="8" w:color="auto"/>
            </w:tcBorders>
            <w:shd w:val="clear" w:color="auto" w:fill="CCEEFF"/>
          </w:tcPr>
          <w:p>
            <w:pPr>
              <w:spacing w:after="0"/>
              <w:rPr>
                <w:sz w:val="21"/>
                <w:szCs w:val="21"/>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3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0237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86">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90" w:lineRule="exact"/>
        <w:rPr>
          <w:sz w:val="20"/>
          <w:szCs w:val="20"/>
          <w:color w:val="auto"/>
        </w:rPr>
      </w:pPr>
    </w:p>
    <w:p>
      <w:pPr>
        <w:ind w:left="660" w:right="100" w:hanging="652"/>
        <w:spacing w:after="0" w:line="232" w:lineRule="auto"/>
        <w:tabs>
          <w:tab w:leader="none" w:pos="660" w:val="left"/>
        </w:tabs>
        <w:numPr>
          <w:ilvl w:val="0"/>
          <w:numId w:val="116"/>
        </w:numPr>
        <w:rPr>
          <w:rFonts w:ascii="Arial" w:cs="Arial" w:eastAsia="Arial" w:hAnsi="Arial"/>
          <w:sz w:val="25"/>
          <w:szCs w:val="25"/>
          <w:color w:val="auto"/>
          <w:vertAlign w:val="superscript"/>
        </w:rPr>
      </w:pPr>
      <w:r>
        <w:rPr>
          <w:rFonts w:ascii="Arial" w:cs="Arial" w:eastAsia="Arial" w:hAnsi="Arial"/>
          <w:sz w:val="18"/>
          <w:szCs w:val="18"/>
          <w:color w:val="auto"/>
        </w:rPr>
        <w:t>During the Initial Distribution Period, PAA elected to pay distributions on its Series A preferred units in additional Series A preferred units. The Initial Distribution Period ended with the February 2018 distribution; as such, with respect to quarters ending after the Initial Distribution Period, distributions on PAA’s Series A preferred units are paid in cash. During 2018, 2017 and 2016, PAA issued additional Series A preferred units in lieu of cash distributions of $37 million, $139 million and $89 million, respectively.</w:t>
      </w:r>
    </w:p>
    <w:p>
      <w:pPr>
        <w:spacing w:after="0" w:line="94" w:lineRule="exact"/>
        <w:rPr>
          <w:rFonts w:ascii="Arial" w:cs="Arial" w:eastAsia="Arial" w:hAnsi="Arial"/>
          <w:sz w:val="25"/>
          <w:szCs w:val="25"/>
          <w:color w:val="auto"/>
          <w:vertAlign w:val="superscript"/>
        </w:rPr>
      </w:pPr>
    </w:p>
    <w:p>
      <w:pPr>
        <w:ind w:left="660" w:right="560" w:hanging="652"/>
        <w:spacing w:after="0" w:line="216" w:lineRule="auto"/>
        <w:tabs>
          <w:tab w:leader="none" w:pos="660" w:val="left"/>
        </w:tabs>
        <w:numPr>
          <w:ilvl w:val="0"/>
          <w:numId w:val="116"/>
        </w:numPr>
        <w:rPr>
          <w:rFonts w:ascii="Arial" w:cs="Arial" w:eastAsia="Arial" w:hAnsi="Arial"/>
          <w:sz w:val="25"/>
          <w:szCs w:val="25"/>
          <w:color w:val="auto"/>
          <w:vertAlign w:val="superscript"/>
        </w:rPr>
      </w:pPr>
      <w:r>
        <w:rPr>
          <w:rFonts w:ascii="Arial" w:cs="Arial" w:eastAsia="Arial" w:hAnsi="Arial"/>
          <w:sz w:val="18"/>
          <w:szCs w:val="18"/>
          <w:color w:val="auto"/>
        </w:rPr>
        <w:t>PAA paid a pro-rated initial distribution on the Series B preferred units on November 15, 2017 to holders of record at the close of business on November 1, 2017 in an amount equal to approximately $5.9549 per unit.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125" w:right="23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On February 14, 2019, PAA paid a cash distribution of $37 million to its Series A preferred unitholders. At December 31, 2018, we had accrued approximately $6 million of distributions payable to PAA’s Series B preferred unitholders. At December 31, 2018, such amounts were accrued as distributions payable in “Other current liabilities” on our Consolidated Balance Sheet.</w:t>
      </w:r>
    </w:p>
    <w:p>
      <w:pPr>
        <w:spacing w:after="0" w:line="181"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i w:val="1"/>
          <w:iCs w:val="1"/>
          <w:color w:val="auto"/>
        </w:rPr>
        <w:t xml:space="preserve">PAA Common Unit Distributions. </w:t>
      </w:r>
      <w:r>
        <w:rPr>
          <w:rFonts w:ascii="Arial" w:cs="Arial" w:eastAsia="Arial" w:hAnsi="Arial"/>
          <w:sz w:val="18"/>
          <w:szCs w:val="18"/>
          <w:color w:val="auto"/>
        </w:rPr>
        <w:t>PAA distributes 100% of its available cash within 45 days following the end of each quarter to common</w:t>
      </w:r>
      <w:r>
        <w:rPr>
          <w:rFonts w:ascii="Arial" w:cs="Arial" w:eastAsia="Arial" w:hAnsi="Arial"/>
          <w:sz w:val="18"/>
          <w:szCs w:val="18"/>
          <w:i w:val="1"/>
          <w:iCs w:val="1"/>
          <w:color w:val="auto"/>
        </w:rPr>
        <w:t xml:space="preserve"> </w:t>
      </w:r>
      <w:r>
        <w:rPr>
          <w:rFonts w:ascii="Arial" w:cs="Arial" w:eastAsia="Arial" w:hAnsi="Arial"/>
          <w:sz w:val="18"/>
          <w:szCs w:val="18"/>
          <w:color w:val="auto"/>
        </w:rPr>
        <w:t>unitholders of record, including AAP. Available cash is generally defined as all of PAA’s cash and cash equivalents on hand at the end of each quarter, less reserves established in the reasonable discretion of its general partner for future requirements.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distributions paid by PAA (in millions, except per unit data):</w:t>
      </w:r>
    </w:p>
    <w:p>
      <w:pPr>
        <w:spacing w:after="0" w:line="220" w:lineRule="exact"/>
        <w:rPr>
          <w:sz w:val="20"/>
          <w:szCs w:val="20"/>
          <w:color w:val="auto"/>
        </w:rPr>
      </w:pPr>
    </w:p>
    <w:p>
      <w:pPr>
        <w:ind w:left="6100"/>
        <w:spacing w:after="0"/>
        <w:rPr>
          <w:sz w:val="20"/>
          <w:szCs w:val="20"/>
          <w:color w:val="auto"/>
        </w:rPr>
      </w:pPr>
      <w:r>
        <w:rPr>
          <w:rFonts w:ascii="Arial" w:cs="Arial" w:eastAsia="Arial" w:hAnsi="Arial"/>
          <w:sz w:val="14"/>
          <w:szCs w:val="14"/>
          <w:b w:val="1"/>
          <w:bCs w:val="1"/>
          <w:color w:val="auto"/>
        </w:rPr>
        <w:t>Distributions Paid</w:t>
      </w:r>
    </w:p>
    <w:tbl>
      <w:tblPr>
        <w:tblLayout w:type="fixed"/>
        <w:tblInd w:w="0" w:type="dxa"/>
        <w:tblCellMar>
          <w:top w:w="0" w:type="dxa"/>
          <w:left w:w="0" w:type="dxa"/>
          <w:bottom w:w="0" w:type="dxa"/>
          <w:right w:w="0" w:type="dxa"/>
        </w:tblCellMar>
      </w:tblPr>
      <w:tr>
        <w:trPr>
          <w:trHeight w:val="47"/>
        </w:trPr>
        <w:tc>
          <w:tcPr>
            <w:tcW w:w="3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vMerge w:val="restart"/>
          </w:tcPr>
          <w:p>
            <w:pPr>
              <w:jc w:val="right"/>
              <w:ind w:right="237"/>
              <w:spacing w:after="0" w:line="133" w:lineRule="exact"/>
              <w:rPr>
                <w:sz w:val="20"/>
                <w:szCs w:val="20"/>
                <w:color w:val="auto"/>
              </w:rPr>
            </w:pPr>
            <w:r>
              <w:rPr>
                <w:rFonts w:ascii="Arial" w:cs="Arial" w:eastAsia="Arial" w:hAnsi="Arial"/>
                <w:sz w:val="14"/>
                <w:szCs w:val="14"/>
                <w:b w:val="1"/>
                <w:bCs w:val="1"/>
                <w:color w:val="auto"/>
              </w:rPr>
              <w:t>Distributions per</w:t>
            </w:r>
          </w:p>
        </w:tc>
        <w:tc>
          <w:tcPr>
            <w:tcW w:w="0" w:type="dxa"/>
            <w:vAlign w:val="bottom"/>
          </w:tcPr>
          <w:p>
            <w:pPr>
              <w:spacing w:after="0"/>
              <w:rPr>
                <w:sz w:val="1"/>
                <w:szCs w:val="1"/>
                <w:color w:val="auto"/>
              </w:rPr>
            </w:pPr>
          </w:p>
        </w:tc>
      </w:tr>
      <w:tr>
        <w:trPr>
          <w:trHeight w:val="65"/>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120" w:type="dxa"/>
            <w:vAlign w:val="bottom"/>
            <w:vMerge w:val="restart"/>
          </w:tcPr>
          <w:p>
            <w:pPr>
              <w:spacing w:after="0"/>
              <w:rPr>
                <w:sz w:val="5"/>
                <w:szCs w:val="5"/>
                <w:color w:val="auto"/>
              </w:rPr>
            </w:pPr>
          </w:p>
        </w:tc>
        <w:tc>
          <w:tcPr>
            <w:tcW w:w="14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Public</w:t>
            </w: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vMerge w:val="restart"/>
          </w:tcPr>
          <w:p>
            <w:pPr>
              <w:jc w:val="right"/>
              <w:ind w:right="61"/>
              <w:spacing w:after="0" w:line="263" w:lineRule="exact"/>
              <w:rPr>
                <w:sz w:val="20"/>
                <w:szCs w:val="20"/>
                <w:color w:val="auto"/>
              </w:rPr>
            </w:pPr>
            <w:r>
              <w:rPr>
                <w:rFonts w:ascii="Arial" w:cs="Arial" w:eastAsia="Arial" w:hAnsi="Arial"/>
                <w:sz w:val="28"/>
                <w:szCs w:val="28"/>
                <w:b w:val="1"/>
                <w:bCs w:val="1"/>
                <w:color w:val="auto"/>
                <w:vertAlign w:val="subscript"/>
              </w:rPr>
              <w:t>AAP</w:t>
            </w:r>
            <w:r>
              <w:rPr>
                <w:rFonts w:ascii="Arial" w:cs="Arial" w:eastAsia="Arial" w:hAnsi="Arial"/>
                <w:sz w:val="9"/>
                <w:szCs w:val="9"/>
                <w:b w:val="1"/>
                <w:bCs w:val="1"/>
                <w:color w:val="auto"/>
              </w:rPr>
              <w:t xml:space="preserve"> (1)</w:t>
            </w: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80" w:type="dxa"/>
            <w:vAlign w:val="bottom"/>
            <w:vMerge w:val="restart"/>
          </w:tcPr>
          <w:p>
            <w:pPr>
              <w:jc w:val="right"/>
              <w:ind w:right="594"/>
              <w:spacing w:after="0"/>
              <w:rPr>
                <w:sz w:val="20"/>
                <w:szCs w:val="20"/>
                <w:color w:val="auto"/>
              </w:rPr>
            </w:pPr>
            <w:r>
              <w:rPr>
                <w:rFonts w:ascii="Arial" w:cs="Arial" w:eastAsia="Arial" w:hAnsi="Arial"/>
                <w:sz w:val="14"/>
                <w:szCs w:val="14"/>
                <w:b w:val="1"/>
                <w:bCs w:val="1"/>
                <w:color w:val="auto"/>
              </w:rPr>
              <w:t>Total</w:t>
            </w:r>
          </w:p>
        </w:tc>
        <w:tc>
          <w:tcPr>
            <w:tcW w:w="14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36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common unit</w:t>
            </w: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1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0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1420" w:type="dxa"/>
            <w:vAlign w:val="bottom"/>
          </w:tcPr>
          <w:p>
            <w:pPr>
              <w:jc w:val="right"/>
              <w:ind w:right="1214"/>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21"/>
                <w:szCs w:val="21"/>
                <w:color w:val="auto"/>
              </w:rPr>
            </w:pPr>
          </w:p>
        </w:tc>
        <w:tc>
          <w:tcPr>
            <w:tcW w:w="1200" w:type="dxa"/>
            <w:vAlign w:val="bottom"/>
          </w:tcPr>
          <w:p>
            <w:pPr>
              <w:jc w:val="right"/>
              <w:ind w:right="1001"/>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1,386</w:t>
            </w:r>
          </w:p>
        </w:tc>
        <w:tc>
          <w:tcPr>
            <w:tcW w:w="140" w:type="dxa"/>
            <w:vAlign w:val="bottom"/>
            <w:tcBorders>
              <w:right w:val="single" w:sz="8" w:color="auto"/>
            </w:tcBorders>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214"/>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1,062</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01"/>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1,627</w:t>
            </w:r>
          </w:p>
        </w:tc>
        <w:tc>
          <w:tcPr>
            <w:tcW w:w="140" w:type="dxa"/>
            <w:vAlign w:val="bottom"/>
            <w:tcBorders>
              <w:right w:val="single" w:sz="8" w:color="auto"/>
            </w:tcBorders>
            <w:shd w:val="clear" w:color="auto" w:fill="CCEEFF"/>
          </w:tcPr>
          <w:p>
            <w:pPr>
              <w:spacing w:after="0"/>
              <w:rPr>
                <w:sz w:val="21"/>
                <w:szCs w:val="21"/>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87">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right="60" w:hanging="652"/>
        <w:spacing w:after="0" w:line="273" w:lineRule="auto"/>
        <w:tabs>
          <w:tab w:leader="none" w:pos="660" w:val="left"/>
        </w:tabs>
        <w:numPr>
          <w:ilvl w:val="0"/>
          <w:numId w:val="117"/>
        </w:numPr>
        <w:rPr>
          <w:rFonts w:ascii="Arial" w:cs="Arial" w:eastAsia="Arial" w:hAnsi="Arial"/>
          <w:sz w:val="22"/>
          <w:szCs w:val="22"/>
          <w:color w:val="auto"/>
          <w:vertAlign w:val="superscript"/>
        </w:rPr>
      </w:pPr>
      <w:r>
        <w:rPr>
          <w:rFonts w:ascii="Arial" w:cs="Arial" w:eastAsia="Arial" w:hAnsi="Arial"/>
          <w:sz w:val="16"/>
          <w:szCs w:val="16"/>
          <w:color w:val="auto"/>
        </w:rPr>
        <w:t>Prior to the Simplification Transactions, AAP was entitled to receive (i) distributions with respect to its 2% indirect general partner interest in PAA and (ii) as the holder of PAA’s IDRs, incentive distributions if the amount PAA distributed with respect to any quarter exceeded certain specified levels. The Simplification Transactions, which closed on November 15, 2016, included the permanent elimination of PAA’s IDRs and the economic rights associated with its 2% general partner interest in exchange for the issuance by PAA to AAP of approximately 244.7 million common units. As such, beginning with the distribution pertaining to the fourth quarter of 2016, AAP is no longer entitled to receive distributions on the IDRs or general partner interest. During the years ended December 31, 2018 and 2017, AAP received distributions on the PAA common units it owned.</w:t>
      </w:r>
    </w:p>
    <w:p>
      <w:pPr>
        <w:spacing w:after="0" w:line="17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On January 8, 2019, PAA declared a cash distribution of $0.30 per unit on its outstanding common units. The total distribution of $218 million was paid on February 14, 2019 to unitholders of record on January 31, 2019, for the period October 1, 2018 through December 31, 2018. Of this amount, approximately $84 million was paid to AAP.</w:t>
      </w:r>
    </w:p>
    <w:p>
      <w:pPr>
        <w:spacing w:after="0" w:line="181"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i w:val="1"/>
          <w:iCs w:val="1"/>
          <w:color w:val="auto"/>
        </w:rPr>
        <w:t xml:space="preserve">AAP Distributions. </w:t>
      </w:r>
      <w:r>
        <w:rPr>
          <w:rFonts w:ascii="Arial" w:cs="Arial" w:eastAsia="Arial" w:hAnsi="Arial"/>
          <w:sz w:val="17"/>
          <w:szCs w:val="17"/>
          <w:color w:val="auto"/>
        </w:rPr>
        <w:t>AAP distributes all of the cash received from PAA distributions on a quarterly basis, less reserves established in the discretion of</w:t>
      </w:r>
      <w:r>
        <w:rPr>
          <w:rFonts w:ascii="Arial" w:cs="Arial" w:eastAsia="Arial" w:hAnsi="Arial"/>
          <w:sz w:val="17"/>
          <w:szCs w:val="17"/>
          <w:i w:val="1"/>
          <w:iCs w:val="1"/>
          <w:color w:val="auto"/>
        </w:rPr>
        <w:t xml:space="preserve"> </w:t>
      </w:r>
      <w:r>
        <w:rPr>
          <w:rFonts w:ascii="Arial" w:cs="Arial" w:eastAsia="Arial" w:hAnsi="Arial"/>
          <w:sz w:val="17"/>
          <w:szCs w:val="17"/>
          <w:color w:val="auto"/>
        </w:rPr>
        <w:t>its general partner for future requirements. Generally, distributions are paid to its partners in proportion to their percentage interest in AAP. The following table details the distributions to AAP’s partners paid during the periods indicated from distributions received from PAA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9"/>
              </w:rPr>
              <w:t>Distributions to AAP’s Partners</w:t>
            </w: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12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jc w:val="right"/>
              <w:ind w:right="177"/>
              <w:spacing w:after="0"/>
              <w:rPr>
                <w:sz w:val="20"/>
                <w:szCs w:val="20"/>
                <w:color w:val="auto"/>
              </w:rPr>
            </w:pPr>
            <w:r>
              <w:rPr>
                <w:rFonts w:ascii="Arial" w:cs="Arial" w:eastAsia="Arial" w:hAnsi="Arial"/>
                <w:sz w:val="14"/>
                <w:szCs w:val="14"/>
                <w:b w:val="1"/>
                <w:bCs w:val="1"/>
                <w:color w:val="auto"/>
                <w:w w:val="94"/>
              </w:rPr>
              <w:t>Available Cash Before</w:t>
            </w:r>
          </w:p>
        </w:tc>
        <w:tc>
          <w:tcPr>
            <w:tcW w:w="320" w:type="dxa"/>
            <w:vAlign w:val="bottom"/>
          </w:tcPr>
          <w:p>
            <w:pPr>
              <w:spacing w:after="0"/>
              <w:rPr>
                <w:sz w:val="24"/>
                <w:szCs w:val="24"/>
                <w:color w:val="auto"/>
              </w:rPr>
            </w:pPr>
          </w:p>
        </w:tc>
        <w:tc>
          <w:tcPr>
            <w:tcW w:w="1420" w:type="dxa"/>
            <w:vAlign w:val="bottom"/>
          </w:tcPr>
          <w:p>
            <w:pPr>
              <w:jc w:val="right"/>
              <w:ind w:right="197"/>
              <w:spacing w:after="0"/>
              <w:rPr>
                <w:sz w:val="20"/>
                <w:szCs w:val="20"/>
                <w:color w:val="auto"/>
              </w:rPr>
            </w:pPr>
            <w:r>
              <w:rPr>
                <w:rFonts w:ascii="Arial" w:cs="Arial" w:eastAsia="Arial" w:hAnsi="Arial"/>
                <w:sz w:val="14"/>
                <w:szCs w:val="14"/>
                <w:b w:val="1"/>
                <w:bCs w:val="1"/>
                <w:color w:val="auto"/>
              </w:rPr>
              <w:t>Cash</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gridSpan w:val="2"/>
          </w:tcPr>
          <w:p>
            <w:pPr>
              <w:ind w:left="200"/>
              <w:spacing w:after="0"/>
              <w:rPr>
                <w:sz w:val="20"/>
                <w:szCs w:val="20"/>
                <w:color w:val="auto"/>
              </w:rPr>
            </w:pPr>
            <w:r>
              <w:rPr>
                <w:rFonts w:ascii="Arial" w:cs="Arial" w:eastAsia="Arial" w:hAnsi="Arial"/>
                <w:sz w:val="14"/>
                <w:szCs w:val="14"/>
                <w:b w:val="1"/>
                <w:bCs w:val="1"/>
                <w:color w:val="auto"/>
              </w:rPr>
              <w:t>Noncontrolling</w:t>
            </w:r>
          </w:p>
        </w:tc>
        <w:tc>
          <w:tcPr>
            <w:tcW w:w="420" w:type="dxa"/>
            <w:vAlign w:val="bottom"/>
          </w:tcPr>
          <w:p>
            <w:pPr>
              <w:spacing w:after="0"/>
              <w:rPr>
                <w:sz w:val="24"/>
                <w:szCs w:val="24"/>
                <w:color w:val="auto"/>
              </w:rPr>
            </w:pPr>
          </w:p>
        </w:tc>
        <w:tc>
          <w:tcPr>
            <w:tcW w:w="1400" w:type="dxa"/>
            <w:vAlign w:val="bottom"/>
            <w:vMerge w:val="restart"/>
          </w:tcPr>
          <w:p>
            <w:pPr>
              <w:jc w:val="right"/>
              <w:ind w:right="634"/>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92"/>
        </w:trPr>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Reserves</w:t>
            </w:r>
          </w:p>
        </w:tc>
        <w:tc>
          <w:tcPr>
            <w:tcW w:w="3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Reserves</w:t>
            </w:r>
          </w:p>
        </w:tc>
        <w:tc>
          <w:tcPr>
            <w:tcW w:w="520" w:type="dxa"/>
            <w:vAlign w:val="bottom"/>
            <w:tcBorders>
              <w:bottom w:val="single" w:sz="8" w:color="auto"/>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Interests</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339</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17"/>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3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92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7"/>
              <w:spacing w:after="0"/>
              <w:rPr>
                <w:sz w:val="20"/>
                <w:szCs w:val="20"/>
                <w:color w:val="auto"/>
              </w:rPr>
            </w:pPr>
            <w:r>
              <w:rPr>
                <w:rFonts w:ascii="Arial" w:cs="Arial" w:eastAsia="Arial" w:hAnsi="Arial"/>
                <w:sz w:val="18"/>
                <w:szCs w:val="18"/>
                <w:color w:val="auto"/>
              </w:rPr>
              <w:t>537</w:t>
            </w:r>
          </w:p>
        </w:tc>
        <w:tc>
          <w:tcPr>
            <w:tcW w:w="320" w:type="dxa"/>
            <w:vAlign w:val="bottom"/>
          </w:tcPr>
          <w:p>
            <w:pPr>
              <w:spacing w:after="0"/>
              <w:rPr>
                <w:sz w:val="21"/>
                <w:szCs w:val="21"/>
                <w:color w:val="auto"/>
              </w:rPr>
            </w:pPr>
          </w:p>
        </w:tc>
        <w:tc>
          <w:tcPr>
            <w:tcW w:w="1420" w:type="dxa"/>
            <w:vAlign w:val="bottom"/>
          </w:tcPr>
          <w:p>
            <w:pPr>
              <w:jc w:val="right"/>
              <w:ind w:right="1217"/>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3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537</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598</w:t>
            </w:r>
          </w:p>
        </w:tc>
        <w:tc>
          <w:tcPr>
            <w:tcW w:w="3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7"/>
              </w:rPr>
              <w:t>(1)</w:t>
            </w:r>
          </w:p>
        </w:tc>
        <w:tc>
          <w:tcPr>
            <w:tcW w:w="1420" w:type="dxa"/>
            <w:vAlign w:val="bottom"/>
            <w:shd w:val="clear" w:color="auto" w:fill="CCEEFF"/>
          </w:tcPr>
          <w:p>
            <w:pPr>
              <w:jc w:val="right"/>
              <w:ind w:right="1217"/>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60"/>
              <w:spacing w:after="0" w:line="270" w:lineRule="exact"/>
              <w:rPr>
                <w:sz w:val="20"/>
                <w:szCs w:val="20"/>
                <w:color w:val="auto"/>
              </w:rPr>
            </w:pPr>
            <w:r>
              <w:rPr>
                <w:rFonts w:ascii="Arial" w:cs="Arial" w:eastAsia="Arial" w:hAnsi="Arial"/>
                <w:sz w:val="18"/>
                <w:szCs w:val="18"/>
                <w:color w:val="auto"/>
              </w:rPr>
              <w:t xml:space="preserve">(11) </w:t>
            </w:r>
            <w:r>
              <w:rPr>
                <w:rFonts w:ascii="Arial" w:cs="Arial" w:eastAsia="Arial" w:hAnsi="Arial"/>
                <w:sz w:val="25"/>
                <w:szCs w:val="25"/>
                <w:color w:val="auto"/>
                <w:vertAlign w:val="superscript"/>
              </w:rPr>
              <w:t>(2)</w:t>
            </w:r>
          </w:p>
        </w:tc>
        <w:tc>
          <w:tcPr>
            <w:tcW w:w="1340" w:type="dxa"/>
            <w:vAlign w:val="bottom"/>
            <w:shd w:val="clear" w:color="auto" w:fill="CCEEFF"/>
          </w:tcPr>
          <w:p>
            <w:pPr>
              <w:jc w:val="right"/>
              <w:ind w:right="1134"/>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587</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88">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right="280" w:hanging="652"/>
        <w:spacing w:after="0" w:line="245" w:lineRule="auto"/>
        <w:tabs>
          <w:tab w:leader="none" w:pos="660" w:val="left"/>
        </w:tabs>
        <w:numPr>
          <w:ilvl w:val="0"/>
          <w:numId w:val="118"/>
        </w:numPr>
        <w:rPr>
          <w:rFonts w:ascii="Arial" w:cs="Arial" w:eastAsia="Arial" w:hAnsi="Arial"/>
          <w:sz w:val="24"/>
          <w:szCs w:val="24"/>
          <w:color w:val="auto"/>
          <w:vertAlign w:val="superscript"/>
        </w:rPr>
      </w:pPr>
      <w:r>
        <w:rPr>
          <w:rFonts w:ascii="Arial" w:cs="Arial" w:eastAsia="Arial" w:hAnsi="Arial"/>
          <w:sz w:val="17"/>
          <w:szCs w:val="17"/>
          <w:color w:val="auto"/>
        </w:rPr>
        <w:t>Includes $33 million that was borrowed under the AAP senior secured revolving credit facility. AAP agreed to borrow funds under its credit agreement as necessary to make a special true-up distribution to its partners that, when added to the distributions paid to AAP in respect of its 2% general partner interest in PAA and the IDRs, equaled the total distribution its partners would have received if the closing of the Simplification Transactions had occurred immediately prior to the record date for the third quarter distribution.</w:t>
      </w:r>
    </w:p>
    <w:p>
      <w:pPr>
        <w:spacing w:after="0" w:line="92" w:lineRule="exact"/>
        <w:rPr>
          <w:rFonts w:ascii="Arial" w:cs="Arial" w:eastAsia="Arial" w:hAnsi="Arial"/>
          <w:sz w:val="24"/>
          <w:szCs w:val="24"/>
          <w:color w:val="auto"/>
          <w:vertAlign w:val="superscript"/>
        </w:rPr>
      </w:pPr>
    </w:p>
    <w:p>
      <w:pPr>
        <w:ind w:left="660" w:right="80" w:hanging="652"/>
        <w:spacing w:after="0" w:line="226" w:lineRule="auto"/>
        <w:tabs>
          <w:tab w:leader="none" w:pos="660" w:val="left"/>
        </w:tabs>
        <w:numPr>
          <w:ilvl w:val="0"/>
          <w:numId w:val="118"/>
        </w:numPr>
        <w:rPr>
          <w:rFonts w:ascii="Arial" w:cs="Arial" w:eastAsia="Arial" w:hAnsi="Arial"/>
          <w:sz w:val="25"/>
          <w:szCs w:val="25"/>
          <w:color w:val="auto"/>
          <w:vertAlign w:val="superscript"/>
        </w:rPr>
      </w:pPr>
      <w:r>
        <w:rPr>
          <w:rFonts w:ascii="Arial" w:cs="Arial" w:eastAsia="Arial" w:hAnsi="Arial"/>
          <w:sz w:val="18"/>
          <w:szCs w:val="18"/>
          <w:color w:val="auto"/>
        </w:rPr>
        <w:t>The amount of the distribution paid to AAP’s partners in November 2016 assumed that the Simplification Transactions had closed as of the date of record for the third quarter distribution. Pursuant to the Omnibus Agreement entered into as part of the Simplification Transactions, AAP’s expenses will be paid by PAA. Therefore, no cash was reserved from this distribution for future expenses of AAP.</w:t>
      </w:r>
    </w:p>
    <w:p>
      <w:pPr>
        <w:spacing w:after="0" w:line="204"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On February 14, 2019, AAP distributed $84 million to its partners from distributions received from PAA. Of this amount, $36 million was distributed to noncontrolling interests and $48 million was distributed to us.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125" w:right="2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i w:val="1"/>
          <w:iCs w:val="1"/>
          <w:color w:val="auto"/>
        </w:rPr>
        <w:t xml:space="preserve">Other Distributions. </w:t>
      </w:r>
      <w:r>
        <w:rPr>
          <w:rFonts w:ascii="Arial" w:cs="Arial" w:eastAsia="Arial" w:hAnsi="Arial"/>
          <w:sz w:val="18"/>
          <w:szCs w:val="18"/>
          <w:color w:val="auto"/>
        </w:rPr>
        <w:t>During the years ended December 31, 2017 and 2016, distributions of $2 million and $4 million, respectively, were paid to</w:t>
      </w:r>
      <w:r>
        <w:rPr>
          <w:rFonts w:ascii="Arial" w:cs="Arial" w:eastAsia="Arial" w:hAnsi="Arial"/>
          <w:sz w:val="18"/>
          <w:szCs w:val="18"/>
          <w:i w:val="1"/>
          <w:iCs w:val="1"/>
          <w:color w:val="auto"/>
        </w:rPr>
        <w:t xml:space="preserve"> </w:t>
      </w:r>
      <w:r>
        <w:rPr>
          <w:rFonts w:ascii="Arial" w:cs="Arial" w:eastAsia="Arial" w:hAnsi="Arial"/>
          <w:sz w:val="18"/>
          <w:szCs w:val="18"/>
          <w:color w:val="auto"/>
        </w:rPr>
        <w:t>noncontrolling interests in SLC Pipeline LLC.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13—Derivatives and Risk Management Activities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manage our exposure to (i) commodity price risk, as well as to optimize our profits,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throughout the hedging relationship, we assess whether the derivatives employed are highly effective in offsetting changes in cash flows of anticipated hedged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4"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December 31, 2018, net derivative positions related to these activities included:</w:t>
      </w:r>
    </w:p>
    <w:p>
      <w:pPr>
        <w:spacing w:after="0" w:line="38" w:lineRule="exact"/>
        <w:rPr>
          <w:sz w:val="20"/>
          <w:szCs w:val="20"/>
          <w:color w:val="auto"/>
        </w:rPr>
      </w:pPr>
    </w:p>
    <w:p>
      <w:pPr>
        <w:ind w:left="980" w:right="300" w:hanging="324"/>
        <w:spacing w:after="0" w:line="277" w:lineRule="auto"/>
        <w:tabs>
          <w:tab w:leader="none" w:pos="9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net long position of 3.4 million barrels associated with our crude oil purchases, which was unwound ratably during January 2019 to match monthly average pricing.</w:t>
      </w:r>
    </w:p>
    <w:p>
      <w:pPr>
        <w:spacing w:after="0" w:line="62"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net short time spread position of 10.1 million barrels, which hedges a portion of our anticipated crude oil lease gathering purchases through March 2020.</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 crude oil grade basis position of 54.6 million barrels through December 2020. These derivatives allow us to lock in grade basis differentials.</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net short position of 6.1 million barrels through March 2021 related to anticipated net sales of our crude oil and NGL inventory.</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Pipeline Loss Allowance Oil </w:t>
      </w:r>
      <w:r>
        <w:rPr>
          <w:rFonts w:ascii="Arial" w:cs="Arial" w:eastAsia="Arial" w:hAnsi="Arial"/>
          <w:sz w:val="18"/>
          <w:szCs w:val="18"/>
          <w:color w:val="auto"/>
        </w:rPr>
        <w:t>— As is common in the pipeline transportation industry, our tariffs incorporate a loss allowance factor. We utilize</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instruments to hedge a portion of the anticipated sales of the loss allowance oil that is to be collected under our tariffs. As of December 31, 2018, our PLA hedges included a short position consisting of crude oil futures of 1.2 million barrels through December 2019 and a long call option position of 2.4 million barrels through December 2020.</w:t>
      </w:r>
    </w:p>
    <w:p>
      <w:pPr>
        <w:spacing w:after="0" w:line="187"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i w:val="1"/>
          <w:iCs w:val="1"/>
          <w:color w:val="auto"/>
        </w:rPr>
        <w:t xml:space="preserve">Natural Gas Processing/NGL Fractionation </w:t>
      </w:r>
      <w:r>
        <w:rPr>
          <w:rFonts w:ascii="Arial" w:cs="Arial" w:eastAsia="Arial" w:hAnsi="Arial"/>
          <w:sz w:val="16"/>
          <w:szCs w:val="16"/>
          <w:color w:val="auto"/>
        </w:rPr>
        <w:t>— We purchase natural gas for processing and operational needs. Additionally, we purchase NGL mix</w:t>
      </w:r>
      <w:r>
        <w:rPr>
          <w:rFonts w:ascii="Arial" w:cs="Arial" w:eastAsia="Arial" w:hAnsi="Arial"/>
          <w:sz w:val="16"/>
          <w:szCs w:val="16"/>
          <w:i w:val="1"/>
          <w:iCs w:val="1"/>
          <w:color w:val="auto"/>
        </w:rPr>
        <w:t xml:space="preserve"> </w:t>
      </w:r>
      <w:r>
        <w:rPr>
          <w:rFonts w:ascii="Arial" w:cs="Arial" w:eastAsia="Arial" w:hAnsi="Arial"/>
          <w:sz w:val="16"/>
          <w:szCs w:val="16"/>
          <w:color w:val="auto"/>
        </w:rPr>
        <w:t>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 December 31, 2018, we had a long natural gas position of 44.1 Bcf which hedges a portion of our natural gas processing and operational needs through December 2020. We also had a short propane position of 6.4 million barrels through December 2020, a short butane position of 2.0 million barrels through December 2020 and a short WTI position of 0.7 million barrels through December 2020. In addition, we had a long power position of 0.3 million megawatt hours, which hedges a portion of our power supply requirements at our Canadian natural gas processing and fractionation plants through December 2020.</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00"/>
          </w:cols>
          <w:pgMar w:left="240" w:top="125" w:right="25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terms of our outstanding interest rate derivatives as of December 31, 2018 (notional amounts 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Hedged Transaction</w:t>
            </w:r>
          </w:p>
        </w:tc>
        <w:tc>
          <w:tcPr>
            <w:tcW w:w="100" w:type="dxa"/>
            <w:vAlign w:val="bottom"/>
            <w:vMerge w:val="restart"/>
          </w:tcPr>
          <w:p>
            <w:pPr>
              <w:spacing w:after="0"/>
              <w:rPr>
                <w:sz w:val="14"/>
                <w:szCs w:val="14"/>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Number and Types of</w:t>
            </w:r>
          </w:p>
        </w:tc>
        <w:tc>
          <w:tcPr>
            <w:tcW w:w="22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Notional</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Expected</w:t>
            </w: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Average Rate</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Derivatives Employed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Locked</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Anticipated interest payments</w:t>
            </w:r>
          </w:p>
        </w:tc>
        <w:tc>
          <w:tcPr>
            <w:tcW w:w="28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8 forward starting swaps (30-year)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6/14/2019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29"/>
        </w:trPr>
        <w:tc>
          <w:tcPr>
            <w:tcW w:w="2840" w:type="dxa"/>
            <w:vAlign w:val="bottom"/>
            <w:gridSpan w:val="2"/>
          </w:tcPr>
          <w:p>
            <w:pPr>
              <w:ind w:left="40"/>
              <w:spacing w:after="0"/>
              <w:rPr>
                <w:sz w:val="20"/>
                <w:szCs w:val="20"/>
                <w:color w:val="auto"/>
              </w:rPr>
            </w:pPr>
            <w:r>
              <w:rPr>
                <w:rFonts w:ascii="Arial" w:cs="Arial" w:eastAsia="Arial" w:hAnsi="Arial"/>
                <w:sz w:val="18"/>
                <w:szCs w:val="18"/>
                <w:color w:val="auto"/>
              </w:rPr>
              <w:t>Anticipated interest payments</w:t>
            </w: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8 forward starting swaps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6/15/2020</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(30-year)</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Because a significant portion of our Canadian business is conducted in CAD we use foreign currency derivatives to minimize the risk of unfavorable changes in exchange rates. These instruments include foreign currency exchange contracts, forwards and options.</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use of foreign currency derivatives include (i) derivatives we use to hedge currency exchange risk created by the use of USD-denominated commodity derivatives to hedge commodity price risk associated with CAD-denominated commodity purchases and sales and (ii) foreign currency exchange contracts we use to manage our Canadian business cash requirements.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December 31, 2018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USD</w:t>
            </w:r>
          </w:p>
        </w:tc>
        <w:tc>
          <w:tcPr>
            <w:tcW w:w="18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CAD</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92"/>
        </w:trPr>
        <w:tc>
          <w:tcPr>
            <w:tcW w:w="7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250"/>
        </w:trPr>
        <w:tc>
          <w:tcPr>
            <w:tcW w:w="7680" w:type="dxa"/>
            <w:vAlign w:val="bottom"/>
            <w:tcBorders>
              <w:top w:val="single" w:sz="8" w:color="CCEEFF"/>
              <w:bottom w:val="single" w:sz="8" w:color="CCEEFF"/>
            </w:tcBorders>
            <w:shd w:val="clear" w:color="auto" w:fill="CCEEFF"/>
          </w:tcPr>
          <w:p>
            <w:pPr>
              <w:jc w:val="right"/>
              <w:ind w:right="309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tcPr>
          <w:p>
            <w:pPr>
              <w:jc w:val="right"/>
              <w:ind w:right="150"/>
              <w:spacing w:after="0"/>
              <w:rPr>
                <w:sz w:val="20"/>
                <w:szCs w:val="20"/>
                <w:color w:val="auto"/>
              </w:rPr>
            </w:pPr>
            <w:r>
              <w:rPr>
                <w:rFonts w:ascii="Arial" w:cs="Arial" w:eastAsia="Arial" w:hAnsi="Arial"/>
                <w:sz w:val="18"/>
                <w:szCs w:val="18"/>
                <w:color w:val="auto"/>
              </w:rPr>
              <w:t>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6"/>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$1.00 - $1.34</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6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80" w:type="dxa"/>
            <w:vAlign w:val="bottom"/>
          </w:tcPr>
          <w:p>
            <w:pPr>
              <w:jc w:val="right"/>
              <w:ind w:right="309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$1.31</w:t>
            </w:r>
          </w:p>
        </w:tc>
        <w:tc>
          <w:tcPr>
            <w:tcW w:w="0" w:type="dxa"/>
            <w:vAlign w:val="bottom"/>
          </w:tcPr>
          <w:p>
            <w:pPr>
              <w:spacing w:after="0"/>
              <w:rPr>
                <w:sz w:val="1"/>
                <w:szCs w:val="1"/>
                <w:color w:val="auto"/>
              </w:rPr>
            </w:pPr>
          </w:p>
        </w:tc>
      </w:tr>
      <w:tr>
        <w:trPr>
          <w:trHeight w:val="27"/>
        </w:trPr>
        <w:tc>
          <w:tcPr>
            <w:tcW w:w="76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the PAA Series A preferred units is an embedded derivative that must be bifurcated from the related host contract, the PAA partnership agreement, and recorded at fair value on our Consolidated Balance Sheet. Corresponding changes in fair value are recognized in “Other income/(expense), net” in our Consolidated Statement of Operations. See Note 12 for additional information regarding the PAA Series A preferred units and the Preferred Distribution Rate Reset Option.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126" w:right="23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of the effective portion of the hedges are deferred in AOCI and recognized in earnings in the periods during which the underlying physical transactions are recognized in earnings. Derivatives that are not designated as a hedging instrument, derivatives that do not qualify for hedge accounting and the portion of cash flow hedges that are not highly effective in offsetting changes in cash flows of the hedged items are recognized in earnings each period. Cash settlements associated with our derivative activities are classified within the same category as the related hedged item in our Consolidated Statements of Cash Flows.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impact of our derivatives recognized in earnings is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gridSpan w:val="10"/>
          </w:tcPr>
          <w:p>
            <w:pPr>
              <w:jc w:val="center"/>
              <w:ind w:left="993"/>
              <w:spacing w:after="0"/>
              <w:rPr>
                <w:sz w:val="20"/>
                <w:szCs w:val="20"/>
                <w:color w:val="auto"/>
              </w:rPr>
            </w:pPr>
            <w:r>
              <w:rPr>
                <w:rFonts w:ascii="Arial" w:cs="Arial" w:eastAsia="Arial" w:hAnsi="Arial"/>
                <w:sz w:val="16"/>
                <w:szCs w:val="16"/>
                <w:b w:val="1"/>
                <w:bCs w:val="1"/>
                <w:color w:val="auto"/>
                <w:w w:val="91"/>
              </w:rPr>
              <w:t>Year Ended December 31, 2018</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2"/>
              </w:rPr>
              <w:t>Preferred</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w w:val="93"/>
              </w:rPr>
              <w:t>Commodity</w:t>
            </w:r>
          </w:p>
        </w:tc>
        <w:tc>
          <w:tcPr>
            <w:tcW w:w="120" w:type="dxa"/>
            <w:vAlign w:val="bottom"/>
          </w:tcPr>
          <w:p>
            <w:pPr>
              <w:spacing w:after="0"/>
              <w:rPr>
                <w:sz w:val="17"/>
                <w:szCs w:val="17"/>
                <w:color w:val="auto"/>
              </w:rPr>
            </w:pPr>
          </w:p>
        </w:tc>
        <w:tc>
          <w:tcPr>
            <w:tcW w:w="146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2"/>
              </w:rPr>
              <w:t>Foreign Currency</w:t>
            </w:r>
          </w:p>
        </w:tc>
        <w:tc>
          <w:tcPr>
            <w:tcW w:w="120" w:type="dxa"/>
            <w:vAlign w:val="bottom"/>
          </w:tcPr>
          <w:p>
            <w:pPr>
              <w:spacing w:after="0"/>
              <w:rPr>
                <w:sz w:val="17"/>
                <w:szCs w:val="17"/>
                <w:color w:val="auto"/>
              </w:rPr>
            </w:pPr>
          </w:p>
        </w:tc>
        <w:tc>
          <w:tcPr>
            <w:tcW w:w="146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4"/>
              </w:rPr>
              <w:t>Distribution Rate</w:t>
            </w:r>
          </w:p>
        </w:tc>
        <w:tc>
          <w:tcPr>
            <w:tcW w:w="240" w:type="dxa"/>
            <w:vAlign w:val="bottom"/>
          </w:tcPr>
          <w:p>
            <w:pPr>
              <w:spacing w:after="0"/>
              <w:rPr>
                <w:sz w:val="17"/>
                <w:szCs w:val="17"/>
                <w:color w:val="auto"/>
              </w:rPr>
            </w:pPr>
          </w:p>
        </w:tc>
        <w:tc>
          <w:tcPr>
            <w:tcW w:w="134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2"/>
              </w:rPr>
              <w:t>Interest Rate</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6"/>
                <w:szCs w:val="16"/>
                <w:b w:val="1"/>
                <w:bCs w:val="1"/>
                <w:color w:val="auto"/>
              </w:rPr>
              <w:t>Location of Gain/(Loss)</w:t>
            </w:r>
          </w:p>
        </w:tc>
        <w:tc>
          <w:tcPr>
            <w:tcW w:w="220" w:type="dxa"/>
            <w:vAlign w:val="bottom"/>
          </w:tcPr>
          <w:p>
            <w:pPr>
              <w:spacing w:after="0"/>
              <w:rPr>
                <w:sz w:val="18"/>
                <w:szCs w:val="18"/>
                <w:color w:val="auto"/>
              </w:rPr>
            </w:pPr>
          </w:p>
        </w:tc>
        <w:tc>
          <w:tcPr>
            <w:tcW w:w="142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1"/>
              </w:rPr>
              <w:t>Derivatives</w:t>
            </w:r>
          </w:p>
        </w:tc>
        <w:tc>
          <w:tcPr>
            <w:tcW w:w="120" w:type="dxa"/>
            <w:vAlign w:val="bottom"/>
          </w:tcPr>
          <w:p>
            <w:pPr>
              <w:spacing w:after="0"/>
              <w:rPr>
                <w:sz w:val="18"/>
                <w:szCs w:val="18"/>
                <w:color w:val="auto"/>
              </w:rPr>
            </w:pPr>
          </w:p>
        </w:tc>
        <w:tc>
          <w:tcPr>
            <w:tcW w:w="146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1"/>
              </w:rPr>
              <w:t>Derivatives</w:t>
            </w:r>
          </w:p>
        </w:tc>
        <w:tc>
          <w:tcPr>
            <w:tcW w:w="120" w:type="dxa"/>
            <w:vAlign w:val="bottom"/>
          </w:tcPr>
          <w:p>
            <w:pPr>
              <w:spacing w:after="0"/>
              <w:rPr>
                <w:sz w:val="18"/>
                <w:szCs w:val="18"/>
                <w:color w:val="auto"/>
              </w:rPr>
            </w:pPr>
          </w:p>
        </w:tc>
        <w:tc>
          <w:tcPr>
            <w:tcW w:w="146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0"/>
              </w:rPr>
              <w:t>Reset Option</w:t>
            </w:r>
          </w:p>
        </w:tc>
        <w:tc>
          <w:tcPr>
            <w:tcW w:w="240" w:type="dxa"/>
            <w:vAlign w:val="bottom"/>
          </w:tcPr>
          <w:p>
            <w:pPr>
              <w:spacing w:after="0"/>
              <w:rPr>
                <w:sz w:val="18"/>
                <w:szCs w:val="18"/>
                <w:color w:val="auto"/>
              </w:rPr>
            </w:pPr>
          </w:p>
        </w:tc>
        <w:tc>
          <w:tcPr>
            <w:tcW w:w="134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1"/>
              </w:rPr>
              <w:t>Derivatives</w:t>
            </w:r>
          </w:p>
        </w:tc>
        <w:tc>
          <w:tcPr>
            <w:tcW w:w="340" w:type="dxa"/>
            <w:vAlign w:val="bottom"/>
          </w:tcPr>
          <w:p>
            <w:pPr>
              <w:spacing w:after="0"/>
              <w:rPr>
                <w:sz w:val="18"/>
                <w:szCs w:val="18"/>
                <w:color w:val="auto"/>
              </w:rPr>
            </w:pPr>
          </w:p>
        </w:tc>
        <w:tc>
          <w:tcPr>
            <w:tcW w:w="1120" w:type="dxa"/>
            <w:vAlign w:val="bottom"/>
          </w:tcPr>
          <w:p>
            <w:pPr>
              <w:ind w:left="220"/>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right w:val="single" w:sz="8" w:color="CCEEFF"/>
            </w:tcBorders>
          </w:tcPr>
          <w:p>
            <w:pPr>
              <w:spacing w:after="0"/>
              <w:rPr>
                <w:sz w:val="22"/>
                <w:szCs w:val="22"/>
                <w:color w:val="auto"/>
              </w:rPr>
            </w:pPr>
          </w:p>
        </w:tc>
        <w:tc>
          <w:tcPr>
            <w:tcW w:w="3520" w:type="dxa"/>
            <w:vAlign w:val="bottom"/>
            <w:gridSpan w:val="2"/>
            <w:shd w:val="clear" w:color="auto" w:fill="CCEEFF"/>
          </w:tcPr>
          <w:p>
            <w:pPr>
              <w:spacing w:after="0" w:line="264" w:lineRule="exact"/>
              <w:rPr>
                <w:sz w:val="20"/>
                <w:szCs w:val="20"/>
                <w:color w:val="auto"/>
              </w:rPr>
            </w:pPr>
            <w:r>
              <w:rPr>
                <w:rFonts w:ascii="Arial" w:cs="Arial" w:eastAsia="Arial" w:hAnsi="Arial"/>
                <w:sz w:val="18"/>
                <w:szCs w:val="18"/>
                <w:color w:val="auto"/>
              </w:rPr>
              <w:t xml:space="preserve">Supply and Logistics segment revenues </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2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35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3"/>
                <w:szCs w:val="23"/>
                <w:color w:val="auto"/>
              </w:rPr>
            </w:pPr>
          </w:p>
        </w:tc>
        <w:tc>
          <w:tcPr>
            <w:tcW w:w="14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2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Other income/(expense), net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4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352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2"/>
              </w:rPr>
              <w:t>Total Gain/(Loss) on Derivatives Recognized</w:t>
            </w: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148</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35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 Net Income</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10"/>
          </w:tcPr>
          <w:p>
            <w:pPr>
              <w:jc w:val="center"/>
              <w:ind w:left="993"/>
              <w:spacing w:after="0"/>
              <w:rPr>
                <w:sz w:val="20"/>
                <w:szCs w:val="20"/>
                <w:color w:val="auto"/>
              </w:rPr>
            </w:pPr>
            <w:r>
              <w:rPr>
                <w:rFonts w:ascii="Arial" w:cs="Arial" w:eastAsia="Arial" w:hAnsi="Arial"/>
                <w:sz w:val="16"/>
                <w:szCs w:val="16"/>
                <w:b w:val="1"/>
                <w:bCs w:val="1"/>
                <w:color w:val="auto"/>
                <w:w w:val="91"/>
              </w:rPr>
              <w:t>Year Ended December 31, 2017</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4"/>
          </w:tcPr>
          <w:p>
            <w:pPr>
              <w:ind w:left="280"/>
              <w:spacing w:after="0"/>
              <w:rPr>
                <w:sz w:val="20"/>
                <w:szCs w:val="20"/>
                <w:color w:val="auto"/>
              </w:rPr>
            </w:pPr>
            <w:r>
              <w:rPr>
                <w:rFonts w:ascii="Arial" w:cs="Arial" w:eastAsia="Arial" w:hAnsi="Arial"/>
                <w:sz w:val="16"/>
                <w:szCs w:val="16"/>
                <w:b w:val="1"/>
                <w:bCs w:val="1"/>
                <w:color w:val="auto"/>
              </w:rPr>
              <w:t>Preferred</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w w:val="93"/>
              </w:rPr>
              <w:t>Commodity</w:t>
            </w:r>
          </w:p>
        </w:tc>
        <w:tc>
          <w:tcPr>
            <w:tcW w:w="120" w:type="dxa"/>
            <w:vAlign w:val="bottom"/>
          </w:tcPr>
          <w:p>
            <w:pPr>
              <w:spacing w:after="0"/>
              <w:rPr>
                <w:sz w:val="17"/>
                <w:szCs w:val="17"/>
                <w:color w:val="auto"/>
              </w:rPr>
            </w:pPr>
          </w:p>
        </w:tc>
        <w:tc>
          <w:tcPr>
            <w:tcW w:w="146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2"/>
              </w:rPr>
              <w:t>Foreign Currency</w:t>
            </w:r>
          </w:p>
        </w:tc>
        <w:tc>
          <w:tcPr>
            <w:tcW w:w="120" w:type="dxa"/>
            <w:vAlign w:val="bottom"/>
          </w:tcPr>
          <w:p>
            <w:pPr>
              <w:spacing w:after="0"/>
              <w:rPr>
                <w:sz w:val="17"/>
                <w:szCs w:val="17"/>
                <w:color w:val="auto"/>
              </w:rPr>
            </w:pPr>
          </w:p>
        </w:tc>
        <w:tc>
          <w:tcPr>
            <w:tcW w:w="1460" w:type="dxa"/>
            <w:vAlign w:val="bottom"/>
            <w:gridSpan w:val="4"/>
          </w:tcPr>
          <w:p>
            <w:pPr>
              <w:jc w:val="right"/>
              <w:ind w:right="240"/>
              <w:spacing w:after="0"/>
              <w:rPr>
                <w:sz w:val="20"/>
                <w:szCs w:val="20"/>
                <w:color w:val="auto"/>
              </w:rPr>
            </w:pPr>
            <w:r>
              <w:rPr>
                <w:rFonts w:ascii="Arial" w:cs="Arial" w:eastAsia="Arial" w:hAnsi="Arial"/>
                <w:sz w:val="16"/>
                <w:szCs w:val="16"/>
                <w:b w:val="1"/>
                <w:bCs w:val="1"/>
                <w:color w:val="auto"/>
                <w:w w:val="93"/>
              </w:rPr>
              <w:t>Distribution Rate</w:t>
            </w:r>
          </w:p>
        </w:tc>
        <w:tc>
          <w:tcPr>
            <w:tcW w:w="240" w:type="dxa"/>
            <w:vAlign w:val="bottom"/>
          </w:tcPr>
          <w:p>
            <w:pPr>
              <w:spacing w:after="0"/>
              <w:rPr>
                <w:sz w:val="17"/>
                <w:szCs w:val="17"/>
                <w:color w:val="auto"/>
              </w:rPr>
            </w:pPr>
          </w:p>
        </w:tc>
        <w:tc>
          <w:tcPr>
            <w:tcW w:w="134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2"/>
              </w:rPr>
              <w:t>Interest Rate</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6"/>
                <w:szCs w:val="16"/>
                <w:b w:val="1"/>
                <w:bCs w:val="1"/>
                <w:color w:val="auto"/>
              </w:rPr>
              <w:t>Location of Gain/(Loss)</w:t>
            </w:r>
          </w:p>
        </w:tc>
        <w:tc>
          <w:tcPr>
            <w:tcW w:w="220" w:type="dxa"/>
            <w:vAlign w:val="bottom"/>
          </w:tcPr>
          <w:p>
            <w:pPr>
              <w:spacing w:after="0"/>
              <w:rPr>
                <w:sz w:val="18"/>
                <w:szCs w:val="18"/>
                <w:color w:val="auto"/>
              </w:rPr>
            </w:pPr>
          </w:p>
        </w:tc>
        <w:tc>
          <w:tcPr>
            <w:tcW w:w="142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1"/>
              </w:rPr>
              <w:t>Derivatives</w:t>
            </w:r>
          </w:p>
        </w:tc>
        <w:tc>
          <w:tcPr>
            <w:tcW w:w="120" w:type="dxa"/>
            <w:vAlign w:val="bottom"/>
          </w:tcPr>
          <w:p>
            <w:pPr>
              <w:spacing w:after="0"/>
              <w:rPr>
                <w:sz w:val="18"/>
                <w:szCs w:val="18"/>
                <w:color w:val="auto"/>
              </w:rPr>
            </w:pPr>
          </w:p>
        </w:tc>
        <w:tc>
          <w:tcPr>
            <w:tcW w:w="146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1"/>
              </w:rPr>
              <w:t>Derivatives</w:t>
            </w:r>
          </w:p>
        </w:tc>
        <w:tc>
          <w:tcPr>
            <w:tcW w:w="120" w:type="dxa"/>
            <w:vAlign w:val="bottom"/>
          </w:tcPr>
          <w:p>
            <w:pPr>
              <w:spacing w:after="0"/>
              <w:rPr>
                <w:sz w:val="18"/>
                <w:szCs w:val="18"/>
                <w:color w:val="auto"/>
              </w:rPr>
            </w:pPr>
          </w:p>
        </w:tc>
        <w:tc>
          <w:tcPr>
            <w:tcW w:w="1460" w:type="dxa"/>
            <w:vAlign w:val="bottom"/>
            <w:gridSpan w:val="4"/>
          </w:tcPr>
          <w:p>
            <w:pPr>
              <w:ind w:left="180"/>
              <w:spacing w:after="0"/>
              <w:rPr>
                <w:sz w:val="20"/>
                <w:szCs w:val="20"/>
                <w:color w:val="auto"/>
              </w:rPr>
            </w:pPr>
            <w:r>
              <w:rPr>
                <w:rFonts w:ascii="Arial" w:cs="Arial" w:eastAsia="Arial" w:hAnsi="Arial"/>
                <w:sz w:val="16"/>
                <w:szCs w:val="16"/>
                <w:b w:val="1"/>
                <w:bCs w:val="1"/>
                <w:color w:val="auto"/>
              </w:rPr>
              <w:t>Reset Option</w:t>
            </w:r>
          </w:p>
        </w:tc>
        <w:tc>
          <w:tcPr>
            <w:tcW w:w="240" w:type="dxa"/>
            <w:vAlign w:val="bottom"/>
          </w:tcPr>
          <w:p>
            <w:pPr>
              <w:spacing w:after="0"/>
              <w:rPr>
                <w:sz w:val="18"/>
                <w:szCs w:val="18"/>
                <w:color w:val="auto"/>
              </w:rPr>
            </w:pPr>
          </w:p>
        </w:tc>
        <w:tc>
          <w:tcPr>
            <w:tcW w:w="134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1"/>
              </w:rPr>
              <w:t>Derivatives</w:t>
            </w:r>
          </w:p>
        </w:tc>
        <w:tc>
          <w:tcPr>
            <w:tcW w:w="340" w:type="dxa"/>
            <w:vAlign w:val="bottom"/>
          </w:tcPr>
          <w:p>
            <w:pPr>
              <w:spacing w:after="0"/>
              <w:rPr>
                <w:sz w:val="18"/>
                <w:szCs w:val="18"/>
                <w:color w:val="auto"/>
              </w:rPr>
            </w:pPr>
          </w:p>
        </w:tc>
        <w:tc>
          <w:tcPr>
            <w:tcW w:w="1120" w:type="dxa"/>
            <w:vAlign w:val="bottom"/>
          </w:tcPr>
          <w:p>
            <w:pPr>
              <w:ind w:left="220"/>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right w:val="single" w:sz="8" w:color="CCEEFF"/>
            </w:tcBorders>
            <w:shd w:val="clear" w:color="auto" w:fill="CCEEFF"/>
          </w:tcPr>
          <w:p>
            <w:pPr>
              <w:spacing w:after="0"/>
              <w:rPr>
                <w:sz w:val="22"/>
                <w:szCs w:val="22"/>
                <w:color w:val="auto"/>
              </w:rPr>
            </w:pPr>
          </w:p>
        </w:tc>
        <w:tc>
          <w:tcPr>
            <w:tcW w:w="3520" w:type="dxa"/>
            <w:vAlign w:val="bottom"/>
            <w:gridSpan w:val="2"/>
            <w:shd w:val="clear" w:color="auto" w:fill="CCEEFF"/>
          </w:tcPr>
          <w:p>
            <w:pPr>
              <w:spacing w:after="0" w:line="264" w:lineRule="exact"/>
              <w:rPr>
                <w:sz w:val="20"/>
                <w:szCs w:val="20"/>
                <w:color w:val="auto"/>
              </w:rPr>
            </w:pPr>
            <w:r>
              <w:rPr>
                <w:rFonts w:ascii="Arial" w:cs="Arial" w:eastAsia="Arial" w:hAnsi="Arial"/>
                <w:sz w:val="18"/>
                <w:szCs w:val="18"/>
                <w:color w:val="auto"/>
              </w:rPr>
              <w:t xml:space="preserve">Supply and Logistics segment revenues </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4"/>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2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460" w:type="dxa"/>
            <w:vAlign w:val="bottom"/>
            <w:gridSpan w:val="4"/>
          </w:tcPr>
          <w:p>
            <w:pPr>
              <w:ind w:left="10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CCEEFF"/>
            </w:tcBorders>
            <w:shd w:val="clear" w:color="auto" w:fill="CCEEFF"/>
          </w:tcPr>
          <w:p>
            <w:pPr>
              <w:spacing w:after="0"/>
              <w:rPr>
                <w:sz w:val="23"/>
                <w:szCs w:val="23"/>
                <w:color w:val="auto"/>
              </w:rPr>
            </w:pPr>
          </w:p>
        </w:tc>
        <w:tc>
          <w:tcPr>
            <w:tcW w:w="35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460" w:type="dxa"/>
            <w:vAlign w:val="bottom"/>
            <w:gridSpan w:val="4"/>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3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2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(2)</w:t>
            </w:r>
          </w:p>
        </w:tc>
        <w:tc>
          <w:tcPr>
            <w:tcW w:w="220" w:type="dxa"/>
            <w:vAlign w:val="bottom"/>
          </w:tcPr>
          <w:p>
            <w:pPr>
              <w:spacing w:after="0"/>
              <w:rPr>
                <w:sz w:val="23"/>
                <w:szCs w:val="23"/>
                <w:color w:val="auto"/>
              </w:rPr>
            </w:pPr>
          </w:p>
        </w:tc>
        <w:tc>
          <w:tcPr>
            <w:tcW w:w="142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4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460" w:type="dxa"/>
            <w:vAlign w:val="bottom"/>
            <w:gridSpan w:val="4"/>
          </w:tcPr>
          <w:p>
            <w:pPr>
              <w:ind w:left="10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CCEEFF"/>
            </w:tcBorders>
            <w:shd w:val="clear" w:color="auto" w:fill="CCEEFF"/>
          </w:tcPr>
          <w:p>
            <w:pPr>
              <w:spacing w:after="0"/>
              <w:rPr>
                <w:sz w:val="23"/>
                <w:szCs w:val="23"/>
                <w:color w:val="auto"/>
              </w:rPr>
            </w:pPr>
          </w:p>
        </w:tc>
        <w:tc>
          <w:tcPr>
            <w:tcW w:w="35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Other income/(expense), net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4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4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w w:val="92"/>
              </w:rPr>
              <w:t>Total Gain/(Loss) on Derivatives Recognized</w:t>
            </w: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vMerge w:val="restart"/>
          </w:tcPr>
          <w:p>
            <w:pPr>
              <w:ind w:left="1080"/>
              <w:spacing w:after="0"/>
              <w:rPr>
                <w:sz w:val="20"/>
                <w:szCs w:val="20"/>
                <w:color w:val="auto"/>
              </w:rPr>
            </w:pPr>
            <w:r>
              <w:rPr>
                <w:rFonts w:ascii="Arial" w:cs="Arial" w:eastAsia="Arial" w:hAnsi="Arial"/>
                <w:sz w:val="18"/>
                <w:szCs w:val="18"/>
                <w:color w:val="auto"/>
              </w:rPr>
              <w:t>13</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(198)</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20" w:type="dxa"/>
            <w:vAlign w:val="bottom"/>
            <w:gridSpan w:val="2"/>
          </w:tcPr>
          <w:p>
            <w:pPr>
              <w:ind w:left="320"/>
              <w:spacing w:after="0"/>
              <w:rPr>
                <w:sz w:val="20"/>
                <w:szCs w:val="20"/>
                <w:color w:val="auto"/>
              </w:rPr>
            </w:pPr>
            <w:r>
              <w:rPr>
                <w:rFonts w:ascii="Arial" w:cs="Arial" w:eastAsia="Arial" w:hAnsi="Arial"/>
                <w:sz w:val="18"/>
                <w:szCs w:val="18"/>
                <w:color w:val="auto"/>
              </w:rPr>
              <w:t>in Net Income</w:t>
            </w:r>
          </w:p>
        </w:tc>
        <w:tc>
          <w:tcPr>
            <w:tcW w:w="22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10"/>
          </w:tcPr>
          <w:p>
            <w:pPr>
              <w:jc w:val="center"/>
              <w:ind w:left="973"/>
              <w:spacing w:after="0"/>
              <w:rPr>
                <w:sz w:val="20"/>
                <w:szCs w:val="20"/>
                <w:color w:val="auto"/>
              </w:rPr>
            </w:pPr>
            <w:r>
              <w:rPr>
                <w:rFonts w:ascii="Arial" w:cs="Arial" w:eastAsia="Arial" w:hAnsi="Arial"/>
                <w:sz w:val="16"/>
                <w:szCs w:val="16"/>
                <w:b w:val="1"/>
                <w:bCs w:val="1"/>
                <w:color w:val="auto"/>
                <w:w w:val="92"/>
              </w:rPr>
              <w:t>Year Ended December 31, 2016</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95"/>
              </w:rPr>
              <w:t>Preferred</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w w:val="93"/>
              </w:rPr>
              <w:t>Commodity</w:t>
            </w:r>
          </w:p>
        </w:tc>
        <w:tc>
          <w:tcPr>
            <w:tcW w:w="158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2"/>
              </w:rPr>
              <w:t>Foreign Currency</w:t>
            </w:r>
          </w:p>
        </w:tc>
        <w:tc>
          <w:tcPr>
            <w:tcW w:w="158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3"/>
              </w:rPr>
              <w:t>Distribution Rate</w:t>
            </w:r>
          </w:p>
        </w:tc>
        <w:tc>
          <w:tcPr>
            <w:tcW w:w="240" w:type="dxa"/>
            <w:vAlign w:val="bottom"/>
          </w:tcPr>
          <w:p>
            <w:pPr>
              <w:spacing w:after="0"/>
              <w:rPr>
                <w:sz w:val="17"/>
                <w:szCs w:val="17"/>
                <w:color w:val="auto"/>
              </w:rPr>
            </w:pPr>
          </w:p>
        </w:tc>
        <w:tc>
          <w:tcPr>
            <w:tcW w:w="134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w w:val="92"/>
              </w:rPr>
              <w:t>Interest Rate</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520" w:type="dxa"/>
            <w:vAlign w:val="bottom"/>
            <w:gridSpan w:val="2"/>
          </w:tcPr>
          <w:p>
            <w:pPr>
              <w:ind w:left="20"/>
              <w:spacing w:after="0"/>
              <w:rPr>
                <w:sz w:val="20"/>
                <w:szCs w:val="20"/>
                <w:color w:val="auto"/>
              </w:rPr>
            </w:pPr>
            <w:r>
              <w:rPr>
                <w:rFonts w:ascii="Arial" w:cs="Arial" w:eastAsia="Arial" w:hAnsi="Arial"/>
                <w:sz w:val="16"/>
                <w:szCs w:val="16"/>
                <w:b w:val="1"/>
                <w:bCs w:val="1"/>
                <w:color w:val="auto"/>
              </w:rPr>
              <w:t>Location of Gain/(Loss)</w:t>
            </w:r>
          </w:p>
        </w:tc>
        <w:tc>
          <w:tcPr>
            <w:tcW w:w="220" w:type="dxa"/>
            <w:vAlign w:val="bottom"/>
          </w:tcPr>
          <w:p>
            <w:pPr>
              <w:spacing w:after="0"/>
              <w:rPr>
                <w:sz w:val="18"/>
                <w:szCs w:val="18"/>
                <w:color w:val="auto"/>
              </w:rPr>
            </w:pPr>
          </w:p>
        </w:tc>
        <w:tc>
          <w:tcPr>
            <w:tcW w:w="142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1"/>
              </w:rPr>
              <w:t>Derivatives</w:t>
            </w:r>
          </w:p>
        </w:tc>
        <w:tc>
          <w:tcPr>
            <w:tcW w:w="120" w:type="dxa"/>
            <w:vAlign w:val="bottom"/>
          </w:tcPr>
          <w:p>
            <w:pPr>
              <w:spacing w:after="0"/>
              <w:rPr>
                <w:sz w:val="18"/>
                <w:szCs w:val="18"/>
                <w:color w:val="auto"/>
              </w:rPr>
            </w:pPr>
          </w:p>
        </w:tc>
        <w:tc>
          <w:tcPr>
            <w:tcW w:w="146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1"/>
              </w:rPr>
              <w:t>Derivatives</w:t>
            </w:r>
          </w:p>
        </w:tc>
        <w:tc>
          <w:tcPr>
            <w:tcW w:w="120" w:type="dxa"/>
            <w:vAlign w:val="bottom"/>
          </w:tcPr>
          <w:p>
            <w:pPr>
              <w:spacing w:after="0"/>
              <w:rPr>
                <w:sz w:val="18"/>
                <w:szCs w:val="18"/>
                <w:color w:val="auto"/>
              </w:rPr>
            </w:pPr>
          </w:p>
        </w:tc>
        <w:tc>
          <w:tcPr>
            <w:tcW w:w="146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0"/>
              </w:rPr>
              <w:t>Reset Option</w:t>
            </w:r>
          </w:p>
        </w:tc>
        <w:tc>
          <w:tcPr>
            <w:tcW w:w="240" w:type="dxa"/>
            <w:vAlign w:val="bottom"/>
          </w:tcPr>
          <w:p>
            <w:pPr>
              <w:spacing w:after="0"/>
              <w:rPr>
                <w:sz w:val="18"/>
                <w:szCs w:val="18"/>
                <w:color w:val="auto"/>
              </w:rPr>
            </w:pPr>
          </w:p>
        </w:tc>
        <w:tc>
          <w:tcPr>
            <w:tcW w:w="134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w w:val="91"/>
              </w:rPr>
              <w:t>Derivatives</w:t>
            </w:r>
          </w:p>
        </w:tc>
        <w:tc>
          <w:tcPr>
            <w:tcW w:w="340" w:type="dxa"/>
            <w:vAlign w:val="bottom"/>
          </w:tcPr>
          <w:p>
            <w:pPr>
              <w:spacing w:after="0"/>
              <w:rPr>
                <w:sz w:val="18"/>
                <w:szCs w:val="18"/>
                <w:color w:val="auto"/>
              </w:rPr>
            </w:pPr>
          </w:p>
        </w:tc>
        <w:tc>
          <w:tcPr>
            <w:tcW w:w="1120" w:type="dxa"/>
            <w:vAlign w:val="bottom"/>
          </w:tcPr>
          <w:p>
            <w:pPr>
              <w:ind w:left="200"/>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5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520" w:type="dxa"/>
            <w:vAlign w:val="bottom"/>
            <w:gridSpan w:val="2"/>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Supply and Logistics segment revenues </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2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Transportation segment revenues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4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2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3"/>
                <w:szCs w:val="23"/>
                <w:color w:val="auto"/>
              </w:rPr>
            </w:pPr>
          </w:p>
        </w:tc>
        <w:tc>
          <w:tcPr>
            <w:tcW w:w="14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4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4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2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Other income/(expense), net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4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4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52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2"/>
              </w:rPr>
              <w:t>Total Gain/(Loss) on Derivatives Recognized</w:t>
            </w: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30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 Net Income</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100" w:hanging="652"/>
        <w:spacing w:after="0" w:line="216" w:lineRule="auto"/>
        <w:tabs>
          <w:tab w:leader="none" w:pos="660" w:val="left"/>
        </w:tabs>
        <w:numPr>
          <w:ilvl w:val="0"/>
          <w:numId w:val="120"/>
        </w:numPr>
        <w:rPr>
          <w:rFonts w:ascii="Arial" w:cs="Arial" w:eastAsia="Arial" w:hAnsi="Arial"/>
          <w:sz w:val="25"/>
          <w:szCs w:val="25"/>
          <w:color w:val="auto"/>
          <w:vertAlign w:val="superscript"/>
        </w:rPr>
      </w:pPr>
      <w:r>
        <w:rPr>
          <w:rFonts w:ascii="Arial" w:cs="Arial" w:eastAsia="Arial" w:hAnsi="Arial"/>
          <w:sz w:val="18"/>
          <w:szCs w:val="18"/>
          <w:color w:val="auto"/>
        </w:rPr>
        <w:t>Derivatives not designated as a hedge. For the year ended December 31, 2016, Supply and Logistics segment revenues includes a gain of $2 million related to derivatives in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25044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8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125" w:right="2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p>
      <w:pPr>
        <w:ind w:left="660" w:hanging="652"/>
        <w:spacing w:after="0"/>
        <w:tabs>
          <w:tab w:leader="none" w:pos="660" w:val="left"/>
        </w:tabs>
        <w:numPr>
          <w:ilvl w:val="0"/>
          <w:numId w:val="121"/>
        </w:numPr>
        <w:rPr>
          <w:rFonts w:ascii="Arial" w:cs="Arial" w:eastAsia="Arial" w:hAnsi="Arial"/>
          <w:sz w:val="25"/>
          <w:szCs w:val="25"/>
          <w:color w:val="auto"/>
          <w:vertAlign w:val="superscript"/>
        </w:rPr>
      </w:pPr>
      <w:r>
        <w:rPr>
          <w:rFonts w:ascii="Arial" w:cs="Arial" w:eastAsia="Arial" w:hAnsi="Arial"/>
          <w:sz w:val="18"/>
          <w:szCs w:val="18"/>
          <w:color w:val="auto"/>
        </w:rPr>
        <w:t>Derivatives in hedging relationships.</w:t>
      </w:r>
    </w:p>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Consolidated Balance Sheet on a gross basis as of December 31, 2018 (in millions):</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60" w:type="dxa"/>
            <w:vAlign w:val="bottom"/>
            <w:gridSpan w:val="9"/>
          </w:tcPr>
          <w:p>
            <w:pPr>
              <w:jc w:val="right"/>
              <w:ind w:right="3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9"/>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Preferred</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9"/>
              </w:rPr>
              <w:t>Commodity</w:t>
            </w:r>
          </w:p>
        </w:tc>
        <w:tc>
          <w:tcPr>
            <w:tcW w:w="1460" w:type="dxa"/>
            <w:vAlign w:val="bottom"/>
            <w:gridSpan w:val="3"/>
          </w:tcPr>
          <w:p>
            <w:pPr>
              <w:ind w:left="60"/>
              <w:spacing w:after="0"/>
              <w:rPr>
                <w:sz w:val="20"/>
                <w:szCs w:val="20"/>
                <w:color w:val="auto"/>
              </w:rPr>
            </w:pPr>
            <w:r>
              <w:rPr>
                <w:rFonts w:ascii="Arial" w:cs="Arial" w:eastAsia="Arial" w:hAnsi="Arial"/>
                <w:sz w:val="16"/>
                <w:szCs w:val="16"/>
                <w:b w:val="1"/>
                <w:bCs w:val="1"/>
                <w:color w:val="auto"/>
              </w:rPr>
              <w:t>Foreign Currency</w:t>
            </w: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Distribution Rate</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Interest Rate</w:t>
            </w: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43"/>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Sheet Location</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Derivatives</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8"/>
              </w:rPr>
              <w:t>Derivatives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90"/>
              </w:rPr>
              <w:t>Reset Option</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89"/>
              </w:rPr>
              <w:t xml:space="preserve">Derivatives </w:t>
            </w:r>
            <w:r>
              <w:rPr>
                <w:rFonts w:ascii="Arial" w:cs="Arial" w:eastAsia="Arial" w:hAnsi="Arial"/>
                <w:sz w:val="21"/>
                <w:szCs w:val="21"/>
                <w:b w:val="1"/>
                <w:bCs w:val="1"/>
                <w:color w:val="auto"/>
                <w:w w:val="89"/>
                <w:vertAlign w:val="superscript"/>
              </w:rPr>
              <w:t>(1)</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8"/>
              </w:rPr>
              <w:t>Total Derivatives</w:t>
            </w:r>
          </w:p>
        </w:tc>
      </w:tr>
      <w:tr>
        <w:trPr>
          <w:trHeight w:val="244"/>
        </w:trPr>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64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443</w:t>
            </w: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29"/>
        </w:trPr>
        <w:tc>
          <w:tcPr>
            <w:tcW w:w="2640" w:type="dxa"/>
            <w:vAlign w:val="bottom"/>
            <w:gridSpan w:val="2"/>
          </w:tcPr>
          <w:p>
            <w:pPr>
              <w:ind w:left="160"/>
              <w:spacing w:after="0"/>
              <w:rPr>
                <w:sz w:val="20"/>
                <w:szCs w:val="20"/>
                <w:color w:val="auto"/>
              </w:rPr>
            </w:pPr>
            <w:r>
              <w:rPr>
                <w:rFonts w:ascii="Arial" w:cs="Arial" w:eastAsia="Arial" w:hAnsi="Arial"/>
                <w:sz w:val="18"/>
                <w:szCs w:val="18"/>
                <w:color w:val="auto"/>
              </w:rPr>
              <w:t>Other long-term liabilities and</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640" w:type="dxa"/>
            <w:vAlign w:val="bottom"/>
            <w:gridSpan w:val="2"/>
          </w:tcPr>
          <w:p>
            <w:pPr>
              <w:ind w:left="320"/>
              <w:spacing w:after="0"/>
              <w:rPr>
                <w:sz w:val="20"/>
                <w:szCs w:val="20"/>
                <w:color w:val="auto"/>
              </w:rPr>
            </w:pPr>
            <w:r>
              <w:rPr>
                <w:rFonts w:ascii="Arial" w:cs="Arial" w:eastAsia="Arial" w:hAnsi="Arial"/>
                <w:sz w:val="18"/>
                <w:szCs w:val="18"/>
                <w:color w:val="auto"/>
              </w:rPr>
              <w:t>deferred credits</w:t>
            </w:r>
          </w:p>
        </w:tc>
        <w:tc>
          <w:tcPr>
            <w:tcW w:w="18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26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Total Derivative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64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2640" w:type="dxa"/>
            <w:vAlign w:val="bottom"/>
            <w:gridSpan w:val="2"/>
          </w:tcPr>
          <w:p>
            <w:pPr>
              <w:ind w:left="16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liabilities and</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57"/>
        </w:trPr>
        <w:tc>
          <w:tcPr>
            <w:tcW w:w="26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deferred credits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57"/>
        </w:trPr>
        <w:tc>
          <w:tcPr>
            <w:tcW w:w="264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 Derivative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Consolidated Balance Sheet on a gross basis as of December 31, 2017 (in millions):</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60" w:type="dxa"/>
            <w:vAlign w:val="bottom"/>
            <w:gridSpan w:val="9"/>
          </w:tcPr>
          <w:p>
            <w:pPr>
              <w:jc w:val="right"/>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9"/>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Foreign</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Preferred</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3"/>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9"/>
              </w:rPr>
              <w:t>Commodity</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Currency</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Distribution Rate</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Interest Rate</w:t>
            </w: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43"/>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Sheet Location</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Derivatives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w w:val="91"/>
              </w:rPr>
              <w:t>Derivatives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w w:val="90"/>
              </w:rPr>
              <w:t>Reset Option</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1"/>
              </w:rPr>
              <w:t xml:space="preserve">Derivatives </w:t>
            </w:r>
            <w:r>
              <w:rPr>
                <w:rFonts w:ascii="Arial" w:cs="Arial" w:eastAsia="Arial" w:hAnsi="Arial"/>
                <w:sz w:val="21"/>
                <w:szCs w:val="21"/>
                <w:b w:val="1"/>
                <w:bCs w:val="1"/>
                <w:color w:val="auto"/>
                <w:w w:val="91"/>
                <w:vertAlign w:val="superscript"/>
              </w:rPr>
              <w:t>(1)</w:t>
            </w: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8"/>
              </w:rPr>
              <w:t>Total Derivatives</w:t>
            </w:r>
          </w:p>
        </w:tc>
      </w:tr>
      <w:tr>
        <w:trPr>
          <w:trHeight w:val="244"/>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74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79</w:t>
            </w: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43"/>
        </w:trPr>
        <w:tc>
          <w:tcPr>
            <w:tcW w:w="2740" w:type="dxa"/>
            <w:vAlign w:val="bottom"/>
            <w:gridSpan w:val="2"/>
          </w:tcPr>
          <w:p>
            <w:pPr>
              <w:ind w:left="16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w:t>
            </w: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liabilities and</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57"/>
        </w:trPr>
        <w:tc>
          <w:tcPr>
            <w:tcW w:w="27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deferred credits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97"/>
        </w:trPr>
        <w:tc>
          <w:tcPr>
            <w:tcW w:w="27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b w:val="1"/>
                <w:bCs w:val="1"/>
                <w:color w:val="auto"/>
              </w:rPr>
              <w:t>Total Derivative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88</w:t>
            </w:r>
          </w:p>
        </w:tc>
        <w:tc>
          <w:tcPr>
            <w:tcW w:w="120" w:type="dxa"/>
            <w:vAlign w:val="bottom"/>
            <w:tcBorders>
              <w:top w:val="single" w:sz="8" w:color="auto"/>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auto"/>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w:t>
            </w:r>
          </w:p>
        </w:tc>
      </w:tr>
      <w:tr>
        <w:trPr>
          <w:trHeight w:val="311"/>
        </w:trPr>
        <w:tc>
          <w:tcPr>
            <w:tcW w:w="2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2740" w:type="dxa"/>
            <w:vAlign w:val="bottom"/>
            <w:gridSpan w:val="2"/>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43"/>
        </w:trPr>
        <w:tc>
          <w:tcPr>
            <w:tcW w:w="2740" w:type="dxa"/>
            <w:vAlign w:val="bottom"/>
            <w:gridSpan w:val="2"/>
          </w:tcPr>
          <w:p>
            <w:pPr>
              <w:ind w:left="160"/>
              <w:spacing w:after="0"/>
              <w:rPr>
                <w:sz w:val="20"/>
                <w:szCs w:val="20"/>
                <w:color w:val="auto"/>
              </w:rPr>
            </w:pPr>
            <w:r>
              <w:rPr>
                <w:rFonts w:ascii="Arial" w:cs="Arial" w:eastAsia="Arial" w:hAnsi="Arial"/>
                <w:sz w:val="18"/>
                <w:szCs w:val="18"/>
                <w:color w:val="auto"/>
              </w:rPr>
              <w:t>Other long-term assets, net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29"/>
        </w:trPr>
        <w:tc>
          <w:tcPr>
            <w:tcW w:w="2740" w:type="dxa"/>
            <w:vAlign w:val="bottom"/>
            <w:gridSpan w:val="2"/>
          </w:tcPr>
          <w:p>
            <w:pPr>
              <w:ind w:left="160"/>
              <w:spacing w:after="0"/>
              <w:rPr>
                <w:sz w:val="20"/>
                <w:szCs w:val="20"/>
                <w:color w:val="auto"/>
              </w:rPr>
            </w:pPr>
            <w:r>
              <w:rPr>
                <w:rFonts w:ascii="Arial" w:cs="Arial" w:eastAsia="Arial" w:hAnsi="Arial"/>
                <w:sz w:val="18"/>
                <w:szCs w:val="18"/>
                <w:color w:val="auto"/>
              </w:rPr>
              <w:t>Other long-term liabilities and</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740" w:type="dxa"/>
            <w:vAlign w:val="bottom"/>
            <w:gridSpan w:val="2"/>
          </w:tcPr>
          <w:p>
            <w:pPr>
              <w:ind w:left="320"/>
              <w:spacing w:after="0"/>
              <w:rPr>
                <w:sz w:val="20"/>
                <w:szCs w:val="20"/>
                <w:color w:val="auto"/>
              </w:rPr>
            </w:pPr>
            <w:r>
              <w:rPr>
                <w:rFonts w:ascii="Arial" w:cs="Arial" w:eastAsia="Arial" w:hAnsi="Arial"/>
                <w:sz w:val="18"/>
                <w:szCs w:val="18"/>
                <w:color w:val="auto"/>
              </w:rPr>
              <w:t>deferred credits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2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2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Derivative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0"/>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25"/>
          <w:szCs w:val="25"/>
          <w:color w:val="auto"/>
          <w:vertAlign w:val="superscript"/>
        </w:rPr>
      </w:pPr>
      <w:r>
        <w:rPr>
          <w:rFonts w:ascii="Arial" w:cs="Arial" w:eastAsia="Arial" w:hAnsi="Arial"/>
          <w:sz w:val="18"/>
          <w:szCs w:val="18"/>
          <w:color w:val="auto"/>
        </w:rPr>
        <w:t>Derivatives in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20237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90">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F-44</w:t>
      </w:r>
    </w:p>
    <w:p>
      <w:pPr>
        <w:sectPr>
          <w:pgSz w:w="11900" w:h="16838" w:orient="portrait"/>
          <w:cols w:equalWidth="0" w:num="1">
            <w:col w:w="11400"/>
          </w:cols>
          <w:pgMar w:left="240" w:top="125" w:right="259" w:bottom="1440" w:gutter="0" w:footer="0" w:header="0"/>
          <w:type w:val="continuous"/>
        </w:sectPr>
      </w:pPr>
    </w:p>
    <w:bookmarkStart w:id="170" w:name="page171"/>
    <w:bookmarkEnd w:id="1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6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Our accounting policy is to offset derivative assets and liabilities executed with the same counterparty when a master netting arrangement</w:t>
      </w:r>
    </w:p>
    <w:p>
      <w:pPr>
        <w:spacing w:after="0" w:line="2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Initial margin</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Variation margin posted/(returned)</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164</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Net broker receivable/(payable)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212</w:t>
            </w: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presents information about derivative financial assets and liabilities that are subject to offsetting, including enforceable master netting arrangements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gridSpan w:val="2"/>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December 31, 2017</w:t>
            </w:r>
          </w:p>
        </w:tc>
      </w:tr>
      <w:tr>
        <w:trPr>
          <w:trHeight w:val="152"/>
        </w:trPr>
        <w:tc>
          <w:tcPr>
            <w:tcW w:w="4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Derivative</w:t>
            </w:r>
          </w:p>
        </w:tc>
        <w:tc>
          <w:tcPr>
            <w:tcW w:w="180" w:type="dxa"/>
            <w:vAlign w:val="bottom"/>
          </w:tcPr>
          <w:p>
            <w:pPr>
              <w:spacing w:after="0"/>
              <w:rPr>
                <w:sz w:val="13"/>
                <w:szCs w:val="13"/>
                <w:color w:val="auto"/>
              </w:rPr>
            </w:pPr>
          </w:p>
        </w:tc>
        <w:tc>
          <w:tcPr>
            <w:tcW w:w="1640" w:type="dxa"/>
            <w:vAlign w:val="bottom"/>
            <w:gridSpan w:val="3"/>
          </w:tcPr>
          <w:p>
            <w:pPr>
              <w:jc w:val="center"/>
              <w:ind w:right="4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240" w:type="dxa"/>
            <w:vAlign w:val="bottom"/>
          </w:tcPr>
          <w:p>
            <w:pPr>
              <w:spacing w:after="0"/>
              <w:rPr>
                <w:sz w:val="13"/>
                <w:szCs w:val="13"/>
                <w:color w:val="auto"/>
              </w:rPr>
            </w:pPr>
          </w:p>
        </w:tc>
        <w:tc>
          <w:tcPr>
            <w:tcW w:w="14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3"/>
                <w:szCs w:val="13"/>
                <w:color w:val="auto"/>
              </w:rPr>
            </w:pPr>
          </w:p>
        </w:tc>
        <w:tc>
          <w:tcPr>
            <w:tcW w:w="1420" w:type="dxa"/>
            <w:vAlign w:val="bottom"/>
          </w:tcPr>
          <w:p>
            <w:pPr>
              <w:jc w:val="right"/>
              <w:ind w:right="393"/>
              <w:spacing w:after="0" w:line="153" w:lineRule="exact"/>
              <w:rPr>
                <w:sz w:val="20"/>
                <w:szCs w:val="20"/>
                <w:color w:val="auto"/>
              </w:rPr>
            </w:pPr>
            <w:r>
              <w:rPr>
                <w:rFonts w:ascii="Arial" w:cs="Arial" w:eastAsia="Arial" w:hAnsi="Arial"/>
                <w:sz w:val="14"/>
                <w:szCs w:val="14"/>
                <w:b w:val="1"/>
                <w:bCs w:val="1"/>
                <w:color w:val="auto"/>
              </w:rPr>
              <w:t>Derivative</w:t>
            </w:r>
          </w:p>
        </w:tc>
      </w:tr>
      <w:tr>
        <w:trPr>
          <w:trHeight w:val="192"/>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Asset Positions</w:t>
            </w:r>
          </w:p>
        </w:tc>
        <w:tc>
          <w:tcPr>
            <w:tcW w:w="180" w:type="dxa"/>
            <w:vAlign w:val="bottom"/>
          </w:tcPr>
          <w:p>
            <w:pPr>
              <w:spacing w:after="0"/>
              <w:rPr>
                <w:sz w:val="16"/>
                <w:szCs w:val="16"/>
                <w:color w:val="auto"/>
              </w:rPr>
            </w:pPr>
          </w:p>
        </w:tc>
        <w:tc>
          <w:tcPr>
            <w:tcW w:w="16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Liability Positions</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Asset Positions</w:t>
            </w:r>
          </w:p>
        </w:tc>
        <w:tc>
          <w:tcPr>
            <w:tcW w:w="180" w:type="dxa"/>
            <w:vAlign w:val="bottom"/>
          </w:tcPr>
          <w:p>
            <w:pPr>
              <w:spacing w:after="0"/>
              <w:rPr>
                <w:sz w:val="16"/>
                <w:szCs w:val="16"/>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Liability Positions</w:t>
            </w: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Netting Adjustments: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Gross position - asset/(liability)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Netting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Cash collateral paid/(received)</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position - asset/(liability)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0"/>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311"/>
        </w:trPr>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45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r>
      <w:tr>
        <w:trPr>
          <w:trHeight w:val="27"/>
        </w:trPr>
        <w:tc>
          <w:tcPr>
            <w:tcW w:w="4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75"/>
        <w:spacing w:after="0" w:line="273" w:lineRule="auto"/>
        <w:rPr>
          <w:sz w:val="20"/>
          <w:szCs w:val="20"/>
          <w:color w:val="auto"/>
        </w:rPr>
      </w:pPr>
      <w:r>
        <w:rPr>
          <w:rFonts w:ascii="Arial" w:cs="Arial" w:eastAsia="Arial" w:hAnsi="Arial"/>
          <w:sz w:val="17"/>
          <w:szCs w:val="17"/>
          <w:color w:val="auto"/>
        </w:rPr>
        <w:t>As of December 31, 2018, there was a net loss of $177 million deferred in AOCI. The deferred net loss recorded in AOCI is expected to be reclassified to future earnings contemporaneously with (i) the earnings recognition of the underlying hedged commodity transactions or (ii) interest expense accruals associated with underlying debt instruments. Of the total net loss deferred in AOCI at December 31, 2018, we expect to reclassify a net loss of $7 million to earnings in the next twelve months. We estimate that substantially all of the remaining deferred loss will be reclassified to earnings through 2050 as the underlying hedged transactions impact earnings. A portion of these amounts is based on market prices as of December 31, 2018; thus, actual amounts to be reclassified will differ and could vary materially as a result of changes in market conditions.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unrealized gain/(loss) recognized in AOCI for derivatives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3780" w:type="dxa"/>
            <w:vAlign w:val="bottom"/>
            <w:tcBorders>
              <w:bottom w:val="single" w:sz="8" w:color="CCEEFF"/>
            </w:tcBorders>
          </w:tcPr>
          <w:p>
            <w:pPr>
              <w:spacing w:after="0"/>
              <w:rPr>
                <w:sz w:val="22"/>
                <w:szCs w:val="22"/>
                <w:color w:val="auto"/>
              </w:rPr>
            </w:pPr>
          </w:p>
        </w:tc>
        <w:tc>
          <w:tcPr>
            <w:tcW w:w="29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derivatives, net</w:t>
            </w:r>
          </w:p>
        </w:tc>
        <w:tc>
          <w:tcPr>
            <w:tcW w:w="402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675"/>
        </w:trPr>
        <w:tc>
          <w:tcPr>
            <w:tcW w:w="3780" w:type="dxa"/>
            <w:vAlign w:val="bottom"/>
          </w:tcPr>
          <w:p>
            <w:pPr>
              <w:spacing w:after="0"/>
              <w:rPr>
                <w:sz w:val="24"/>
                <w:szCs w:val="24"/>
                <w:color w:val="auto"/>
              </w:rPr>
            </w:pPr>
          </w:p>
        </w:tc>
        <w:tc>
          <w:tcPr>
            <w:tcW w:w="4020" w:type="dxa"/>
            <w:vAlign w:val="bottom"/>
            <w:gridSpan w:val="2"/>
          </w:tcPr>
          <w:p>
            <w:pPr>
              <w:jc w:val="right"/>
              <w:ind w:right="1848"/>
              <w:spacing w:after="0"/>
              <w:rPr>
                <w:sz w:val="20"/>
                <w:szCs w:val="20"/>
                <w:color w:val="auto"/>
              </w:rPr>
            </w:pPr>
            <w:r>
              <w:rPr>
                <w:rFonts w:ascii="Arial" w:cs="Arial" w:eastAsia="Arial" w:hAnsi="Arial"/>
                <w:sz w:val="18"/>
                <w:szCs w:val="18"/>
                <w:color w:val="auto"/>
              </w:rPr>
              <w:t>F-45</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80" w:firstLine="594"/>
        <w:spacing w:after="0" w:line="264" w:lineRule="auto"/>
        <w:rPr>
          <w:sz w:val="20"/>
          <w:szCs w:val="20"/>
          <w:color w:val="auto"/>
        </w:rPr>
      </w:pPr>
      <w:r>
        <w:rPr>
          <w:rFonts w:ascii="Arial" w:cs="Arial" w:eastAsia="Arial" w:hAnsi="Arial"/>
          <w:sz w:val="18"/>
          <w:szCs w:val="18"/>
          <w:color w:val="auto"/>
        </w:rPr>
        <w:t>At December 31, 2018 and 2017, none of our outstanding derivatives contained credit-risk related contingent features that would result in a material adverse impact to us upon any change in PAA’s credit ratings. Although we may be required to post margin on our cleared derivatives as described above, we do not require our non-cleared derivative counterparties to post collateral with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w w:val="92"/>
              </w:rPr>
              <w:t>Fair Value as of December 31, 2018</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w w:val="91"/>
              </w:rPr>
              <w:t>Fair Value as of December 31, 2017</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Level 1</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Level 1</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Interest rate derivatives</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w w:val="97"/>
              </w:rPr>
              <w:t>Preferred Distribution Rate Reset Option</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3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net derivative asset/(liability)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218</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9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25"/>
          <w:szCs w:val="25"/>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01"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i w:val="1"/>
          <w:iCs w:val="1"/>
          <w:color w:val="auto"/>
        </w:rPr>
        <w:t>Level 1</w:t>
      </w:r>
    </w:p>
    <w:p>
      <w:pPr>
        <w:spacing w:after="0" w:line="225" w:lineRule="exact"/>
        <w:rPr>
          <w:rFonts w:ascii="Arial" w:cs="Arial" w:eastAsia="Arial" w:hAnsi="Arial"/>
          <w:sz w:val="25"/>
          <w:szCs w:val="25"/>
          <w:color w:val="auto"/>
          <w:vertAlign w:val="superscript"/>
        </w:rPr>
      </w:pPr>
    </w:p>
    <w:p>
      <w:pPr>
        <w:jc w:val="both"/>
        <w:ind w:left="660" w:right="440"/>
        <w:spacing w:after="0" w:line="264" w:lineRule="auto"/>
        <w:rPr>
          <w:rFonts w:ascii="Arial" w:cs="Arial" w:eastAsia="Arial" w:hAnsi="Arial"/>
          <w:sz w:val="25"/>
          <w:szCs w:val="25"/>
          <w:color w:val="auto"/>
          <w:vertAlign w:val="superscript"/>
        </w:rPr>
      </w:pPr>
      <w:r>
        <w:rPr>
          <w:rFonts w:ascii="Arial" w:cs="Arial" w:eastAsia="Arial" w:hAnsi="Arial"/>
          <w:sz w:val="18"/>
          <w:szCs w:val="18"/>
          <w:color w:val="auto"/>
        </w:rPr>
        <w:t>Level 1 of the fair value hierarchy includes exchange-traded commodity derivatives and over-the-counter commodity contracts such as futures, swaps and options. The fair value of exchange-traded commodity derivatives and over-the-counter commodity contracts is based on unadjusted quoted prices in active markets.</w:t>
      </w:r>
    </w:p>
    <w:p>
      <w:pPr>
        <w:spacing w:after="0" w:line="181"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i w:val="1"/>
          <w:iCs w:val="1"/>
          <w:color w:val="auto"/>
        </w:rPr>
        <w:t>Level 2</w:t>
      </w:r>
    </w:p>
    <w:p>
      <w:pPr>
        <w:spacing w:after="0" w:line="225" w:lineRule="exact"/>
        <w:rPr>
          <w:rFonts w:ascii="Arial" w:cs="Arial" w:eastAsia="Arial" w:hAnsi="Arial"/>
          <w:sz w:val="25"/>
          <w:szCs w:val="25"/>
          <w:color w:val="auto"/>
          <w:vertAlign w:val="superscript"/>
        </w:rPr>
      </w:pPr>
    </w:p>
    <w:p>
      <w:pPr>
        <w:ind w:left="660" w:right="280"/>
        <w:spacing w:after="0" w:line="312" w:lineRule="auto"/>
        <w:rPr>
          <w:rFonts w:ascii="Arial" w:cs="Arial" w:eastAsia="Arial" w:hAnsi="Arial"/>
          <w:sz w:val="25"/>
          <w:szCs w:val="25"/>
          <w:color w:val="auto"/>
          <w:vertAlign w:val="superscript"/>
        </w:rPr>
      </w:pPr>
      <w:r>
        <w:rPr>
          <w:rFonts w:ascii="Arial" w:cs="Arial" w:eastAsia="Arial" w:hAnsi="Arial"/>
          <w:sz w:val="16"/>
          <w:szCs w:val="16"/>
          <w:color w:val="auto"/>
        </w:rPr>
        <w:t>Level 2 of the fair value hierarchy includes exchange-cleared commodity derivatives and over-the-counter commodity, interest rate and foreign currency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46"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i w:val="1"/>
          <w:iCs w:val="1"/>
          <w:color w:val="auto"/>
        </w:rPr>
        <w:t>Level 3</w:t>
      </w:r>
    </w:p>
    <w:p>
      <w:pPr>
        <w:spacing w:after="0" w:line="225" w:lineRule="exact"/>
        <w:rPr>
          <w:rFonts w:ascii="Arial" w:cs="Arial" w:eastAsia="Arial" w:hAnsi="Arial"/>
          <w:sz w:val="25"/>
          <w:szCs w:val="25"/>
          <w:color w:val="auto"/>
          <w:vertAlign w:val="superscript"/>
        </w:rPr>
      </w:pPr>
    </w:p>
    <w:p>
      <w:pPr>
        <w:ind w:left="660" w:right="80"/>
        <w:spacing w:after="0" w:line="277" w:lineRule="auto"/>
        <w:rPr>
          <w:rFonts w:ascii="Arial" w:cs="Arial" w:eastAsia="Arial" w:hAnsi="Arial"/>
          <w:sz w:val="25"/>
          <w:szCs w:val="25"/>
          <w:color w:val="auto"/>
          <w:vertAlign w:val="superscript"/>
        </w:rPr>
      </w:pPr>
      <w:r>
        <w:rPr>
          <w:rFonts w:ascii="Arial" w:cs="Arial" w:eastAsia="Arial" w:hAnsi="Arial"/>
          <w:sz w:val="18"/>
          <w:szCs w:val="18"/>
          <w:color w:val="auto"/>
        </w:rPr>
        <w:t>Level 3 of the fair value hierarchy includes certain physical commodity contracts, over-the counter financial commodity contracts, and the Preferred Distribution Rate Reset Option contained in our partnership agreement which is classified as an embedded derivative.</w:t>
      </w:r>
    </w:p>
    <w:p>
      <w:pPr>
        <w:spacing w:after="0" w:line="170" w:lineRule="exact"/>
        <w:rPr>
          <w:rFonts w:ascii="Arial" w:cs="Arial" w:eastAsia="Arial" w:hAnsi="Arial"/>
          <w:sz w:val="25"/>
          <w:szCs w:val="25"/>
          <w:color w:val="auto"/>
          <w:vertAlign w:val="superscript"/>
        </w:rPr>
      </w:pPr>
    </w:p>
    <w:p>
      <w:pPr>
        <w:ind w:left="660" w:right="20"/>
        <w:spacing w:after="0" w:line="273" w:lineRule="auto"/>
        <w:rPr>
          <w:rFonts w:ascii="Arial" w:cs="Arial" w:eastAsia="Arial" w:hAnsi="Arial"/>
          <w:sz w:val="25"/>
          <w:szCs w:val="25"/>
          <w:color w:val="auto"/>
          <w:vertAlign w:val="superscript"/>
        </w:rPr>
      </w:pPr>
      <w:r>
        <w:rPr>
          <w:rFonts w:ascii="Arial" w:cs="Arial" w:eastAsia="Arial" w:hAnsi="Arial"/>
          <w:sz w:val="17"/>
          <w:szCs w:val="17"/>
          <w:color w:val="auto"/>
        </w:rPr>
        <w:t>The fair values of our Level 3 physical commodity contracts and over-the-counter financial commodity contracts are based on valuation models utilizing significant unobservable pricing inputs and timing estimates, which involve management judgment. Significant deviations from these inputs and estimates could result in a material change in fair value to our physical commodity contracts and over-the-counter financial commodity contracts. We report unrealized gains and losses associated with these physical commodity contracts in our Consolidated Statements of Operations as Supply and Logistics segment revenues. Unrealized gains and losses associated with the over-the-counter financial commodity contracts are reported in our Consolidated Statements of Operations as Field operating costs.</w:t>
      </w:r>
    </w:p>
    <w:p>
      <w:pPr>
        <w:spacing w:after="0" w:line="178" w:lineRule="exact"/>
        <w:rPr>
          <w:rFonts w:ascii="Arial" w:cs="Arial" w:eastAsia="Arial" w:hAnsi="Arial"/>
          <w:sz w:val="25"/>
          <w:szCs w:val="25"/>
          <w:color w:val="auto"/>
          <w:vertAlign w:val="superscript"/>
        </w:rPr>
      </w:pPr>
    </w:p>
    <w:p>
      <w:pPr>
        <w:ind w:left="660" w:right="140"/>
        <w:spacing w:after="0" w:line="297" w:lineRule="auto"/>
        <w:rPr>
          <w:rFonts w:ascii="Arial" w:cs="Arial" w:eastAsia="Arial" w:hAnsi="Arial"/>
          <w:sz w:val="25"/>
          <w:szCs w:val="25"/>
          <w:color w:val="auto"/>
          <w:vertAlign w:val="superscript"/>
        </w:rPr>
      </w:pPr>
      <w:r>
        <w:rPr>
          <w:rFonts w:ascii="Arial" w:cs="Arial" w:eastAsia="Arial" w:hAnsi="Arial"/>
          <w:sz w:val="16"/>
          <w:szCs w:val="16"/>
          <w:color w:val="auto"/>
        </w:rPr>
        <w:t>The fair value of the embedded derivative feature contained in our partnership agreement is based on a valuation model that estimates the fair value of the Series A preferred units with and without the Preferred Distribution Rate Reset Option. This model contains inputs, including our common unit price, ten-year U.S. treasury rates, default probabilities and timing estimates, some of which involve management judgment. A significant change in these inputs could result in a material change in fair value to this embedded derivative feature. We report unrealized gains and losses associated with this embedded derivative in our Consolidated Statements of Operations in “Other income/(expense), net.”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125" w:right="23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To the extent any transfers between levels of the fair value hierarchy occur, our policy is to reflect these transfers as of the beginning of the reporting period in which they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gains/(losses) for the period included in earnings</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8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Derivatives entered into during the period</w:t>
            </w:r>
          </w:p>
        </w:tc>
        <w:tc>
          <w:tcPr>
            <w:tcW w:w="10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8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3086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9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p>
      <w:pPr>
        <w:spacing w:after="0" w:line="3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Change in unrealized gains/(losses) included in earnings relating to Level 3 derivatives still held at the end of the</w:t>
      </w:r>
    </w:p>
    <w:p>
      <w:pPr>
        <w:spacing w:after="0" w:line="46" w:lineRule="exact"/>
        <w:rPr>
          <w:sz w:val="20"/>
          <w:szCs w:val="20"/>
          <w:color w:val="auto"/>
        </w:rPr>
      </w:pPr>
    </w:p>
    <w:p>
      <w:pPr>
        <w:ind w:left="200"/>
        <w:spacing w:after="0"/>
        <w:tabs>
          <w:tab w:leader="none" w:pos="8340" w:val="left"/>
        </w:tabs>
        <w:rPr>
          <w:sz w:val="20"/>
          <w:szCs w:val="20"/>
          <w:color w:val="auto"/>
        </w:rPr>
      </w:pPr>
      <w:r>
        <w:rPr>
          <w:rFonts w:ascii="Arial" w:cs="Arial" w:eastAsia="Arial" w:hAnsi="Arial"/>
          <w:sz w:val="17"/>
          <w:szCs w:val="17"/>
          <w:color w:val="auto"/>
        </w:rPr>
        <w:t>period</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spacing w:after="0"/>
        <w:tabs>
          <w:tab w:leader="none" w:pos="380" w:val="left"/>
          <w:tab w:leader="none" w:pos="1620" w:val="left"/>
        </w:tabs>
        <w:rPr>
          <w:sz w:val="20"/>
          <w:szCs w:val="20"/>
          <w:color w:val="auto"/>
        </w:rPr>
      </w:pPr>
      <w:r>
        <w:rPr>
          <w:rFonts w:ascii="Arial" w:cs="Arial" w:eastAsia="Arial" w:hAnsi="Arial"/>
          <w:sz w:val="18"/>
          <w:szCs w:val="18"/>
          <w:color w:val="auto"/>
        </w:rPr>
        <w:t>(1)</w:t>
        <w:tab/>
        <w:t>$</w:t>
      </w:r>
      <w:r>
        <w:rPr>
          <w:sz w:val="20"/>
          <w:szCs w:val="20"/>
          <w:color w:val="auto"/>
        </w:rPr>
        <w:tab/>
      </w:r>
      <w:r>
        <w:rPr>
          <w:rFonts w:ascii="Arial" w:cs="Arial" w:eastAsia="Arial" w:hAnsi="Arial"/>
          <w:sz w:val="17"/>
          <w:szCs w:val="17"/>
          <w:color w:val="auto"/>
        </w:rPr>
        <w:t>5</w:t>
      </w:r>
    </w:p>
    <w:p>
      <w:pPr>
        <w:spacing w:after="0" w:line="202" w:lineRule="exact"/>
        <w:rPr>
          <w:sz w:val="20"/>
          <w:szCs w:val="20"/>
          <w:color w:val="auto"/>
        </w:rPr>
      </w:pPr>
    </w:p>
    <w:p>
      <w:pPr>
        <w:sectPr>
          <w:pgSz w:w="11900" w:h="16838" w:orient="portrait"/>
          <w:cols w:equalWidth="0" w:num="2">
            <w:col w:w="8860" w:space="720"/>
            <w:col w:w="1840"/>
          </w:cols>
          <w:pgMar w:left="240" w:top="126" w:right="2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14—Income Taxes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Income tax expense is estimated using the tax rate in effect or to be in effect during the relevant periods in the jurisdictions in which we operate. Deferred income tax assets and liabilities are recognized for temporary differences between the basis of assets and liabilities for financial reporting and tax purposes and are stated at enacted tax rates expected to be in effect when taxes are actually paid or recovered. To the extent we do not consider it more likely than not that a deferred tax asset will be recovered, a valuation allowance is established. Changes in tax legislation are included in the relevant computations in the period in which such changes are effective. We review contingent tax liabilities for estimated exposures on a more likely than not standard related to our current tax positions.</w:t>
      </w:r>
    </w:p>
    <w:p>
      <w:pPr>
        <w:spacing w:after="0" w:line="193"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Pursuant to FASB guidance related to accounting for uncertainty in income taxes, we may recognize the tax benefit from an uncertain tax position only if it is more likely than not that the tax position will be sustained upon examination by the taxing authorities, based on the technical merits of the tax position and also the past administrative practices and precedents of the taxing authority. As of December 31, 2018 and 2017, we had not recognized any material amounts in connection with uncertainty in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and State Taxes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Although we are organized as a limited partnership, we have elected to be treated as a corporation for U.S. federal income tax purposes and are therefore subject to both U.S. federal and state income taxes.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Federal and Provincial Taxes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All of our Canadian operations are conducted by entities that are treated as corporations for Canadian tax purposes (flow through for U.S. income tax purposes) and that are subject to Canadian federal and provincial taxes. Additionally, payments of interest and dividends from our Canadian entities to other Plains entities are subject to Canadian withholding tax that is treated as income tax expense.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126" w:right="239" w:bottom="1440" w:gutter="0" w:footer="0" w:header="0"/>
          <w:type w:val="continuous"/>
        </w:sectPr>
      </w:pPr>
    </w:p>
    <w:bookmarkStart w:id="173" w:name="page174"/>
    <w:bookmarkEnd w:id="1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Components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income tax expense are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income tax expense:</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State income tax</w:t>
            </w:r>
          </w:p>
        </w:tc>
        <w:tc>
          <w:tcPr>
            <w:tcW w:w="1020" w:type="dxa"/>
            <w:vAlign w:val="bottom"/>
          </w:tcPr>
          <w:p>
            <w:pPr>
              <w:jc w:val="right"/>
              <w:ind w:right="813"/>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Canadian federal and provincial income tax</w:t>
            </w: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current income tax expense</w:t>
            </w:r>
          </w:p>
        </w:tc>
        <w:tc>
          <w:tcPr>
            <w:tcW w:w="1020" w:type="dxa"/>
            <w:vAlign w:val="bottom"/>
            <w:tcBorders>
              <w:top w:val="single" w:sz="8" w:color="auto"/>
            </w:tcBorders>
          </w:tcPr>
          <w:p>
            <w:pPr>
              <w:jc w:val="right"/>
              <w:ind w:right="813"/>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w:t>
            </w:r>
          </w:p>
        </w:tc>
      </w:tr>
      <w:tr>
        <w:trPr>
          <w:trHeight w:val="27"/>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67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 income tax expense/(benefit):</w:t>
            </w: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 income tax</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State income tax</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Canadian federal and provincial income tax</w:t>
            </w: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deferred income tax expense/(benefit)</w:t>
            </w:r>
          </w:p>
        </w:tc>
        <w:tc>
          <w:tcPr>
            <w:tcW w:w="1020" w:type="dxa"/>
            <w:vAlign w:val="bottom"/>
            <w:tcBorders>
              <w:top w:val="single" w:sz="8" w:color="auto"/>
            </w:tcBorders>
          </w:tcPr>
          <w:p>
            <w:pPr>
              <w:jc w:val="right"/>
              <w:ind w:right="813"/>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difference between income tax expense based on the statutory federal income tax rate and our effective income tax expense is summarized as follows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18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w:t>
            </w:r>
          </w:p>
        </w:tc>
        <w:tc>
          <w:tcPr>
            <w:tcW w:w="22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2,409</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(1,773)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(566)</w:t>
            </w:r>
          </w:p>
        </w:tc>
      </w:tr>
      <w:tr>
        <w:trPr>
          <w:trHeight w:val="27"/>
        </w:trPr>
        <w:tc>
          <w:tcPr>
            <w:tcW w:w="47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attributable to noncontrolling interests</w:t>
            </w:r>
          </w:p>
        </w:tc>
        <w:tc>
          <w:tcPr>
            <w:tcW w:w="1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r>
      <w:tr>
        <w:trPr>
          <w:trHeight w:val="237"/>
        </w:trPr>
        <w:tc>
          <w:tcPr>
            <w:tcW w:w="47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147</w:t>
            </w:r>
          </w:p>
        </w:tc>
      </w:tr>
      <w:tr>
        <w:trPr>
          <w:trHeight w:val="27"/>
        </w:trPr>
        <w:tc>
          <w:tcPr>
            <w:tcW w:w="47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statutory income tax rate</w:t>
            </w:r>
          </w:p>
        </w:tc>
        <w:tc>
          <w:tcPr>
            <w:tcW w:w="1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tax at statutory rate</w:t>
            </w:r>
          </w:p>
        </w:tc>
        <w:tc>
          <w:tcPr>
            <w:tcW w:w="18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51</w:t>
            </w:r>
          </w:p>
        </w:tc>
      </w:tr>
      <w:tr>
        <w:trPr>
          <w:trHeight w:val="27"/>
        </w:trPr>
        <w:tc>
          <w:tcPr>
            <w:tcW w:w="47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97"/>
        </w:trPr>
        <w:tc>
          <w:tcPr>
            <w:tcW w:w="470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Deferred tax impact of federal tax reform</w:t>
            </w:r>
          </w:p>
        </w:tc>
        <w:tc>
          <w:tcPr>
            <w:tcW w:w="1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rate adjustment</w:t>
            </w:r>
          </w:p>
        </w:tc>
        <w:tc>
          <w:tcPr>
            <w:tcW w:w="1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State income tax, net of federal benefit</w:t>
            </w:r>
          </w:p>
        </w:tc>
        <w:tc>
          <w:tcPr>
            <w:tcW w:w="1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w:t>
            </w:r>
          </w:p>
        </w:tc>
      </w:tr>
      <w:tr>
        <w:trPr>
          <w:trHeight w:val="27"/>
        </w:trPr>
        <w:tc>
          <w:tcPr>
            <w:tcW w:w="47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attributable to noncontrolling interests:</w:t>
            </w:r>
          </w:p>
        </w:tc>
        <w:tc>
          <w:tcPr>
            <w:tcW w:w="1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Canadian federal and provincial income tax</w:t>
            </w:r>
          </w:p>
        </w:tc>
        <w:tc>
          <w:tcPr>
            <w:tcW w:w="1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10</w:t>
            </w:r>
          </w:p>
        </w:tc>
      </w:tr>
      <w:tr>
        <w:trPr>
          <w:trHeight w:val="27"/>
        </w:trPr>
        <w:tc>
          <w:tcPr>
            <w:tcW w:w="47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Canadian withholding tax</w:t>
            </w:r>
          </w:p>
        </w:tc>
        <w:tc>
          <w:tcPr>
            <w:tcW w:w="1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State income tax</w:t>
            </w:r>
          </w:p>
        </w:tc>
        <w:tc>
          <w:tcPr>
            <w:tcW w:w="1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w:t>
            </w:r>
          </w:p>
        </w:tc>
      </w:tr>
      <w:tr>
        <w:trPr>
          <w:trHeight w:val="27"/>
        </w:trPr>
        <w:tc>
          <w:tcPr>
            <w:tcW w:w="470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22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302</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937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260" w:type="dxa"/>
            <w:vAlign w:val="bottom"/>
            <w:gridSpan w:val="2"/>
          </w:tcPr>
          <w:p>
            <w:pPr>
              <w:jc w:val="right"/>
              <w:ind w:right="990"/>
              <w:spacing w:after="0"/>
              <w:rPr>
                <w:sz w:val="20"/>
                <w:szCs w:val="20"/>
                <w:color w:val="auto"/>
              </w:rPr>
            </w:pPr>
            <w:r>
              <w:rPr>
                <w:rFonts w:ascii="Arial" w:cs="Arial" w:eastAsia="Arial" w:hAnsi="Arial"/>
                <w:sz w:val="18"/>
                <w:szCs w:val="18"/>
                <w:color w:val="auto"/>
              </w:rPr>
              <w:t>F-48</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Deferred tax assets and liabilities are aggregated by the applicable tax paying entity and jurisdiction and result from the following (in millions):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Investment in partnerships</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1"/>
              <w:spacing w:after="0"/>
              <w:rPr>
                <w:sz w:val="20"/>
                <w:szCs w:val="20"/>
                <w:color w:val="auto"/>
              </w:rPr>
            </w:pPr>
            <w:r>
              <w:rPr>
                <w:rFonts w:ascii="Arial" w:cs="Arial" w:eastAsia="Arial" w:hAnsi="Arial"/>
                <w:sz w:val="18"/>
                <w:szCs w:val="18"/>
                <w:color w:val="auto"/>
                <w:w w:val="97"/>
              </w:rPr>
              <w:t>1,049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1,154</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operating losses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Derivative instruments</w:t>
            </w:r>
          </w:p>
        </w:tc>
        <w:tc>
          <w:tcPr>
            <w:tcW w:w="9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74</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Book accruals in excess of current tax deductions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7"/>
              </w:rPr>
              <w:t>1,325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1,482</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Property and equipment in excess of tax values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(455)</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940" w:type="dxa"/>
            <w:vAlign w:val="bottom"/>
            <w:tcBorders>
              <w:top w:val="single" w:sz="8" w:color="auto"/>
            </w:tcBorders>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977</w:t>
            </w:r>
          </w:p>
        </w:tc>
      </w:tr>
      <w:tr>
        <w:trPr>
          <w:trHeight w:val="67"/>
        </w:trPr>
        <w:tc>
          <w:tcPr>
            <w:tcW w:w="834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305"/>
        </w:trPr>
        <w:tc>
          <w:tcPr>
            <w:tcW w:w="83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Balance sheet classification of deferred tax assets/(liabilities):</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1,304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long-term liabilities and deferred credits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As a result of the exchange of the ownership interest in AAP in connection with our IPO and all subsequent exchanges, a deferred tax asset was created.These transfers of ownership were accounted for at the historical carrying basis for GAAP accounting purposes, but were recorded at the fair market value of the Class A shares at the time of exchange for U.S. federal income tax purposes. The resulting basis difference resulted in a deferred tax asset that was recorded as a component of partners’ capital as it results from transactions among shareholders. The deferred tax asset is amortized to deferred income tax expense as the associated basis step-up is realized on our tax returns. In connection with the issuance of AAP units and PAA common units in the periods following the Simplification Transactions and the associated adjustments to partners’ capital attributable to PAGP, a corresponding change to the deferred tax balance was recorded to partners’ capital. See Note 12 for additional information regarding the issuance of units by AAP and PAA.</w:t>
      </w:r>
    </w:p>
    <w:p>
      <w:pPr>
        <w:spacing w:after="0" w:line="16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December 22, 2017, the Tax Cuts and Jobs Act (the “2017 Tax Act”) was signed into law. The 2017 Tax Act changed existing U.S. tax law and included numerous provisions that will affect businesses, including a decrease in the corporate federal income tax rate. Prior to the 2017 Tax Act, the value of our deferred tax asset was calculated based on the effective corporate income tax rate of 35%. As a result of the 2017 Tax Act, the value of our deferred tax asset was re-measured as of December 31, 2017 based on the new 21% corporate federal income tax rate, and the reduction in value was recognized as deferred income tax expense for the year ended December 31, 2017.</w:t>
      </w:r>
    </w:p>
    <w:p>
      <w:pPr>
        <w:spacing w:after="0" w:line="18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As of December 31, 2018, we had net operating loss carryforwards for (i) U.S. federal income tax purposes of $1,108 million, which will expire from 2033 to 2038, (ii) state income tax purposes of $392 million, which will expire from 2019 to 2038, and (iii) foreign income tax purposes of $9 million, which will expire from 2034 to 2036. Under the 2017 Tax Act, U.S. federal NOLs generated after 2017 will have an indefinite carryforward period but may only reduce up to 80% of taxable income in any given year. Our U.S. federal NOLs generated prior to 2018 will not be subject to the taxable income limitation and will remain subject to a 20 year carryforward period.</w:t>
      </w:r>
    </w:p>
    <w:p>
      <w:pPr>
        <w:spacing w:after="0" w:line="188"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Generally, tax returns for our Canadian entities are open to audit from 2014 through 2018. Our U.S. and state tax years are generally open to examination from 2015 to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125" w:right="23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In reference to tax years 2008 to 2013, we have received notices of reassessment (“notices”) from the Canada Revenue Agency and the Alberta Tax and Revenue Administration (the “Canadian Tax Authorities”) related primarily to transfer pricing associated with cross-border intercompany financing transactions. These notices include assessments, including penalties and interest, associated with these matters totaling approximately $60 million (based on the exchange rate as of December 31, 2018). Payment of a portion of the assessment is required in order to file a notice of objection to dispute the reassessment. Accordingly, we have remitted approximately $40 million (based on the exchange rate as of December 31, 2018) related to the assessments, which is included in “Other long-term assets, net,” on our Consolidated Balance Sheet. We disagree with these notices and have contested the reassessments. We intend to vigorously defend our position, and we plan to pursue all remedies available to us to successfully resolve these matters, including administrative remedies with the Canadian Tax Authorities, and judicial remedies, if necessary. As of December 31, 2018, we believe that our tax position associated with these matters is “more likely than not” to be sustained and have not recognized any amounts for uncertainty in income taxes related to these notices.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15—Major Customers and Concentration of Credit Risk</w:t>
      </w:r>
    </w:p>
    <w:p>
      <w:pPr>
        <w:spacing w:after="0" w:line="229"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Marathon Petroleum Corporation and its subsidiaries accounted for 14%, 19% and 18% of our revenues for the years ended December 31, 2018, 2017 and 2016, respectively. ExxonMobil Corporation and its subsidiaries accounted for 14%, 11% and 14% of our revenues for the years ended December 31, 2018, 2017 and 2016, respectively. Phillips 66 Company and its subsidiaries accounted for 11% of our revenues in each of the years ended December 31, 2017 and 2016. No other customers accounted for 10% or more of our revenues during any of the three years ended December 31, 2018. The majority of revenues from these customers pertain to our supply and logistics operations. The sales to these customers occur at multiple locations and we believe that the loss of these customers would have only a short-term impact on our operating results. There is risk, however, that we would not be able to identify and access a replacement market at comparable margins.</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trade receivables. Our accounts receivable are primarily from purchasers and shippers of crude oil and, to a lesser extent, purchasers of NGL and natural gas.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See Note 3 for additional discussion of our accounts receivable and our review of credit exposure.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PAA’s Ownership of our Class C Shares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As of December 31, 2018 and 2017, PAA owned 516,938,280 and 510,925,432, respectively, Class C shares. The Class C shares represent a non-economic limited partner interest in us that provides PAA, as the sole holder, a “pass-through” voting right through which PAA’s common unitholders and Series A preferred unitholders have the effective right to vote, pro rata with the holders of our Class A and Class B shares, for the election of eligible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connection with the Simplification Transactions completed in November 2016, the Plains Entities entered into an Omnibus Agreement, which, among other things, provides for the following:</w:t>
      </w:r>
    </w:p>
    <w:p>
      <w:pPr>
        <w:spacing w:after="0" w:line="170" w:lineRule="exact"/>
        <w:rPr>
          <w:sz w:val="20"/>
          <w:szCs w:val="20"/>
          <w:color w:val="auto"/>
        </w:rPr>
      </w:pPr>
    </w:p>
    <w:p>
      <w:pPr>
        <w:ind w:left="660" w:right="680" w:hanging="328"/>
        <w:spacing w:after="0" w:line="308" w:lineRule="auto"/>
        <w:tabs>
          <w:tab w:leader="none" w:pos="6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our ability to issue additional Class A shares and use the net proceeds therefrom to purchase a like number of AAP units from AAP, and the corresponding ability of AAP to use the net proceeds therefrom to purchase a like number of PAA common units; and</w:t>
      </w:r>
    </w:p>
    <w:p>
      <w:pPr>
        <w:spacing w:after="0" w:line="146" w:lineRule="exact"/>
        <w:rPr>
          <w:rFonts w:ascii="Arial" w:cs="Arial" w:eastAsia="Arial" w:hAnsi="Arial"/>
          <w:sz w:val="17"/>
          <w:szCs w:val="17"/>
          <w:color w:val="auto"/>
        </w:rPr>
      </w:pPr>
    </w:p>
    <w:p>
      <w:pPr>
        <w:ind w:left="660" w:right="320" w:hanging="328"/>
        <w:spacing w:after="0" w:line="277"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our ability to lend proceeds of any future indebtedness incurred by us to AAP, and AAP’s corresponding ability to lend such proceeds to PAA, in each case on substantially the same terms as incurred by us.</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See Note 1 for discussion of the Simplification Transactions.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00"/>
          </w:cols>
          <w:pgMar w:left="240" w:top="125" w:right="25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Other Related Parties</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Our other related parties include (i) principal owners and their affiliated entities and (ii) entities in which we hold investments and account for under the equity method of accounting (see Note 9 for information related to these investments). We recognize as our principal owners entities that have a designated representative on the board of directors of our general partner and/or own greater than 10% of the limited partner interests in AAP. Such limited partner interest in AAP translates into a significantly smaller indirect ownership interest in PAA. Principal owners include Oxy, The Energy &amp; Minerals Group and Kayne Anderson Capital Advisors, L.P. We also consider subsidiaries or funds identified as affiliated with such entities to be related parties.</w:t>
      </w:r>
    </w:p>
    <w:p>
      <w:pPr>
        <w:spacing w:after="0" w:line="15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During the three years ended December 31, 2018, we recognized sales and transportation revenues and purchased petroleum products from both our principal owners and our equity method investees. These transactions were conducted at posted tariff rates or prices that we believe approximate market. Included in these transactions was a crude oil buy/sell agreement that includes a multi-year minimum volume commitment. The impact to our Consolidated Statements of Operations from these transactions is included below (in millions):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Revenues from related parties </w:t>
            </w:r>
            <w:r>
              <w:rPr>
                <w:rFonts w:ascii="Arial" w:cs="Arial" w:eastAsia="Arial" w:hAnsi="Arial"/>
                <w:sz w:val="25"/>
                <w:szCs w:val="25"/>
                <w:color w:val="auto"/>
                <w:vertAlign w:val="superscript"/>
              </w:rPr>
              <w:t>(1) (2)</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1,067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678</w:t>
            </w:r>
          </w:p>
        </w:tc>
      </w:tr>
      <w:tr>
        <w:trPr>
          <w:trHeight w:val="324"/>
        </w:trPr>
        <w:tc>
          <w:tcPr>
            <w:tcW w:w="6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from related parties </w:t>
            </w:r>
            <w:r>
              <w:rPr>
                <w:rFonts w:ascii="Arial" w:cs="Arial" w:eastAsia="Arial" w:hAnsi="Arial"/>
                <w:sz w:val="25"/>
                <w:szCs w:val="25"/>
                <w:color w:val="auto"/>
                <w:vertAlign w:val="superscript"/>
              </w:rPr>
              <w:t>(2)</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9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25"/>
          <w:szCs w:val="25"/>
          <w:color w:val="auto"/>
          <w:vertAlign w:val="superscript"/>
        </w:rPr>
      </w:pPr>
      <w:r>
        <w:rPr>
          <w:rFonts w:ascii="Arial" w:cs="Arial" w:eastAsia="Arial" w:hAnsi="Arial"/>
          <w:sz w:val="18"/>
          <w:szCs w:val="18"/>
          <w:color w:val="auto"/>
        </w:rPr>
        <w:t>A majority of these revenues are included in “Supply and Logistics segment revenues” on our Consolidated Statements of Operations.</w:t>
      </w:r>
    </w:p>
    <w:p>
      <w:pPr>
        <w:spacing w:after="0" w:line="98" w:lineRule="exact"/>
        <w:rPr>
          <w:rFonts w:ascii="Arial" w:cs="Arial" w:eastAsia="Arial" w:hAnsi="Arial"/>
          <w:sz w:val="25"/>
          <w:szCs w:val="25"/>
          <w:color w:val="auto"/>
          <w:vertAlign w:val="superscript"/>
        </w:rPr>
      </w:pPr>
    </w:p>
    <w:p>
      <w:pPr>
        <w:ind w:left="660" w:right="240" w:hanging="652"/>
        <w:spacing w:after="0" w:line="214" w:lineRule="auto"/>
        <w:tabs>
          <w:tab w:leader="none" w:pos="660" w:val="left"/>
        </w:tabs>
        <w:numPr>
          <w:ilvl w:val="0"/>
          <w:numId w:val="125"/>
        </w:numPr>
        <w:rPr>
          <w:rFonts w:ascii="Arial" w:cs="Arial" w:eastAsia="Arial" w:hAnsi="Arial"/>
          <w:sz w:val="25"/>
          <w:szCs w:val="25"/>
          <w:color w:val="auto"/>
          <w:vertAlign w:val="superscript"/>
        </w:rPr>
      </w:pPr>
      <w:r>
        <w:rPr>
          <w:rFonts w:ascii="Arial" w:cs="Arial" w:eastAsia="Arial" w:hAnsi="Arial"/>
          <w:sz w:val="18"/>
          <w:szCs w:val="18"/>
          <w:color w:val="auto"/>
        </w:rPr>
        <w:t>Crude oil purchases that are part of inventory exchanges under buy/sell transactions are netted with the related sales, with any margin presented in “Purchases and related costs” in our Consolidated Statements of Operations.</w:t>
      </w:r>
    </w:p>
    <w:p>
      <w:pPr>
        <w:spacing w:after="0" w:line="310"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7"/>
          <w:szCs w:val="17"/>
          <w:color w:val="auto"/>
        </w:rPr>
        <w:t>Our receivable and payable amounts with these related parties as reflected on our Consolidated Balance Sheets were as follows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Trade accounts receivable and other receivables, net from related parties </w:t>
            </w:r>
            <w:r>
              <w:rPr>
                <w:rFonts w:ascii="Arial" w:cs="Arial" w:eastAsia="Arial" w:hAnsi="Arial"/>
                <w:sz w:val="25"/>
                <w:szCs w:val="25"/>
                <w:color w:val="auto"/>
                <w:vertAlign w:val="superscript"/>
              </w:rPr>
              <w:t>(1) (2)</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142</w:t>
            </w:r>
          </w:p>
        </w:tc>
      </w:tr>
      <w:tr>
        <w:trPr>
          <w:trHeight w:val="324"/>
        </w:trPr>
        <w:tc>
          <w:tcPr>
            <w:tcW w:w="8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Trade accounts payable to related parties </w:t>
            </w:r>
            <w:r>
              <w:rPr>
                <w:rFonts w:ascii="Arial" w:cs="Arial" w:eastAsia="Arial" w:hAnsi="Arial"/>
                <w:sz w:val="25"/>
                <w:szCs w:val="25"/>
                <w:color w:val="auto"/>
                <w:vertAlign w:val="superscript"/>
              </w:rPr>
              <w:t>(1) (2) (3)</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9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25"/>
          <w:szCs w:val="25"/>
          <w:color w:val="auto"/>
          <w:vertAlign w:val="superscript"/>
        </w:rPr>
      </w:pPr>
      <w:r>
        <w:rPr>
          <w:rFonts w:ascii="Arial" w:cs="Arial" w:eastAsia="Arial" w:hAnsi="Arial"/>
          <w:sz w:val="18"/>
          <w:szCs w:val="18"/>
          <w:color w:val="auto"/>
        </w:rPr>
        <w:t>We have a netting arrangement with certain related parties. Receivables and payables are presented net of such amounts.</w:t>
      </w:r>
    </w:p>
    <w:p>
      <w:pPr>
        <w:spacing w:after="0" w:line="98" w:lineRule="exact"/>
        <w:rPr>
          <w:rFonts w:ascii="Arial" w:cs="Arial" w:eastAsia="Arial" w:hAnsi="Arial"/>
          <w:sz w:val="25"/>
          <w:szCs w:val="25"/>
          <w:color w:val="auto"/>
          <w:vertAlign w:val="superscript"/>
        </w:rPr>
      </w:pPr>
    </w:p>
    <w:p>
      <w:pPr>
        <w:ind w:left="660" w:right="340" w:hanging="652"/>
        <w:spacing w:after="0" w:line="214" w:lineRule="auto"/>
        <w:tabs>
          <w:tab w:leader="none" w:pos="660" w:val="left"/>
        </w:tabs>
        <w:numPr>
          <w:ilvl w:val="0"/>
          <w:numId w:val="126"/>
        </w:numPr>
        <w:rPr>
          <w:rFonts w:ascii="Arial" w:cs="Arial" w:eastAsia="Arial" w:hAnsi="Arial"/>
          <w:sz w:val="25"/>
          <w:szCs w:val="25"/>
          <w:color w:val="auto"/>
          <w:vertAlign w:val="superscript"/>
        </w:rPr>
      </w:pPr>
      <w:r>
        <w:rPr>
          <w:rFonts w:ascii="Arial" w:cs="Arial" w:eastAsia="Arial" w:hAnsi="Arial"/>
          <w:sz w:val="18"/>
          <w:szCs w:val="18"/>
          <w:color w:val="auto"/>
        </w:rPr>
        <w:t>Includes amounts related to crude oil purchases and sales, transportation services and amounts owed to us or advanced to us related to expansion projects of equity method investees where we serve as construction manager.</w:t>
      </w:r>
    </w:p>
    <w:p>
      <w:pPr>
        <w:spacing w:after="0" w:line="94" w:lineRule="exact"/>
        <w:rPr>
          <w:rFonts w:ascii="Arial" w:cs="Arial" w:eastAsia="Arial" w:hAnsi="Arial"/>
          <w:sz w:val="25"/>
          <w:szCs w:val="25"/>
          <w:color w:val="auto"/>
          <w:vertAlign w:val="superscript"/>
        </w:rPr>
      </w:pPr>
    </w:p>
    <w:p>
      <w:pPr>
        <w:ind w:left="660" w:right="20" w:hanging="652"/>
        <w:spacing w:after="0" w:line="252" w:lineRule="auto"/>
        <w:tabs>
          <w:tab w:leader="none" w:pos="660" w:val="left"/>
        </w:tabs>
        <w:numPr>
          <w:ilvl w:val="0"/>
          <w:numId w:val="126"/>
        </w:numPr>
        <w:rPr>
          <w:rFonts w:ascii="Arial" w:cs="Arial" w:eastAsia="Arial" w:hAnsi="Arial"/>
          <w:sz w:val="22"/>
          <w:szCs w:val="22"/>
          <w:color w:val="auto"/>
          <w:vertAlign w:val="superscript"/>
        </w:rPr>
      </w:pPr>
      <w:r>
        <w:rPr>
          <w:rFonts w:ascii="Arial" w:cs="Arial" w:eastAsia="Arial" w:hAnsi="Arial"/>
          <w:sz w:val="16"/>
          <w:szCs w:val="16"/>
          <w:color w:val="auto"/>
        </w:rPr>
        <w:t>We have an agreement to transport crude oil at posted tariff rates on a pipeline that is owned by an equity method investee, in which we own a 50% interest. Our commitment to transport is supported by crude oil buy/sell agreements with third parties (including Oxy) with commensurate quantities.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Series A Preferred Unit Issuance</w:t>
      </w:r>
    </w:p>
    <w:p>
      <w:pPr>
        <w:spacing w:after="0" w:line="225" w:lineRule="exact"/>
        <w:rPr>
          <w:sz w:val="20"/>
          <w:szCs w:val="20"/>
          <w:color w:val="auto"/>
        </w:rPr>
      </w:pPr>
    </w:p>
    <w:p>
      <w:pPr>
        <w:jc w:val="both"/>
        <w:ind w:right="280" w:firstLine="648"/>
        <w:spacing w:after="0" w:line="259" w:lineRule="auto"/>
        <w:rPr>
          <w:sz w:val="20"/>
          <w:szCs w:val="20"/>
          <w:color w:val="auto"/>
        </w:rPr>
      </w:pPr>
      <w:r>
        <w:rPr>
          <w:rFonts w:ascii="Arial" w:cs="Arial" w:eastAsia="Arial" w:hAnsi="Arial"/>
          <w:sz w:val="18"/>
          <w:szCs w:val="18"/>
          <w:color w:val="auto"/>
        </w:rPr>
        <w:t>In January 2016, PAA completed a private placement of Series A preferred units. Certain of the purchasers of the PAA Series A preferred units or their affiliates are related parties. Kayne Anderson Capital Advisors, L.P. and certain of its affiliates and an affiliate of The Energy &amp; Minerals Group hold ownership interests in AAP. In addition, certain of the current directors of our general partner are affiliated with certain of the purchasers. See Note 12 for additional information about the Series A preferred units.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125" w:right="23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17—Equity-Indexed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PAGP and PAA Long-Term Incentive Plan Awards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LTIP awards include both liability-classified and equity-classified awards. In accordance with FASB guidance regarding share-based payments, the fair value of liability-classified LTIP awards is calculated based on the closing market price of the underlying PAGP share or PAA unit at each balance sheet date and adjusted for the present value of any distributions that are estimated to occur on the underlying shares or units over the vesting period that will not be received by the award recipients. The fair value of equity-classified LTIP awards is calculated based on the closing market price of the underlying PAGP share or PAA unit on the respective grant dates and adjusted for the present value of any distributions that are estimated to occur on the underlying shares or units over the vesting period that will not be received by the award recipient. This fair value is recognized as compensation expense over the service period.</w:t>
      </w:r>
    </w:p>
    <w:p>
      <w:pPr>
        <w:spacing w:after="0" w:line="18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Our LTIP awards contain (i) time based vesting criteria, (ii) performance conditions based on the attainment of certain levels of four quarter trailing distributable cash flow (“DCF”) per PAA common unit or (iii) a combination of time based vesting criteria and performance conditions based on four quarter trailing DCF per PAA common unit. For awards with performance conditions, expense is accrued over the service period only if the performance condition is considered probable of occurring. When awards with performance conditions that were previously considered improbable become probable, we incur additional expense in the period that the probability assessment changes. This is necessary to bring the accrued obligation associated with these awards up to the level it would be if we had been accruing for these awards since the grant date.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awards authorized under our LTIPs as of December 31, 2018 (in millions):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LTIP</w:t>
            </w:r>
          </w:p>
        </w:tc>
        <w:tc>
          <w:tcPr>
            <w:tcW w:w="120" w:type="dxa"/>
            <w:vAlign w:val="bottom"/>
            <w:vMerge w:val="restart"/>
          </w:tcPr>
          <w:p>
            <w:pPr>
              <w:spacing w:after="0"/>
              <w:rPr>
                <w:sz w:val="14"/>
                <w:szCs w:val="14"/>
                <w:color w:val="auto"/>
              </w:rPr>
            </w:pPr>
          </w:p>
        </w:tc>
        <w:tc>
          <w:tcPr>
            <w:tcW w:w="2260" w:type="dxa"/>
            <w:vAlign w:val="bottom"/>
          </w:tcPr>
          <w:p>
            <w:pPr>
              <w:jc w:val="right"/>
              <w:ind w:right="895"/>
              <w:spacing w:after="0"/>
              <w:rPr>
                <w:sz w:val="20"/>
                <w:szCs w:val="20"/>
                <w:color w:val="auto"/>
              </w:rPr>
            </w:pPr>
            <w:r>
              <w:rPr>
                <w:rFonts w:ascii="Arial" w:cs="Arial" w:eastAsia="Arial" w:hAnsi="Arial"/>
                <w:sz w:val="14"/>
                <w:szCs w:val="14"/>
                <w:b w:val="1"/>
                <w:bCs w:val="1"/>
                <w:color w:val="auto"/>
              </w:rPr>
              <w:t>LTIP</w:t>
            </w:r>
          </w:p>
        </w:tc>
        <w:tc>
          <w:tcPr>
            <w:tcW w:w="0" w:type="dxa"/>
            <w:vAlign w:val="bottom"/>
          </w:tcPr>
          <w:p>
            <w:pPr>
              <w:spacing w:after="0"/>
              <w:rPr>
                <w:sz w:val="1"/>
                <w:szCs w:val="1"/>
                <w:color w:val="auto"/>
              </w:rPr>
            </w:pPr>
          </w:p>
        </w:tc>
      </w:tr>
      <w:tr>
        <w:trPr>
          <w:trHeight w:val="192"/>
        </w:trPr>
        <w:tc>
          <w:tcPr>
            <w:tcW w:w="8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Awards Authorized</w:t>
            </w:r>
          </w:p>
        </w:tc>
        <w:tc>
          <w:tcPr>
            <w:tcW w:w="0" w:type="dxa"/>
            <w:vAlign w:val="bottom"/>
          </w:tcPr>
          <w:p>
            <w:pPr>
              <w:spacing w:after="0"/>
              <w:rPr>
                <w:sz w:val="1"/>
                <w:szCs w:val="1"/>
                <w:color w:val="auto"/>
              </w:rPr>
            </w:pPr>
          </w:p>
        </w:tc>
      </w:tr>
      <w:tr>
        <w:trPr>
          <w:trHeight w:val="250"/>
        </w:trPr>
        <w:tc>
          <w:tcPr>
            <w:tcW w:w="9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Plains GP Holdings, L.P. Long-Term Incentive Plan</w:t>
            </w:r>
          </w:p>
        </w:tc>
        <w:tc>
          <w:tcPr>
            <w:tcW w:w="2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9100" w:type="dxa"/>
            <w:vAlign w:val="bottom"/>
            <w:gridSpan w:val="2"/>
          </w:tcPr>
          <w:p>
            <w:pPr>
              <w:ind w:left="20"/>
              <w:spacing w:after="0"/>
              <w:rPr>
                <w:sz w:val="20"/>
                <w:szCs w:val="20"/>
                <w:color w:val="auto"/>
              </w:rPr>
            </w:pPr>
            <w:r>
              <w:rPr>
                <w:rFonts w:ascii="Arial" w:cs="Arial" w:eastAsia="Arial" w:hAnsi="Arial"/>
                <w:sz w:val="18"/>
                <w:szCs w:val="18"/>
                <w:color w:val="auto"/>
              </w:rPr>
              <w:t>Plains All American 2013 Long-Term Incentive Plan</w:t>
            </w:r>
          </w:p>
        </w:tc>
        <w:tc>
          <w:tcPr>
            <w:tcW w:w="2260" w:type="dxa"/>
            <w:vAlign w:val="bottom"/>
          </w:tcPr>
          <w:p>
            <w:pPr>
              <w:jc w:val="right"/>
              <w:ind w:right="35"/>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Plains All American PNG Successor Long-Term Incentive Plan</w:t>
            </w:r>
          </w:p>
        </w:tc>
        <w:tc>
          <w:tcPr>
            <w:tcW w:w="2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9100" w:type="dxa"/>
            <w:vAlign w:val="bottom"/>
            <w:gridSpan w:val="2"/>
          </w:tcPr>
          <w:p>
            <w:pPr>
              <w:ind w:left="20"/>
              <w:spacing w:after="0"/>
              <w:rPr>
                <w:sz w:val="20"/>
                <w:szCs w:val="20"/>
                <w:color w:val="auto"/>
              </w:rPr>
            </w:pPr>
            <w:r>
              <w:rPr>
                <w:rFonts w:ascii="Arial" w:cs="Arial" w:eastAsia="Arial" w:hAnsi="Arial"/>
                <w:sz w:val="18"/>
                <w:szCs w:val="18"/>
                <w:color w:val="auto"/>
              </w:rPr>
              <w:t>Plains All American GP LLC 2006 Long-Term Incentive Tracking Unit Plan</w:t>
            </w:r>
          </w:p>
        </w:tc>
        <w:tc>
          <w:tcPr>
            <w:tcW w:w="2260" w:type="dxa"/>
            <w:vAlign w:val="bottom"/>
          </w:tcPr>
          <w:p>
            <w:pPr>
              <w:jc w:val="right"/>
              <w:ind w:right="35"/>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8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95">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right="300" w:hanging="652"/>
        <w:spacing w:after="0" w:line="216" w:lineRule="auto"/>
        <w:tabs>
          <w:tab w:leader="none" w:pos="660" w:val="left"/>
        </w:tabs>
        <w:numPr>
          <w:ilvl w:val="0"/>
          <w:numId w:val="127"/>
        </w:numPr>
        <w:rPr>
          <w:rFonts w:ascii="Arial" w:cs="Arial" w:eastAsia="Arial" w:hAnsi="Arial"/>
          <w:sz w:val="25"/>
          <w:szCs w:val="25"/>
          <w:color w:val="auto"/>
          <w:vertAlign w:val="superscript"/>
        </w:rPr>
      </w:pPr>
      <w:r>
        <w:rPr>
          <w:rFonts w:ascii="Arial" w:cs="Arial" w:eastAsia="Arial" w:hAnsi="Arial"/>
          <w:sz w:val="18"/>
          <w:szCs w:val="18"/>
          <w:color w:val="auto"/>
        </w:rPr>
        <w:t>Of the 29.0 million total awards authorized, 12.4 million awards are currently available. The remaining balance has already vested or is currently outstanding.</w:t>
      </w:r>
    </w:p>
    <w:p>
      <w:pPr>
        <w:spacing w:after="0" w:line="203"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Although other types of awards are contemplated under certain of the LTIPs, currently outstanding awards are limited to “phantom units,” which mature into the right to receive our Class A shares or common units of PAA (or cash equivalent) upon vesting, and “tracking units,” which, upon vesting, represent the right to receive a cash payment in an amount based upon the market value of a PAA common unit at the time of vesting. Some awards also include DERs, which, subject to applicable vesting criteria, entitle the grantee to a cash payment equal to the cash distribution paid on an outstanding Class A share or PAA common unit. The DERs terminate with the vesting or forfeiture of the underlying LTIP award.</w:t>
      </w:r>
    </w:p>
    <w:p>
      <w:pPr>
        <w:spacing w:after="0" w:line="17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As of December 31, 2018, 6.8 million PAA LTIP awards and less than 0.1 million PAGP LTIP awards were outstanding. Of this amount, 4.3 million PAA LTIP awards and less than 0.1 million PAGP LTIP awards include DERs. The outstanding and probable LTIP awards are expected to vest at various dates between January 2019 and August 2023.</w:t>
      </w:r>
    </w:p>
    <w:p>
      <w:pPr>
        <w:spacing w:after="0" w:line="181"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Our accrued liability at December 31, 2018 related to all outstanding liability-classified LTIP awards and DERs was $27 million, of which $19 million was classified as short-term and $8 million was classified as long-term. These short- and long-term accrued LTIP liabilities are reflected in “Other current liabilities” and “Other long-term liabilities and deferred credits,” respectively, on our Consolidated Balance Sheets. At December 31, 2017, the accrued liability was $27 million, of which $15 million was classified as short-term and $12 million was classified as long-term.</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00"/>
          </w:cols>
          <w:pgMar w:left="240" w:top="125" w:right="25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Activity for PAA LTIP awards under our equity-indexed compensation plans denominated in PAA units is summarized in the following table (units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 xml:space="preserve">PAA Units </w:t>
            </w:r>
            <w:r>
              <w:rPr>
                <w:rFonts w:ascii="Arial" w:cs="Arial" w:eastAsia="Arial" w:hAnsi="Arial"/>
                <w:sz w:val="8"/>
                <w:szCs w:val="8"/>
                <w:b w:val="1"/>
                <w:bCs w:val="1"/>
                <w:color w:val="auto"/>
              </w:rPr>
              <w:t>(1) (2)</w:t>
            </w:r>
          </w:p>
        </w:tc>
        <w:tc>
          <w:tcPr>
            <w:tcW w:w="1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0" w:type="dxa"/>
            <w:vAlign w:val="bottom"/>
          </w:tcPr>
          <w:p>
            <w:pPr>
              <w:jc w:val="center"/>
              <w:ind w:right="513"/>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4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Units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0" w:type="dxa"/>
            <w:vAlign w:val="bottom"/>
          </w:tcPr>
          <w:p>
            <w:pPr>
              <w:jc w:val="center"/>
              <w:ind w:right="493"/>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513"/>
              <w:spacing w:after="0"/>
              <w:rPr>
                <w:sz w:val="20"/>
                <w:szCs w:val="20"/>
                <w:color w:val="auto"/>
              </w:rPr>
            </w:pPr>
            <w:r>
              <w:rPr>
                <w:rFonts w:ascii="Arial" w:cs="Arial" w:eastAsia="Arial" w:hAnsi="Arial"/>
                <w:sz w:val="14"/>
                <w:szCs w:val="14"/>
                <w:b w:val="1"/>
                <w:bCs w:val="1"/>
                <w:color w:val="auto"/>
                <w:w w:val="96"/>
              </w:rPr>
              <w:t>Fair Value per Unit</w:t>
            </w:r>
          </w:p>
        </w:tc>
        <w:tc>
          <w:tcPr>
            <w:tcW w:w="0" w:type="dxa"/>
            <w:vAlign w:val="bottom"/>
          </w:tcPr>
          <w:p>
            <w:pPr>
              <w:spacing w:after="0"/>
              <w:rPr>
                <w:sz w:val="1"/>
                <w:szCs w:val="1"/>
                <w:color w:val="auto"/>
              </w:rPr>
            </w:pPr>
          </w:p>
        </w:tc>
      </w:tr>
      <w:tr>
        <w:trPr>
          <w:trHeight w:val="27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4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Granted</w:t>
            </w: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86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45.91</w:t>
            </w:r>
          </w:p>
        </w:tc>
        <w:tc>
          <w:tcPr>
            <w:tcW w:w="0" w:type="dxa"/>
            <w:vAlign w:val="bottom"/>
          </w:tcPr>
          <w:p>
            <w:pPr>
              <w:spacing w:after="0"/>
              <w:rPr>
                <w:sz w:val="1"/>
                <w:szCs w:val="1"/>
                <w:color w:val="auto"/>
              </w:rPr>
            </w:pPr>
          </w:p>
        </w:tc>
      </w:tr>
      <w:tr>
        <w:trPr>
          <w:trHeight w:val="243"/>
        </w:trPr>
        <w:tc>
          <w:tcPr>
            <w:tcW w:w="8300" w:type="dxa"/>
            <w:vAlign w:val="bottom"/>
            <w:gridSpan w:val="2"/>
          </w:tcPr>
          <w:p>
            <w:pPr>
              <w:ind w:left="180"/>
              <w:spacing w:after="0"/>
              <w:rPr>
                <w:sz w:val="20"/>
                <w:szCs w:val="20"/>
                <w:color w:val="auto"/>
              </w:rPr>
            </w:pPr>
            <w:r>
              <w:rPr>
                <w:rFonts w:ascii="Arial" w:cs="Arial" w:eastAsia="Arial" w:hAnsi="Arial"/>
                <w:sz w:val="18"/>
                <w:szCs w:val="18"/>
                <w:color w:val="auto"/>
              </w:rPr>
              <w:t>Modified</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Cancelled or forfeited</w:t>
            </w:r>
          </w:p>
        </w:tc>
        <w:tc>
          <w:tcPr>
            <w:tcW w:w="14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December 31, 2016</w:t>
            </w:r>
          </w:p>
        </w:tc>
        <w:tc>
          <w:tcPr>
            <w:tcW w:w="144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37"/>
        </w:trPr>
        <w:tc>
          <w:tcPr>
            <w:tcW w:w="8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43"/>
        </w:trPr>
        <w:tc>
          <w:tcPr>
            <w:tcW w:w="8300" w:type="dxa"/>
            <w:vAlign w:val="bottom"/>
            <w:gridSpan w:val="2"/>
          </w:tcPr>
          <w:p>
            <w:pPr>
              <w:ind w:left="180"/>
              <w:spacing w:after="0"/>
              <w:rPr>
                <w:sz w:val="20"/>
                <w:szCs w:val="20"/>
                <w:color w:val="auto"/>
              </w:rPr>
            </w:pPr>
            <w:r>
              <w:rPr>
                <w:rFonts w:ascii="Arial" w:cs="Arial" w:eastAsia="Arial" w:hAnsi="Arial"/>
                <w:sz w:val="18"/>
                <w:szCs w:val="18"/>
                <w:color w:val="auto"/>
              </w:rPr>
              <w:t>Vested</w:t>
            </w: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42.12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Modified</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43"/>
        </w:trPr>
        <w:tc>
          <w:tcPr>
            <w:tcW w:w="8300" w:type="dxa"/>
            <w:vAlign w:val="bottom"/>
            <w:gridSpan w:val="2"/>
          </w:tcPr>
          <w:p>
            <w:pPr>
              <w:ind w:left="180"/>
              <w:spacing w:after="0"/>
              <w:rPr>
                <w:sz w:val="20"/>
                <w:szCs w:val="20"/>
                <w:color w:val="auto"/>
              </w:rPr>
            </w:pPr>
            <w:r>
              <w:rPr>
                <w:rFonts w:ascii="Arial" w:cs="Arial" w:eastAsia="Arial" w:hAnsi="Arial"/>
                <w:sz w:val="18"/>
                <w:szCs w:val="18"/>
                <w:color w:val="auto"/>
              </w:rPr>
              <w:t>Cancelled or forfeited</w:t>
            </w:r>
          </w:p>
        </w:tc>
        <w:tc>
          <w:tcPr>
            <w:tcW w:w="6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44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0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32.42</w:t>
            </w:r>
          </w:p>
        </w:tc>
        <w:tc>
          <w:tcPr>
            <w:tcW w:w="0" w:type="dxa"/>
            <w:vAlign w:val="bottom"/>
          </w:tcPr>
          <w:p>
            <w:pPr>
              <w:spacing w:after="0"/>
              <w:rPr>
                <w:sz w:val="1"/>
                <w:szCs w:val="1"/>
                <w:color w:val="auto"/>
              </w:rPr>
            </w:pPr>
          </w:p>
        </w:tc>
      </w:tr>
      <w:tr>
        <w:trPr>
          <w:trHeight w:val="243"/>
        </w:trPr>
        <w:tc>
          <w:tcPr>
            <w:tcW w:w="8300" w:type="dxa"/>
            <w:vAlign w:val="bottom"/>
            <w:gridSpan w:val="2"/>
          </w:tcPr>
          <w:p>
            <w:pPr>
              <w:ind w:left="180"/>
              <w:spacing w:after="0"/>
              <w:rPr>
                <w:sz w:val="20"/>
                <w:szCs w:val="20"/>
                <w:color w:val="auto"/>
              </w:rPr>
            </w:pPr>
            <w:r>
              <w:rPr>
                <w:rFonts w:ascii="Arial" w:cs="Arial" w:eastAsia="Arial" w:hAnsi="Arial"/>
                <w:sz w:val="18"/>
                <w:szCs w:val="18"/>
                <w:color w:val="auto"/>
              </w:rPr>
              <w:t>Modified</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Cancelled or forfeited</w:t>
            </w:r>
          </w:p>
        </w:tc>
        <w:tc>
          <w:tcPr>
            <w:tcW w:w="14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color w:val="auto"/>
              </w:rPr>
              <w:t>Outstanding at December 31, 2018</w:t>
            </w:r>
          </w:p>
        </w:tc>
        <w:tc>
          <w:tcPr>
            <w:tcW w:w="14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96">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25"/>
          <w:szCs w:val="25"/>
          <w:color w:val="auto"/>
          <w:vertAlign w:val="superscript"/>
        </w:rPr>
      </w:pPr>
      <w:r>
        <w:rPr>
          <w:rFonts w:ascii="Arial" w:cs="Arial" w:eastAsia="Arial" w:hAnsi="Arial"/>
          <w:sz w:val="18"/>
          <w:szCs w:val="18"/>
          <w:color w:val="auto"/>
        </w:rPr>
        <w:t>Amounts do not include PAGP LTIP awards.</w:t>
      </w:r>
    </w:p>
    <w:p>
      <w:pPr>
        <w:spacing w:after="0" w:line="98" w:lineRule="exact"/>
        <w:rPr>
          <w:rFonts w:ascii="Arial" w:cs="Arial" w:eastAsia="Arial" w:hAnsi="Arial"/>
          <w:sz w:val="25"/>
          <w:szCs w:val="25"/>
          <w:color w:val="auto"/>
          <w:vertAlign w:val="superscript"/>
        </w:rPr>
      </w:pPr>
    </w:p>
    <w:p>
      <w:pPr>
        <w:jc w:val="both"/>
        <w:ind w:left="660" w:right="360" w:hanging="652"/>
        <w:spacing w:after="0" w:line="260" w:lineRule="auto"/>
        <w:tabs>
          <w:tab w:leader="none" w:pos="660" w:val="left"/>
        </w:tabs>
        <w:numPr>
          <w:ilvl w:val="0"/>
          <w:numId w:val="128"/>
        </w:numPr>
        <w:rPr>
          <w:rFonts w:ascii="Arial" w:cs="Arial" w:eastAsia="Arial" w:hAnsi="Arial"/>
          <w:sz w:val="22"/>
          <w:szCs w:val="22"/>
          <w:color w:val="auto"/>
          <w:vertAlign w:val="superscript"/>
        </w:rPr>
      </w:pPr>
      <w:r>
        <w:rPr>
          <w:rFonts w:ascii="Arial" w:cs="Arial" w:eastAsia="Arial" w:hAnsi="Arial"/>
          <w:sz w:val="16"/>
          <w:szCs w:val="16"/>
          <w:color w:val="auto"/>
        </w:rPr>
        <w:t>Approximately 0.6 million, 0.6 million and 0.5 million PAA common units were issued, net of tax withholding of approximately 0.2 million, 0.2 million and 0.3 million units during 2018, 2017 and 2016, respectively, in connection with the settlement of vested awards. The remaining PAA awards (approximately 0.9 million, 0.9 million and 1.1 million units) that vested during 2018, 2017 and 2016, respectively, were settled in cash.</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Equity-Indexed Compensation Plan Information</w:t>
      </w:r>
    </w:p>
    <w:p>
      <w:pPr>
        <w:spacing w:after="0" w:line="225"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We refer to all of the LTIPs as our “equity-indexed compensation plans.” The table below summarizes the expense recognized and the value of vested LTIP awards (settled in PAA common units, Class A shares and cash) under our equity-indexed compensation plans and includes both liability-classified and equity-classified awards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Equity-indexed compensation expense</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LTIP unit or share-settled vestings</w:t>
            </w: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24</w:t>
            </w:r>
          </w:p>
        </w:tc>
      </w:tr>
      <w:tr>
        <w:trPr>
          <w:trHeight w:val="27"/>
        </w:trPr>
        <w:tc>
          <w:tcPr>
            <w:tcW w:w="6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LTIP cash-settled vestings</w:t>
            </w:r>
          </w:p>
        </w:tc>
        <w:tc>
          <w:tcPr>
            <w:tcW w:w="106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r>
      <w:tr>
        <w:trPr>
          <w:trHeight w:val="27"/>
        </w:trPr>
        <w:tc>
          <w:tcPr>
            <w:tcW w:w="67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Based on the December 31, 2018 fair value measurement and probability assessment regarding future performance conditions based on distributable cash flow measures determined by management, we expect to recognize $50 million of additional expense over the life of our outstanding awards related to the remaining unrecognized fair value. Actual amounts may differ materially as a result of a change in the market price of PAA’s common units and our Class A shares and/or probability assessments regarding future distributions. We estimate that the remaining fair value will be recognized in expense as shown below (in millions):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125" w:right="23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tcPr>
          <w:p>
            <w:pPr>
              <w:jc w:val="center"/>
              <w:ind w:right="136"/>
              <w:spacing w:after="0"/>
              <w:rPr>
                <w:sz w:val="20"/>
                <w:szCs w:val="20"/>
                <w:color w:val="auto"/>
              </w:rPr>
            </w:pPr>
            <w:r>
              <w:rPr>
                <w:rFonts w:ascii="Arial" w:cs="Arial" w:eastAsia="Arial" w:hAnsi="Arial"/>
                <w:sz w:val="14"/>
                <w:szCs w:val="14"/>
                <w:b w:val="1"/>
                <w:bCs w:val="1"/>
                <w:color w:val="auto"/>
                <w:w w:val="95"/>
              </w:rPr>
              <w:t>Equity-Indexed</w:t>
            </w:r>
          </w:p>
        </w:tc>
        <w:tc>
          <w:tcPr>
            <w:tcW w:w="0" w:type="dxa"/>
            <w:vAlign w:val="bottom"/>
          </w:tcPr>
          <w:p>
            <w:pPr>
              <w:spacing w:after="0"/>
              <w:rPr>
                <w:sz w:val="1"/>
                <w:szCs w:val="1"/>
                <w:color w:val="auto"/>
              </w:rPr>
            </w:pPr>
          </w:p>
        </w:tc>
      </w:tr>
      <w:tr>
        <w:trPr>
          <w:trHeight w:val="149"/>
        </w:trPr>
        <w:tc>
          <w:tcPr>
            <w:tcW w:w="8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2"/>
                <w:szCs w:val="12"/>
                <w:color w:val="auto"/>
              </w:rPr>
            </w:pPr>
          </w:p>
        </w:tc>
        <w:tc>
          <w:tcPr>
            <w:tcW w:w="230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3"/>
              </w:rPr>
              <w:t>Compensation Plan Fair Value</w:t>
            </w:r>
          </w:p>
        </w:tc>
        <w:tc>
          <w:tcPr>
            <w:tcW w:w="0" w:type="dxa"/>
            <w:vAlign w:val="bottom"/>
          </w:tcPr>
          <w:p>
            <w:pPr>
              <w:spacing w:after="0"/>
              <w:rPr>
                <w:sz w:val="1"/>
                <w:szCs w:val="1"/>
                <w:color w:val="auto"/>
              </w:rPr>
            </w:pPr>
          </w:p>
        </w:tc>
      </w:tr>
      <w:tr>
        <w:trPr>
          <w:trHeight w:val="192"/>
        </w:trPr>
        <w:tc>
          <w:tcPr>
            <w:tcW w:w="8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tcPr>
          <w:p>
            <w:pPr>
              <w:jc w:val="center"/>
              <w:ind w:right="136"/>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250"/>
        </w:trPr>
        <w:tc>
          <w:tcPr>
            <w:tcW w:w="88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3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00" w:type="dxa"/>
            <w:vAlign w:val="bottom"/>
          </w:tcPr>
          <w:p>
            <w:pPr>
              <w:jc w:val="right"/>
              <w:ind w:right="16"/>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0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2023 </w:t>
            </w:r>
            <w:r>
              <w:rPr>
                <w:rFonts w:ascii="Arial" w:cs="Arial" w:eastAsia="Arial" w:hAnsi="Arial"/>
                <w:sz w:val="25"/>
                <w:szCs w:val="25"/>
                <w:color w:val="auto"/>
                <w:vertAlign w:val="superscript"/>
              </w:rPr>
              <w:t>(2)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2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9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300" w:type="dxa"/>
            <w:vAlign w:val="bottom"/>
          </w:tcPr>
          <w:p>
            <w:pPr>
              <w:jc w:val="right"/>
              <w:ind w:right="16"/>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97">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right="180" w:hanging="652"/>
        <w:spacing w:after="0" w:line="216" w:lineRule="auto"/>
        <w:tabs>
          <w:tab w:leader="none" w:pos="660" w:val="left"/>
        </w:tabs>
        <w:numPr>
          <w:ilvl w:val="0"/>
          <w:numId w:val="129"/>
        </w:numPr>
        <w:rPr>
          <w:rFonts w:ascii="Arial" w:cs="Arial" w:eastAsia="Arial" w:hAnsi="Arial"/>
          <w:sz w:val="25"/>
          <w:szCs w:val="25"/>
          <w:color w:val="auto"/>
          <w:vertAlign w:val="superscript"/>
        </w:rPr>
      </w:pPr>
      <w:r>
        <w:rPr>
          <w:rFonts w:ascii="Arial" w:cs="Arial" w:eastAsia="Arial" w:hAnsi="Arial"/>
          <w:sz w:val="18"/>
          <w:szCs w:val="18"/>
          <w:color w:val="auto"/>
        </w:rPr>
        <w:t>Amounts do not include fair value associated with awards containing performance conditions that are not considered to be probable of occurring at December 31, 2018.</w:t>
      </w:r>
    </w:p>
    <w:p>
      <w:pPr>
        <w:spacing w:after="0" w:line="38" w:lineRule="exact"/>
        <w:rPr>
          <w:rFonts w:ascii="Arial" w:cs="Arial" w:eastAsia="Arial" w:hAnsi="Arial"/>
          <w:sz w:val="25"/>
          <w:szCs w:val="25"/>
          <w:color w:val="auto"/>
          <w:vertAlign w:val="superscript"/>
        </w:rPr>
      </w:pPr>
    </w:p>
    <w:p>
      <w:pPr>
        <w:ind w:left="280" w:hanging="272"/>
        <w:spacing w:after="0"/>
        <w:tabs>
          <w:tab w:leader="none" w:pos="280" w:val="left"/>
        </w:tabs>
        <w:numPr>
          <w:ilvl w:val="0"/>
          <w:numId w:val="129"/>
        </w:numPr>
        <w:rPr>
          <w:rFonts w:ascii="Arial" w:cs="Arial" w:eastAsia="Arial" w:hAnsi="Arial"/>
          <w:sz w:val="25"/>
          <w:szCs w:val="25"/>
          <w:color w:val="auto"/>
          <w:vertAlign w:val="superscript"/>
        </w:rPr>
      </w:pPr>
      <w:r>
        <w:rPr>
          <w:rFonts w:ascii="Arial" w:cs="Arial" w:eastAsia="Arial" w:hAnsi="Arial"/>
          <w:sz w:val="18"/>
          <w:szCs w:val="18"/>
          <w:color w:val="auto"/>
        </w:rPr>
        <w:t>Less than $1 million of expense from amortized fair value during the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We have commitments, some of which are leases, related to real property, equipment and operating facilities. We also incur costs associated with leased land, rights-of-way, permits and regulatory fees. Future noncancelable commitments related to these items at December 31, 2018 are summarized below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Pr>
          <w:p>
            <w:pPr>
              <w:spacing w:after="0"/>
              <w:rPr>
                <w:sz w:val="16"/>
                <w:szCs w:val="16"/>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Total</w:t>
            </w:r>
          </w:p>
        </w:tc>
      </w:tr>
      <w:tr>
        <w:trPr>
          <w:trHeight w:val="270"/>
        </w:trPr>
        <w:tc>
          <w:tcPr>
            <w:tcW w:w="40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Leases, rights-of-way easements and other </w:t>
            </w:r>
            <w:r>
              <w:rPr>
                <w:rFonts w:ascii="Arial" w:cs="Arial" w:eastAsia="Arial" w:hAnsi="Arial"/>
                <w:sz w:val="25"/>
                <w:szCs w:val="25"/>
                <w:color w:val="auto"/>
                <w:vertAlign w:val="superscript"/>
              </w:rPr>
              <w:t>(1)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167</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133</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341</w:t>
            </w: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911</w:t>
            </w:r>
          </w:p>
        </w:tc>
      </w:tr>
      <w:tr>
        <w:trPr>
          <w:trHeight w:val="270"/>
        </w:trPr>
        <w:tc>
          <w:tcPr>
            <w:tcW w:w="40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commitments </w:t>
            </w:r>
            <w:r>
              <w:rPr>
                <w:rFonts w:ascii="Arial" w:cs="Arial" w:eastAsia="Arial" w:hAnsi="Arial"/>
                <w:sz w:val="25"/>
                <w:szCs w:val="25"/>
                <w:color w:val="auto"/>
                <w:vertAlign w:val="superscript"/>
              </w:rPr>
              <w:t>(2)</w:t>
            </w:r>
          </w:p>
        </w:tc>
        <w:tc>
          <w:tcPr>
            <w:tcW w:w="2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951</w:t>
            </w: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1,862</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right="200" w:hanging="652"/>
        <w:spacing w:after="0" w:line="232" w:lineRule="auto"/>
        <w:tabs>
          <w:tab w:leader="none" w:pos="660" w:val="left"/>
        </w:tabs>
        <w:numPr>
          <w:ilvl w:val="0"/>
          <w:numId w:val="130"/>
        </w:numPr>
        <w:rPr>
          <w:rFonts w:ascii="Arial" w:cs="Arial" w:eastAsia="Arial" w:hAnsi="Arial"/>
          <w:sz w:val="25"/>
          <w:szCs w:val="25"/>
          <w:color w:val="auto"/>
          <w:vertAlign w:val="superscript"/>
        </w:rPr>
      </w:pPr>
      <w:r>
        <w:rPr>
          <w:rFonts w:ascii="Arial" w:cs="Arial" w:eastAsia="Arial" w:hAnsi="Arial"/>
          <w:sz w:val="18"/>
          <w:szCs w:val="18"/>
          <w:color w:val="auto"/>
        </w:rPr>
        <w:t>Includes operating and capital leases as defined by FASB guidance, as well as obligations for rights-of-way easements. Leases are primarily for (i) railcars, (ii) land and surface rentals, (iii) office buildings, (iv) pipeline assets and (v) vehicles and trailers. We recognize expense on a straight-line basis over the life of the agreement, as applicable. Lease expense for 2018, 2017 and 2016 was $199 million, $207 million and $198 million, respectively.</w:t>
      </w:r>
    </w:p>
    <w:p>
      <w:pPr>
        <w:spacing w:after="0" w:line="202" w:lineRule="exact"/>
        <w:rPr>
          <w:rFonts w:ascii="Arial" w:cs="Arial" w:eastAsia="Arial" w:hAnsi="Arial"/>
          <w:sz w:val="25"/>
          <w:szCs w:val="25"/>
          <w:color w:val="auto"/>
          <w:vertAlign w:val="superscript"/>
        </w:rPr>
      </w:pPr>
    </w:p>
    <w:p>
      <w:pPr>
        <w:ind w:left="660" w:right="40" w:hanging="652"/>
        <w:spacing w:after="0" w:line="235" w:lineRule="auto"/>
        <w:tabs>
          <w:tab w:leader="none" w:pos="660" w:val="left"/>
        </w:tabs>
        <w:numPr>
          <w:ilvl w:val="0"/>
          <w:numId w:val="130"/>
        </w:numPr>
        <w:rPr>
          <w:rFonts w:ascii="Arial" w:cs="Arial" w:eastAsia="Arial" w:hAnsi="Arial"/>
          <w:sz w:val="25"/>
          <w:szCs w:val="25"/>
          <w:color w:val="auto"/>
          <w:vertAlign w:val="superscript"/>
        </w:rPr>
      </w:pPr>
      <w:r>
        <w:rPr>
          <w:rFonts w:ascii="Arial" w:cs="Arial" w:eastAsia="Arial" w:hAnsi="Arial"/>
          <w:sz w:val="18"/>
          <w:szCs w:val="18"/>
          <w:color w:val="auto"/>
        </w:rPr>
        <w:t>Primarily includes third-party storage and transportation agreements and pipeline throughput agreements, as well as approximately $750 million associated with an agreement to transport crude oil at posted tariff rates on a pipeline that is owned by an equity method investee, in which we own a 50% interest. Our commitment to transport is supported by crude oil buy/sell agreements with third parties (including Oxy) with commensurate quantities. Expense associated with these storage, transportation and throughput agreements was approximately $228 million, $197 million and $157 million for 2018, 2017 and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-1378585</wp:posOffset>
            </wp:positionV>
            <wp:extent cx="23323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98">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125" w:right="23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16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5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1"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At December 31, 2018, our estimated undiscounted reserve for environmental liabilities (including liabilities related to the Line 901 incident, as discussed further below) totaled $135 million, of which $43 million was classified as short-term and $92 million was classified as long-term. Such short- and long-term environmental liabilities are reflected in “Other current liabilities” and “Other long-term liabilities and deferred credits,” respectively, on our Consolidated Balance Sheet. At December 31, 2017, our estimated undiscounted reserve for environmental liabilities (including liabilities related to the Line 901 incident) totaled $162 million, of which $72 million was classified as short-term and $90 million was classified as long-term. At December 31, 2018, we had recorded receivables totaling $61 million for amounts probable of recovery under insurance and from third parties under indemnification agreements, of which $28 million was short-term and reflected in “Trade accounts receivable and other receivables, net” and $33 million was long-term and reflected in “Other long-term assets, net” on our Consolidated Balance Sheet. At December 31, 2017, we had recorded $55 million of such receivables, of which $29 million was short-term and $26 million was long-term.</w:t>
      </w:r>
    </w:p>
    <w:p>
      <w:pPr>
        <w:spacing w:after="0" w:line="18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00"/>
          </w:cols>
          <w:pgMar w:left="240" w:top="125" w:right="25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is approximately 2,934 barrels; of this amount, we estimate that 598 barrels reached the Pacific Ocean.</w:t>
      </w:r>
    </w:p>
    <w:p>
      <w:pPr>
        <w:spacing w:after="0" w:line="1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187" w:lineRule="exact"/>
        <w:rPr>
          <w:sz w:val="20"/>
          <w:szCs w:val="20"/>
          <w:color w:val="auto"/>
        </w:rPr>
      </w:pPr>
    </w:p>
    <w:p>
      <w:pPr>
        <w:ind w:right="160" w:firstLine="648"/>
        <w:spacing w:after="0" w:line="287"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with jurisdiction over the operation of Line 901 as well as over a second stretch of pipeline extending from Gaviota Pump Station in Santa Barbara County to Emidio Pump Station in Kern County, California (Line 903), requiring us to shut down, purge, review, remediate and test Line 901. The corrective action order was subsequently amended on June 3, 2015; November 13, 2015; and June 16, 2016 to require us to take additional corrective actions with respect to both Lines 901 and 903 (as amended, the “CAO”). Among other requirements, the CAO obligated us to conduct a root cause failure analysis with respect to Line 901 and present remedial work plans and restart plans to PHMSA prior to returning Line 901 and 903 to service; the CAO also imposed a pressure restriction on the section of Line 903 between Pentland Pump Station and Emidio Pump Station and required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Line 901 and Line 903 have been purged and are not currently operational, with the exception of the Pentland to Emidio segment of Line 903, which remains in service under a pressure restriction. No timeline has been established for the restart of Line 901 or Line 903.</w:t>
      </w:r>
    </w:p>
    <w:p>
      <w:pPr>
        <w:spacing w:after="0" w:line="17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On February 17, 2016, PHMSA issued a Preliminary Factual Report of the Line 901 failure, which contains PHMSA’s preliminary findings regarding factual information about the events leading up to the accident and the technical analysis that has been conducted to date. On May 19, 2016, PHMSA issued its final Failure Investigation Report regarding the Line 901 incident. PHMSA’s findings indicate that the direct cause of the Line 901 incident was external corrosion that thinned the pipe wall to a level where it ruptured suddenly and released crude oil. PHMSA also concluded that there were numerous contributory causes of the Line 901 incident, including ineffective protection against external corrosion, failure to detect and mitigate the corrosion and a lack of timely detection and response to the rupture. The report also included copies of various engineering and technical reports regarding the incident. By virtue of its statutory authority, PHMSA has the power and authority to impose fines and penalties on us and cause civil or criminal charges to be brought against us. While to date PHMSA has not imposed any such fines or penalties or brought any such civil or criminal charges with respect to the Line 901 release, their investigation is still open and we are likely to have fines or penalties imposed upon us, and we may have civil or criminal charges brought against us, in the future.</w:t>
      </w:r>
    </w:p>
    <w:p>
      <w:pPr>
        <w:spacing w:after="0" w:line="19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late May of 2015, the California Attorney General’s Office and the District Attorney’s office for the County of Santa Barbara began investigating the Line 901 incident to determine whether any applicable state or local laws had been violated. On May 16, 2016, PAA and one of its employees were charged by a California state grand jury, pursuant to an indictment filed in California Superior Court, Santa Barbara County (the “May 2016 Indictment”), with alleged violations of California law in connection with the Line 901 incident. The May 2016 Indictment included a total of 46 counts against PAA. On July 28, 2016, at an arraignment hearing held in California Superior Court in Santa Barbara County, PAA pled not guilty to all counts. Between May of 2016 and May of 2018, 31 of the criminal charges against PAA (including one felony charge) and all of the criminal charges against our employee, were dismissed. The remaining 15 charges were the subject of a jury trial in California Superior Court in Santa Barbara County that began in May of 2018.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jury deadlocked on three counts (including two felony discharge counts and one strict liability animal takings count), and two misdemeanor discharge counts were dropped. We are in the process of pursuing and evaluating our post-trial options, which include the possibility of an appeal. We do not anticipate that the fines or penalties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125" w:right="23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imposed as a result of the jury’s decision will have a material adverse impact on the financial position or operations of the Partnership.</w:t>
      </w:r>
    </w:p>
    <w:p>
      <w:pPr>
        <w:spacing w:after="0" w:line="225" w:lineRule="exact"/>
        <w:rPr>
          <w:sz w:val="20"/>
          <w:szCs w:val="20"/>
          <w:color w:val="auto"/>
        </w:rPr>
      </w:pPr>
    </w:p>
    <w:p>
      <w:pPr>
        <w:ind w:right="220" w:firstLine="648"/>
        <w:spacing w:after="0" w:line="285" w:lineRule="auto"/>
        <w:rPr>
          <w:sz w:val="20"/>
          <w:szCs w:val="20"/>
          <w:color w:val="auto"/>
        </w:rPr>
      </w:pPr>
      <w:r>
        <w:rPr>
          <w:rFonts w:ascii="Arial" w:cs="Arial" w:eastAsia="Arial" w:hAnsi="Arial"/>
          <w:sz w:val="16"/>
          <w:szCs w:val="16"/>
          <w:color w:val="auto"/>
        </w:rPr>
        <w:t>Also in late May of 2015, the United States Attorney for the Department of Justice, Central District of California, Environmental Crimes Section (“DOJ”) began an investigation into whether there were any violations of federal criminal statutes in connection with the Line 901 incident, including potential violations of the federal Clean Water Act. We have cooperated with the DOJ’s investigation by responding to their requests for documents and access to our employees. Consistent with the terms of our governing organizational documents, we are funding our employees’ defense costs, including the costs of separate counsel engaged to represent such individuals. On August 26, 2015, we received a Request for Information from the EPA relating to Line</w:t>
      </w:r>
    </w:p>
    <w:p>
      <w:pPr>
        <w:spacing w:after="0" w:line="2" w:lineRule="exact"/>
        <w:rPr>
          <w:sz w:val="20"/>
          <w:szCs w:val="20"/>
          <w:color w:val="auto"/>
        </w:rPr>
      </w:pPr>
    </w:p>
    <w:p>
      <w:pPr>
        <w:ind w:right="120" w:firstLine="8"/>
        <w:spacing w:after="0" w:line="269" w:lineRule="auto"/>
        <w:tabs>
          <w:tab w:leader="none" w:pos="3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We have provided various responsive materials to date and we will continue to do so in the future in cooperation with the EPA. While to date no civil actions or criminal charges with respect to the Line 901 release, other than those brought pursuant to the May 2016 Indictment and a separate civil claim brought by the California Attorney General on behalf of the California State Lands Commission, have been brought against PAA or any of its affiliates, officers or employees by PHMSA, DOJ, EPA, the California Attorney General, the Santa Barbara District Attorney or the California Department of Fish and Wildlife, and no fines or penalties have been imposed by such governmental agencies, the investigations being conducted by such agencies are still open and we may have fines or penalties imposed upon us, our officers or our employees, or civil actions or criminal charges brought against us, our officers or our employees in the future, whether by those or other governmental agencies.</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Shortly following the Line 901 incident, we established a claims line and encouraged any parties that were damaged by the release to contact us to discuss their damage claims. We have received a number of claims through the claims line and we have been processing those claims and making payments as appropriate. In addition, we have also had nine class action lawsuits filed against us, six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To date, the court has certified three sub-classes of claimants and denied certification of the other proposed sub-class. The sub-classes that have been certified include (i) commercial fishermen who landed fish in certain specified fishing blocks in the waters adjacent to Santa Barbara County or persons or businesses who resold commercial seafood landed in such areas; (ii) individuals or businesses who were employed by or had contracts with certain designated oil platforms and related onshore processing facilities in the vicinity of the release as of the date of the release and (iii) beachfront property and easement owners whose properties were oiled. The Ninth Circuit Court of Appeals has granted our petition for leave to appeal the oil industry class certification. We are also defending a separate class action lawsuit proceeding in the United States District Court for the Central District of California brought on behalf of the Line 901 and Line 903 easement holders seeking injunctive relief as well as compensatory damages.</w:t>
      </w:r>
    </w:p>
    <w:p>
      <w:pPr>
        <w:spacing w:after="0" w:line="17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There have also been two securities law class action lawsuits filed on behalf of certain purported investors in PAA and/or PAGP against PAA, PAGP and/or certain of their respective officers, directors and underwriters. Both of these lawsuits have been consolidated into a single proceeding in the United States District Court for the Southern District of Texas. In general, these lawsuits allege that the various defendants violated securities laws by misleading investors regarding the integrity of PAA’s pipelines and related facilities through false and misleading statements, omission of material facts and concealing of the true extent of the spill. The plaintiffs claim unspecified damages as a result of the reduction in value of their investments in PAA and PAGP, which they attribute to the alleged wrongful acts of the defendants. PAA and PAGP, and the other defendants, denied the allegations in, and moved to dismiss these lawsuits. On March 29, 2017, the Court ruled in our favor dismissing all claims against all defendants. Plaintiffs refiled their complaint. On April 2, 2018, the Court dismissed all of the refiled claims against all defendants with prejudice. Plaintiffs have appealed the dismissal. Consistent with and subject to the terms of our governing organizational documents (and to the extent applicable, insurance policies), we have indemnified and funded the defense costs of our officers and directors in connection with this lawsuit; we have also indemnified and funded the defense costs of our underwriters pursuant to the terms of the underwriting agreements we previously entered into with such underwriters.</w:t>
      </w:r>
    </w:p>
    <w:p>
      <w:pPr>
        <w:spacing w:after="0" w:line="183"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addition, four unitholder derivative lawsuits have been filed by certain purported investors in PAA against PAA, certain of its affiliates and certain officers and directors. One lawsuit was filed in State District Court in Harris County, Texas and subsequently dismissed by the Court. Two of these lawsuits were filed in the United States District Court for the Southern District of Texas and were administratively consolidated into one action and later dismissed on the basis that Plains Partnership agreements require that derivative suits be filed in Delaware Chancery Court.</w:t>
      </w:r>
    </w:p>
    <w:p>
      <w:pPr>
        <w:spacing w:after="0" w:line="17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Following the order dismissing the Texas Federal Court suits, a new derivative suit brought by different plaintiffs was filed in Delaware Chancery Court. In general, these derivative lawsuits allege that the various defendants breached their fiduciary duties, engaged in gross mismanagement and made false and misleading statements, among other similar allegations, in connection with their management and oversight of PAA during the period of time leading up to and following the Line 901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125" w:right="23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release. The plaintiffs in the remaining lawsuit claim that PAA suffered unspecified damages as a result of the actions of the various defendants and seek to hold the defendants liable for such damages, in addition to other remedies. The defendants deny the allegations in this lawsuit and have responded accordingly. Consistent with and subject to the terms of our governing organizational documents (and to the extent applicable, insurance policies), we are indemnifying and funding the defense costs of our officers and directors in connection with this lawsuit.</w:t>
      </w:r>
    </w:p>
    <w:p>
      <w:pPr>
        <w:spacing w:after="0" w:line="171"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We have also received several other individual lawsuits and complaints from companies, governmental agencies and individuals alleging damages arising out of the Line 901 incident. These lawsuits and claims generally seek compensatory and punitive damages, and in some cases permanent injunctive relief.</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to the foregoing, as the “responsible party” for the Line 901 incident we are liable for various costs and for certain natural resource damages under the Oil Pollution Act, and we also have exposure to the payment of additional fines, penalties and costs under other applicable federal, state and local laws, statutes and regulations. To the extent any such costs are reasonably estimable, we have included an estimate of such costs in the loss accrual described below.</w:t>
      </w:r>
    </w:p>
    <w:p>
      <w:pPr>
        <w:spacing w:after="0" w:line="18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Taking the foregoing into account, as of December 31, 2018, we estimate that the aggregate total costs we have incurred or will incur with respect to the Line 901 incident will be approximately $355 million, which estimate includes actual and projected emergency response and clean-up costs, natural resource damage assessments and certain third party claims settlements, as well as estimates for fines, penalties and certain legal fees. We accrue such estimates of aggregate total costs to “Field operating costs” in our Consolidated Statement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duration of the natural resource damage assessment process and the ultimate amount of damages determined, (ii) the resolution of certain third party claims and lawsuits, but excluding claims and lawsuits with respect to which losses are not probable and reasonably estimable, and excluding future claims and lawsuits, (iii) the determination and calculation of fines and penalties, but excluding fines and penalties that are not probable or reasonably estimable and (iv)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16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As of December 31, 2018, we had a remaining undiscounted gross liability of $76 million related to this event, of which approximately $33 million is presented in “Other current liabilities” on our Consolidated Balance Sheet, with the remainder presented in “Other long-term liabilities and deferred credits.”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December 31, 2018, we had collected, subject to customary reservations, $187 million out of the approximate $240 million of release costs that we believe are probable of recovery from insurance carriers, net of deductibles. Therefore, as of December 31, 2018, we have recognized a receivable of approximately $53 million for the portion of the release costs that we believe is probable of recovery from insurance, net of deductibles and amounts already collected. Of this amount, approximately $22 million is recognized as a current asset in “Trade accounts receivable and other receivables, net” on our Consolidated Balance Sheet, with the remainder in “Other long-term assets, net.” We have completed the required clean-up and remediation work as determined by the Unified Command and the Unified Command has been dissolved; however, we expect to make payments for additional costs associated with restoration of the impacted areas, as well as natural resource damage assessment and compensation, legal, professional and regulatory costs, in addition to fines and penalties, during future periods.</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360"/>
          </w:cols>
          <w:pgMar w:left="240" w:top="125" w:right="29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Bluewater NOPV. </w:t>
      </w:r>
      <w:r>
        <w:rPr>
          <w:rFonts w:ascii="Arial" w:cs="Arial" w:eastAsia="Arial" w:hAnsi="Arial"/>
          <w:sz w:val="18"/>
          <w:szCs w:val="18"/>
          <w:color w:val="auto"/>
        </w:rPr>
        <w:t>PAA Natural Gas Storage, LLC (“PNG”), the former owner of the Bluewater natural gas storage facility in Columbus, Michigan</w:t>
      </w:r>
      <w:r>
        <w:rPr>
          <w:rFonts w:ascii="Arial" w:cs="Arial" w:eastAsia="Arial" w:hAnsi="Arial"/>
          <w:sz w:val="18"/>
          <w:szCs w:val="18"/>
          <w:i w:val="1"/>
          <w:iCs w:val="1"/>
          <w:color w:val="auto"/>
        </w:rPr>
        <w:t xml:space="preserve"> </w:t>
      </w:r>
      <w:r>
        <w:rPr>
          <w:rFonts w:ascii="Arial" w:cs="Arial" w:eastAsia="Arial" w:hAnsi="Arial"/>
          <w:sz w:val="18"/>
          <w:szCs w:val="18"/>
          <w:color w:val="auto"/>
        </w:rPr>
        <w:t>(“Bluewater”), received a Notice of Probable Violation and Proposed Civil Penalty (the “Notice”), dated November 28, 2018, from PHMSA alleging various violations of the Pipeline Safety Act in connection with PNG’s operation of the Bluewater facility from 2013 through early 2016 and assessing cumulative civil penalties in the amount of $109,400. PNG sold its interest in the Bluewater facility effective June 30, 2017 and elected not to contest the items contained in the Notice and paid the civil penalties.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Environmental Remediation</w:t>
      </w:r>
    </w:p>
    <w:p>
      <w:pPr>
        <w:spacing w:after="0" w:line="12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w:t>
      </w:r>
    </w:p>
    <w:p>
      <w:pPr>
        <w:spacing w:after="0" w:line="19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187"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Assets we have acquired or will acquire in the future may have environmental remediation liabilities for which we are not indemnified. We have in the past experienced and in the future likely will experience releases of hydrocarbon products into the environment from our pipeline, rail, storage and other facility operations. We also may discover environmental impacts from past releases that were previously unidentified.</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Insurance</w:t>
      </w:r>
    </w:p>
    <w:p>
      <w:pPr>
        <w:spacing w:after="0" w:line="14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We maintain various types and varying levels of insurance coverage that we consider adequate under the circumstances to cover our operations and properties, and we self-insure certain risks, including gradual pollution and named windstorm. With respect to our insurance, our policies are subject to deductibles and retention levels that we consider reasonable and not excessive. However, such insurance does not cover every potential risk that might occur, associated with operating pipelines, terminals and other facilities and equipment, including the potential loss of significant revenues and cash flows.</w:t>
      </w:r>
    </w:p>
    <w:p>
      <w:pPr>
        <w:spacing w:after="0" w:line="18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occurrence of a significant event not fully insured, indemnified or reserved against, or the failure of a party to meet its indemnification obligations, could materially and adversely affect our operations and financial condition. We believe that we maintain adequate insurance coverage, although insurance will not cover many types of interruptions that might occur, will not cover amounts up to applicable deductibles and will not cover all risks associated with certain of our assets and operations. Additionally, we self-insure certain risks, including gradual pollution and named windstorm. With respect to our insurance coverage,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20"/>
          </w:cols>
          <w:pgMar w:left="240" w:top="125" w:right="23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19—Quarterly Financial Data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412"/>
              <w:spacing w:after="0"/>
              <w:rPr>
                <w:sz w:val="20"/>
                <w:szCs w:val="20"/>
                <w:color w:val="auto"/>
              </w:rPr>
            </w:pPr>
            <w:r>
              <w:rPr>
                <w:rFonts w:ascii="Arial" w:cs="Arial" w:eastAsia="Arial" w:hAnsi="Arial"/>
                <w:sz w:val="14"/>
                <w:szCs w:val="14"/>
                <w:b w:val="1"/>
                <w:bCs w:val="1"/>
                <w:color w:val="auto"/>
              </w:rPr>
              <w:t>First</w:t>
            </w:r>
          </w:p>
        </w:tc>
        <w:tc>
          <w:tcPr>
            <w:tcW w:w="340" w:type="dxa"/>
            <w:vAlign w:val="bottom"/>
          </w:tcPr>
          <w:p>
            <w:pPr>
              <w:spacing w:after="0"/>
              <w:rPr>
                <w:sz w:val="14"/>
                <w:szCs w:val="14"/>
                <w:color w:val="auto"/>
              </w:rPr>
            </w:pPr>
          </w:p>
        </w:tc>
        <w:tc>
          <w:tcPr>
            <w:tcW w:w="1020" w:type="dxa"/>
            <w:vAlign w:val="bottom"/>
          </w:tcPr>
          <w:p>
            <w:pPr>
              <w:jc w:val="right"/>
              <w:ind w:right="333"/>
              <w:spacing w:after="0"/>
              <w:rPr>
                <w:sz w:val="20"/>
                <w:szCs w:val="20"/>
                <w:color w:val="auto"/>
              </w:rPr>
            </w:pPr>
            <w:r>
              <w:rPr>
                <w:rFonts w:ascii="Arial" w:cs="Arial" w:eastAsia="Arial" w:hAnsi="Arial"/>
                <w:sz w:val="14"/>
                <w:szCs w:val="14"/>
                <w:b w:val="1"/>
                <w:bCs w:val="1"/>
                <w:color w:val="auto"/>
              </w:rPr>
              <w:t>Second</w:t>
            </w:r>
          </w:p>
        </w:tc>
        <w:tc>
          <w:tcPr>
            <w:tcW w:w="340" w:type="dxa"/>
            <w:vAlign w:val="bottom"/>
          </w:tcPr>
          <w:p>
            <w:pPr>
              <w:spacing w:after="0"/>
              <w:rPr>
                <w:sz w:val="14"/>
                <w:szCs w:val="14"/>
                <w:color w:val="auto"/>
              </w:rPr>
            </w:pPr>
          </w:p>
        </w:tc>
        <w:tc>
          <w:tcPr>
            <w:tcW w:w="1020" w:type="dxa"/>
            <w:vAlign w:val="bottom"/>
          </w:tcPr>
          <w:p>
            <w:pPr>
              <w:jc w:val="center"/>
              <w:ind w:right="172"/>
              <w:spacing w:after="0"/>
              <w:rPr>
                <w:sz w:val="20"/>
                <w:szCs w:val="20"/>
                <w:color w:val="auto"/>
              </w:rPr>
            </w:pPr>
            <w:r>
              <w:rPr>
                <w:rFonts w:ascii="Arial" w:cs="Arial" w:eastAsia="Arial" w:hAnsi="Arial"/>
                <w:sz w:val="14"/>
                <w:szCs w:val="14"/>
                <w:b w:val="1"/>
                <w:bCs w:val="1"/>
                <w:color w:val="auto"/>
              </w:rPr>
              <w:t>Third</w:t>
            </w:r>
          </w:p>
        </w:tc>
        <w:tc>
          <w:tcPr>
            <w:tcW w:w="460" w:type="dxa"/>
            <w:vAlign w:val="bottom"/>
          </w:tcPr>
          <w:p>
            <w:pPr>
              <w:spacing w:after="0"/>
              <w:rPr>
                <w:sz w:val="14"/>
                <w:szCs w:val="14"/>
                <w:color w:val="auto"/>
              </w:rPr>
            </w:pPr>
          </w:p>
        </w:tc>
        <w:tc>
          <w:tcPr>
            <w:tcW w:w="940" w:type="dxa"/>
            <w:vAlign w:val="bottom"/>
          </w:tcPr>
          <w:p>
            <w:pPr>
              <w:jc w:val="right"/>
              <w:ind w:right="372"/>
              <w:spacing w:after="0"/>
              <w:rPr>
                <w:sz w:val="20"/>
                <w:szCs w:val="20"/>
                <w:color w:val="auto"/>
              </w:rPr>
            </w:pPr>
            <w:r>
              <w:rPr>
                <w:rFonts w:ascii="Arial" w:cs="Arial" w:eastAsia="Arial" w:hAnsi="Arial"/>
                <w:sz w:val="14"/>
                <w:szCs w:val="14"/>
                <w:b w:val="1"/>
                <w:bCs w:val="1"/>
                <w:color w:val="auto"/>
              </w:rPr>
              <w:t>Fourth</w:t>
            </w:r>
          </w:p>
        </w:tc>
        <w:tc>
          <w:tcPr>
            <w:tcW w:w="320" w:type="dxa"/>
            <w:vAlign w:val="bottom"/>
          </w:tcPr>
          <w:p>
            <w:pPr>
              <w:spacing w:after="0"/>
              <w:rPr>
                <w:sz w:val="14"/>
                <w:szCs w:val="14"/>
                <w:color w:val="auto"/>
              </w:rPr>
            </w:pPr>
          </w:p>
        </w:tc>
        <w:tc>
          <w:tcPr>
            <w:tcW w:w="100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Quarter</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Quarter</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8"/>
              </w:rPr>
              <w:t>Quarter</w:t>
            </w: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8"/>
              </w:rPr>
              <w:t>Quarter</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40" w:type="dxa"/>
            <w:vAlign w:val="bottom"/>
            <w:gridSpan w:val="4"/>
          </w:tcPr>
          <w:p>
            <w:pPr>
              <w:jc w:val="center"/>
              <w:ind w:left="593"/>
              <w:spacing w:after="0"/>
              <w:rPr>
                <w:sz w:val="20"/>
                <w:szCs w:val="20"/>
                <w:color w:val="auto"/>
              </w:rPr>
            </w:pPr>
            <w:r>
              <w:rPr>
                <w:rFonts w:ascii="Arial" w:cs="Arial" w:eastAsia="Arial" w:hAnsi="Arial"/>
                <w:sz w:val="14"/>
                <w:szCs w:val="14"/>
                <w:b w:val="1"/>
                <w:bCs w:val="1"/>
                <w:color w:val="auto"/>
                <w:w w:val="92"/>
              </w:rPr>
              <w:t>(in millions, except per share data)</w:t>
            </w: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84"/>
              </w:rPr>
              <w:t>2018</w:t>
            </w:r>
          </w:p>
        </w:tc>
        <w:tc>
          <w:tcPr>
            <w:tcW w:w="4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4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8,398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8,080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8,792</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8,786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34,055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5"/>
                <w:szCs w:val="25"/>
                <w:color w:val="auto"/>
                <w:vertAlign w:val="superscript"/>
              </w:rPr>
              <w:t>(2)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167</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567</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1,399</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380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86</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492</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1,314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273</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676</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1,062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PAGP</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111</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180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Basic net income per Class A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0.23</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0.05</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0.70</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Diluted net income per Class A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0.23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0.05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0.70</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1.12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Cash distributions per Class A share </w:t>
            </w:r>
            <w:r>
              <w:rPr>
                <w:rFonts w:ascii="Arial" w:cs="Arial" w:eastAsia="Arial" w:hAnsi="Arial"/>
                <w:sz w:val="25"/>
                <w:szCs w:val="25"/>
                <w:color w:val="auto"/>
                <w:vertAlign w:val="superscript"/>
              </w:rPr>
              <w:t>(3)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0.30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0.30</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0.30</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0.30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w w:val="84"/>
              </w:rPr>
              <w:t>2017</w:t>
            </w:r>
          </w:p>
        </w:tc>
        <w:tc>
          <w:tcPr>
            <w:tcW w:w="4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4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6,667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6,078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5,873</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7,605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26,223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5"/>
                <w:szCs w:val="25"/>
                <w:color w:val="auto"/>
                <w:vertAlign w:val="superscript"/>
              </w:rPr>
              <w:t>(2)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325</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111</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327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589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256</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260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402</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Net income/(loss) attributable to PAGP</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(800)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Basic net income/(loss) per Class A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0.16</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0.03</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Diluted net income/(loss) per Class A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0.34</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0.16</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0.03</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(5.16)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Cash distributions per Class A share </w:t>
            </w:r>
            <w:r>
              <w:rPr>
                <w:rFonts w:ascii="Arial" w:cs="Arial" w:eastAsia="Arial" w:hAnsi="Arial"/>
                <w:sz w:val="25"/>
                <w:szCs w:val="25"/>
                <w:color w:val="auto"/>
                <w:vertAlign w:val="superscript"/>
              </w:rPr>
              <w:t>(3)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0.55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0.55</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0.55</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0.30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99">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32"/>
        </w:numPr>
        <w:rPr>
          <w:rFonts w:ascii="Arial" w:cs="Arial" w:eastAsia="Arial" w:hAnsi="Arial"/>
          <w:sz w:val="25"/>
          <w:szCs w:val="25"/>
          <w:color w:val="auto"/>
          <w:vertAlign w:val="superscript"/>
        </w:rPr>
      </w:pPr>
      <w:r>
        <w:rPr>
          <w:rFonts w:ascii="Arial" w:cs="Arial" w:eastAsia="Arial" w:hAnsi="Arial"/>
          <w:sz w:val="18"/>
          <w:szCs w:val="18"/>
          <w:color w:val="auto"/>
        </w:rPr>
        <w:t>The sum of the four quarters may not equal the total year due to rounding.</w:t>
      </w:r>
    </w:p>
    <w:p>
      <w:pPr>
        <w:spacing w:after="0" w:line="98" w:lineRule="exact"/>
        <w:rPr>
          <w:rFonts w:ascii="Arial" w:cs="Arial" w:eastAsia="Arial" w:hAnsi="Arial"/>
          <w:sz w:val="25"/>
          <w:szCs w:val="25"/>
          <w:color w:val="auto"/>
          <w:vertAlign w:val="superscript"/>
        </w:rPr>
      </w:pPr>
    </w:p>
    <w:p>
      <w:pPr>
        <w:ind w:left="660" w:right="260" w:hanging="652"/>
        <w:spacing w:after="0" w:line="214" w:lineRule="auto"/>
        <w:tabs>
          <w:tab w:leader="none" w:pos="660" w:val="left"/>
        </w:tabs>
        <w:numPr>
          <w:ilvl w:val="0"/>
          <w:numId w:val="132"/>
        </w:numPr>
        <w:rPr>
          <w:rFonts w:ascii="Arial" w:cs="Arial" w:eastAsia="Arial" w:hAnsi="Arial"/>
          <w:sz w:val="25"/>
          <w:szCs w:val="25"/>
          <w:color w:val="auto"/>
          <w:vertAlign w:val="superscript"/>
        </w:rPr>
      </w:pPr>
      <w:r>
        <w:rPr>
          <w:rFonts w:ascii="Arial" w:cs="Arial" w:eastAsia="Arial" w:hAnsi="Arial"/>
          <w:sz w:val="18"/>
          <w:szCs w:val="18"/>
          <w:color w:val="auto"/>
        </w:rPr>
        <w:t>Gross margin is calculated as Total revenues less (i) Purchases and related costs, (ii) Field operating costs, (iii) Depreciation and amortization and (iv) (Gains)/losses on asset sales and asset impairments, net.</w:t>
      </w:r>
    </w:p>
    <w:p>
      <w:pPr>
        <w:spacing w:after="0" w:line="37"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32"/>
        </w:numPr>
        <w:rPr>
          <w:rFonts w:ascii="Arial" w:cs="Arial" w:eastAsia="Arial" w:hAnsi="Arial"/>
          <w:sz w:val="25"/>
          <w:szCs w:val="25"/>
          <w:color w:val="auto"/>
          <w:vertAlign w:val="superscript"/>
        </w:rPr>
      </w:pPr>
      <w:r>
        <w:rPr>
          <w:rFonts w:ascii="Arial" w:cs="Arial" w:eastAsia="Arial" w:hAnsi="Arial"/>
          <w:sz w:val="18"/>
          <w:szCs w:val="18"/>
          <w:color w:val="auto"/>
        </w:rPr>
        <w:t>Represents cash distributions declared and paid in the period presented.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20—Operating Segments</w:t>
      </w:r>
    </w:p>
    <w:p>
      <w:pPr>
        <w:spacing w:after="0" w:line="229"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We manage our operations through three operating segments: Transportation, Facilities and Supply and Logistics. See Note 3 for a summary of the types of products and services from which each segment derives its revenues. Our Chief Operating Decision Maker (“CODM”) (our Chief Executive Officer) evaluates segment performance based on measures including Segment Adjusted EBITDA (as defined below) and maintenance capital investment.</w:t>
      </w:r>
    </w:p>
    <w:p>
      <w:pPr>
        <w:spacing w:after="0" w:line="14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measure of Segment Adjusted EBITDA forms the basis of our internal financial reporting and is the primary performance measure used by our CODM in assessing performance and allocating resources among our operating segments. We define Segment Adjusted EBITDA as revenues and equity earnings in unconsolidated entities less (a) purchases and related costs, (b) field operating costs and (c) segment general and administrative expenses, plus our proportionate share of the depreciation and amortization expense and gains and losses on significant asset sales by unconsolidated entities, and further adjusted for certain selected items including (i) gains or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w:t>
      </w:r>
    </w:p>
    <w:p>
      <w:pPr>
        <w:spacing w:after="0" w:line="16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Segment Adjusted EBITDA excludes depreciation and amortization. We look at each period’s earnings before non-cash depreciation and amortization as an important measure of segment performance. The exclusion of depreciation and amortization expense could be viewed as limiting the usefulness of Segment Adjusted EBITDA as a performance measure because it does not account in current periods for the implied reduction in value of our capital assets, such as crude oil pipelines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20"/>
          </w:cols>
          <w:pgMar w:left="240" w:top="125" w:right="23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Adjusted EBITDA or in maintenance capital, depending on the nature of the cost. Capital expenditures made to expand the existing operating and/or earnings capacity of our assets are classified as expansion capital. Capital expenditures for the replacement and/or refurbishment of partially or fully depreciated assets in order to maintain the operating and/or earnings capacity of our existing assets are classified as maintenance capital. Repair and maintenance expenditures incurred in order to maintain the day to day operation of our existing assets are charged to expense as incurred.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9"/>
              </w:rPr>
              <w:t>Transportation</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4"/>
                <w:szCs w:val="14"/>
                <w:color w:val="auto"/>
              </w:rPr>
            </w:pPr>
          </w:p>
        </w:tc>
        <w:tc>
          <w:tcPr>
            <w:tcW w:w="1160" w:type="dxa"/>
            <w:vAlign w:val="bottom"/>
          </w:tcPr>
          <w:p>
            <w:pPr>
              <w:jc w:val="center"/>
              <w:ind w:right="173"/>
              <w:spacing w:after="0"/>
              <w:rPr>
                <w:sz w:val="20"/>
                <w:szCs w:val="20"/>
                <w:color w:val="auto"/>
              </w:rPr>
            </w:pPr>
            <w:r>
              <w:rPr>
                <w:rFonts w:ascii="Arial" w:cs="Arial" w:eastAsia="Arial" w:hAnsi="Arial"/>
                <w:sz w:val="14"/>
                <w:szCs w:val="14"/>
                <w:b w:val="1"/>
                <w:bCs w:val="1"/>
                <w:color w:val="auto"/>
                <w:w w:val="92"/>
              </w:rPr>
              <w:t>Supply and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20" w:type="dxa"/>
            <w:vAlign w:val="bottom"/>
          </w:tcPr>
          <w:p>
            <w:pPr>
              <w:spacing w:after="0"/>
              <w:rPr>
                <w:sz w:val="14"/>
                <w:szCs w:val="1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33"/>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Adjustment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2018</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1,116</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32,819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34,055</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874</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573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revenues of reportable segments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1,990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1,161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32,822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35,973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4120" w:type="dxa"/>
            <w:vAlign w:val="bottom"/>
            <w:tcBorders>
              <w:bottom w:val="single" w:sz="8" w:color="CCEEFF"/>
            </w:tcBorders>
          </w:tcPr>
          <w:p>
            <w:pPr>
              <w:ind w:left="40"/>
              <w:spacing w:after="0" w:line="257"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5"/>
                <w:szCs w:val="25"/>
                <w:color w:val="auto"/>
                <w:vertAlign w:val="superscript"/>
              </w:rPr>
              <w:t>(3)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44"/>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139</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2018</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13,947</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7,464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5,419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26,830</w:t>
            </w:r>
          </w:p>
        </w:tc>
        <w:tc>
          <w:tcPr>
            <w:tcW w:w="0" w:type="dxa"/>
            <w:vAlign w:val="bottom"/>
          </w:tcPr>
          <w:p>
            <w:pPr>
              <w:spacing w:after="0"/>
              <w:rPr>
                <w:sz w:val="1"/>
                <w:szCs w:val="1"/>
                <w:color w:val="auto"/>
              </w:rPr>
            </w:pPr>
          </w:p>
        </w:tc>
      </w:tr>
      <w:tr>
        <w:trPr>
          <w:trHeight w:val="25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2,594</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9"/>
              </w:rPr>
              <w:t>Transportation</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23"/>
                <w:szCs w:val="23"/>
                <w:color w:val="auto"/>
              </w:rPr>
            </w:pPr>
          </w:p>
        </w:tc>
        <w:tc>
          <w:tcPr>
            <w:tcW w:w="1160" w:type="dxa"/>
            <w:vAlign w:val="bottom"/>
          </w:tcPr>
          <w:p>
            <w:pPr>
              <w:jc w:val="center"/>
              <w:ind w:right="173"/>
              <w:spacing w:after="0"/>
              <w:rPr>
                <w:sz w:val="20"/>
                <w:szCs w:val="20"/>
                <w:color w:val="auto"/>
              </w:rPr>
            </w:pPr>
            <w:r>
              <w:rPr>
                <w:rFonts w:ascii="Arial" w:cs="Arial" w:eastAsia="Arial" w:hAnsi="Arial"/>
                <w:sz w:val="14"/>
                <w:szCs w:val="14"/>
                <w:b w:val="1"/>
                <w:bCs w:val="1"/>
                <w:color w:val="auto"/>
                <w:w w:val="92"/>
              </w:rPr>
              <w:t>Supply and</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20" w:type="dxa"/>
            <w:vAlign w:val="bottom"/>
          </w:tcPr>
          <w:p>
            <w:pPr>
              <w:spacing w:after="0"/>
              <w:rPr>
                <w:sz w:val="23"/>
                <w:szCs w:val="23"/>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33"/>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Adjustment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2017</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1,021</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25,056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26,223</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revenues of reportable segments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1,173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25,065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27,956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4120" w:type="dxa"/>
            <w:vAlign w:val="bottom"/>
            <w:tcBorders>
              <w:bottom w:val="single" w:sz="8" w:color="CCEEFF"/>
            </w:tcBorders>
          </w:tcPr>
          <w:p>
            <w:pPr>
              <w:ind w:left="40"/>
              <w:spacing w:after="0" w:line="257"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5"/>
                <w:szCs w:val="25"/>
                <w:color w:val="auto"/>
                <w:vertAlign w:val="superscript"/>
              </w:rPr>
              <w:t>(3)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2,126</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44"/>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13,362</w:t>
            </w: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7,593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5,798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26,753</w:t>
            </w:r>
          </w:p>
        </w:tc>
        <w:tc>
          <w:tcPr>
            <w:tcW w:w="0" w:type="dxa"/>
            <w:vAlign w:val="bottom"/>
          </w:tcPr>
          <w:p>
            <w:pPr>
              <w:spacing w:after="0"/>
              <w:rPr>
                <w:sz w:val="1"/>
                <w:szCs w:val="1"/>
                <w:color w:val="auto"/>
              </w:rPr>
            </w:pPr>
          </w:p>
        </w:tc>
      </w:tr>
      <w:tr>
        <w:trPr>
          <w:trHeight w:val="67"/>
        </w:trPr>
        <w:tc>
          <w:tcPr>
            <w:tcW w:w="4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1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1"/>
              </w:rPr>
              <w:t>F-61</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4"/>
                <w:szCs w:val="14"/>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4"/>
                <w:szCs w:val="14"/>
                <w:color w:val="auto"/>
              </w:rPr>
            </w:pPr>
          </w:p>
        </w:tc>
        <w:tc>
          <w:tcPr>
            <w:tcW w:w="1160" w:type="dxa"/>
            <w:vAlign w:val="bottom"/>
          </w:tcPr>
          <w:p>
            <w:pPr>
              <w:jc w:val="right"/>
              <w:ind w:right="273"/>
              <w:spacing w:after="0"/>
              <w:rPr>
                <w:sz w:val="20"/>
                <w:szCs w:val="20"/>
                <w:color w:val="auto"/>
              </w:rPr>
            </w:pPr>
            <w:r>
              <w:rPr>
                <w:rFonts w:ascii="Arial" w:cs="Arial" w:eastAsia="Arial" w:hAnsi="Arial"/>
                <w:sz w:val="14"/>
                <w:szCs w:val="14"/>
                <w:b w:val="1"/>
                <w:bCs w:val="1"/>
                <w:color w:val="auto"/>
              </w:rPr>
              <w:t>Supply and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20" w:type="dxa"/>
            <w:vAlign w:val="bottom"/>
          </w:tcPr>
          <w:p>
            <w:pPr>
              <w:spacing w:after="0"/>
              <w:rPr>
                <w:sz w:val="14"/>
                <w:szCs w:val="1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333"/>
              <w:spacing w:after="0"/>
              <w:rPr>
                <w:sz w:val="20"/>
                <w:szCs w:val="20"/>
                <w:color w:val="auto"/>
              </w:rPr>
            </w:pPr>
            <w:r>
              <w:rPr>
                <w:rFonts w:ascii="Arial" w:cs="Arial" w:eastAsia="Arial" w:hAnsi="Arial"/>
                <w:sz w:val="14"/>
                <w:szCs w:val="14"/>
                <w:b w:val="1"/>
                <w:bCs w:val="1"/>
                <w:color w:val="auto"/>
              </w:rPr>
              <w:t>Logistics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Adjustment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2016</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19,004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20,182</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561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revenues of reportable segments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19,018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21,709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51"/>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4120" w:type="dxa"/>
            <w:vAlign w:val="bottom"/>
            <w:tcBorders>
              <w:bottom w:val="single" w:sz="8" w:color="CCEEFF"/>
            </w:tcBorders>
          </w:tcPr>
          <w:p>
            <w:pPr>
              <w:ind w:left="40"/>
              <w:spacing w:after="0" w:line="257"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5"/>
                <w:szCs w:val="25"/>
                <w:color w:val="auto"/>
                <w:vertAlign w:val="superscript"/>
              </w:rPr>
              <w:t>(3)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11,863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7,878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6,362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26,103</w:t>
            </w:r>
          </w:p>
        </w:tc>
        <w:tc>
          <w:tcPr>
            <w:tcW w:w="0" w:type="dxa"/>
            <w:vAlign w:val="bottom"/>
          </w:tcPr>
          <w:p>
            <w:pPr>
              <w:spacing w:after="0"/>
              <w:rPr>
                <w:sz w:val="1"/>
                <w:szCs w:val="1"/>
                <w:color w:val="auto"/>
              </w:rPr>
            </w:pPr>
          </w:p>
        </w:tc>
      </w:tr>
      <w:tr>
        <w:trPr>
          <w:trHeight w:val="67"/>
        </w:trPr>
        <w:tc>
          <w:tcPr>
            <w:tcW w:w="4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1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00">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hanging="652"/>
        <w:spacing w:after="0" w:line="250" w:lineRule="auto"/>
        <w:tabs>
          <w:tab w:leader="none" w:pos="660" w:val="left"/>
        </w:tabs>
        <w:numPr>
          <w:ilvl w:val="0"/>
          <w:numId w:val="133"/>
        </w:numPr>
        <w:rPr>
          <w:rFonts w:ascii="Arial" w:cs="Arial" w:eastAsia="Arial" w:hAnsi="Arial"/>
          <w:sz w:val="24"/>
          <w:szCs w:val="24"/>
          <w:color w:val="auto"/>
          <w:vertAlign w:val="superscript"/>
        </w:rPr>
      </w:pPr>
      <w:r>
        <w:rPr>
          <w:rFonts w:ascii="Arial" w:cs="Arial" w:eastAsia="Arial" w:hAnsi="Arial"/>
          <w:sz w:val="17"/>
          <w:szCs w:val="17"/>
          <w:color w:val="auto"/>
        </w:rPr>
        <w:t>Transportation revenues from external customers include certain inventory exchanges with our customers where our Supply and Logistics segment has transacted the inventory exchange and serves as the shipper on our pipeline systems. See Note 3 for a discussion of our related accounting policy. We have included an estimate of the revenues from these inventory exchanges in our Transportation segment revenue from external customers presented above and adjusted those revenues out such that Total revenue from External customers reconciles to our Consolidated Statements of Operations. This presentation is consistent with the information provided to our CODM.</w:t>
      </w:r>
    </w:p>
    <w:p>
      <w:pPr>
        <w:spacing w:after="0" w:line="86" w:lineRule="exact"/>
        <w:rPr>
          <w:rFonts w:ascii="Arial" w:cs="Arial" w:eastAsia="Arial" w:hAnsi="Arial"/>
          <w:sz w:val="24"/>
          <w:szCs w:val="24"/>
          <w:color w:val="auto"/>
          <w:vertAlign w:val="superscript"/>
        </w:rPr>
      </w:pPr>
    </w:p>
    <w:p>
      <w:pPr>
        <w:ind w:left="660" w:right="120" w:hanging="652"/>
        <w:spacing w:after="0" w:line="238" w:lineRule="auto"/>
        <w:tabs>
          <w:tab w:leader="none" w:pos="660" w:val="left"/>
        </w:tabs>
        <w:numPr>
          <w:ilvl w:val="0"/>
          <w:numId w:val="133"/>
        </w:numPr>
        <w:rPr>
          <w:rFonts w:ascii="Arial" w:cs="Arial" w:eastAsia="Arial" w:hAnsi="Arial"/>
          <w:sz w:val="24"/>
          <w:szCs w:val="24"/>
          <w:color w:val="auto"/>
          <w:vertAlign w:val="superscript"/>
        </w:rPr>
      </w:pPr>
      <w:r>
        <w:rPr>
          <w:rFonts w:ascii="Arial" w:cs="Arial" w:eastAsia="Arial" w:hAnsi="Arial"/>
          <w:sz w:val="17"/>
          <w:szCs w:val="17"/>
          <w:color w:val="auto"/>
        </w:rPr>
        <w:t>Segment revenues include intersegment amounts that are eliminated in Purchases and related costs and Field operating costs in our Consolidated Statements of Operations.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37"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133"/>
        </w:numPr>
        <w:rPr>
          <w:rFonts w:ascii="Arial" w:cs="Arial" w:eastAsia="Arial" w:hAnsi="Arial"/>
          <w:sz w:val="25"/>
          <w:szCs w:val="25"/>
          <w:color w:val="auto"/>
          <w:vertAlign w:val="superscript"/>
        </w:rPr>
      </w:pPr>
      <w:r>
        <w:rPr>
          <w:rFonts w:ascii="Arial" w:cs="Arial" w:eastAsia="Arial" w:hAnsi="Arial"/>
          <w:sz w:val="18"/>
          <w:szCs w:val="18"/>
          <w:color w:val="auto"/>
        </w:rPr>
        <w:t>Expenditures for acquisition capital and expansion capital, including investments in unconsolidated entities.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20"/>
          </w:cols>
          <w:pgMar w:left="240" w:top="125" w:right="23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 attributable to PAGP (in millions):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0"/>
              </w:rPr>
              <w:t>Year Ended December 31,</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636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2016</w:t>
            </w: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2,681</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2,167</w:t>
            </w:r>
          </w:p>
        </w:tc>
      </w:tr>
      <w:tr>
        <w:trPr>
          <w:trHeight w:val="270"/>
        </w:trPr>
        <w:tc>
          <w:tcPr>
            <w:tcW w:w="63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8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636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(2)</w:t>
            </w:r>
          </w:p>
        </w:tc>
        <w:tc>
          <w:tcPr>
            <w:tcW w:w="8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6360" w:type="dxa"/>
            <w:vAlign w:val="bottom"/>
          </w:tcPr>
          <w:p>
            <w:pPr>
              <w:ind w:left="260"/>
              <w:spacing w:after="0" w:line="270" w:lineRule="exact"/>
              <w:rPr>
                <w:sz w:val="20"/>
                <w:szCs w:val="20"/>
                <w:color w:val="auto"/>
              </w:rPr>
            </w:pPr>
            <w:r>
              <w:rPr>
                <w:rFonts w:ascii="Arial" w:cs="Arial" w:eastAsia="Arial" w:hAnsi="Arial"/>
                <w:sz w:val="18"/>
                <w:szCs w:val="18"/>
                <w:color w:val="auto"/>
                <w:w w:val="94"/>
              </w:rPr>
              <w:t xml:space="preserve">Gains/(losses) from derivative activities net of inventory valuation adjustments </w:t>
            </w:r>
            <w:r>
              <w:rPr>
                <w:rFonts w:ascii="Arial" w:cs="Arial" w:eastAsia="Arial" w:hAnsi="Arial"/>
                <w:sz w:val="25"/>
                <w:szCs w:val="25"/>
                <w:color w:val="auto"/>
                <w:w w:val="94"/>
                <w:vertAlign w:val="superscript"/>
              </w:rPr>
              <w:t>(3)</w:t>
            </w:r>
          </w:p>
        </w:tc>
        <w:tc>
          <w:tcPr>
            <w:tcW w:w="84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70"/>
        </w:trPr>
        <w:tc>
          <w:tcPr>
            <w:tcW w:w="636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(4)</w:t>
            </w:r>
          </w:p>
        </w:tc>
        <w:tc>
          <w:tcPr>
            <w:tcW w:w="8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r>
      <w:tr>
        <w:trPr>
          <w:trHeight w:val="270"/>
        </w:trPr>
        <w:tc>
          <w:tcPr>
            <w:tcW w:w="636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5"/>
                <w:szCs w:val="25"/>
                <w:color w:val="auto"/>
                <w:vertAlign w:val="superscript"/>
              </w:rPr>
              <w:t>(5)</w:t>
            </w:r>
          </w:p>
        </w:tc>
        <w:tc>
          <w:tcPr>
            <w:tcW w:w="8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636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(6)</w:t>
            </w:r>
          </w:p>
        </w:tc>
        <w:tc>
          <w:tcPr>
            <w:tcW w:w="8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636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5"/>
                <w:szCs w:val="25"/>
                <w:color w:val="auto"/>
                <w:vertAlign w:val="superscript"/>
              </w:rPr>
              <w:t>(7)</w:t>
            </w:r>
          </w:p>
        </w:tc>
        <w:tc>
          <w:tcPr>
            <w:tcW w:w="8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636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(8)</w:t>
            </w:r>
          </w:p>
        </w:tc>
        <w:tc>
          <w:tcPr>
            <w:tcW w:w="8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36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5"/>
                <w:szCs w:val="25"/>
                <w:color w:val="auto"/>
                <w:vertAlign w:val="superscript"/>
              </w:rPr>
              <w:t>(9)</w:t>
            </w:r>
          </w:p>
        </w:tc>
        <w:tc>
          <w:tcPr>
            <w:tcW w:w="84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Unallocated general and administrative expenses</w:t>
            </w:r>
          </w:p>
        </w:tc>
        <w:tc>
          <w:tcPr>
            <w:tcW w:w="8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(515)</w:t>
            </w:r>
          </w:p>
        </w:tc>
      </w:tr>
      <w:tr>
        <w:trPr>
          <w:trHeight w:val="27"/>
        </w:trPr>
        <w:tc>
          <w:tcPr>
            <w:tcW w:w="6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8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Gain on sale of investment in unconsolidated entities</w:t>
            </w:r>
          </w:p>
        </w:tc>
        <w:tc>
          <w:tcPr>
            <w:tcW w:w="8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8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Other income/(expense), net</w:t>
            </w:r>
          </w:p>
        </w:tc>
        <w:tc>
          <w:tcPr>
            <w:tcW w:w="8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33</w:t>
            </w:r>
          </w:p>
        </w:tc>
      </w:tr>
      <w:tr>
        <w:trPr>
          <w:trHeight w:val="27"/>
        </w:trPr>
        <w:tc>
          <w:tcPr>
            <w:tcW w:w="63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tax</w:t>
            </w:r>
          </w:p>
        </w:tc>
        <w:tc>
          <w:tcPr>
            <w:tcW w:w="8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2,409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8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63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8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2,107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w:t>
            </w:r>
          </w:p>
        </w:tc>
      </w:tr>
      <w:tr>
        <w:trPr>
          <w:trHeight w:val="243"/>
        </w:trPr>
        <w:tc>
          <w:tcPr>
            <w:tcW w:w="6360" w:type="dxa"/>
            <w:vAlign w:val="bottom"/>
          </w:tcPr>
          <w:p>
            <w:pPr>
              <w:ind w:left="260"/>
              <w:spacing w:after="0"/>
              <w:rPr>
                <w:sz w:val="20"/>
                <w:szCs w:val="20"/>
                <w:color w:val="auto"/>
              </w:rPr>
            </w:pPr>
            <w:r>
              <w:rPr>
                <w:rFonts w:ascii="Arial" w:cs="Arial" w:eastAsia="Arial" w:hAnsi="Arial"/>
                <w:sz w:val="18"/>
                <w:szCs w:val="18"/>
                <w:color w:val="auto"/>
              </w:rPr>
              <w:t>Net income attributable to noncontrolling interests</w:t>
            </w:r>
          </w:p>
        </w:tc>
        <w:tc>
          <w:tcPr>
            <w:tcW w:w="8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(1,773)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(566)</w:t>
            </w:r>
          </w:p>
        </w:tc>
      </w:tr>
      <w:tr>
        <w:trPr>
          <w:trHeight w:val="27"/>
        </w:trPr>
        <w:tc>
          <w:tcPr>
            <w:tcW w:w="63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PAGP</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0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34"/>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utilized by our CODM in the evaluation of segment results.</w:t>
      </w:r>
    </w:p>
    <w:p>
      <w:pPr>
        <w:spacing w:after="0" w:line="98" w:lineRule="exact"/>
        <w:rPr>
          <w:rFonts w:ascii="Arial" w:cs="Arial" w:eastAsia="Arial" w:hAnsi="Arial"/>
          <w:sz w:val="25"/>
          <w:szCs w:val="25"/>
          <w:color w:val="auto"/>
          <w:vertAlign w:val="superscript"/>
        </w:rPr>
      </w:pPr>
    </w:p>
    <w:p>
      <w:pPr>
        <w:ind w:left="660" w:hanging="652"/>
        <w:spacing w:after="0" w:line="214" w:lineRule="auto"/>
        <w:tabs>
          <w:tab w:leader="none" w:pos="660" w:val="left"/>
        </w:tabs>
        <w:numPr>
          <w:ilvl w:val="0"/>
          <w:numId w:val="134"/>
        </w:numPr>
        <w:rPr>
          <w:rFonts w:ascii="Arial" w:cs="Arial" w:eastAsia="Arial" w:hAnsi="Arial"/>
          <w:sz w:val="22"/>
          <w:szCs w:val="22"/>
          <w:color w:val="auto"/>
          <w:vertAlign w:val="superscript"/>
        </w:rPr>
      </w:pPr>
      <w:r>
        <w:rPr>
          <w:rFonts w:ascii="Arial" w:cs="Arial" w:eastAsia="Arial" w:hAnsi="Arial"/>
          <w:sz w:val="16"/>
          <w:szCs w:val="16"/>
          <w:color w:val="auto"/>
        </w:rPr>
        <w:t>Includes our proportionate share of the depreciation and amortization and gains and losses on significant asset sales of equity method investments.</w:t>
      </w:r>
    </w:p>
    <w:p>
      <w:pPr>
        <w:spacing w:after="0" w:line="98" w:lineRule="exact"/>
        <w:rPr>
          <w:rFonts w:ascii="Arial" w:cs="Arial" w:eastAsia="Arial" w:hAnsi="Arial"/>
          <w:sz w:val="22"/>
          <w:szCs w:val="22"/>
          <w:color w:val="auto"/>
          <w:vertAlign w:val="superscript"/>
        </w:rPr>
      </w:pPr>
    </w:p>
    <w:p>
      <w:pPr>
        <w:ind w:left="660" w:right="20" w:hanging="652"/>
        <w:spacing w:after="0" w:line="238" w:lineRule="auto"/>
        <w:tabs>
          <w:tab w:leader="none" w:pos="660" w:val="left"/>
        </w:tabs>
        <w:numPr>
          <w:ilvl w:val="0"/>
          <w:numId w:val="134"/>
        </w:numPr>
        <w:rPr>
          <w:rFonts w:ascii="Arial" w:cs="Arial" w:eastAsia="Arial" w:hAnsi="Arial"/>
          <w:sz w:val="25"/>
          <w:szCs w:val="25"/>
          <w:color w:val="auto"/>
          <w:vertAlign w:val="superscript"/>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the earnings that were recognized during the period related to derivative instruments for which the identified underlying transaction does not occur in the current period and exclude the related gains and losses in determining Segment Adjusted EBITDA. In addition, we exclude gains and losses on derivatives that are related to investing activities, such as the purchase of linefill. We also exclude the impact of corresponding inventory valuation adjustments, as applicable.</w:t>
      </w:r>
    </w:p>
    <w:p>
      <w:pPr>
        <w:spacing w:after="0" w:line="99" w:lineRule="exact"/>
        <w:rPr>
          <w:rFonts w:ascii="Arial" w:cs="Arial" w:eastAsia="Arial" w:hAnsi="Arial"/>
          <w:sz w:val="25"/>
          <w:szCs w:val="25"/>
          <w:color w:val="auto"/>
          <w:vertAlign w:val="superscript"/>
        </w:rPr>
      </w:pPr>
    </w:p>
    <w:p>
      <w:pPr>
        <w:ind w:left="660" w:right="200" w:hanging="652"/>
        <w:spacing w:after="0" w:line="271" w:lineRule="auto"/>
        <w:tabs>
          <w:tab w:leader="none" w:pos="660" w:val="left"/>
        </w:tabs>
        <w:numPr>
          <w:ilvl w:val="0"/>
          <w:numId w:val="134"/>
        </w:numPr>
        <w:rPr>
          <w:rFonts w:ascii="Arial" w:cs="Arial" w:eastAsia="Arial" w:hAnsi="Arial"/>
          <w:sz w:val="22"/>
          <w:szCs w:val="22"/>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20"/>
          </w:cols>
          <w:pgMar w:left="240" w:top="125" w:right="23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hanging="652"/>
        <w:spacing w:after="0" w:line="258" w:lineRule="auto"/>
        <w:tabs>
          <w:tab w:leader="none" w:pos="660" w:val="left"/>
        </w:tabs>
        <w:numPr>
          <w:ilvl w:val="0"/>
          <w:numId w:val="135"/>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29"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135"/>
        </w:numPr>
        <w:rPr>
          <w:rFonts w:ascii="Arial" w:cs="Arial" w:eastAsia="Arial" w:hAnsi="Arial"/>
          <w:sz w:val="25"/>
          <w:szCs w:val="25"/>
          <w:color w:val="auto"/>
          <w:vertAlign w:val="superscript"/>
        </w:rPr>
      </w:pPr>
      <w:r>
        <w:rPr>
          <w:rFonts w:ascii="Arial" w:cs="Arial" w:eastAsia="Arial" w:hAnsi="Arial"/>
          <w:sz w:val="18"/>
          <w:szCs w:val="18"/>
          <w:color w:val="auto"/>
        </w:rPr>
        <w:t>Includes equity-indexed compensation expense associated with awards that will or may be settled in units.</w:t>
      </w:r>
    </w:p>
    <w:p>
      <w:pPr>
        <w:spacing w:after="0" w:line="98" w:lineRule="exact"/>
        <w:rPr>
          <w:rFonts w:ascii="Arial" w:cs="Arial" w:eastAsia="Arial" w:hAnsi="Arial"/>
          <w:sz w:val="25"/>
          <w:szCs w:val="25"/>
          <w:color w:val="auto"/>
          <w:vertAlign w:val="superscript"/>
        </w:rPr>
      </w:pPr>
    </w:p>
    <w:p>
      <w:pPr>
        <w:ind w:left="660" w:hanging="652"/>
        <w:spacing w:after="0" w:line="188" w:lineRule="auto"/>
        <w:tabs>
          <w:tab w:leader="none" w:pos="660" w:val="left"/>
        </w:tabs>
        <w:numPr>
          <w:ilvl w:val="0"/>
          <w:numId w:val="135"/>
        </w:numPr>
        <w:rPr>
          <w:rFonts w:ascii="Arial" w:cs="Arial" w:eastAsia="Arial" w:hAnsi="Arial"/>
          <w:sz w:val="25"/>
          <w:szCs w:val="25"/>
          <w:color w:val="auto"/>
          <w:vertAlign w:val="superscript"/>
        </w:rPr>
      </w:pPr>
      <w:r>
        <w:rPr>
          <w:rFonts w:ascii="Arial" w:cs="Arial" w:eastAsia="Arial" w:hAnsi="Arial"/>
          <w:sz w:val="18"/>
          <w:szCs w:val="18"/>
          <w:color w:val="auto"/>
        </w:rPr>
        <w:t>Includes gains and losses from the revaluation of foreign currency transactions and monetary assets and liabilities.</w:t>
      </w:r>
    </w:p>
    <w:p>
      <w:pPr>
        <w:spacing w:after="0" w:line="98" w:lineRule="exact"/>
        <w:rPr>
          <w:rFonts w:ascii="Arial" w:cs="Arial" w:eastAsia="Arial" w:hAnsi="Arial"/>
          <w:sz w:val="25"/>
          <w:szCs w:val="25"/>
          <w:color w:val="auto"/>
          <w:vertAlign w:val="superscript"/>
        </w:rPr>
      </w:pPr>
    </w:p>
    <w:p>
      <w:pPr>
        <w:ind w:left="660" w:right="240" w:hanging="652"/>
        <w:spacing w:after="0" w:line="214" w:lineRule="auto"/>
        <w:tabs>
          <w:tab w:leader="none" w:pos="660" w:val="left"/>
        </w:tabs>
        <w:numPr>
          <w:ilvl w:val="0"/>
          <w:numId w:val="135"/>
        </w:numPr>
        <w:rPr>
          <w:rFonts w:ascii="Arial" w:cs="Arial" w:eastAsia="Arial" w:hAnsi="Arial"/>
          <w:sz w:val="25"/>
          <w:szCs w:val="25"/>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18 for additional information regarding the Line 901 incident.</w:t>
      </w:r>
    </w:p>
    <w:p>
      <w:pPr>
        <w:spacing w:after="0" w:line="94" w:lineRule="exact"/>
        <w:rPr>
          <w:rFonts w:ascii="Arial" w:cs="Arial" w:eastAsia="Arial" w:hAnsi="Arial"/>
          <w:sz w:val="25"/>
          <w:szCs w:val="25"/>
          <w:color w:val="auto"/>
          <w:vertAlign w:val="superscript"/>
        </w:rPr>
      </w:pPr>
    </w:p>
    <w:p>
      <w:pPr>
        <w:ind w:left="660" w:right="80" w:hanging="652"/>
        <w:spacing w:after="0" w:line="226" w:lineRule="auto"/>
        <w:tabs>
          <w:tab w:leader="none" w:pos="660" w:val="left"/>
        </w:tabs>
        <w:numPr>
          <w:ilvl w:val="0"/>
          <w:numId w:val="135"/>
        </w:numPr>
        <w:rPr>
          <w:rFonts w:ascii="Arial" w:cs="Arial" w:eastAsia="Arial" w:hAnsi="Arial"/>
          <w:sz w:val="25"/>
          <w:szCs w:val="25"/>
          <w:color w:val="auto"/>
          <w:vertAlign w:val="superscript"/>
        </w:rPr>
      </w:pPr>
      <w:r>
        <w:rPr>
          <w:rFonts w:ascii="Arial" w:cs="Arial" w:eastAsia="Arial" w:hAnsi="Arial"/>
          <w:sz w:val="18"/>
          <w:szCs w:val="18"/>
          <w:color w:val="auto"/>
        </w:rPr>
        <w:t>Includes acquisition-related expenses associated with the ACC Acquisition. See Note 7 for additional discussion. An adjustment for these non-recurring expenses is included in the calculation of Segment Adjusted EBITDA for the year ended December 31, 2017 as our CODM does not view such expenses as integral to understanding our core segment operating performance.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Data</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have operations in the United States and Canada. Set forth below are revenues and long-lived assets attributable to these geographic areas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Revenues </w:t>
            </w:r>
            <w:r>
              <w:rPr>
                <w:rFonts w:ascii="Arial" w:cs="Arial" w:eastAsia="Arial" w:hAnsi="Arial"/>
                <w:sz w:val="8"/>
                <w:szCs w:val="8"/>
                <w:b w:val="1"/>
                <w:bCs w:val="1"/>
                <w:color w:val="auto"/>
              </w:rPr>
              <w:t>(1)</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28,362</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15,599</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Canada</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5,693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4,780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4,583</w:t>
            </w: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34,055</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26,223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20,182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02">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36"/>
        </w:numPr>
        <w:rPr>
          <w:rFonts w:ascii="Arial" w:cs="Arial" w:eastAsia="Arial" w:hAnsi="Arial"/>
          <w:sz w:val="25"/>
          <w:szCs w:val="25"/>
          <w:color w:val="auto"/>
          <w:vertAlign w:val="superscript"/>
        </w:rPr>
      </w:pPr>
      <w:r>
        <w:rPr>
          <w:rFonts w:ascii="Arial" w:cs="Arial" w:eastAsia="Arial" w:hAnsi="Arial"/>
          <w:sz w:val="18"/>
          <w:szCs w:val="18"/>
          <w:color w:val="auto"/>
        </w:rPr>
        <w:t>Revenues are primarily attributed to each region based on where the services are provided or the product is shipped.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Long-Lived Assets </w:t>
            </w:r>
            <w:r>
              <w:rPr>
                <w:rFonts w:ascii="Arial" w:cs="Arial" w:eastAsia="Arial" w:hAnsi="Arial"/>
                <w:sz w:val="8"/>
                <w:szCs w:val="8"/>
                <w:b w:val="1"/>
                <w:bCs w:val="1"/>
                <w:color w:val="auto"/>
              </w:rPr>
              <w:t>(1)</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18,059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17,183</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Canada</w:t>
            </w:r>
          </w:p>
        </w:tc>
        <w:tc>
          <w:tcPr>
            <w:tcW w:w="3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3,904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4,179</w:t>
            </w:r>
          </w:p>
        </w:tc>
      </w:tr>
      <w:tr>
        <w:trPr>
          <w:trHeight w:val="27"/>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21,963</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21,362</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03">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5540" w:right="5520" w:hanging="5532"/>
        <w:spacing w:after="0" w:line="992" w:lineRule="auto"/>
        <w:tabs>
          <w:tab w:leader="none" w:pos="652" w:val="left"/>
        </w:tabs>
        <w:numPr>
          <w:ilvl w:val="0"/>
          <w:numId w:val="137"/>
        </w:numPr>
        <w:rPr>
          <w:rFonts w:ascii="Arial" w:cs="Arial" w:eastAsia="Arial" w:hAnsi="Arial"/>
          <w:sz w:val="22"/>
          <w:szCs w:val="22"/>
          <w:color w:val="auto"/>
          <w:vertAlign w:val="superscript"/>
        </w:rPr>
      </w:pPr>
      <w:r>
        <w:rPr>
          <w:rFonts w:ascii="Arial" w:cs="Arial" w:eastAsia="Arial" w:hAnsi="Arial"/>
          <w:sz w:val="16"/>
          <w:szCs w:val="16"/>
          <w:color w:val="auto"/>
        </w:rPr>
        <w:t>Excludes long-term derivative assets and long-term deferred tax assets. F-64</w:t>
      </w:r>
    </w:p>
    <w:p>
      <w:pPr>
        <w:sectPr>
          <w:pgSz w:w="11900" w:h="16838" w:orient="portrait"/>
          <w:cols w:equalWidth="0" w:num="1">
            <w:col w:w="11400"/>
          </w:cols>
          <w:pgMar w:left="240" w:top="125" w:right="25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10.66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17145</wp:posOffset>
            </wp:positionV>
            <wp:extent cx="2306955" cy="5575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04">
                      <a:extLst>
                        <a:ext uri="{28A0092B-C50C-407E-A947-70E740481C1C}"/>
                      </a:extLst>
                    </a:blip>
                    <a:srcRect/>
                    <a:stretch>
                      <a:fillRect/>
                    </a:stretch>
                  </pic:blipFill>
                  <pic:spPr bwMode="auto">
                    <a:xfrm>
                      <a:off x="0" y="0"/>
                      <a:ext cx="230695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2018 DIRECTOR GRANT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14, 2018</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4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Grant of Phantom Class A Shares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Dear [name]:</w:t>
      </w:r>
    </w:p>
    <w:p>
      <w:pPr>
        <w:spacing w:after="0" w:line="260"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9"/>
          <w:szCs w:val="19"/>
          <w:color w:val="auto"/>
        </w:rPr>
        <w:t>I am pleased to inform you that you have been granted [amount] Phantom Class A Shares as of the above date pursuant to the Plains GP Holdings, L.P. Long-Term Incentive Plan (the "Plan"). In tandem with each Phantom Class A Share granted hereby you have been granted a distribution equivalent right (a “DER”). A DER represents the right to receive a cash payment equivalent to the amount, if any, paid in cash distributions on one Class A Share of Plains GP Holdings, L.P. (“PAGP” or the “Partnership”) to the holder of such Class A Share. The terms and conditions of this grant are as set forth below.</w:t>
      </w:r>
    </w:p>
    <w:p>
      <w:pPr>
        <w:spacing w:after="0" w:line="188" w:lineRule="exact"/>
        <w:rPr>
          <w:sz w:val="20"/>
          <w:szCs w:val="20"/>
          <w:color w:val="auto"/>
        </w:rPr>
      </w:pPr>
    </w:p>
    <w:p>
      <w:pPr>
        <w:ind w:left="1300" w:right="40" w:hanging="968"/>
        <w:spacing w:after="0" w:line="343" w:lineRule="auto"/>
        <w:tabs>
          <w:tab w:leader="none" w:pos="652" w:val="left"/>
        </w:tabs>
        <w:numPr>
          <w:ilvl w:val="0"/>
          <w:numId w:val="138"/>
        </w:numPr>
        <w:rPr>
          <w:rFonts w:ascii="Arial" w:cs="Arial" w:eastAsia="Arial" w:hAnsi="Arial"/>
          <w:sz w:val="19"/>
          <w:szCs w:val="19"/>
          <w:color w:val="auto"/>
        </w:rPr>
      </w:pPr>
      <w:r>
        <w:rPr>
          <w:rFonts w:ascii="Arial" w:cs="Arial" w:eastAsia="Arial" w:hAnsi="Arial"/>
          <w:sz w:val="19"/>
          <w:szCs w:val="19"/>
          <w:color w:val="auto"/>
        </w:rPr>
        <w:t>Subject to the further provisions of this Agreement, your Phantom Class A Shares shall vest (become payable in the form of one Class A Share of PAGP for each Phantom Class A Share that vests) on the August 2022 Distribution Date.</w:t>
      </w:r>
    </w:p>
    <w:p>
      <w:pPr>
        <w:spacing w:after="0" w:line="145" w:lineRule="exact"/>
        <w:rPr>
          <w:rFonts w:ascii="Arial" w:cs="Arial" w:eastAsia="Arial" w:hAnsi="Arial"/>
          <w:sz w:val="19"/>
          <w:szCs w:val="19"/>
          <w:color w:val="auto"/>
        </w:rPr>
      </w:pPr>
    </w:p>
    <w:p>
      <w:pPr>
        <w:ind w:left="1300" w:hanging="968"/>
        <w:spacing w:after="0" w:line="263" w:lineRule="auto"/>
        <w:tabs>
          <w:tab w:leader="none" w:pos="652" w:val="left"/>
        </w:tabs>
        <w:numPr>
          <w:ilvl w:val="0"/>
          <w:numId w:val="138"/>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DERs shall be payable in cash substantially contemporaneously with each Distribution Date.</w:t>
      </w:r>
    </w:p>
    <w:p>
      <w:pPr>
        <w:spacing w:after="0" w:line="215" w:lineRule="exact"/>
        <w:rPr>
          <w:rFonts w:ascii="Arial" w:cs="Arial" w:eastAsia="Arial" w:hAnsi="Arial"/>
          <w:sz w:val="22"/>
          <w:szCs w:val="22"/>
          <w:color w:val="auto"/>
        </w:rPr>
      </w:pPr>
    </w:p>
    <w:p>
      <w:pPr>
        <w:ind w:left="660" w:hanging="328"/>
        <w:spacing w:after="0"/>
        <w:tabs>
          <w:tab w:leader="none" w:pos="66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Immediately after the vesting of any Phantom Class A Shares, an equal number of DERs shall expire.</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Upon any forfeiture of Phantom Class A Shares, an equal number of DERs shall expire.</w:t>
      </w:r>
    </w:p>
    <w:p>
      <w:pPr>
        <w:spacing w:after="0" w:line="260" w:lineRule="exact"/>
        <w:rPr>
          <w:rFonts w:ascii="Arial" w:cs="Arial" w:eastAsia="Arial" w:hAnsi="Arial"/>
          <w:sz w:val="22"/>
          <w:szCs w:val="22"/>
          <w:color w:val="auto"/>
        </w:rPr>
      </w:pPr>
    </w:p>
    <w:p>
      <w:pPr>
        <w:ind w:left="1300" w:right="80" w:hanging="968"/>
        <w:spacing w:after="0" w:line="250" w:lineRule="auto"/>
        <w:tabs>
          <w:tab w:leader="none" w:pos="652" w:val="left"/>
        </w:tabs>
        <w:numPr>
          <w:ilvl w:val="0"/>
          <w:numId w:val="138"/>
        </w:numPr>
        <w:rPr>
          <w:rFonts w:ascii="Arial" w:cs="Arial" w:eastAsia="Arial" w:hAnsi="Arial"/>
          <w:sz w:val="22"/>
          <w:szCs w:val="22"/>
          <w:color w:val="auto"/>
        </w:rPr>
      </w:pPr>
      <w:r>
        <w:rPr>
          <w:rFonts w:ascii="Arial" w:cs="Arial" w:eastAsia="Arial" w:hAnsi="Arial"/>
          <w:sz w:val="22"/>
          <w:szCs w:val="22"/>
          <w:color w:val="auto"/>
        </w:rPr>
        <w:t>In the event that (i) you voluntarily terminate your service on the Board of Directors (other than for Retirement) or (ii) your service on the Board of Directors is terminated by the Board (by a majority vote of the remaining Directors) for Cause (as defined in the LLC Agreement), all unvested Phantom Class A Shares (and tandem DERs) shall be forfeited as of the date service terminates.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000080"/>
        </w:rPr>
        <w:t xml:space="preserve">333 Clay Street, Suite 1600 </w:t>
      </w:r>
      <w:r>
        <w:rPr>
          <w:rFonts w:ascii="Arial" w:cs="Arial" w:eastAsia="Arial" w:hAnsi="Arial"/>
          <w:sz w:val="16"/>
          <w:szCs w:val="16"/>
          <w:color w:val="000080"/>
        </w:rPr>
        <w:t>g</w:t>
      </w:r>
      <w:r>
        <w:rPr>
          <w:rFonts w:ascii="Arial" w:cs="Arial" w:eastAsia="Arial" w:hAnsi="Arial"/>
          <w:sz w:val="20"/>
          <w:szCs w:val="20"/>
          <w:color w:val="000080"/>
        </w:rPr>
        <w:t xml:space="preserve"> Houston, Texas 77002 </w:t>
      </w:r>
      <w:r>
        <w:rPr>
          <w:rFonts w:ascii="Arial" w:cs="Arial" w:eastAsia="Arial" w:hAnsi="Arial"/>
          <w:sz w:val="16"/>
          <w:szCs w:val="16"/>
          <w:color w:val="000080"/>
        </w:rPr>
        <w:t>g</w:t>
      </w:r>
      <w:r>
        <w:rPr>
          <w:rFonts w:ascii="Arial" w:cs="Arial" w:eastAsia="Arial" w:hAnsi="Arial"/>
          <w:sz w:val="20"/>
          <w:szCs w:val="20"/>
          <w:color w:val="000080"/>
        </w:rPr>
        <w:t xml:space="preserve"> 713/646-4100 or 800-564-3036</w:t>
      </w:r>
    </w:p>
    <w:p>
      <w:pPr>
        <w:sectPr>
          <w:pgSz w:w="11900" w:h="16838" w:orient="portrait"/>
          <w:cols w:equalWidth="0" w:num="1">
            <w:col w:w="11420"/>
          </w:cols>
          <w:pgMar w:left="240" w:top="121" w:right="239" w:bottom="1440" w:gutter="0" w:footer="0" w:header="0"/>
        </w:sectPr>
      </w:pPr>
    </w:p>
    <w:bookmarkStart w:id="191" w:name="page192"/>
    <w:bookmarkEnd w:id="191"/>
    <w:p>
      <w:pPr>
        <w:ind w:left="40"/>
        <w:spacing w:after="0"/>
        <w:tabs>
          <w:tab w:leader="none" w:pos="5700" w:val="left"/>
          <w:tab w:leader="none" w:pos="99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2</w:t>
      </w:r>
      <w:r>
        <w:rPr>
          <w:sz w:val="20"/>
          <w:szCs w:val="20"/>
          <w:color w:val="auto"/>
        </w:rPr>
        <w:tab/>
      </w:r>
      <w:r>
        <w:rPr>
          <w:rFonts w:ascii="Arial" w:cs="Arial" w:eastAsia="Arial" w:hAnsi="Arial"/>
          <w:sz w:val="19"/>
          <w:szCs w:val="19"/>
          <w:color w:val="auto"/>
        </w:rPr>
        <w:t>August 14,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00" w:right="40" w:hanging="968"/>
        <w:spacing w:after="0" w:line="297" w:lineRule="auto"/>
        <w:tabs>
          <w:tab w:leader="none" w:pos="652" w:val="left"/>
        </w:tabs>
        <w:numPr>
          <w:ilvl w:val="0"/>
          <w:numId w:val="139"/>
        </w:numPr>
        <w:rPr>
          <w:rFonts w:ascii="Arial" w:cs="Arial" w:eastAsia="Arial" w:hAnsi="Arial"/>
          <w:sz w:val="19"/>
          <w:szCs w:val="19"/>
          <w:color w:val="auto"/>
        </w:rPr>
      </w:pPr>
      <w:r>
        <w:rPr>
          <w:rFonts w:ascii="Arial" w:cs="Arial" w:eastAsia="Arial" w:hAnsi="Arial"/>
          <w:sz w:val="19"/>
          <w:szCs w:val="19"/>
          <w:color w:val="auto"/>
        </w:rPr>
        <w:t>In the event your service on the Board of Directors is terminated (i) because of your death or disability (as determined in good faith by the Board), (ii) due to your Retirement, or (iii) for any reason other than as described in clauses (i) and (ii) of paragraph 5 above, all unvested Phantom Class A Shares (and any tandem DERs) shall immediately become nonforfeitable, and shall vest (or, in the case of DERs, be paid) in full as of the next following Distribution Date. Upon such payment, the tandem DERs associated with the Phantom Class A Shares that are vesting shall expire.</w:t>
      </w:r>
    </w:p>
    <w:p>
      <w:pPr>
        <w:spacing w:after="0" w:line="187" w:lineRule="exact"/>
        <w:rPr>
          <w:rFonts w:ascii="Arial" w:cs="Arial" w:eastAsia="Arial" w:hAnsi="Arial"/>
          <w:sz w:val="19"/>
          <w:szCs w:val="19"/>
          <w:color w:val="auto"/>
        </w:rPr>
      </w:pPr>
    </w:p>
    <w:p>
      <w:pPr>
        <w:ind w:left="1300" w:right="400" w:hanging="968"/>
        <w:spacing w:after="0" w:line="253" w:lineRule="auto"/>
        <w:tabs>
          <w:tab w:leader="none" w:pos="652" w:val="left"/>
        </w:tabs>
        <w:numPr>
          <w:ilvl w:val="0"/>
          <w:numId w:val="139"/>
        </w:numPr>
        <w:rPr>
          <w:rFonts w:ascii="Arial" w:cs="Arial" w:eastAsia="Arial" w:hAnsi="Arial"/>
          <w:sz w:val="22"/>
          <w:szCs w:val="22"/>
          <w:color w:val="auto"/>
        </w:rPr>
      </w:pPr>
      <w:r>
        <w:rPr>
          <w:rFonts w:ascii="Arial" w:cs="Arial" w:eastAsia="Arial" w:hAnsi="Arial"/>
          <w:sz w:val="22"/>
          <w:szCs w:val="22"/>
          <w:color w:val="auto"/>
        </w:rPr>
        <w:t>For the avoidance of doubt, to the extent the expiration of a DER relates to the vesting of a Phantom Class A Share on a Distribution Date, the intent is for the DER to be paid with respect to such Distribution Date before the DER expires.</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As used herein, (i) “Company” refers to PAA GP Holdings LLC, (ii) “Distribution Date” means the day in February, May, August or November in any year (as context dictates) that is 45 days after the end of a calendar quarter (or, if not a business day, the closest previous business day), (iii) “Board of Directors” or “Board” means the Board of Directors of the Company, and (iv) “Retirement” means you have provided the Chairman of the Board of the Company with written notice indicating that (a) you have retired (or will retire within the next sixty days) from full-time employment and from service as a director of the Company, and (b) excluding director positions held by you at such time, you do not intend to serve as a director of any other public company.</w:t>
      </w:r>
    </w:p>
    <w:p>
      <w:pPr>
        <w:spacing w:after="0" w:line="19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Terms used herein that are not defined herein shall have the meanings set forth in the Plan or, if not defined in the Plan, in the Second Amended and Restated Agreement of Limited Partnership of Plains GP Holdings, L.P., as amended (the "Partnership Agreement") or the Third Amended and Restated Limited Liability Company Agreement of PAA GP Holdings LLC, as amended (the “LLC Agreement”). By signing below, you agree that the Phantom Class A Shares and DERs granted hereunder are governed by the terms of the Plan. Copies of the Plan, the Partnership Agreement and the LLC Agreement are available upon request.</w:t>
      </w:r>
    </w:p>
    <w:p>
      <w:pPr>
        <w:sectPr>
          <w:pgSz w:w="11900" w:h="16838" w:orient="portrait"/>
          <w:cols w:equalWidth="0" w:num="1">
            <w:col w:w="11420"/>
          </w:cols>
          <w:pgMar w:left="240" w:top="537" w:right="239" w:bottom="1440" w:gutter="0" w:footer="0" w:header="0"/>
        </w:sectPr>
      </w:pPr>
    </w:p>
    <w:bookmarkStart w:id="192" w:name="page193"/>
    <w:bookmarkEnd w:id="192"/>
    <w:p>
      <w:pPr>
        <w:ind w:left="40"/>
        <w:spacing w:after="0"/>
        <w:tabs>
          <w:tab w:leader="none" w:pos="5700" w:val="left"/>
          <w:tab w:leader="none" w:pos="99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3</w:t>
      </w:r>
      <w:r>
        <w:rPr>
          <w:sz w:val="20"/>
          <w:szCs w:val="20"/>
          <w:color w:val="auto"/>
        </w:rPr>
        <w:tab/>
      </w:r>
      <w:r>
        <w:rPr>
          <w:rFonts w:ascii="Arial" w:cs="Arial" w:eastAsia="Arial" w:hAnsi="Arial"/>
          <w:sz w:val="19"/>
          <w:szCs w:val="19"/>
          <w:color w:val="auto"/>
        </w:rPr>
        <w:t>August 14,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order for this grant to be effective you must designate a beneficiary that will be entitled to receive any benefits payable under this grant in the event of your death. Please execute and return a copy of this grant letter to me and retain a copy for your records.</w:t>
      </w:r>
    </w:p>
    <w:p>
      <w:pPr>
        <w:spacing w:after="0" w:line="200" w:lineRule="exact"/>
        <w:rPr>
          <w:sz w:val="20"/>
          <w:szCs w:val="20"/>
          <w:color w:val="auto"/>
        </w:rPr>
      </w:pPr>
    </w:p>
    <w:p>
      <w:pPr>
        <w:spacing w:after="0" w:line="28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GP HOLDINGS, L.P.</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PAA GP HOLDINGS LLC</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Name:Richard McGee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Title:Executive Vice President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Beneficiary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54875" cy="17494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05">
                      <a:extLst>
                        <a:ext uri="{28A0092B-C50C-407E-A947-70E740481C1C}"/>
                      </a:extLst>
                    </a:blip>
                    <a:srcRect/>
                    <a:stretch>
                      <a:fillRect/>
                    </a:stretch>
                  </pic:blipFill>
                  <pic:spPr bwMode="auto">
                    <a:xfrm>
                      <a:off x="0" y="0"/>
                      <a:ext cx="7254875" cy="174942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3960" w:type="dxa"/>
            <w:vAlign w:val="bottom"/>
            <w:shd w:val="clear" w:color="auto" w:fill="C0C0C0"/>
          </w:tcPr>
          <w:p>
            <w:pPr>
              <w:ind w:left="40"/>
              <w:spacing w:after="0"/>
              <w:rPr>
                <w:sz w:val="20"/>
                <w:szCs w:val="20"/>
                <w:color w:val="auto"/>
              </w:rPr>
            </w:pPr>
            <w:r>
              <w:rPr>
                <w:rFonts w:ascii="Arial" w:cs="Arial" w:eastAsia="Arial" w:hAnsi="Arial"/>
                <w:sz w:val="22"/>
                <w:szCs w:val="22"/>
                <w:color w:val="auto"/>
              </w:rPr>
              <w:t>Primary Beneficiary Name</w:t>
            </w:r>
          </w:p>
        </w:tc>
        <w:tc>
          <w:tcPr>
            <w:tcW w:w="3260" w:type="dxa"/>
            <w:vAlign w:val="bottom"/>
            <w:shd w:val="clear" w:color="auto" w:fill="C0C0C0"/>
          </w:tcPr>
          <w:p>
            <w:pPr>
              <w:ind w:left="1580"/>
              <w:spacing w:after="0"/>
              <w:rPr>
                <w:sz w:val="20"/>
                <w:szCs w:val="20"/>
                <w:color w:val="auto"/>
              </w:rPr>
            </w:pPr>
            <w:r>
              <w:rPr>
                <w:rFonts w:ascii="Arial" w:cs="Arial" w:eastAsia="Arial" w:hAnsi="Arial"/>
                <w:sz w:val="22"/>
                <w:szCs w:val="22"/>
                <w:color w:val="auto"/>
              </w:rPr>
              <w:t>Relationship</w:t>
            </w:r>
          </w:p>
        </w:tc>
        <w:tc>
          <w:tcPr>
            <w:tcW w:w="4200" w:type="dxa"/>
            <w:vAlign w:val="bottom"/>
            <w:shd w:val="clear" w:color="auto" w:fill="C0C0C0"/>
          </w:tcPr>
          <w:p>
            <w:pPr>
              <w:ind w:left="600"/>
              <w:spacing w:after="0"/>
              <w:rPr>
                <w:sz w:val="20"/>
                <w:szCs w:val="20"/>
                <w:color w:val="auto"/>
              </w:rPr>
            </w:pPr>
            <w:r>
              <w:rPr>
                <w:rFonts w:ascii="Arial" w:cs="Arial" w:eastAsia="Arial" w:hAnsi="Arial"/>
                <w:sz w:val="22"/>
                <w:szCs w:val="22"/>
                <w:color w:val="auto"/>
              </w:rPr>
              <w:t>Percent (Must total 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4060" w:type="dxa"/>
            <w:vAlign w:val="bottom"/>
            <w:shd w:val="clear" w:color="auto" w:fill="C0C0C0"/>
          </w:tcPr>
          <w:p>
            <w:pPr>
              <w:ind w:left="40"/>
              <w:spacing w:after="0"/>
              <w:rPr>
                <w:sz w:val="20"/>
                <w:szCs w:val="20"/>
                <w:color w:val="auto"/>
              </w:rPr>
            </w:pPr>
            <w:r>
              <w:rPr>
                <w:rFonts w:ascii="Arial" w:cs="Arial" w:eastAsia="Arial" w:hAnsi="Arial"/>
                <w:sz w:val="22"/>
                <w:szCs w:val="22"/>
                <w:color w:val="auto"/>
              </w:rPr>
              <w:t>Secondary Beneficiary Name</w:t>
            </w:r>
          </w:p>
        </w:tc>
        <w:tc>
          <w:tcPr>
            <w:tcW w:w="3160" w:type="dxa"/>
            <w:vAlign w:val="bottom"/>
            <w:shd w:val="clear" w:color="auto" w:fill="C0C0C0"/>
          </w:tcPr>
          <w:p>
            <w:pPr>
              <w:ind w:left="1480"/>
              <w:spacing w:after="0"/>
              <w:rPr>
                <w:sz w:val="20"/>
                <w:szCs w:val="20"/>
                <w:color w:val="auto"/>
              </w:rPr>
            </w:pPr>
            <w:r>
              <w:rPr>
                <w:rFonts w:ascii="Arial" w:cs="Arial" w:eastAsia="Arial" w:hAnsi="Arial"/>
                <w:sz w:val="22"/>
                <w:szCs w:val="22"/>
                <w:color w:val="auto"/>
              </w:rPr>
              <w:t>Relationship</w:t>
            </w:r>
          </w:p>
        </w:tc>
        <w:tc>
          <w:tcPr>
            <w:tcW w:w="4200" w:type="dxa"/>
            <w:vAlign w:val="bottom"/>
            <w:shd w:val="clear" w:color="auto" w:fill="C0C0C0"/>
          </w:tcPr>
          <w:p>
            <w:pPr>
              <w:ind w:left="600"/>
              <w:spacing w:after="0"/>
              <w:rPr>
                <w:sz w:val="20"/>
                <w:szCs w:val="20"/>
                <w:color w:val="auto"/>
              </w:rPr>
            </w:pPr>
            <w:r>
              <w:rPr>
                <w:rFonts w:ascii="Arial" w:cs="Arial" w:eastAsia="Arial" w:hAnsi="Arial"/>
                <w:sz w:val="22"/>
                <w:szCs w:val="22"/>
                <w:color w:val="auto"/>
              </w:rPr>
              <w:t>Percent (Must total 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1355090</wp:posOffset>
            </wp:positionV>
            <wp:extent cx="102044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06">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No. of Phantom Class A Shares: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1815465</wp:posOffset>
            </wp:positionH>
            <wp:positionV relativeFrom="paragraph">
              <wp:posOffset>-17780</wp:posOffset>
            </wp:positionV>
            <wp:extent cx="6400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07">
                      <a:extLst>
                        <a:ext uri="{28A0092B-C50C-407E-A947-70E740481C1C}"/>
                      </a:extLst>
                    </a:blip>
                    <a:srcRect/>
                    <a:stretch>
                      <a:fillRect/>
                    </a:stretch>
                  </pic:blipFill>
                  <pic:spPr bwMode="auto">
                    <a:xfrm>
                      <a:off x="0" y="0"/>
                      <a:ext cx="64008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-17780</wp:posOffset>
            </wp:positionV>
            <wp:extent cx="6858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0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ectPr>
          <w:pgSz w:w="11900" w:h="16838" w:orient="portrait"/>
          <w:cols w:equalWidth="0" w:num="1">
            <w:col w:w="11420"/>
          </w:cols>
          <w:pgMar w:left="240" w:top="537"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10.67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17145</wp:posOffset>
            </wp:positionV>
            <wp:extent cx="2306955" cy="5575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09">
                      <a:extLst>
                        <a:ext uri="{28A0092B-C50C-407E-A947-70E740481C1C}"/>
                      </a:extLst>
                    </a:blip>
                    <a:srcRect/>
                    <a:stretch>
                      <a:fillRect/>
                    </a:stretch>
                  </pic:blipFill>
                  <pic:spPr bwMode="auto">
                    <a:xfrm>
                      <a:off x="0" y="0"/>
                      <a:ext cx="230695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INITIAL DIRECTOR GRANT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10, 2018</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Ms. Alexandra Pruner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4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Grant of Phantom Class A Shares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Dear Alie:</w:t>
      </w:r>
    </w:p>
    <w:p>
      <w:pPr>
        <w:spacing w:after="0" w:line="26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 am pleased to inform you that you have been granted 21,384 Phantom Class A Shares as of the above date pursuant to the Plains GP Holdings, L.P. Long-Term Incentive Plan (the "Plan"). In tandem with each Phantom Class A Share granted hereby you have been granted a distribution equivalent right (a “DER”). A DER represents the right to receive a cash payment equivalent to the amount, if any, paid in cash distributions on one Class A Share of Plains GP Holdings, L.P. (“PAGP” or the “Partnership”) to the holder of such Class A Share. The terms and conditions of this grant are as set forth below.</w:t>
      </w:r>
    </w:p>
    <w:p>
      <w:pPr>
        <w:spacing w:after="0" w:line="188" w:lineRule="exact"/>
        <w:rPr>
          <w:sz w:val="20"/>
          <w:szCs w:val="20"/>
          <w:color w:val="auto"/>
        </w:rPr>
      </w:pPr>
    </w:p>
    <w:p>
      <w:pPr>
        <w:ind w:left="1300" w:hanging="968"/>
        <w:spacing w:after="0" w:line="265" w:lineRule="auto"/>
        <w:tabs>
          <w:tab w:leader="none" w:pos="652" w:val="left"/>
        </w:tabs>
        <w:numPr>
          <w:ilvl w:val="0"/>
          <w:numId w:val="140"/>
        </w:numPr>
        <w:rPr>
          <w:rFonts w:ascii="Arial" w:cs="Arial" w:eastAsia="Arial" w:hAnsi="Arial"/>
          <w:sz w:val="21"/>
          <w:szCs w:val="21"/>
          <w:color w:val="auto"/>
        </w:rPr>
      </w:pPr>
      <w:r>
        <w:rPr>
          <w:rFonts w:ascii="Arial" w:cs="Arial" w:eastAsia="Arial" w:hAnsi="Arial"/>
          <w:sz w:val="21"/>
          <w:szCs w:val="21"/>
          <w:color w:val="auto"/>
        </w:rPr>
        <w:t>Subject to the further provisions of this Agreement, your Phantom Class A Shares shall vest (become payable in the form of one Class A Share of PAGP for each Phantom Class A Share that vests) as follows: (a) 3,936 will vest on the August 2019 Distribution Date, (b) 5,816 will vest on the August 2020 Distribution Date, (c) 5,816 will vest on the August 2021 Distribution Date, and (d) 5,816 will vest on the August 2022 Distribution Date.</w:t>
      </w:r>
    </w:p>
    <w:p>
      <w:pPr>
        <w:spacing w:after="0" w:line="216" w:lineRule="exact"/>
        <w:rPr>
          <w:rFonts w:ascii="Arial" w:cs="Arial" w:eastAsia="Arial" w:hAnsi="Arial"/>
          <w:sz w:val="21"/>
          <w:szCs w:val="21"/>
          <w:color w:val="auto"/>
        </w:rPr>
      </w:pPr>
    </w:p>
    <w:p>
      <w:pPr>
        <w:ind w:left="1300" w:hanging="968"/>
        <w:spacing w:after="0" w:line="263" w:lineRule="auto"/>
        <w:tabs>
          <w:tab w:leader="none" w:pos="652" w:val="left"/>
        </w:tabs>
        <w:numPr>
          <w:ilvl w:val="0"/>
          <w:numId w:val="140"/>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DERs shall be payable in cash substantially contemporaneously with each Distribution Date.</w:t>
      </w:r>
    </w:p>
    <w:p>
      <w:pPr>
        <w:spacing w:after="0" w:line="215" w:lineRule="exact"/>
        <w:rPr>
          <w:rFonts w:ascii="Arial" w:cs="Arial" w:eastAsia="Arial" w:hAnsi="Arial"/>
          <w:sz w:val="22"/>
          <w:szCs w:val="22"/>
          <w:color w:val="auto"/>
        </w:rPr>
      </w:pPr>
    </w:p>
    <w:p>
      <w:pPr>
        <w:ind w:left="660" w:hanging="328"/>
        <w:spacing w:after="0"/>
        <w:tabs>
          <w:tab w:leader="none" w:pos="66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Immediately after the vesting of any Phantom Class A Shares, an equal number of DERs shall expire.</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Upon any forfeiture of Phantom Class A Shares, an equal number of DERs shall expire.</w:t>
      </w:r>
    </w:p>
    <w:p>
      <w:pPr>
        <w:spacing w:after="0" w:line="260" w:lineRule="exact"/>
        <w:rPr>
          <w:rFonts w:ascii="Arial" w:cs="Arial" w:eastAsia="Arial" w:hAnsi="Arial"/>
          <w:sz w:val="22"/>
          <w:szCs w:val="22"/>
          <w:color w:val="auto"/>
        </w:rPr>
      </w:pPr>
    </w:p>
    <w:p>
      <w:pPr>
        <w:ind w:left="1300" w:hanging="968"/>
        <w:spacing w:after="0" w:line="250" w:lineRule="auto"/>
        <w:tabs>
          <w:tab w:leader="none" w:pos="652" w:val="left"/>
        </w:tabs>
        <w:numPr>
          <w:ilvl w:val="0"/>
          <w:numId w:val="140"/>
        </w:numPr>
        <w:rPr>
          <w:rFonts w:ascii="Arial" w:cs="Arial" w:eastAsia="Arial" w:hAnsi="Arial"/>
          <w:sz w:val="22"/>
          <w:szCs w:val="22"/>
          <w:color w:val="auto"/>
        </w:rPr>
      </w:pPr>
      <w:r>
        <w:rPr>
          <w:rFonts w:ascii="Arial" w:cs="Arial" w:eastAsia="Arial" w:hAnsi="Arial"/>
          <w:sz w:val="22"/>
          <w:szCs w:val="22"/>
          <w:color w:val="auto"/>
        </w:rPr>
        <w:t>In the event that (i) you voluntarily terminate your service on the Board of Directors (other than for Retirement) or (ii) your service on the Board of Directors is terminated by the Board (by a majority vote of the remaining Directors) for Cause (as defined in the LLC Agreement), all unvested Phantom Class A Shares (and tandem DERs) shall be forfeited as of the date service terminates.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80"/>
        </w:rPr>
        <w:t xml:space="preserve">333 Clay Street, Suite 1600 </w:t>
      </w:r>
      <w:r>
        <w:rPr>
          <w:rFonts w:ascii="Arial" w:cs="Arial" w:eastAsia="Arial" w:hAnsi="Arial"/>
          <w:sz w:val="16"/>
          <w:szCs w:val="16"/>
          <w:b w:val="1"/>
          <w:bCs w:val="1"/>
          <w:color w:val="000080"/>
        </w:rPr>
        <w:t>g</w:t>
      </w:r>
      <w:r>
        <w:rPr>
          <w:rFonts w:ascii="Arial" w:cs="Arial" w:eastAsia="Arial" w:hAnsi="Arial"/>
          <w:sz w:val="18"/>
          <w:szCs w:val="18"/>
          <w:b w:val="1"/>
          <w:bCs w:val="1"/>
          <w:color w:val="000080"/>
        </w:rPr>
        <w:t xml:space="preserve"> Houston, Texas 77002 </w:t>
      </w:r>
      <w:r>
        <w:rPr>
          <w:rFonts w:ascii="Arial" w:cs="Arial" w:eastAsia="Arial" w:hAnsi="Arial"/>
          <w:sz w:val="16"/>
          <w:szCs w:val="16"/>
          <w:b w:val="1"/>
          <w:bCs w:val="1"/>
          <w:color w:val="000080"/>
        </w:rPr>
        <w:t>g</w:t>
      </w:r>
      <w:r>
        <w:rPr>
          <w:rFonts w:ascii="Arial" w:cs="Arial" w:eastAsia="Arial" w:hAnsi="Arial"/>
          <w:sz w:val="18"/>
          <w:szCs w:val="18"/>
          <w:b w:val="1"/>
          <w:bCs w:val="1"/>
          <w:color w:val="000080"/>
        </w:rPr>
        <w:t xml:space="preserve"> 713/646-4100 or 800-564-3036</w:t>
      </w:r>
    </w:p>
    <w:p>
      <w:pPr>
        <w:sectPr>
          <w:pgSz w:w="11900" w:h="16838" w:orient="portrait"/>
          <w:cols w:equalWidth="0" w:num="1">
            <w:col w:w="11420"/>
          </w:cols>
          <w:pgMar w:left="240" w:top="121" w:right="239" w:bottom="1440" w:gutter="0" w:footer="0" w:header="0"/>
        </w:sectPr>
      </w:pPr>
    </w:p>
    <w:bookmarkStart w:id="194" w:name="page195"/>
    <w:bookmarkEnd w:id="194"/>
    <w:p>
      <w:pPr>
        <w:ind w:left="40"/>
        <w:spacing w:after="0"/>
        <w:tabs>
          <w:tab w:leader="none" w:pos="5700" w:val="left"/>
          <w:tab w:leader="none" w:pos="9680" w:val="left"/>
        </w:tabs>
        <w:rPr>
          <w:sz w:val="20"/>
          <w:szCs w:val="20"/>
          <w:color w:val="auto"/>
        </w:rPr>
      </w:pPr>
      <w:r>
        <w:rPr>
          <w:rFonts w:ascii="Arial" w:cs="Arial" w:eastAsia="Arial" w:hAnsi="Arial"/>
          <w:sz w:val="22"/>
          <w:szCs w:val="22"/>
          <w:color w:val="auto"/>
        </w:rPr>
        <w:t>Alexandra Pruner</w:t>
      </w:r>
      <w:r>
        <w:rPr>
          <w:sz w:val="20"/>
          <w:szCs w:val="20"/>
          <w:color w:val="auto"/>
        </w:rPr>
        <w:tab/>
      </w:r>
      <w:r>
        <w:rPr>
          <w:rFonts w:ascii="Arial" w:cs="Arial" w:eastAsia="Arial" w:hAnsi="Arial"/>
          <w:sz w:val="22"/>
          <w:szCs w:val="22"/>
          <w:color w:val="auto"/>
        </w:rPr>
        <w:t>2</w:t>
      </w:r>
      <w:r>
        <w:rPr>
          <w:sz w:val="20"/>
          <w:szCs w:val="20"/>
          <w:color w:val="auto"/>
        </w:rPr>
        <w:tab/>
      </w:r>
      <w:r>
        <w:rPr>
          <w:rFonts w:ascii="Arial" w:cs="Arial" w:eastAsia="Arial" w:hAnsi="Arial"/>
          <w:sz w:val="19"/>
          <w:szCs w:val="19"/>
          <w:color w:val="auto"/>
        </w:rPr>
        <w:t>December 10, 2018</w:t>
      </w:r>
    </w:p>
    <w:p>
      <w:pPr>
        <w:spacing w:after="0" w:line="200" w:lineRule="exact"/>
        <w:rPr>
          <w:sz w:val="20"/>
          <w:szCs w:val="20"/>
          <w:color w:val="auto"/>
        </w:rPr>
      </w:pPr>
    </w:p>
    <w:p>
      <w:pPr>
        <w:spacing w:after="0" w:line="317" w:lineRule="exact"/>
        <w:rPr>
          <w:sz w:val="20"/>
          <w:szCs w:val="20"/>
          <w:color w:val="auto"/>
        </w:rPr>
      </w:pPr>
    </w:p>
    <w:p>
      <w:pPr>
        <w:ind w:left="1300" w:hanging="968"/>
        <w:spacing w:after="0" w:line="297" w:lineRule="auto"/>
        <w:tabs>
          <w:tab w:leader="none" w:pos="652" w:val="left"/>
        </w:tabs>
        <w:numPr>
          <w:ilvl w:val="0"/>
          <w:numId w:val="141"/>
        </w:numPr>
        <w:rPr>
          <w:rFonts w:ascii="Arial" w:cs="Arial" w:eastAsia="Arial" w:hAnsi="Arial"/>
          <w:sz w:val="19"/>
          <w:szCs w:val="19"/>
          <w:color w:val="auto"/>
        </w:rPr>
      </w:pPr>
      <w:r>
        <w:rPr>
          <w:rFonts w:ascii="Arial" w:cs="Arial" w:eastAsia="Arial" w:hAnsi="Arial"/>
          <w:sz w:val="19"/>
          <w:szCs w:val="19"/>
          <w:color w:val="auto"/>
        </w:rPr>
        <w:t>In the event your service on the Board of Directors is terminated (i) because of your death or disability (as determined in good faith by the Board), (ii) due to your Retirement, or (iii) for any reason other than as described in clauses (i) and (ii) of paragraph 5 above, all unvested Phantom Class A Shares (and any tandem DERs) shall immediately become nonforfeitable, and shall vest in full as of the next following Distribution Date. Upon such payment, the tandem DERs associated with the Phantom Class A Shares that are vesting shall expire.</w:t>
      </w:r>
    </w:p>
    <w:p>
      <w:pPr>
        <w:spacing w:after="0" w:line="187" w:lineRule="exact"/>
        <w:rPr>
          <w:rFonts w:ascii="Arial" w:cs="Arial" w:eastAsia="Arial" w:hAnsi="Arial"/>
          <w:sz w:val="19"/>
          <w:szCs w:val="19"/>
          <w:color w:val="auto"/>
        </w:rPr>
      </w:pPr>
    </w:p>
    <w:p>
      <w:pPr>
        <w:ind w:left="1300" w:hanging="968"/>
        <w:spacing w:after="0" w:line="253" w:lineRule="auto"/>
        <w:tabs>
          <w:tab w:leader="none" w:pos="652" w:val="left"/>
        </w:tabs>
        <w:numPr>
          <w:ilvl w:val="0"/>
          <w:numId w:val="141"/>
        </w:numPr>
        <w:rPr>
          <w:rFonts w:ascii="Arial" w:cs="Arial" w:eastAsia="Arial" w:hAnsi="Arial"/>
          <w:sz w:val="22"/>
          <w:szCs w:val="22"/>
          <w:color w:val="auto"/>
        </w:rPr>
      </w:pPr>
      <w:r>
        <w:rPr>
          <w:rFonts w:ascii="Arial" w:cs="Arial" w:eastAsia="Arial" w:hAnsi="Arial"/>
          <w:sz w:val="22"/>
          <w:szCs w:val="22"/>
          <w:color w:val="auto"/>
        </w:rPr>
        <w:t>For the avoidance of doubt, to the extent the expiration of a DER relates to the vesting of a Phantom Class A Share on a Distribution Date, the intent is for the DER to be paid with respect to such Distribution Date before the DER expires.</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As used herein, (i) “Company” refers to PAA GP Holdings LLC, (ii) “Distribution Date” means the day in February, May, August or November in any year (as context dictates) that is 45 days after the end of a calendar quarter (or, if not a business day, the closest previous business day), (iii) “Board of Directors” or “Board” means the Board of Directors of the Company, and (iv) “Retirement” means you have provided the Chairman of the Board of the Company with written notice indicating that (a) you have retired (or will retire within the next sixty days) from full-time employment and from service as a director of the Company, and (b) excluding director positions held by you at such time, you do not intend to serve as a director of any other public company.</w:t>
      </w:r>
    </w:p>
    <w:p>
      <w:pPr>
        <w:spacing w:after="0" w:line="19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Terms used herein that are not defined herein shall have the meanings set forth in the Plan or, if not defined in the Plan, in the Second Amended and Restated Agreement of Limited Partnership of Plains GP Holdings, L.P., as amended (the "Partnership Agreement") or the Third Amended and Restated Limited Liability Company Agreement of PAA GP Holdings LLC, as amended (the “LLC Agreement”). By signing below, you agree that the Phantom Class A Shares and DERs granted hereunder are governed by the terms of the Plan. Copies of the Plan, the Partnership Agreement and the LLC Agreement are available upon request.</w:t>
      </w:r>
    </w:p>
    <w:p>
      <w:pPr>
        <w:sectPr>
          <w:pgSz w:w="11900" w:h="16838" w:orient="portrait"/>
          <w:cols w:equalWidth="0" w:num="1">
            <w:col w:w="11420"/>
          </w:cols>
          <w:pgMar w:left="240" w:top="280" w:right="239" w:bottom="1440" w:gutter="0" w:footer="0" w:header="0"/>
        </w:sectPr>
      </w:pPr>
    </w:p>
    <w:bookmarkStart w:id="195" w:name="page196"/>
    <w:bookmarkEnd w:id="195"/>
    <w:p>
      <w:pPr>
        <w:ind w:left="40"/>
        <w:spacing w:after="0"/>
        <w:tabs>
          <w:tab w:leader="none" w:pos="5700" w:val="left"/>
          <w:tab w:leader="none" w:pos="9680" w:val="left"/>
        </w:tabs>
        <w:rPr>
          <w:sz w:val="20"/>
          <w:szCs w:val="20"/>
          <w:color w:val="auto"/>
        </w:rPr>
      </w:pPr>
      <w:r>
        <w:rPr>
          <w:rFonts w:ascii="Arial" w:cs="Arial" w:eastAsia="Arial" w:hAnsi="Arial"/>
          <w:sz w:val="22"/>
          <w:szCs w:val="22"/>
          <w:color w:val="auto"/>
        </w:rPr>
        <w:t>Alexandra Pruner</w:t>
      </w:r>
      <w:r>
        <w:rPr>
          <w:sz w:val="20"/>
          <w:szCs w:val="20"/>
          <w:color w:val="auto"/>
        </w:rPr>
        <w:tab/>
      </w:r>
      <w:r>
        <w:rPr>
          <w:rFonts w:ascii="Arial" w:cs="Arial" w:eastAsia="Arial" w:hAnsi="Arial"/>
          <w:sz w:val="22"/>
          <w:szCs w:val="22"/>
          <w:color w:val="auto"/>
        </w:rPr>
        <w:t>3</w:t>
      </w:r>
      <w:r>
        <w:rPr>
          <w:sz w:val="20"/>
          <w:szCs w:val="20"/>
          <w:color w:val="auto"/>
        </w:rPr>
        <w:tab/>
      </w:r>
      <w:r>
        <w:rPr>
          <w:rFonts w:ascii="Arial" w:cs="Arial" w:eastAsia="Arial" w:hAnsi="Arial"/>
          <w:sz w:val="19"/>
          <w:szCs w:val="19"/>
          <w:color w:val="auto"/>
        </w:rPr>
        <w:t>December 10, 2018</w:t>
      </w:r>
    </w:p>
    <w:p>
      <w:pPr>
        <w:spacing w:after="0" w:line="200" w:lineRule="exact"/>
        <w:rPr>
          <w:sz w:val="20"/>
          <w:szCs w:val="20"/>
          <w:color w:val="auto"/>
        </w:rPr>
      </w:pPr>
    </w:p>
    <w:p>
      <w:pPr>
        <w:spacing w:after="0" w:line="3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order for this grant to be effective you must designate a beneficiary that will be entitled to receive any benefits payable under this grant in the event of your death. Please execute and return a copy of this grant letter to me and retain a copy for your records.</w:t>
      </w:r>
    </w:p>
    <w:p>
      <w:pPr>
        <w:spacing w:after="0" w:line="200" w:lineRule="exact"/>
        <w:rPr>
          <w:sz w:val="20"/>
          <w:szCs w:val="20"/>
          <w:color w:val="auto"/>
        </w:rPr>
      </w:pPr>
    </w:p>
    <w:p>
      <w:pPr>
        <w:spacing w:after="0" w:line="28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GP HOLDINGS, L.P.</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PAA GP HOLDINGS LLC</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Name:Richard McGee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Title:Executive Vice President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Beneficiary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54875" cy="17494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10">
                      <a:extLst>
                        <a:ext uri="{28A0092B-C50C-407E-A947-70E740481C1C}"/>
                      </a:extLst>
                    </a:blip>
                    <a:srcRect/>
                    <a:stretch>
                      <a:fillRect/>
                    </a:stretch>
                  </pic:blipFill>
                  <pic:spPr bwMode="auto">
                    <a:xfrm>
                      <a:off x="0" y="0"/>
                      <a:ext cx="7254875" cy="174942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3960" w:type="dxa"/>
            <w:vAlign w:val="bottom"/>
            <w:shd w:val="clear" w:color="auto" w:fill="C0C0C0"/>
          </w:tcPr>
          <w:p>
            <w:pPr>
              <w:ind w:left="40"/>
              <w:spacing w:after="0"/>
              <w:rPr>
                <w:sz w:val="20"/>
                <w:szCs w:val="20"/>
                <w:color w:val="auto"/>
              </w:rPr>
            </w:pPr>
            <w:r>
              <w:rPr>
                <w:rFonts w:ascii="Arial" w:cs="Arial" w:eastAsia="Arial" w:hAnsi="Arial"/>
                <w:sz w:val="22"/>
                <w:szCs w:val="22"/>
                <w:color w:val="auto"/>
              </w:rPr>
              <w:t>Primary Beneficiary Name</w:t>
            </w:r>
          </w:p>
        </w:tc>
        <w:tc>
          <w:tcPr>
            <w:tcW w:w="3260" w:type="dxa"/>
            <w:vAlign w:val="bottom"/>
            <w:shd w:val="clear" w:color="auto" w:fill="C0C0C0"/>
          </w:tcPr>
          <w:p>
            <w:pPr>
              <w:ind w:left="1580"/>
              <w:spacing w:after="0"/>
              <w:rPr>
                <w:sz w:val="20"/>
                <w:szCs w:val="20"/>
                <w:color w:val="auto"/>
              </w:rPr>
            </w:pPr>
            <w:r>
              <w:rPr>
                <w:rFonts w:ascii="Arial" w:cs="Arial" w:eastAsia="Arial" w:hAnsi="Arial"/>
                <w:sz w:val="22"/>
                <w:szCs w:val="22"/>
                <w:color w:val="auto"/>
              </w:rPr>
              <w:t>Relationship</w:t>
            </w:r>
          </w:p>
        </w:tc>
        <w:tc>
          <w:tcPr>
            <w:tcW w:w="4200" w:type="dxa"/>
            <w:vAlign w:val="bottom"/>
            <w:shd w:val="clear" w:color="auto" w:fill="C0C0C0"/>
          </w:tcPr>
          <w:p>
            <w:pPr>
              <w:ind w:left="600"/>
              <w:spacing w:after="0"/>
              <w:rPr>
                <w:sz w:val="20"/>
                <w:szCs w:val="20"/>
                <w:color w:val="auto"/>
              </w:rPr>
            </w:pPr>
            <w:r>
              <w:rPr>
                <w:rFonts w:ascii="Arial" w:cs="Arial" w:eastAsia="Arial" w:hAnsi="Arial"/>
                <w:sz w:val="22"/>
                <w:szCs w:val="22"/>
                <w:color w:val="auto"/>
              </w:rPr>
              <w:t>Percent (Must total 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4060" w:type="dxa"/>
            <w:vAlign w:val="bottom"/>
            <w:shd w:val="clear" w:color="auto" w:fill="C0C0C0"/>
          </w:tcPr>
          <w:p>
            <w:pPr>
              <w:ind w:left="40"/>
              <w:spacing w:after="0"/>
              <w:rPr>
                <w:sz w:val="20"/>
                <w:szCs w:val="20"/>
                <w:color w:val="auto"/>
              </w:rPr>
            </w:pPr>
            <w:r>
              <w:rPr>
                <w:rFonts w:ascii="Arial" w:cs="Arial" w:eastAsia="Arial" w:hAnsi="Arial"/>
                <w:sz w:val="22"/>
                <w:szCs w:val="22"/>
                <w:color w:val="auto"/>
              </w:rPr>
              <w:t>Secondary Beneficiary Name</w:t>
            </w:r>
          </w:p>
        </w:tc>
        <w:tc>
          <w:tcPr>
            <w:tcW w:w="3160" w:type="dxa"/>
            <w:vAlign w:val="bottom"/>
            <w:shd w:val="clear" w:color="auto" w:fill="C0C0C0"/>
          </w:tcPr>
          <w:p>
            <w:pPr>
              <w:ind w:left="1480"/>
              <w:spacing w:after="0"/>
              <w:rPr>
                <w:sz w:val="20"/>
                <w:szCs w:val="20"/>
                <w:color w:val="auto"/>
              </w:rPr>
            </w:pPr>
            <w:r>
              <w:rPr>
                <w:rFonts w:ascii="Arial" w:cs="Arial" w:eastAsia="Arial" w:hAnsi="Arial"/>
                <w:sz w:val="22"/>
                <w:szCs w:val="22"/>
                <w:color w:val="auto"/>
              </w:rPr>
              <w:t>Relationship</w:t>
            </w:r>
          </w:p>
        </w:tc>
        <w:tc>
          <w:tcPr>
            <w:tcW w:w="4200" w:type="dxa"/>
            <w:vAlign w:val="bottom"/>
            <w:shd w:val="clear" w:color="auto" w:fill="C0C0C0"/>
          </w:tcPr>
          <w:p>
            <w:pPr>
              <w:ind w:left="600"/>
              <w:spacing w:after="0"/>
              <w:rPr>
                <w:sz w:val="20"/>
                <w:szCs w:val="20"/>
                <w:color w:val="auto"/>
              </w:rPr>
            </w:pPr>
            <w:r>
              <w:rPr>
                <w:rFonts w:ascii="Arial" w:cs="Arial" w:eastAsia="Arial" w:hAnsi="Arial"/>
                <w:sz w:val="22"/>
                <w:szCs w:val="22"/>
                <w:color w:val="auto"/>
              </w:rPr>
              <w:t>Percent (Must total 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1355090</wp:posOffset>
            </wp:positionV>
            <wp:extent cx="102044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11">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Alexandra Pruner</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No. of Phantom Class A Shares: 21,384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1815465</wp:posOffset>
            </wp:positionH>
            <wp:positionV relativeFrom="paragraph">
              <wp:posOffset>-17780</wp:posOffset>
            </wp:positionV>
            <wp:extent cx="51435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12">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-17780</wp:posOffset>
            </wp:positionV>
            <wp:extent cx="6858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1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40" w:type="dxa"/>
            <w:vAlign w:val="bottom"/>
          </w:tcPr>
          <w:p>
            <w:pPr>
              <w:ind w:left="1900"/>
              <w:spacing w:after="0"/>
              <w:rPr>
                <w:sz w:val="20"/>
                <w:szCs w:val="20"/>
                <w:color w:val="auto"/>
              </w:rPr>
            </w:pPr>
            <w:r>
              <w:rPr>
                <w:rFonts w:ascii="Arial" w:cs="Arial" w:eastAsia="Arial" w:hAnsi="Arial"/>
                <w:sz w:val="18"/>
                <w:szCs w:val="18"/>
                <w:b w:val="1"/>
                <w:bCs w:val="1"/>
                <w:color w:val="auto"/>
                <w:w w:val="91"/>
              </w:rPr>
              <w:t>Exhibit 21.1</w:t>
            </w:r>
          </w:p>
        </w:tc>
      </w:tr>
      <w:tr>
        <w:trPr>
          <w:trHeight w:val="216"/>
        </w:trPr>
        <w:tc>
          <w:tcPr>
            <w:tcW w:w="4080" w:type="dxa"/>
            <w:vAlign w:val="bottom"/>
          </w:tcPr>
          <w:p>
            <w:pPr>
              <w:spacing w:after="0"/>
              <w:rPr>
                <w:sz w:val="18"/>
                <w:szCs w:val="18"/>
                <w:color w:val="auto"/>
              </w:rPr>
            </w:pPr>
          </w:p>
        </w:tc>
        <w:tc>
          <w:tcPr>
            <w:tcW w:w="7340" w:type="dxa"/>
            <w:vAlign w:val="bottom"/>
            <w:gridSpan w:val="3"/>
          </w:tcPr>
          <w:p>
            <w:pPr>
              <w:jc w:val="center"/>
              <w:ind w:right="3970"/>
              <w:spacing w:after="0"/>
              <w:rPr>
                <w:sz w:val="20"/>
                <w:szCs w:val="20"/>
                <w:color w:val="auto"/>
              </w:rPr>
            </w:pPr>
            <w:r>
              <w:rPr>
                <w:rFonts w:ascii="Arial" w:cs="Arial" w:eastAsia="Arial" w:hAnsi="Arial"/>
                <w:sz w:val="18"/>
                <w:szCs w:val="18"/>
                <w:b w:val="1"/>
                <w:bCs w:val="1"/>
                <w:color w:val="auto"/>
                <w:w w:val="98"/>
              </w:rPr>
              <w:t>SUBSIDIARIES OF</w:t>
            </w:r>
          </w:p>
        </w:tc>
      </w:tr>
      <w:tr>
        <w:trPr>
          <w:trHeight w:val="220"/>
        </w:trPr>
        <w:tc>
          <w:tcPr>
            <w:tcW w:w="4080" w:type="dxa"/>
            <w:vAlign w:val="bottom"/>
          </w:tcPr>
          <w:p>
            <w:pPr>
              <w:spacing w:after="0"/>
              <w:rPr>
                <w:sz w:val="19"/>
                <w:szCs w:val="19"/>
                <w:color w:val="auto"/>
              </w:rPr>
            </w:pPr>
          </w:p>
        </w:tc>
        <w:tc>
          <w:tcPr>
            <w:tcW w:w="7340" w:type="dxa"/>
            <w:vAlign w:val="bottom"/>
            <w:gridSpan w:val="3"/>
          </w:tcPr>
          <w:p>
            <w:pPr>
              <w:jc w:val="center"/>
              <w:ind w:right="3970"/>
              <w:spacing w:after="0"/>
              <w:rPr>
                <w:sz w:val="20"/>
                <w:szCs w:val="20"/>
                <w:color w:val="auto"/>
              </w:rPr>
            </w:pPr>
            <w:r>
              <w:rPr>
                <w:rFonts w:ascii="Arial" w:cs="Arial" w:eastAsia="Arial" w:hAnsi="Arial"/>
                <w:sz w:val="18"/>
                <w:szCs w:val="18"/>
                <w:b w:val="1"/>
                <w:bCs w:val="1"/>
                <w:color w:val="auto"/>
                <w:w w:val="98"/>
              </w:rPr>
              <w:t>PLAINS GP HOLDINGS, L.P.</w:t>
            </w:r>
          </w:p>
        </w:tc>
      </w:tr>
      <w:tr>
        <w:trPr>
          <w:trHeight w:val="230"/>
        </w:trPr>
        <w:tc>
          <w:tcPr>
            <w:tcW w:w="4080" w:type="dxa"/>
            <w:vAlign w:val="bottom"/>
          </w:tcPr>
          <w:p>
            <w:pPr>
              <w:spacing w:after="0"/>
              <w:rPr>
                <w:sz w:val="20"/>
                <w:szCs w:val="20"/>
                <w:color w:val="auto"/>
              </w:rPr>
            </w:pPr>
          </w:p>
        </w:tc>
        <w:tc>
          <w:tcPr>
            <w:tcW w:w="7340" w:type="dxa"/>
            <w:vAlign w:val="bottom"/>
            <w:gridSpan w:val="3"/>
          </w:tcPr>
          <w:p>
            <w:pPr>
              <w:jc w:val="center"/>
              <w:ind w:right="399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i w:val="1"/>
                <w:iCs w:val="1"/>
                <w:color w:val="auto"/>
                <w:w w:val="92"/>
              </w:rPr>
              <w:t>As of 1/1/2019</w:t>
            </w:r>
            <w:r>
              <w:rPr>
                <w:rFonts w:ascii="Arial" w:cs="Arial" w:eastAsia="Arial" w:hAnsi="Arial"/>
                <w:sz w:val="18"/>
                <w:szCs w:val="18"/>
                <w:color w:val="auto"/>
                <w:w w:val="92"/>
              </w:rPr>
              <w:t>)</w:t>
            </w:r>
          </w:p>
        </w:tc>
      </w:tr>
      <w:tr>
        <w:trPr>
          <w:trHeight w:val="332"/>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w:t>
            </w:r>
          </w:p>
        </w:tc>
        <w:tc>
          <w:tcPr>
            <w:tcW w:w="4040" w:type="dxa"/>
            <w:vAlign w:val="bottom"/>
            <w:tcBorders>
              <w:bottom w:val="single" w:sz="8" w:color="auto"/>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Aurora Pipeline Company Ltd.</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Canada</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Bakersfield Crude Terminal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Cactus II Pipeline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Capline Pipeline Company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Eagle Ford Crude Terminal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Lone Star Trucking,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4"/>
              </w:rPr>
              <w:t>California</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Niobrara Crude Terminal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PAA Finance Corp.</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PAA GP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PAA Luxembourg S.a.r.l.</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Luxembourg</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PAA Midstream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PAA Natural Gas Canada ULC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4"/>
              </w:rPr>
              <w:t>Alberta</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PAA Natural Gas Storage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PAA Natural Gas Storage, L.P.</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PAA Service Corp.</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PAA/Vulcan Gas Storage,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Pacific Energy Group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Pacific L.A. Marine Terminal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Pacific Pipeline System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Pine Prairie Energy Center,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AAP, L.P.</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Plains All American Emergency Relief Fund, Inc.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All American GP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Plains All American Pipeline, L.P.</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Capline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Plains Gas Solutions,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GP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Plains LPG Services GP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LPG Services, L.P.</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Plains Marketing Bondholder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Marketing Canada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Plains Marketing, L.P.</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Midstream Canada ULC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British Columbia</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Plains Midstream Luxembourg S.a.r.l.</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Luxembourg</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Midstream Superior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Plains Pipeline, L.P.</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Pipeline Montana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Plains Products Terminals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Rail Holdings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Plains South Texas Gathering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Terminals North Dakota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Plains West Coast Terminals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PMC (Nova Scotia) Company</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Nova Scotia</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PNG Marketing,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43"/>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PNGS GP LLC</w:t>
            </w:r>
          </w:p>
        </w:tc>
        <w:tc>
          <w:tcPr>
            <w:tcW w:w="40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580" w:right="239" w:bottom="1440" w:gutter="0" w:footer="0" w:header="0"/>
        </w:sectPr>
      </w:pPr>
    </w:p>
    <w:bookmarkStart w:id="197" w:name="page198"/>
    <w:bookmarkEnd w:id="1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w:t>
            </w:r>
          </w:p>
        </w:tc>
        <w:tc>
          <w:tcPr>
            <w:tcW w:w="460" w:type="dxa"/>
            <w:vAlign w:val="bottom"/>
          </w:tcPr>
          <w:p>
            <w:pPr>
              <w:spacing w:after="0"/>
              <w:rPr>
                <w:sz w:val="16"/>
                <w:szCs w:val="16"/>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PPEC Bondholder, LLC</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8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Rancho LPG Holdings LLC</w:t>
            </w: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Rocky Mountain Pipeline Montana LLC</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8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Rocky Mountain Pipeline System LLC</w:t>
            </w: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SG Resources Mississippi, L.L.C.</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8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 James Rail Terminal LLC</w:t>
            </w: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Sunrise Pipeline LLC</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8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43"/>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Van Hook Crude Terminal LLC</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8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738"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333-200596, 333-210067, 333-214964, 333-216194, and 333-218463) and on Form S-8 (No. 333-193141) of Plains GP Holdings, L.P. of our report dated February 26, 2019 relating to the financial statements and the effectiveness of internal control over financial reporting, which appears in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ectPr>
          <w:pgSz w:w="11900" w:h="16838" w:orient="portrait"/>
          <w:cols w:equalWidth="0" w:num="1">
            <w:col w:w="11420"/>
          </w:cols>
          <w:pgMar w:left="240" w:top="581"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Plains GP Holdings,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1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1380" w:hanging="724"/>
        <w:spacing w:after="0" w:line="264" w:lineRule="auto"/>
        <w:tabs>
          <w:tab w:leader="none" w:pos="13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80" w:right="140" w:hanging="724"/>
        <w:spacing w:after="0" w:line="264" w:lineRule="auto"/>
        <w:tabs>
          <w:tab w:leader="none" w:pos="13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80" w:right="300" w:hanging="724"/>
        <w:spacing w:after="0" w:line="342" w:lineRule="auto"/>
        <w:tabs>
          <w:tab w:leader="none" w:pos="13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80" w:hanging="724"/>
        <w:spacing w:after="0" w:line="264" w:lineRule="auto"/>
        <w:tabs>
          <w:tab w:leader="none" w:pos="13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sz w:val="20"/>
          <w:szCs w:val="20"/>
          <w:color w:val="auto"/>
        </w:rPr>
      </w:pPr>
    </w:p>
    <w:p>
      <w:pPr>
        <w:ind w:right="40" w:firstLine="656"/>
        <w:spacing w:after="0" w:line="308" w:lineRule="auto"/>
        <w:tabs>
          <w:tab w:leader="none" w:pos="873"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left="1380" w:right="540" w:hanging="724"/>
        <w:spacing w:after="0" w:line="342" w:lineRule="auto"/>
        <w:tabs>
          <w:tab w:leader="none" w:pos="13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80" w:right="240" w:hanging="724"/>
        <w:spacing w:after="0" w:line="277" w:lineRule="auto"/>
        <w:tabs>
          <w:tab w:leader="none" w:pos="13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Willie Chiang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Plains GP Holdings,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1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1380" w:hanging="724"/>
        <w:spacing w:after="0" w:line="264" w:lineRule="auto"/>
        <w:tabs>
          <w:tab w:leader="none" w:pos="13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80" w:right="140" w:hanging="724"/>
        <w:spacing w:after="0" w:line="264" w:lineRule="auto"/>
        <w:tabs>
          <w:tab w:leader="none" w:pos="13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80" w:right="300" w:hanging="724"/>
        <w:spacing w:after="0" w:line="342" w:lineRule="auto"/>
        <w:tabs>
          <w:tab w:leader="none" w:pos="13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80" w:hanging="724"/>
        <w:spacing w:after="0" w:line="264" w:lineRule="auto"/>
        <w:tabs>
          <w:tab w:leader="none" w:pos="13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sz w:val="20"/>
          <w:szCs w:val="20"/>
          <w:color w:val="auto"/>
        </w:rPr>
      </w:pPr>
    </w:p>
    <w:p>
      <w:pPr>
        <w:ind w:right="40" w:firstLine="656"/>
        <w:spacing w:after="0" w:line="308" w:lineRule="auto"/>
        <w:tabs>
          <w:tab w:leader="none" w:pos="873"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left="1380" w:right="540" w:hanging="724"/>
        <w:spacing w:after="0" w:line="342" w:lineRule="auto"/>
        <w:tabs>
          <w:tab w:leader="none" w:pos="13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80" w:right="240" w:hanging="724"/>
        <w:spacing w:after="0" w:line="277" w:lineRule="auto"/>
        <w:tabs>
          <w:tab w:leader="none" w:pos="13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1"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Chief Executive Officer of Plains GP Holdings, L.P. (the “Company”), hereby certify that:</w:t>
      </w:r>
    </w:p>
    <w:p>
      <w:pPr>
        <w:spacing w:after="0" w:line="225" w:lineRule="exact"/>
        <w:rPr>
          <w:sz w:val="20"/>
          <w:szCs w:val="20"/>
          <w:color w:val="auto"/>
        </w:rPr>
      </w:pPr>
    </w:p>
    <w:p>
      <w:pPr>
        <w:ind w:left="1380" w:right="140" w:hanging="724"/>
        <w:spacing w:after="0" w:line="264" w:lineRule="auto"/>
        <w:tabs>
          <w:tab w:leader="none" w:pos="13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accompanying report on Form 10-K for the period ended December 31, 2018 and filed with the Securities and Exchange Commission on the date hereof (the “Report”) by the Company fully complies with the requirements of Section 13(a) or 15(d) of the Securities Exchange Act of 1934, as amended; and</w:t>
      </w:r>
    </w:p>
    <w:p>
      <w:pPr>
        <w:spacing w:after="0" w:line="73" w:lineRule="exact"/>
        <w:rPr>
          <w:rFonts w:ascii="Arial" w:cs="Arial" w:eastAsia="Arial" w:hAnsi="Arial"/>
          <w:sz w:val="18"/>
          <w:szCs w:val="18"/>
          <w:color w:val="auto"/>
        </w:rPr>
      </w:pPr>
    </w:p>
    <w:p>
      <w:pPr>
        <w:ind w:left="1380" w:right="420" w:hanging="724"/>
        <w:spacing w:after="0" w:line="277" w:lineRule="auto"/>
        <w:tabs>
          <w:tab w:leader="none" w:pos="13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Willie Chiang</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February 26, 2019</w:t>
      </w:r>
    </w:p>
    <w:p>
      <w:pPr>
        <w:sectPr>
          <w:pgSz w:w="11900" w:h="16838" w:orient="portrait"/>
          <w:cols w:equalWidth="0" w:num="1">
            <w:col w:w="11420"/>
          </w:cols>
          <w:pgMar w:left="240" w:top="580"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GP Holdings, L.P. (the “Company”), hereby certify that:</w:t>
      </w:r>
    </w:p>
    <w:p>
      <w:pPr>
        <w:spacing w:after="0" w:line="225" w:lineRule="exact"/>
        <w:rPr>
          <w:sz w:val="20"/>
          <w:szCs w:val="20"/>
          <w:color w:val="auto"/>
        </w:rPr>
      </w:pPr>
    </w:p>
    <w:p>
      <w:pPr>
        <w:ind w:left="1380" w:right="140" w:hanging="724"/>
        <w:spacing w:after="0" w:line="264" w:lineRule="auto"/>
        <w:tabs>
          <w:tab w:leader="none" w:pos="13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accompanying report on Form 10-K for the period ended December 31, 2018 and filed with the Securities and Exchange Commission on the date hereof (the “Report”) by the Company fully complies with the requirements of Section 13(a) or 15(d) of the Securities Exchange Act of 1934, as amended; and</w:t>
      </w:r>
    </w:p>
    <w:p>
      <w:pPr>
        <w:spacing w:after="0" w:line="73" w:lineRule="exact"/>
        <w:rPr>
          <w:rFonts w:ascii="Arial" w:cs="Arial" w:eastAsia="Arial" w:hAnsi="Arial"/>
          <w:sz w:val="18"/>
          <w:szCs w:val="18"/>
          <w:color w:val="auto"/>
        </w:rPr>
      </w:pPr>
    </w:p>
    <w:p>
      <w:pPr>
        <w:ind w:left="1380" w:right="420" w:hanging="724"/>
        <w:spacing w:after="0" w:line="277" w:lineRule="auto"/>
        <w:tabs>
          <w:tab w:leader="none" w:pos="13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Al Swanson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February 26, 2019</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3EFDC5"/>
    <w:multiLevelType w:val="hybridMultilevel"/>
    <w:lvl w:ilvl="0">
      <w:lvlJc w:val="left"/>
      <w:lvlText w:val="x"/>
      <w:numFmt w:val="bullet"/>
      <w:start w:val="1"/>
    </w:lvl>
  </w:abstractNum>
  <w:abstractNum w:abstractNumId="1">
    <w:nsid w:val="BF72B14"/>
    <w:multiLevelType w:val="hybridMultilevel"/>
    <w:lvl w:ilvl="0">
      <w:lvlJc w:val="left"/>
      <w:lvlText w:val="o"/>
      <w:numFmt w:val="bullet"/>
      <w:start w:val="1"/>
    </w:lvl>
  </w:abstractNum>
  <w:abstractNum w:abstractNumId="2">
    <w:nsid w:val="11447B73"/>
    <w:multiLevelType w:val="hybridMultilevel"/>
    <w:lvl w:ilvl="0">
      <w:lvlJc w:val="left"/>
      <w:lvlText w:val="•"/>
      <w:numFmt w:val="bullet"/>
      <w:start w:val="1"/>
    </w:lvl>
  </w:abstractNum>
  <w:abstractNum w:abstractNumId="3">
    <w:nsid w:val="42963E5A"/>
    <w:multiLevelType w:val="hybridMultilevel"/>
    <w:lvl w:ilvl="0">
      <w:lvlJc w:val="left"/>
      <w:lvlText w:val="•"/>
      <w:numFmt w:val="bullet"/>
      <w:start w:val="1"/>
    </w:lvl>
  </w:abstractNum>
  <w:abstractNum w:abstractNumId="4">
    <w:nsid w:val="A0382C5"/>
    <w:multiLevelType w:val="hybridMultilevel"/>
    <w:lvl w:ilvl="0">
      <w:lvlJc w:val="left"/>
      <w:lvlText w:val="(%1)"/>
      <w:numFmt w:val="lowerRoman"/>
      <w:start w:val="2"/>
    </w:lvl>
  </w:abstractNum>
  <w:abstractNum w:abstractNumId="5">
    <w:nsid w:val="8F2B15E"/>
    <w:multiLevelType w:val="hybridMultilevel"/>
    <w:lvl w:ilvl="0">
      <w:lvlJc w:val="left"/>
      <w:lvlText w:val="(%1)"/>
      <w:numFmt w:val="decimal"/>
      <w:start w:val="1"/>
    </w:lvl>
  </w:abstractNum>
  <w:abstractNum w:abstractNumId="6">
    <w:nsid w:val="1A32234B"/>
    <w:multiLevelType w:val="hybridMultilevel"/>
    <w:lvl w:ilvl="0">
      <w:lvlJc w:val="left"/>
      <w:lvlText w:val="(%1)"/>
      <w:numFmt w:val="decimal"/>
      <w:start w:val="1"/>
    </w:lvl>
  </w:abstractNum>
  <w:abstractNum w:abstractNumId="7">
    <w:nsid w:val="3B0FD379"/>
    <w:multiLevelType w:val="hybridMultilevel"/>
    <w:lvl w:ilvl="0">
      <w:lvlJc w:val="left"/>
      <w:lvlText w:val="•"/>
      <w:numFmt w:val="bullet"/>
      <w:start w:val="1"/>
    </w:lvl>
  </w:abstractNum>
  <w:abstractNum w:abstractNumId="8">
    <w:nsid w:val="68EB2F63"/>
    <w:multiLevelType w:val="hybridMultilevel"/>
    <w:lvl w:ilvl="0">
      <w:lvlJc w:val="left"/>
      <w:lvlText w:val="•"/>
      <w:numFmt w:val="bullet"/>
      <w:start w:val="1"/>
    </w:lvl>
  </w:abstractNum>
  <w:abstractNum w:abstractNumId="9">
    <w:nsid w:val="4962813B"/>
    <w:multiLevelType w:val="hybridMultilevel"/>
    <w:lvl w:ilvl="0">
      <w:lvlJc w:val="left"/>
      <w:lvlText w:val="•"/>
      <w:numFmt w:val="bullet"/>
      <w:start w:val="1"/>
    </w:lvl>
  </w:abstractNum>
  <w:abstractNum w:abstractNumId="10">
    <w:nsid w:val="60B6DF70"/>
    <w:multiLevelType w:val="hybridMultilevel"/>
    <w:lvl w:ilvl="0">
      <w:lvlJc w:val="left"/>
      <w:lvlText w:val="•"/>
      <w:numFmt w:val="bullet"/>
      <w:start w:val="1"/>
    </w:lvl>
  </w:abstractNum>
  <w:abstractNum w:abstractNumId="11">
    <w:nsid w:val="6A5EE64"/>
    <w:multiLevelType w:val="hybridMultilevel"/>
    <w:lvl w:ilvl="0">
      <w:lvlJc w:val="left"/>
      <w:lvlText w:val="(%1)"/>
      <w:numFmt w:val="decimal"/>
      <w:start w:val="1"/>
    </w:lvl>
  </w:abstractNum>
  <w:abstractNum w:abstractNumId="12">
    <w:nsid w:val="14330624"/>
    <w:multiLevelType w:val="hybridMultilevel"/>
    <w:lvl w:ilvl="0">
      <w:lvlJc w:val="left"/>
      <w:lvlText w:val="(%1)"/>
      <w:numFmt w:val="decimal"/>
      <w:start w:val="1"/>
    </w:lvl>
  </w:abstractNum>
  <w:abstractNum w:abstractNumId="13">
    <w:nsid w:val="7FFFCA11"/>
    <w:multiLevelType w:val="hybridMultilevel"/>
    <w:lvl w:ilvl="0">
      <w:lvlJc w:val="left"/>
      <w:lvlText w:val="(%1)"/>
      <w:numFmt w:val="decimal"/>
      <w:start w:val="1"/>
    </w:lvl>
  </w:abstractNum>
  <w:abstractNum w:abstractNumId="14">
    <w:nsid w:val="1A27709E"/>
    <w:multiLevelType w:val="hybridMultilevel"/>
    <w:lvl w:ilvl="0">
      <w:lvlJc w:val="left"/>
      <w:lvlText w:val="(%1)"/>
      <w:numFmt w:val="decimal"/>
      <w:start w:val="1"/>
    </w:lvl>
  </w:abstractNum>
  <w:abstractNum w:abstractNumId="15">
    <w:nsid w:val="71EA1109"/>
    <w:multiLevelType w:val="hybridMultilevel"/>
    <w:lvl w:ilvl="0">
      <w:lvlJc w:val="left"/>
      <w:lvlText w:val="•"/>
      <w:numFmt w:val="bullet"/>
      <w:start w:val="1"/>
    </w:lvl>
  </w:abstractNum>
  <w:abstractNum w:abstractNumId="16">
    <w:nsid w:val="100F59DC"/>
    <w:multiLevelType w:val="hybridMultilevel"/>
    <w:lvl w:ilvl="0">
      <w:lvlJc w:val="left"/>
      <w:lvlText w:val="•"/>
      <w:numFmt w:val="bullet"/>
      <w:start w:val="1"/>
    </w:lvl>
  </w:abstractNum>
  <w:abstractNum w:abstractNumId="17">
    <w:nsid w:val="7FB7E0AA"/>
    <w:multiLevelType w:val="hybridMultilevel"/>
    <w:lvl w:ilvl="0">
      <w:lvlJc w:val="left"/>
      <w:lvlText w:val="(%1)"/>
      <w:numFmt w:val="lowerRoman"/>
      <w:start w:val="1"/>
    </w:lvl>
  </w:abstractNum>
  <w:abstractNum w:abstractNumId="18">
    <w:nsid w:val="6EB5BD4"/>
    <w:multiLevelType w:val="hybridMultilevel"/>
    <w:lvl w:ilvl="0">
      <w:lvlJc w:val="left"/>
      <w:lvlText w:val="•"/>
      <w:numFmt w:val="bullet"/>
      <w:start w:val="1"/>
    </w:lvl>
  </w:abstractNum>
  <w:abstractNum w:abstractNumId="19">
    <w:nsid w:val="6F6DD9AC"/>
    <w:multiLevelType w:val="hybridMultilevel"/>
    <w:lvl w:ilvl="0">
      <w:lvlJc w:val="left"/>
      <w:lvlText w:val="(%1)"/>
      <w:numFmt w:val="decimal"/>
      <w:start w:val="1"/>
    </w:lvl>
  </w:abstractNum>
  <w:abstractNum w:abstractNumId="20">
    <w:nsid w:val="94211F2"/>
    <w:multiLevelType w:val="hybridMultilevel"/>
    <w:lvl w:ilvl="0">
      <w:lvlJc w:val="left"/>
      <w:lvlText w:val="(%1)"/>
      <w:numFmt w:val="decimal"/>
      <w:start w:val="2"/>
    </w:lvl>
  </w:abstractNum>
  <w:abstractNum w:abstractNumId="21">
    <w:nsid w:val="885E1B"/>
    <w:multiLevelType w:val="hybridMultilevel"/>
    <w:lvl w:ilvl="0">
      <w:lvlJc w:val="left"/>
      <w:lvlText w:val="•"/>
      <w:numFmt w:val="bullet"/>
      <w:start w:val="1"/>
    </w:lvl>
  </w:abstractNum>
  <w:abstractNum w:abstractNumId="22">
    <w:nsid w:val="76272110"/>
    <w:multiLevelType w:val="hybridMultilevel"/>
    <w:lvl w:ilvl="0">
      <w:lvlJc w:val="left"/>
      <w:lvlText w:val="•"/>
      <w:numFmt w:val="bullet"/>
      <w:start w:val="1"/>
    </w:lvl>
  </w:abstractNum>
  <w:abstractNum w:abstractNumId="23">
    <w:nsid w:val="4C04A8AF"/>
    <w:multiLevelType w:val="hybridMultilevel"/>
    <w:lvl w:ilvl="0">
      <w:lvlJc w:val="left"/>
      <w:lvlText w:val="(%1)"/>
      <w:numFmt w:val="lowerRoman"/>
      <w:start w:val="2"/>
    </w:lvl>
  </w:abstractNum>
  <w:abstractNum w:abstractNumId="24">
    <w:nsid w:val="1716703B"/>
    <w:multiLevelType w:val="hybridMultilevel"/>
    <w:lvl w:ilvl="0">
      <w:lvlJc w:val="left"/>
      <w:lvlText w:val="•"/>
      <w:numFmt w:val="bullet"/>
      <w:start w:val="1"/>
    </w:lvl>
  </w:abstractNum>
  <w:abstractNum w:abstractNumId="25">
    <w:nsid w:val="14E17E33"/>
    <w:multiLevelType w:val="hybridMultilevel"/>
    <w:lvl w:ilvl="0">
      <w:lvlJc w:val="left"/>
      <w:lvlText w:val="(%1)"/>
      <w:numFmt w:val="decimal"/>
      <w:start w:val="1"/>
    </w:lvl>
  </w:abstractNum>
  <w:abstractNum w:abstractNumId="26">
    <w:nsid w:val="3222E7CD"/>
    <w:multiLevelType w:val="hybridMultilevel"/>
    <w:lvl w:ilvl="0">
      <w:lvlJc w:val="left"/>
      <w:lvlText w:val="•"/>
      <w:numFmt w:val="bullet"/>
      <w:start w:val="1"/>
    </w:lvl>
  </w:abstractNum>
  <w:abstractNum w:abstractNumId="27">
    <w:nsid w:val="74DE0EE3"/>
    <w:multiLevelType w:val="hybridMultilevel"/>
    <w:lvl w:ilvl="0">
      <w:lvlJc w:val="left"/>
      <w:lvlText w:val="•"/>
      <w:numFmt w:val="bullet"/>
      <w:start w:val="1"/>
    </w:lvl>
  </w:abstractNum>
  <w:abstractNum w:abstractNumId="28">
    <w:nsid w:val="68EBC550"/>
    <w:multiLevelType w:val="hybridMultilevel"/>
    <w:lvl w:ilvl="0">
      <w:lvlJc w:val="left"/>
      <w:lvlText w:val="(%1)"/>
      <w:numFmt w:val="lowerRoman"/>
      <w:start w:val="3"/>
    </w:lvl>
  </w:abstractNum>
  <w:abstractNum w:abstractNumId="29">
    <w:nsid w:val="2DF6D648"/>
    <w:multiLevelType w:val="hybridMultilevel"/>
    <w:lvl w:ilvl="0">
      <w:lvlJc w:val="left"/>
      <w:lvlText w:val="•"/>
      <w:numFmt w:val="bullet"/>
      <w:start w:val="1"/>
    </w:lvl>
  </w:abstractNum>
  <w:abstractNum w:abstractNumId="30">
    <w:nsid w:val="46B7D447"/>
    <w:multiLevelType w:val="hybridMultilevel"/>
    <w:lvl w:ilvl="0">
      <w:lvlJc w:val="left"/>
      <w:lvlText w:val="•"/>
      <w:numFmt w:val="bullet"/>
      <w:start w:val="1"/>
    </w:lvl>
  </w:abstractNum>
  <w:abstractNum w:abstractNumId="31">
    <w:nsid w:val="4A2AC315"/>
    <w:multiLevelType w:val="hybridMultilevel"/>
    <w:lvl w:ilvl="0">
      <w:lvlJc w:val="left"/>
      <w:lvlText w:val="•"/>
      <w:numFmt w:val="bullet"/>
      <w:start w:val="1"/>
    </w:lvl>
  </w:abstractNum>
  <w:abstractNum w:abstractNumId="32">
    <w:nsid w:val="39EE015C"/>
    <w:multiLevelType w:val="hybridMultilevel"/>
    <w:lvl w:ilvl="0">
      <w:lvlJc w:val="left"/>
      <w:lvlText w:val="•"/>
      <w:numFmt w:val="bullet"/>
      <w:start w:val="1"/>
    </w:lvl>
  </w:abstractNum>
  <w:abstractNum w:abstractNumId="33">
    <w:nsid w:val="57FC4FBB"/>
    <w:multiLevelType w:val="hybridMultilevel"/>
    <w:lvl w:ilvl="0">
      <w:lvlJc w:val="left"/>
      <w:lvlText w:val="•"/>
      <w:numFmt w:val="bullet"/>
      <w:start w:val="1"/>
    </w:lvl>
  </w:abstractNum>
  <w:abstractNum w:abstractNumId="34">
    <w:nsid w:val="CC1016F"/>
    <w:multiLevelType w:val="hybridMultilevel"/>
    <w:lvl w:ilvl="0">
      <w:lvlJc w:val="left"/>
      <w:lvlText w:val="•"/>
      <w:numFmt w:val="bullet"/>
      <w:start w:val="1"/>
    </w:lvl>
  </w:abstractNum>
  <w:abstractNum w:abstractNumId="35">
    <w:nsid w:val="43F18422"/>
    <w:multiLevelType w:val="hybridMultilevel"/>
    <w:lvl w:ilvl="0">
      <w:lvlJc w:val="left"/>
      <w:lvlText w:val="•"/>
      <w:numFmt w:val="bullet"/>
      <w:start w:val="1"/>
    </w:lvl>
  </w:abstractNum>
  <w:abstractNum w:abstractNumId="36">
    <w:nsid w:val="60EF0119"/>
    <w:multiLevelType w:val="hybridMultilevel"/>
    <w:lvl w:ilvl="0">
      <w:lvlJc w:val="left"/>
      <w:lvlText w:val="•"/>
      <w:numFmt w:val="bullet"/>
      <w:start w:val="1"/>
    </w:lvl>
  </w:abstractNum>
  <w:abstractNum w:abstractNumId="37">
    <w:nsid w:val="26F324BA"/>
    <w:multiLevelType w:val="hybridMultilevel"/>
    <w:lvl w:ilvl="0">
      <w:lvlJc w:val="left"/>
      <w:lvlText w:val="•"/>
      <w:numFmt w:val="bullet"/>
      <w:start w:val="1"/>
    </w:lvl>
    <w:lvl w:ilvl="1">
      <w:lvlJc w:val="left"/>
      <w:lvlText w:val="◦"/>
      <w:numFmt w:val="bullet"/>
      <w:start w:val="1"/>
    </w:lvl>
  </w:abstractNum>
  <w:abstractNum w:abstractNumId="38">
    <w:nsid w:val="7F01579B"/>
    <w:multiLevelType w:val="hybridMultilevel"/>
    <w:lvl w:ilvl="0">
      <w:lvlJc w:val="left"/>
      <w:lvlText w:val="•"/>
      <w:numFmt w:val="bullet"/>
      <w:start w:val="1"/>
    </w:lvl>
    <w:lvl w:ilvl="1">
      <w:lvlJc w:val="left"/>
      <w:lvlText w:val="◦"/>
      <w:numFmt w:val="bullet"/>
      <w:start w:val="1"/>
    </w:lvl>
  </w:abstractNum>
  <w:abstractNum w:abstractNumId="39">
    <w:nsid w:val="49DA307D"/>
    <w:multiLevelType w:val="hybridMultilevel"/>
    <w:lvl w:ilvl="0">
      <w:lvlJc w:val="left"/>
      <w:lvlText w:val="(%1)"/>
      <w:numFmt w:val="lowerRoman"/>
      <w:start w:val="1"/>
    </w:lvl>
  </w:abstractNum>
  <w:abstractNum w:abstractNumId="40">
    <w:nsid w:val="7055A5F5"/>
    <w:multiLevelType w:val="hybridMultilevel"/>
    <w:lvl w:ilvl="0">
      <w:lvlJc w:val="left"/>
      <w:lvlText w:val="•"/>
      <w:numFmt w:val="bullet"/>
      <w:start w:val="1"/>
    </w:lvl>
  </w:abstractNum>
  <w:abstractNum w:abstractNumId="41">
    <w:nsid w:val="5FB8370B"/>
    <w:multiLevelType w:val="hybridMultilevel"/>
    <w:lvl w:ilvl="0">
      <w:lvlJc w:val="left"/>
      <w:lvlText w:val="•"/>
      <w:numFmt w:val="bullet"/>
      <w:start w:val="1"/>
    </w:lvl>
  </w:abstractNum>
  <w:abstractNum w:abstractNumId="42">
    <w:nsid w:val="50801EE1"/>
    <w:multiLevelType w:val="hybridMultilevel"/>
    <w:lvl w:ilvl="0">
      <w:lvlJc w:val="left"/>
      <w:lvlText w:val="•"/>
      <w:numFmt w:val="bullet"/>
      <w:start w:val="1"/>
    </w:lvl>
  </w:abstractNum>
  <w:abstractNum w:abstractNumId="43">
    <w:nsid w:val="488AC1A"/>
    <w:multiLevelType w:val="hybridMultilevel"/>
    <w:lvl w:ilvl="0">
      <w:lvlJc w:val="left"/>
      <w:lvlText w:val="•"/>
      <w:numFmt w:val="bullet"/>
      <w:start w:val="1"/>
    </w:lvl>
  </w:abstractNum>
  <w:abstractNum w:abstractNumId="44">
    <w:nsid w:val="5FB8011C"/>
    <w:multiLevelType w:val="hybridMultilevel"/>
    <w:lvl w:ilvl="0">
      <w:lvlJc w:val="left"/>
      <w:lvlText w:val="•"/>
      <w:numFmt w:val="bullet"/>
      <w:start w:val="1"/>
    </w:lvl>
  </w:abstractNum>
  <w:abstractNum w:abstractNumId="45">
    <w:nsid w:val="6AA78F7F"/>
    <w:multiLevelType w:val="hybridMultilevel"/>
    <w:lvl w:ilvl="0">
      <w:lvlJc w:val="left"/>
      <w:lvlText w:val="•"/>
      <w:numFmt w:val="bullet"/>
      <w:start w:val="1"/>
    </w:lvl>
  </w:abstractNum>
  <w:abstractNum w:abstractNumId="46">
    <w:nsid w:val="7672BD23"/>
    <w:multiLevelType w:val="hybridMultilevel"/>
    <w:lvl w:ilvl="0">
      <w:lvlJc w:val="left"/>
      <w:lvlText w:val="(%1)"/>
      <w:numFmt w:val="decimal"/>
      <w:start w:val="1"/>
    </w:lvl>
  </w:abstractNum>
  <w:abstractNum w:abstractNumId="47">
    <w:nsid w:val="6FC75AF8"/>
    <w:multiLevelType w:val="hybridMultilevel"/>
    <w:lvl w:ilvl="0">
      <w:lvlJc w:val="left"/>
      <w:lvlText w:val="•"/>
      <w:numFmt w:val="bullet"/>
      <w:start w:val="1"/>
    </w:lvl>
  </w:abstractNum>
  <w:abstractNum w:abstractNumId="48">
    <w:nsid w:val="6A5F7029"/>
    <w:multiLevelType w:val="hybridMultilevel"/>
    <w:lvl w:ilvl="0">
      <w:lvlJc w:val="left"/>
      <w:lvlText w:val="•"/>
      <w:numFmt w:val="bullet"/>
      <w:start w:val="1"/>
    </w:lvl>
  </w:abstractNum>
  <w:abstractNum w:abstractNumId="49">
    <w:nsid w:val="7D5E18F8"/>
    <w:multiLevelType w:val="hybridMultilevel"/>
    <w:lvl w:ilvl="0">
      <w:lvlJc w:val="left"/>
      <w:lvlText w:val="•"/>
      <w:numFmt w:val="bullet"/>
      <w:start w:val="1"/>
    </w:lvl>
  </w:abstractNum>
  <w:abstractNum w:abstractNumId="50">
    <w:nsid w:val="5F3534A4"/>
    <w:multiLevelType w:val="hybridMultilevel"/>
    <w:lvl w:ilvl="0">
      <w:lvlJc w:val="left"/>
      <w:lvlText w:val="(%1)"/>
      <w:numFmt w:val="decimal"/>
      <w:start w:val="1"/>
    </w:lvl>
  </w:abstractNum>
  <w:abstractNum w:abstractNumId="51">
    <w:nsid w:val="73A1821B"/>
    <w:multiLevelType w:val="hybridMultilevel"/>
    <w:lvl w:ilvl="0">
      <w:lvlJc w:val="left"/>
      <w:lvlText w:val="(%1)"/>
      <w:numFmt w:val="decimal"/>
      <w:start w:val="1"/>
    </w:lvl>
  </w:abstractNum>
  <w:abstractNum w:abstractNumId="52">
    <w:nsid w:val="7DE67713"/>
    <w:multiLevelType w:val="hybridMultilevel"/>
    <w:lvl w:ilvl="0">
      <w:lvlJc w:val="left"/>
      <w:lvlText w:val="(%1)"/>
      <w:numFmt w:val="decimal"/>
      <w:start w:val="1"/>
    </w:lvl>
  </w:abstractNum>
  <w:abstractNum w:abstractNumId="53">
    <w:nsid w:val="555C55B5"/>
    <w:multiLevelType w:val="hybridMultilevel"/>
    <w:lvl w:ilvl="0">
      <w:lvlJc w:val="left"/>
      <w:lvlText w:val="(%1)"/>
      <w:numFmt w:val="lowerRoman"/>
      <w:start w:val="4"/>
    </w:lvl>
  </w:abstractNum>
  <w:abstractNum w:abstractNumId="54">
    <w:nsid w:val="3FA62ACA"/>
    <w:multiLevelType w:val="hybridMultilevel"/>
    <w:lvl w:ilvl="0">
      <w:lvlJc w:val="left"/>
      <w:lvlText w:val="•"/>
      <w:numFmt w:val="bullet"/>
      <w:start w:val="1"/>
    </w:lvl>
  </w:abstractNum>
  <w:abstractNum w:abstractNumId="55">
    <w:nsid w:val="14FCE74E"/>
    <w:multiLevelType w:val="hybridMultilevel"/>
    <w:lvl w:ilvl="0">
      <w:lvlJc w:val="left"/>
      <w:lvlText w:val="(%1)"/>
      <w:numFmt w:val="decimal"/>
    </w:lvl>
    <w:lvl w:ilvl="1">
      <w:lvlJc w:val="left"/>
      <w:lvlText w:val="**"/>
      <w:numFmt w:val="bullet"/>
      <w:start w:val="1"/>
    </w:lvl>
  </w:abstractNum>
  <w:abstractNum w:abstractNumId="56">
    <w:nsid w:val="6A3DD3E8"/>
    <w:multiLevelType w:val="hybridMultilevel"/>
    <w:lvl w:ilvl="0">
      <w:lvlJc w:val="left"/>
      <w:lvlText w:val="**"/>
      <w:numFmt w:val="bullet"/>
      <w:start w:val="1"/>
    </w:lvl>
  </w:abstractNum>
  <w:abstractNum w:abstractNumId="57">
    <w:nsid w:val="71C91298"/>
    <w:multiLevelType w:val="hybridMultilevel"/>
    <w:lvl w:ilvl="0">
      <w:lvlJc w:val="left"/>
      <w:lvlText w:val="(%1)"/>
      <w:numFmt w:val="decimal"/>
      <w:start w:val="1"/>
    </w:lvl>
  </w:abstractNum>
  <w:abstractNum w:abstractNumId="58">
    <w:nsid w:val="9DAF632"/>
    <w:multiLevelType w:val="hybridMultilevel"/>
    <w:lvl w:ilvl="0">
      <w:lvlJc w:val="left"/>
      <w:lvlText w:val="(%1)"/>
      <w:numFmt w:val="decimal"/>
      <w:start w:val="3"/>
    </w:lvl>
  </w:abstractNum>
  <w:abstractNum w:abstractNumId="59">
    <w:nsid w:val="53299938"/>
    <w:multiLevelType w:val="hybridMultilevel"/>
    <w:lvl w:ilvl="0">
      <w:lvlJc w:val="left"/>
      <w:lvlText w:val="(%1)"/>
      <w:numFmt w:val="decimal"/>
      <w:start w:val="1"/>
    </w:lvl>
  </w:abstractNum>
  <w:abstractNum w:abstractNumId="60">
    <w:nsid w:val="1FBFE8E0"/>
    <w:multiLevelType w:val="hybridMultilevel"/>
    <w:lvl w:ilvl="0">
      <w:lvlJc w:val="left"/>
      <w:lvlText w:val="•"/>
      <w:numFmt w:val="bullet"/>
      <w:start w:val="1"/>
    </w:lvl>
  </w:abstractNum>
  <w:abstractNum w:abstractNumId="61">
    <w:nsid w:val="5092CA79"/>
    <w:multiLevelType w:val="hybridMultilevel"/>
    <w:lvl w:ilvl="0">
      <w:lvlJc w:val="left"/>
      <w:lvlText w:val="•"/>
      <w:numFmt w:val="bullet"/>
      <w:start w:val="1"/>
    </w:lvl>
  </w:abstractNum>
  <w:abstractNum w:abstractNumId="62">
    <w:nsid w:val="1D545C4D"/>
    <w:multiLevelType w:val="hybridMultilevel"/>
    <w:lvl w:ilvl="0">
      <w:lvlJc w:val="left"/>
      <w:lvlText w:val="(%1)"/>
      <w:numFmt w:val="decimal"/>
      <w:start w:val="1"/>
    </w:lvl>
  </w:abstractNum>
  <w:abstractNum w:abstractNumId="63">
    <w:nsid w:val="59ADEA3D"/>
    <w:multiLevelType w:val="hybridMultilevel"/>
    <w:lvl w:ilvl="0">
      <w:lvlJc w:val="left"/>
      <w:lvlText w:val="(%1)"/>
      <w:numFmt w:val="decimal"/>
      <w:start w:val="4"/>
    </w:lvl>
  </w:abstractNum>
  <w:abstractNum w:abstractNumId="64">
    <w:nsid w:val="288F1A34"/>
    <w:multiLevelType w:val="hybridMultilevel"/>
    <w:lvl w:ilvl="0">
      <w:lvlJc w:val="left"/>
      <w:lvlText w:val="•"/>
      <w:numFmt w:val="bullet"/>
      <w:start w:val="1"/>
    </w:lvl>
  </w:abstractNum>
  <w:abstractNum w:abstractNumId="65">
    <w:nsid w:val="2A155DBC"/>
    <w:multiLevelType w:val="hybridMultilevel"/>
    <w:lvl w:ilvl="0">
      <w:lvlJc w:val="left"/>
      <w:lvlText w:val="•"/>
      <w:numFmt w:val="bullet"/>
      <w:start w:val="1"/>
    </w:lvl>
  </w:abstractNum>
  <w:abstractNum w:abstractNumId="66">
    <w:nsid w:val="1D9F6E5F"/>
    <w:multiLevelType w:val="hybridMultilevel"/>
    <w:lvl w:ilvl="0">
      <w:lvlJc w:val="left"/>
      <w:lvlText w:val="(%1)"/>
      <w:numFmt w:val="decimal"/>
      <w:start w:val="1"/>
    </w:lvl>
  </w:abstractNum>
  <w:abstractNum w:abstractNumId="67">
    <w:nsid w:val="97E1B4E"/>
    <w:multiLevelType w:val="hybridMultilevel"/>
    <w:lvl w:ilvl="0">
      <w:lvlJc w:val="left"/>
      <w:lvlText w:val="•"/>
      <w:numFmt w:val="bullet"/>
      <w:start w:val="1"/>
    </w:lvl>
  </w:abstractNum>
  <w:abstractNum w:abstractNumId="68">
    <w:nsid w:val="51088277"/>
    <w:multiLevelType w:val="hybridMultilevel"/>
    <w:lvl w:ilvl="0">
      <w:lvlJc w:val="left"/>
      <w:lvlText w:val="•"/>
      <w:numFmt w:val="bullet"/>
      <w:start w:val="1"/>
    </w:lvl>
  </w:abstractNum>
  <w:abstractNum w:abstractNumId="69">
    <w:nsid w:val="1CA0C5FA"/>
    <w:multiLevelType w:val="hybridMultilevel"/>
    <w:lvl w:ilvl="0">
      <w:lvlJc w:val="left"/>
      <w:lvlText w:val="•"/>
      <w:numFmt w:val="bullet"/>
      <w:start w:val="1"/>
    </w:lvl>
  </w:abstractNum>
  <w:abstractNum w:abstractNumId="70">
    <w:nsid w:val="53584BCB"/>
    <w:multiLevelType w:val="hybridMultilevel"/>
    <w:lvl w:ilvl="0">
      <w:lvlJc w:val="left"/>
      <w:lvlText w:val="(%1)"/>
      <w:numFmt w:val="decimal"/>
      <w:start w:val="1"/>
    </w:lvl>
  </w:abstractNum>
  <w:abstractNum w:abstractNumId="71">
    <w:nsid w:val="415E286C"/>
    <w:multiLevelType w:val="hybridMultilevel"/>
    <w:lvl w:ilvl="0">
      <w:lvlJc w:val="left"/>
      <w:lvlText w:val="(%1)"/>
      <w:numFmt w:val="decimal"/>
      <w:start w:val="1"/>
    </w:lvl>
  </w:abstractNum>
  <w:abstractNum w:abstractNumId="72">
    <w:nsid w:val="7C58FD05"/>
    <w:multiLevelType w:val="hybridMultilevel"/>
    <w:lvl w:ilvl="0">
      <w:lvlJc w:val="left"/>
      <w:lvlText w:val="(%1)"/>
      <w:numFmt w:val="decimal"/>
      <w:start w:val="1"/>
    </w:lvl>
  </w:abstractNum>
  <w:abstractNum w:abstractNumId="73">
    <w:nsid w:val="23D86AAC"/>
    <w:multiLevelType w:val="hybridMultilevel"/>
    <w:lvl w:ilvl="0">
      <w:lvlJc w:val="left"/>
      <w:lvlText w:val="(%1)"/>
      <w:numFmt w:val="lowerRoman"/>
      <w:start w:val="2"/>
    </w:lvl>
  </w:abstractNum>
  <w:abstractNum w:abstractNumId="74">
    <w:nsid w:val="45E6D486"/>
    <w:multiLevelType w:val="hybridMultilevel"/>
    <w:lvl w:ilvl="0">
      <w:lvlJc w:val="left"/>
      <w:lvlText w:val="(%1)"/>
      <w:numFmt w:val="decimal"/>
      <w:start w:val="1"/>
    </w:lvl>
  </w:abstractNum>
  <w:abstractNum w:abstractNumId="75">
    <w:nsid w:val="5C10FE21"/>
    <w:multiLevelType w:val="hybridMultilevel"/>
    <w:lvl w:ilvl="0">
      <w:lvlJc w:val="left"/>
      <w:lvlText w:val="(%1)"/>
      <w:numFmt w:val="lowerRoman"/>
      <w:start w:val="2"/>
    </w:lvl>
  </w:abstractNum>
  <w:abstractNum w:abstractNumId="76">
    <w:nsid w:val="E7FFA2B"/>
    <w:multiLevelType w:val="hybridMultilevel"/>
    <w:lvl w:ilvl="0">
      <w:lvlJc w:val="left"/>
      <w:lvlText w:val="(%1)"/>
      <w:numFmt w:val="decimal"/>
      <w:start w:val="1"/>
    </w:lvl>
  </w:abstractNum>
  <w:abstractNum w:abstractNumId="77">
    <w:nsid w:val="3C5991AA"/>
    <w:multiLevelType w:val="hybridMultilevel"/>
    <w:lvl w:ilvl="0">
      <w:lvlJc w:val="left"/>
      <w:lvlText w:val="(%1)"/>
      <w:numFmt w:val="decimal"/>
      <w:start w:val="1"/>
    </w:lvl>
  </w:abstractNum>
  <w:abstractNum w:abstractNumId="78">
    <w:nsid w:val="4BD8591A"/>
    <w:multiLevelType w:val="hybridMultilevel"/>
    <w:lvl w:ilvl="0">
      <w:lvlJc w:val="left"/>
      <w:lvlText w:val="(%1)"/>
      <w:numFmt w:val="decimal"/>
      <w:start w:val="1"/>
    </w:lvl>
  </w:abstractNum>
  <w:abstractNum w:abstractNumId="79">
    <w:nsid w:val="78DF6A55"/>
    <w:multiLevelType w:val="hybridMultilevel"/>
    <w:lvl w:ilvl="0">
      <w:lvlJc w:val="left"/>
      <w:lvlText w:val="(%1)"/>
      <w:numFmt w:val="decimal"/>
      <w:start w:val="1"/>
    </w:lvl>
  </w:abstractNum>
  <w:abstractNum w:abstractNumId="80">
    <w:nsid w:val="39B7AAA2"/>
    <w:multiLevelType w:val="hybridMultilevel"/>
    <w:lvl w:ilvl="0">
      <w:lvlJc w:val="left"/>
      <w:lvlText w:val="(%1)"/>
      <w:numFmt w:val="decimal"/>
      <w:start w:val="1"/>
    </w:lvl>
  </w:abstractNum>
  <w:abstractNum w:abstractNumId="81">
    <w:nsid w:val="2B0D8DBE"/>
    <w:multiLevelType w:val="hybridMultilevel"/>
    <w:lvl w:ilvl="0">
      <w:lvlJc w:val="left"/>
      <w:lvlText w:val="(%1)"/>
      <w:numFmt w:val="decimal"/>
      <w:start w:val="4"/>
    </w:lvl>
  </w:abstractNum>
  <w:abstractNum w:abstractNumId="82">
    <w:nsid w:val="6C80EC70"/>
    <w:multiLevelType w:val="hybridMultilevel"/>
    <w:lvl w:ilvl="0">
      <w:lvlJc w:val="left"/>
      <w:lvlText w:val="(%1)"/>
      <w:numFmt w:val="decimal"/>
      <w:start w:val="1"/>
    </w:lvl>
  </w:abstractNum>
  <w:abstractNum w:abstractNumId="83">
    <w:nsid w:val="379E21B5"/>
    <w:multiLevelType w:val="hybridMultilevel"/>
    <w:lvl w:ilvl="0">
      <w:lvlJc w:val="left"/>
      <w:lvlText w:val="•"/>
      <w:numFmt w:val="bullet"/>
      <w:start w:val="1"/>
    </w:lvl>
  </w:abstractNum>
  <w:abstractNum w:abstractNumId="84">
    <w:nsid w:val="69E373"/>
    <w:multiLevelType w:val="hybridMultilevel"/>
    <w:lvl w:ilvl="0">
      <w:lvlJc w:val="left"/>
      <w:lvlText w:val="*"/>
      <w:numFmt w:val="bullet"/>
      <w:start w:val="1"/>
    </w:lvl>
  </w:abstractNum>
  <w:abstractNum w:abstractNumId="85">
    <w:nsid w:val="2C27173B"/>
    <w:multiLevelType w:val="hybridMultilevel"/>
    <w:lvl w:ilvl="0">
      <w:lvlJc w:val="left"/>
      <w:lvlText w:val="(%1)"/>
      <w:numFmt w:val="decimal"/>
      <w:start w:val="1"/>
    </w:lvl>
  </w:abstractNum>
  <w:abstractNum w:abstractNumId="86">
    <w:nsid w:val="4C9B0904"/>
    <w:multiLevelType w:val="hybridMultilevel"/>
    <w:lvl w:ilvl="0">
      <w:lvlJc w:val="left"/>
      <w:lvlText w:val="(%1)"/>
      <w:numFmt w:val="lowerLetter"/>
      <w:start w:val="1"/>
    </w:lvl>
  </w:abstractNum>
  <w:abstractNum w:abstractNumId="87">
    <w:nsid w:val="6AA7B75C"/>
    <w:multiLevelType w:val="hybridMultilevel"/>
    <w:lvl w:ilvl="0">
      <w:lvlJc w:val="left"/>
      <w:lvlText w:val="(%1)"/>
      <w:numFmt w:val="decimal"/>
      <w:start w:val="2"/>
    </w:lvl>
  </w:abstractNum>
  <w:abstractNum w:abstractNumId="88">
    <w:nsid w:val="1DF029D3"/>
    <w:multiLevelType w:val="hybridMultilevel"/>
    <w:lvl w:ilvl="0">
      <w:lvlJc w:val="left"/>
      <w:lvlText w:val="(%1)"/>
      <w:numFmt w:val="decimal"/>
      <w:start w:val="3"/>
    </w:lvl>
  </w:abstractNum>
  <w:abstractNum w:abstractNumId="89">
    <w:nsid w:val="5675FF36"/>
    <w:multiLevelType w:val="hybridMultilevel"/>
    <w:lvl w:ilvl="0">
      <w:lvlJc w:val="left"/>
      <w:lvlText w:val="†"/>
      <w:numFmt w:val="bullet"/>
      <w:start w:val="1"/>
    </w:lvl>
  </w:abstractNum>
  <w:abstractNum w:abstractNumId="90">
    <w:nsid w:val="3DD15094"/>
    <w:multiLevelType w:val="hybridMultilevel"/>
    <w:lvl w:ilvl="0">
      <w:lvlJc w:val="left"/>
      <w:lvlText w:val="††"/>
      <w:numFmt w:val="bullet"/>
      <w:start w:val="1"/>
    </w:lvl>
  </w:abstractNum>
  <w:abstractNum w:abstractNumId="91">
    <w:nsid w:val="3DB012B3"/>
    <w:multiLevelType w:val="hybridMultilevel"/>
    <w:lvl w:ilvl="0">
      <w:lvlJc w:val="left"/>
      <w:lvlText w:val="*"/>
      <w:numFmt w:val="bullet"/>
      <w:start w:val="1"/>
    </w:lvl>
  </w:abstractNum>
  <w:abstractNum w:abstractNumId="92">
    <w:nsid w:val="2708C9AF"/>
    <w:multiLevelType w:val="hybridMultilevel"/>
    <w:lvl w:ilvl="0">
      <w:lvlJc w:val="left"/>
      <w:lvlText w:val="**"/>
      <w:numFmt w:val="bullet"/>
      <w:start w:val="1"/>
    </w:lvl>
  </w:abstractNum>
  <w:abstractNum w:abstractNumId="93">
    <w:nsid w:val="5B25ACE2"/>
    <w:multiLevelType w:val="hybridMultilevel"/>
    <w:lvl w:ilvl="0">
      <w:lvlJc w:val="left"/>
      <w:lvlText w:val="***"/>
      <w:numFmt w:val="bullet"/>
      <w:start w:val="1"/>
    </w:lvl>
  </w:abstractNum>
  <w:abstractNum w:abstractNumId="94">
    <w:nsid w:val="175DFCF0"/>
    <w:multiLevelType w:val="hybridMultilevel"/>
    <w:lvl w:ilvl="0">
      <w:lvlJc w:val="left"/>
      <w:lvlText w:val="•"/>
      <w:numFmt w:val="bullet"/>
      <w:start w:val="1"/>
    </w:lvl>
  </w:abstractNum>
  <w:abstractNum w:abstractNumId="95">
    <w:nsid w:val="4F97E3E4"/>
    <w:multiLevelType w:val="hybridMultilevel"/>
    <w:lvl w:ilvl="0">
      <w:lvlJc w:val="left"/>
      <w:lvlText w:val="•"/>
      <w:numFmt w:val="bullet"/>
      <w:start w:val="1"/>
    </w:lvl>
  </w:abstractNum>
  <w:abstractNum w:abstractNumId="96">
    <w:nsid w:val="53B0A9E"/>
    <w:multiLevelType w:val="hybridMultilevel"/>
    <w:lvl w:ilvl="0">
      <w:lvlJc w:val="left"/>
      <w:lvlText w:val="•"/>
      <w:numFmt w:val="bullet"/>
      <w:start w:val="1"/>
    </w:lvl>
  </w:abstractNum>
  <w:abstractNum w:abstractNumId="97">
    <w:nsid w:val="34FD6B4F"/>
    <w:multiLevelType w:val="hybridMultilevel"/>
    <w:lvl w:ilvl="0">
      <w:lvlJc w:val="left"/>
      <w:lvlText w:val="(%1)"/>
      <w:numFmt w:val="lowerRoman"/>
      <w:start w:val="3"/>
    </w:lvl>
  </w:abstractNum>
  <w:abstractNum w:abstractNumId="98">
    <w:nsid w:val="5915FF32"/>
    <w:multiLevelType w:val="hybridMultilevel"/>
    <w:lvl w:ilvl="0">
      <w:lvlJc w:val="left"/>
      <w:lvlText w:val="(%1)"/>
      <w:numFmt w:val="lowerRoman"/>
      <w:start w:val="3"/>
    </w:lvl>
  </w:abstractNum>
  <w:abstractNum w:abstractNumId="99">
    <w:nsid w:val="56438D15"/>
    <w:multiLevelType w:val="hybridMultilevel"/>
    <w:lvl w:ilvl="0">
      <w:lvlJc w:val="left"/>
      <w:lvlText w:val="(%1)"/>
      <w:numFmt w:val="decimal"/>
      <w:start w:val="1"/>
    </w:lvl>
  </w:abstractNum>
  <w:abstractNum w:abstractNumId="100">
    <w:nsid w:val="519E3149"/>
    <w:multiLevelType w:val="hybridMultilevel"/>
    <w:lvl w:ilvl="0">
      <w:lvlJc w:val="left"/>
      <w:lvlText w:val="(%1)"/>
      <w:numFmt w:val="decimal"/>
      <w:start w:val="1"/>
    </w:lvl>
  </w:abstractNum>
  <w:abstractNum w:abstractNumId="101">
    <w:nsid w:val="2C6E4AFD"/>
    <w:multiLevelType w:val="hybridMultilevel"/>
    <w:lvl w:ilvl="0">
      <w:lvlJc w:val="left"/>
      <w:lvlText w:val="•"/>
      <w:numFmt w:val="bullet"/>
      <w:start w:val="1"/>
    </w:lvl>
  </w:abstractNum>
  <w:abstractNum w:abstractNumId="102">
    <w:nsid w:val="17A1B582"/>
    <w:multiLevelType w:val="hybridMultilevel"/>
    <w:lvl w:ilvl="0">
      <w:lvlJc w:val="left"/>
      <w:lvlText w:val="(%1)"/>
      <w:numFmt w:val="decimal"/>
      <w:start w:val="1"/>
    </w:lvl>
  </w:abstractNum>
  <w:abstractNum w:abstractNumId="103">
    <w:nsid w:val="4DF72E4E"/>
    <w:multiLevelType w:val="hybridMultilevel"/>
    <w:lvl w:ilvl="0">
      <w:lvlJc w:val="left"/>
      <w:lvlText w:val="(%1)"/>
      <w:numFmt w:val="lowerRoman"/>
      <w:start w:val="1"/>
    </w:lvl>
  </w:abstractNum>
  <w:abstractNum w:abstractNumId="104">
    <w:nsid w:val="5046B5A9"/>
    <w:multiLevelType w:val="hybridMultilevel"/>
    <w:lvl w:ilvl="0">
      <w:lvlJc w:val="left"/>
      <w:lvlText w:val="(%1)"/>
      <w:numFmt w:val="decimal"/>
      <w:start w:val="1"/>
    </w:lvl>
  </w:abstractNum>
  <w:abstractNum w:abstractNumId="105">
    <w:nsid w:val="5D888A08"/>
    <w:multiLevelType w:val="hybridMultilevel"/>
    <w:lvl w:ilvl="0">
      <w:lvlJc w:val="left"/>
      <w:lvlText w:val="(%1)"/>
      <w:numFmt w:val="decimal"/>
      <w:start w:val="1"/>
    </w:lvl>
  </w:abstractNum>
  <w:abstractNum w:abstractNumId="106">
    <w:nsid w:val="2A082C70"/>
    <w:multiLevelType w:val="hybridMultilevel"/>
    <w:lvl w:ilvl="0">
      <w:lvlJc w:val="left"/>
      <w:lvlText w:val="•"/>
      <w:numFmt w:val="bullet"/>
      <w:start w:val="1"/>
    </w:lvl>
  </w:abstractNum>
  <w:abstractNum w:abstractNumId="107">
    <w:nsid w:val="5EC6AFD4"/>
    <w:multiLevelType w:val="hybridMultilevel"/>
    <w:lvl w:ilvl="0">
      <w:lvlJc w:val="left"/>
      <w:lvlText w:val="•"/>
      <w:numFmt w:val="bullet"/>
      <w:start w:val="1"/>
    </w:lvl>
  </w:abstractNum>
  <w:abstractNum w:abstractNumId="108">
    <w:nsid w:val="19E21BB2"/>
    <w:multiLevelType w:val="hybridMultilevel"/>
    <w:lvl w:ilvl="0">
      <w:lvlJc w:val="left"/>
      <w:lvlText w:val="(%1)"/>
      <w:numFmt w:val="decimal"/>
      <w:start w:val="1"/>
    </w:lvl>
  </w:abstractNum>
  <w:abstractNum w:abstractNumId="109">
    <w:nsid w:val="75E0858A"/>
    <w:multiLevelType w:val="hybridMultilevel"/>
    <w:lvl w:ilvl="0">
      <w:lvlJc w:val="left"/>
      <w:lvlText w:val="(%1)"/>
      <w:numFmt w:val="decimal"/>
      <w:start w:val="1"/>
    </w:lvl>
  </w:abstractNum>
  <w:abstractNum w:abstractNumId="110">
    <w:nsid w:val="57A61A29"/>
    <w:multiLevelType w:val="hybridMultilevel"/>
    <w:lvl w:ilvl="0">
      <w:lvlJc w:val="left"/>
      <w:lvlText w:val="(%1)"/>
      <w:numFmt w:val="decimal"/>
      <w:start w:val="1"/>
    </w:lvl>
  </w:abstractNum>
  <w:abstractNum w:abstractNumId="111">
    <w:nsid w:val="5399C654"/>
    <w:multiLevelType w:val="hybridMultilevel"/>
    <w:lvl w:ilvl="0">
      <w:lvlJc w:val="left"/>
      <w:lvlText w:val="(%1)"/>
      <w:numFmt w:val="decimal"/>
      <w:start w:val="1"/>
    </w:lvl>
  </w:abstractNum>
  <w:abstractNum w:abstractNumId="112">
    <w:nsid w:val="20EE1348"/>
    <w:multiLevelType w:val="hybridMultilevel"/>
    <w:lvl w:ilvl="0">
      <w:lvlJc w:val="left"/>
      <w:lvlText w:val="•"/>
      <w:numFmt w:val="bullet"/>
      <w:start w:val="1"/>
    </w:lvl>
  </w:abstractNum>
  <w:abstractNum w:abstractNumId="113">
    <w:nsid w:val="4427069A"/>
    <w:multiLevelType w:val="hybridMultilevel"/>
    <w:lvl w:ilvl="0">
      <w:lvlJc w:val="left"/>
      <w:lvlText w:val="(%1)"/>
      <w:numFmt w:val="decimal"/>
      <w:start w:val="1"/>
    </w:lvl>
  </w:abstractNum>
  <w:abstractNum w:abstractNumId="114">
    <w:nsid w:val="B37E80A"/>
    <w:multiLevelType w:val="hybridMultilevel"/>
    <w:lvl w:ilvl="0">
      <w:lvlJc w:val="left"/>
      <w:lvlText w:val="(%1)"/>
      <w:numFmt w:val="decimal"/>
      <w:start w:val="1"/>
    </w:lvl>
  </w:abstractNum>
  <w:abstractNum w:abstractNumId="115">
    <w:nsid w:val="2157F6BC"/>
    <w:multiLevelType w:val="hybridMultilevel"/>
    <w:lvl w:ilvl="0">
      <w:lvlJc w:val="left"/>
      <w:lvlText w:val="(%1)"/>
      <w:numFmt w:val="decimal"/>
      <w:start w:val="1"/>
    </w:lvl>
  </w:abstractNum>
  <w:abstractNum w:abstractNumId="116">
    <w:nsid w:val="704E1DD5"/>
    <w:multiLevelType w:val="hybridMultilevel"/>
    <w:lvl w:ilvl="0">
      <w:lvlJc w:val="left"/>
      <w:lvlText w:val="(%1)"/>
      <w:numFmt w:val="decimal"/>
      <w:start w:val="1"/>
    </w:lvl>
  </w:abstractNum>
  <w:abstractNum w:abstractNumId="117">
    <w:nsid w:val="57D2F10E"/>
    <w:multiLevelType w:val="hybridMultilevel"/>
    <w:lvl w:ilvl="0">
      <w:lvlJc w:val="left"/>
      <w:lvlText w:val="(%1)"/>
      <w:numFmt w:val="decimal"/>
      <w:start w:val="1"/>
    </w:lvl>
  </w:abstractNum>
  <w:abstractNum w:abstractNumId="118">
    <w:nsid w:val="BFFAE18"/>
    <w:multiLevelType w:val="hybridMultilevel"/>
    <w:lvl w:ilvl="0">
      <w:lvlJc w:val="left"/>
      <w:lvlText w:val="•"/>
      <w:numFmt w:val="bullet"/>
      <w:start w:val="1"/>
    </w:lvl>
  </w:abstractNum>
  <w:abstractNum w:abstractNumId="119">
    <w:nsid w:val="E3E47A8"/>
    <w:multiLevelType w:val="hybridMultilevel"/>
    <w:lvl w:ilvl="0">
      <w:lvlJc w:val="left"/>
      <w:lvlText w:val="(%1)"/>
      <w:numFmt w:val="decimal"/>
      <w:start w:val="1"/>
    </w:lvl>
  </w:abstractNum>
  <w:abstractNum w:abstractNumId="120">
    <w:nsid w:val="2E48F044"/>
    <w:multiLevelType w:val="hybridMultilevel"/>
    <w:lvl w:ilvl="0">
      <w:lvlJc w:val="left"/>
      <w:lvlText w:val="(%1)"/>
      <w:numFmt w:val="decimal"/>
      <w:start w:val="2"/>
    </w:lvl>
  </w:abstractNum>
  <w:abstractNum w:abstractNumId="121">
    <w:nsid w:val="49D0FEAC"/>
    <w:multiLevelType w:val="hybridMultilevel"/>
    <w:lvl w:ilvl="0">
      <w:lvlJc w:val="left"/>
      <w:lvlText w:val="(%1)"/>
      <w:numFmt w:val="decimal"/>
      <w:start w:val="1"/>
    </w:lvl>
  </w:abstractNum>
  <w:abstractNum w:abstractNumId="122">
    <w:nsid w:val="4BEE5A5B"/>
    <w:multiLevelType w:val="hybridMultilevel"/>
    <w:lvl w:ilvl="0">
      <w:lvlJc w:val="left"/>
      <w:lvlText w:val="(%1)"/>
      <w:numFmt w:val="decimal"/>
      <w:start w:val="1"/>
    </w:lvl>
  </w:abstractNum>
  <w:abstractNum w:abstractNumId="123">
    <w:nsid w:val="5551B9F3"/>
    <w:multiLevelType w:val="hybridMultilevel"/>
    <w:lvl w:ilvl="0">
      <w:lvlJc w:val="left"/>
      <w:lvlText w:val="•"/>
      <w:numFmt w:val="bullet"/>
      <w:start w:val="1"/>
    </w:lvl>
  </w:abstractNum>
  <w:abstractNum w:abstractNumId="124">
    <w:nsid w:val="24F6AB8E"/>
    <w:multiLevelType w:val="hybridMultilevel"/>
    <w:lvl w:ilvl="0">
      <w:lvlJc w:val="left"/>
      <w:lvlText w:val="(%1)"/>
      <w:numFmt w:val="decimal"/>
      <w:start w:val="1"/>
    </w:lvl>
  </w:abstractNum>
  <w:abstractNum w:abstractNumId="125">
    <w:nsid w:val="634C574C"/>
    <w:multiLevelType w:val="hybridMultilevel"/>
    <w:lvl w:ilvl="0">
      <w:lvlJc w:val="left"/>
      <w:lvlText w:val="(%1)"/>
      <w:numFmt w:val="decimal"/>
      <w:start w:val="1"/>
    </w:lvl>
  </w:abstractNum>
  <w:abstractNum w:abstractNumId="126">
    <w:nsid w:val="24E99DD7"/>
    <w:multiLevelType w:val="hybridMultilevel"/>
    <w:lvl w:ilvl="0">
      <w:lvlJc w:val="left"/>
      <w:lvlText w:val="(%1)"/>
      <w:numFmt w:val="decimal"/>
      <w:start w:val="1"/>
    </w:lvl>
  </w:abstractNum>
  <w:abstractNum w:abstractNumId="127">
    <w:nsid w:val="2A31B62D"/>
    <w:multiLevelType w:val="hybridMultilevel"/>
    <w:lvl w:ilvl="0">
      <w:lvlJc w:val="left"/>
      <w:lvlText w:val="(%1)"/>
      <w:numFmt w:val="decimal"/>
      <w:start w:val="1"/>
    </w:lvl>
  </w:abstractNum>
  <w:abstractNum w:abstractNumId="128">
    <w:nsid w:val="1849C29B"/>
    <w:multiLevelType w:val="hybridMultilevel"/>
    <w:lvl w:ilvl="0">
      <w:lvlJc w:val="left"/>
      <w:lvlText w:val="(%1)"/>
      <w:numFmt w:val="decimal"/>
      <w:start w:val="1"/>
    </w:lvl>
  </w:abstractNum>
  <w:abstractNum w:abstractNumId="129">
    <w:nsid w:val="7DFF9D09"/>
    <w:multiLevelType w:val="hybridMultilevel"/>
    <w:lvl w:ilvl="0">
      <w:lvlJc w:val="left"/>
      <w:lvlText w:val="(%1)"/>
      <w:numFmt w:val="decimal"/>
      <w:start w:val="1"/>
    </w:lvl>
  </w:abstractNum>
  <w:abstractNum w:abstractNumId="130">
    <w:nsid w:val="754342"/>
    <w:multiLevelType w:val="hybridMultilevel"/>
    <w:lvl w:ilvl="0">
      <w:lvlJc w:val="left"/>
      <w:lvlText w:val="%1."/>
      <w:numFmt w:val="decimal"/>
      <w:start w:val="901"/>
    </w:lvl>
  </w:abstractNum>
  <w:abstractNum w:abstractNumId="131">
    <w:nsid w:val="69E7F3E5"/>
    <w:multiLevelType w:val="hybridMultilevel"/>
    <w:lvl w:ilvl="0">
      <w:lvlJc w:val="left"/>
      <w:lvlText w:val="(%1)"/>
      <w:numFmt w:val="decimal"/>
      <w:start w:val="1"/>
    </w:lvl>
  </w:abstractNum>
  <w:abstractNum w:abstractNumId="132">
    <w:nsid w:val="2A6DE806"/>
    <w:multiLevelType w:val="hybridMultilevel"/>
    <w:lvl w:ilvl="0">
      <w:lvlJc w:val="left"/>
      <w:lvlText w:val="(%1)"/>
      <w:numFmt w:val="decimal"/>
      <w:start w:val="1"/>
    </w:lvl>
  </w:abstractNum>
  <w:abstractNum w:abstractNumId="133">
    <w:nsid w:val="1816F8C4"/>
    <w:multiLevelType w:val="hybridMultilevel"/>
    <w:lvl w:ilvl="0">
      <w:lvlJc w:val="left"/>
      <w:lvlText w:val="(%1)"/>
      <w:numFmt w:val="decimal"/>
      <w:start w:val="1"/>
    </w:lvl>
  </w:abstractNum>
  <w:abstractNum w:abstractNumId="134">
    <w:nsid w:val="37DF2233"/>
    <w:multiLevelType w:val="hybridMultilevel"/>
    <w:lvl w:ilvl="0">
      <w:lvlJc w:val="left"/>
      <w:lvlText w:val="(%1)"/>
      <w:numFmt w:val="decimal"/>
      <w:start w:val="5"/>
    </w:lvl>
  </w:abstractNum>
  <w:abstractNum w:abstractNumId="135">
    <w:nsid w:val="7AB49DAF"/>
    <w:multiLevelType w:val="hybridMultilevel"/>
    <w:lvl w:ilvl="0">
      <w:lvlJc w:val="left"/>
      <w:lvlText w:val="(%1)"/>
      <w:numFmt w:val="decimal"/>
      <w:start w:val="1"/>
    </w:lvl>
  </w:abstractNum>
  <w:abstractNum w:abstractNumId="136">
    <w:nsid w:val="759F82CD"/>
    <w:multiLevelType w:val="hybridMultilevel"/>
    <w:lvl w:ilvl="0">
      <w:lvlJc w:val="left"/>
      <w:lvlText w:val="(%1)"/>
      <w:numFmt w:val="decimal"/>
      <w:start w:val="1"/>
    </w:lvl>
  </w:abstractNum>
  <w:abstractNum w:abstractNumId="137">
    <w:nsid w:val="61E74EA3"/>
    <w:multiLevelType w:val="hybridMultilevel"/>
    <w:lvl w:ilvl="0">
      <w:lvlJc w:val="left"/>
      <w:lvlText w:val="%1."/>
      <w:numFmt w:val="decimal"/>
      <w:start w:val="1"/>
    </w:lvl>
  </w:abstractNum>
  <w:abstractNum w:abstractNumId="138">
    <w:nsid w:val="597B4D84"/>
    <w:multiLevelType w:val="hybridMultilevel"/>
    <w:lvl w:ilvl="0">
      <w:lvlJc w:val="left"/>
      <w:lvlText w:val="%1."/>
      <w:numFmt w:val="decimal"/>
      <w:start w:val="6"/>
    </w:lvl>
  </w:abstractNum>
  <w:abstractNum w:abstractNumId="139">
    <w:nsid w:val="F819E7F"/>
    <w:multiLevelType w:val="hybridMultilevel"/>
    <w:lvl w:ilvl="0">
      <w:lvlJc w:val="left"/>
      <w:lvlText w:val="%1."/>
      <w:numFmt w:val="decimal"/>
      <w:start w:val="1"/>
    </w:lvl>
  </w:abstractNum>
  <w:abstractNum w:abstractNumId="140">
    <w:nsid w:val="57C7D42D"/>
    <w:multiLevelType w:val="hybridMultilevel"/>
    <w:lvl w:ilvl="0">
      <w:lvlJc w:val="left"/>
      <w:lvlText w:val="%1."/>
      <w:numFmt w:val="decimal"/>
      <w:start w:val="6"/>
    </w:lvl>
  </w:abstractNum>
  <w:abstractNum w:abstractNumId="141">
    <w:nsid w:val="312167AD"/>
    <w:multiLevelType w:val="hybridMultilevel"/>
    <w:lvl w:ilvl="0">
      <w:lvlJc w:val="left"/>
      <w:lvlText w:val="%1."/>
      <w:numFmt w:val="decimal"/>
      <w:start w:val="1"/>
    </w:lvl>
  </w:abstractNum>
  <w:abstractNum w:abstractNumId="142">
    <w:nsid w:val="631B64D4"/>
    <w:multiLevelType w:val="hybridMultilevel"/>
    <w:lvl w:ilvl="0">
      <w:lvlJc w:val="left"/>
      <w:lvlText w:val="(%1)"/>
      <w:numFmt w:val="lowerLetter"/>
      <w:start w:val="1"/>
    </w:lvl>
  </w:abstractNum>
  <w:abstractNum w:abstractNumId="143">
    <w:nsid w:val="78B5E776"/>
    <w:multiLevelType w:val="hybridMultilevel"/>
    <w:lvl w:ilvl="0">
      <w:lvlJc w:val="left"/>
      <w:lvlText w:val="%1."/>
      <w:numFmt w:val="decimal"/>
      <w:start w:val="5"/>
    </w:lvl>
  </w:abstractNum>
  <w:abstractNum w:abstractNumId="144">
    <w:nsid w:val="75486E47"/>
    <w:multiLevelType w:val="hybridMultilevel"/>
    <w:lvl w:ilvl="0">
      <w:lvlJc w:val="left"/>
      <w:lvlText w:val="(%1)"/>
      <w:numFmt w:val="lowerLetter"/>
      <w:start w:val="1"/>
    </w:lvl>
  </w:abstractNum>
  <w:abstractNum w:abstractNumId="145">
    <w:nsid w:val="6E534CDE"/>
    <w:multiLevelType w:val="hybridMultilevel"/>
    <w:lvl w:ilvl="0">
      <w:lvlJc w:val="left"/>
      <w:lvlText w:val="%1."/>
      <w:numFmt w:val="decimal"/>
      <w:start w:val="1"/>
    </w:lvl>
  </w:abstractNum>
  <w:abstractNum w:abstractNumId="146">
    <w:nsid w:val="1A0DDE32"/>
    <w:multiLevelType w:val="hybridMultilevel"/>
    <w:lvl w:ilvl="0">
      <w:lvlJc w:val="left"/>
      <w:lvlText w:val="(%1)"/>
      <w:numFmt w:val="lowerLetter"/>
      <w:start w:val="1"/>
    </w:lvl>
  </w:abstractNum>
  <w:abstractNum w:abstractNumId="147">
    <w:nsid w:val="65968C1C"/>
    <w:multiLevelType w:val="hybridMultilevel"/>
    <w:lvl w:ilvl="0">
      <w:lvlJc w:val="left"/>
      <w:lvlText w:val="%1."/>
      <w:numFmt w:val="decimal"/>
      <w:start w:val="5"/>
    </w:lvl>
  </w:abstractNum>
  <w:abstractNum w:abstractNumId="148">
    <w:nsid w:val="46263DEC"/>
    <w:multiLevelType w:val="hybridMultilevel"/>
    <w:lvl w:ilvl="0">
      <w:lvlJc w:val="left"/>
      <w:lvlText w:val="(%1)"/>
      <w:numFmt w:val="lowerLetter"/>
      <w:start w:val="1"/>
    </w:lvl>
  </w:abstractNum>
  <w:abstractNum w:abstractNumId="149">
    <w:nsid w:val="260D8C4A"/>
    <w:multiLevelType w:val="hybridMultilevel"/>
    <w:lvl w:ilvl="0">
      <w:lvlJc w:val="left"/>
      <w:lvlText w:val="(%1)"/>
      <w:numFmt w:val="lowerRoman"/>
      <w:start w:val="1"/>
    </w:lvl>
  </w:abstractNum>
  <w:abstractNum w:abstractNumId="150">
    <w:nsid w:val="73D4D3C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168" Type="http://schemas.openxmlformats.org/officeDocument/2006/relationships/image" Target="media/image65.png"/><Relationship Id="rId169" Type="http://schemas.openxmlformats.org/officeDocument/2006/relationships/image" Target="media/image66.png"/><Relationship Id="rId170" Type="http://schemas.openxmlformats.org/officeDocument/2006/relationships/image" Target="media/image67.png"/><Relationship Id="rId171" Type="http://schemas.openxmlformats.org/officeDocument/2006/relationships/image" Target="media/image68.png"/><Relationship Id="rId172" Type="http://schemas.openxmlformats.org/officeDocument/2006/relationships/image" Target="media/image69.png"/><Relationship Id="rId173" Type="http://schemas.openxmlformats.org/officeDocument/2006/relationships/image" Target="media/image70.png"/><Relationship Id="rId174" Type="http://schemas.openxmlformats.org/officeDocument/2006/relationships/image" Target="media/image71.png"/><Relationship Id="rId175" Type="http://schemas.openxmlformats.org/officeDocument/2006/relationships/image" Target="media/image72.png"/><Relationship Id="rId176" Type="http://schemas.openxmlformats.org/officeDocument/2006/relationships/image" Target="media/image73.png"/><Relationship Id="rId177" Type="http://schemas.openxmlformats.org/officeDocument/2006/relationships/image" Target="media/image74.png"/><Relationship Id="rId178" Type="http://schemas.openxmlformats.org/officeDocument/2006/relationships/image" Target="media/image75.png"/><Relationship Id="rId179" Type="http://schemas.openxmlformats.org/officeDocument/2006/relationships/image" Target="media/image76.png"/><Relationship Id="rId180" Type="http://schemas.openxmlformats.org/officeDocument/2006/relationships/image" Target="media/image77.png"/><Relationship Id="rId181" Type="http://schemas.openxmlformats.org/officeDocument/2006/relationships/image" Target="media/image78.png"/><Relationship Id="rId182" Type="http://schemas.openxmlformats.org/officeDocument/2006/relationships/image" Target="media/image79.png"/><Relationship Id="rId183" Type="http://schemas.openxmlformats.org/officeDocument/2006/relationships/image" Target="media/image80.png"/><Relationship Id="rId184" Type="http://schemas.openxmlformats.org/officeDocument/2006/relationships/image" Target="media/image81.png"/><Relationship Id="rId185" Type="http://schemas.openxmlformats.org/officeDocument/2006/relationships/image" Target="media/image82.png"/><Relationship Id="rId186" Type="http://schemas.openxmlformats.org/officeDocument/2006/relationships/image" Target="media/image83.png"/><Relationship Id="rId187" Type="http://schemas.openxmlformats.org/officeDocument/2006/relationships/image" Target="media/image84.png"/><Relationship Id="rId188" Type="http://schemas.openxmlformats.org/officeDocument/2006/relationships/image" Target="media/image85.png"/><Relationship Id="rId189" Type="http://schemas.openxmlformats.org/officeDocument/2006/relationships/image" Target="media/image86.png"/><Relationship Id="rId190" Type="http://schemas.openxmlformats.org/officeDocument/2006/relationships/image" Target="media/image87.png"/><Relationship Id="rId191" Type="http://schemas.openxmlformats.org/officeDocument/2006/relationships/image" Target="media/image88.png"/><Relationship Id="rId192" Type="http://schemas.openxmlformats.org/officeDocument/2006/relationships/image" Target="media/image89.png"/><Relationship Id="rId193" Type="http://schemas.openxmlformats.org/officeDocument/2006/relationships/image" Target="media/image90.png"/><Relationship Id="rId194" Type="http://schemas.openxmlformats.org/officeDocument/2006/relationships/image" Target="media/image91.png"/><Relationship Id="rId195" Type="http://schemas.openxmlformats.org/officeDocument/2006/relationships/image" Target="media/image92.png"/><Relationship Id="rId196" Type="http://schemas.openxmlformats.org/officeDocument/2006/relationships/image" Target="media/image93.png"/><Relationship Id="rId197" Type="http://schemas.openxmlformats.org/officeDocument/2006/relationships/image" Target="media/image94.png"/><Relationship Id="rId198" Type="http://schemas.openxmlformats.org/officeDocument/2006/relationships/image" Target="media/image95.png"/><Relationship Id="rId199" Type="http://schemas.openxmlformats.org/officeDocument/2006/relationships/image" Target="media/image96.png"/><Relationship Id="rId200" Type="http://schemas.openxmlformats.org/officeDocument/2006/relationships/image" Target="media/image97.png"/><Relationship Id="rId201" Type="http://schemas.openxmlformats.org/officeDocument/2006/relationships/image" Target="media/image98.png"/><Relationship Id="rId202" Type="http://schemas.openxmlformats.org/officeDocument/2006/relationships/image" Target="media/image99.png"/><Relationship Id="rId203" Type="http://schemas.openxmlformats.org/officeDocument/2006/relationships/image" Target="media/image100.png"/><Relationship Id="rId204" Type="http://schemas.openxmlformats.org/officeDocument/2006/relationships/image" Target="media/image101.jpeg"/><Relationship Id="rId205" Type="http://schemas.openxmlformats.org/officeDocument/2006/relationships/image" Target="media/image102.png"/><Relationship Id="rId206" Type="http://schemas.openxmlformats.org/officeDocument/2006/relationships/image" Target="media/image103.png"/><Relationship Id="rId207" Type="http://schemas.openxmlformats.org/officeDocument/2006/relationships/image" Target="media/image104.png"/><Relationship Id="rId208" Type="http://schemas.openxmlformats.org/officeDocument/2006/relationships/image" Target="media/image105.png"/><Relationship Id="rId209" Type="http://schemas.openxmlformats.org/officeDocument/2006/relationships/image" Target="media/image106.jpeg"/><Relationship Id="rId210" Type="http://schemas.openxmlformats.org/officeDocument/2006/relationships/image" Target="media/image107.png"/><Relationship Id="rId211" Type="http://schemas.openxmlformats.org/officeDocument/2006/relationships/image" Target="media/image108.png"/><Relationship Id="rId212" Type="http://schemas.openxmlformats.org/officeDocument/2006/relationships/image" Target="media/image109.png"/><Relationship Id="rId213" Type="http://schemas.openxmlformats.org/officeDocument/2006/relationships/image" Target="media/image110.png"/><Relationship Id="rId214" Type="http://schemas.openxmlformats.org/officeDocument/2006/relationships/image" Target="media/image111.png"/><Relationship Id="rId215" Type="http://schemas.openxmlformats.org/officeDocument/2006/relationships/image" Target="media/image112.png"/><Relationship Id="rId216" Type="http://schemas.openxmlformats.org/officeDocument/2006/relationships/image" Target="media/image113.png"/><Relationship Id="rId217" Type="http://schemas.openxmlformats.org/officeDocument/2006/relationships/image" Target="media/image114.png"/><Relationship Id="rId72" Type="http://schemas.openxmlformats.org/officeDocument/2006/relationships/hyperlink" Target="http://www.sec.gov/Archives/edgar/data/1070423/000110465912013480/a11-30215_1ex2d1.htm" TargetMode="External"/><Relationship Id="rId73" Type="http://schemas.openxmlformats.org/officeDocument/2006/relationships/hyperlink" Target="http://www.sec.gov/Archives/edgar/data/1070423/000110465913077387/a13-22640_1ex2d1.htm" TargetMode="External"/><Relationship Id="rId74" Type="http://schemas.openxmlformats.org/officeDocument/2006/relationships/hyperlink" Target="http://www.sec.gov/Archives/edgar/data/1070423/000110465916132668/a16-14925_1ex2d1.htm" TargetMode="External"/><Relationship Id="rId75" Type="http://schemas.openxmlformats.org/officeDocument/2006/relationships/hyperlink" Target="http://www.sec.gov/Archives/edgar/data/1070423/000107042317000009/paa03312017exhibit21.htm" TargetMode="External"/><Relationship Id="rId76" Type="http://schemas.openxmlformats.org/officeDocument/2006/relationships/hyperlink" Target="http://www.sec.gov/Archives/edgar/data/1070423/000107042317000009/paa03312017exhibit22.htm" TargetMode="External"/><Relationship Id="rId77" Type="http://schemas.openxmlformats.org/officeDocument/2006/relationships/hyperlink" Target="http://www.sec.gov/Archives/edgar/data/1070423/000110465917061889/a17-22685_5ex3d1.htm" TargetMode="External"/><Relationship Id="rId78" Type="http://schemas.openxmlformats.org/officeDocument/2006/relationships/hyperlink" Target="http://www.sec.gov/Archives/edgar/data/1070423/000110465916158355/a16-21841_1ex3d3.htm" TargetMode="External"/><Relationship Id="rId79" Type="http://schemas.openxmlformats.org/officeDocument/2006/relationships/hyperlink" Target="http://www.sec.gov/Archives/edgar/data/1070423/000110465916158355/a16-21841_1ex3d4.htm" TargetMode="External"/><Relationship Id="rId80" Type="http://schemas.openxmlformats.org/officeDocument/2006/relationships/hyperlink" Target="http://www.sec.gov/Archives/edgar/data/1581990/000110465918060012/a18-36197_1ex3d1.htm" TargetMode="External"/><Relationship Id="rId81" Type="http://schemas.openxmlformats.org/officeDocument/2006/relationships/hyperlink" Target="http://www.sec.gov/Archives/edgar/data/1070423/000095012908000071/h52770exv3w3.htm" TargetMode="External"/><Relationship Id="rId82" Type="http://schemas.openxmlformats.org/officeDocument/2006/relationships/hyperlink" Target="http://www.sec.gov/Archives/edgar/data/1581990/000104746913007875/a2216069zex-3_1.htm" TargetMode="External"/><Relationship Id="rId83" Type="http://schemas.openxmlformats.org/officeDocument/2006/relationships/hyperlink" Target="http://www.sec.gov/Archives/edgar/data/1581990/000110465916158356/a16-21845_1ex3d2.htm" TargetMode="External"/><Relationship Id="rId84" Type="http://schemas.openxmlformats.org/officeDocument/2006/relationships/hyperlink" Target="http://www.sec.gov/Archives/edgar/data/1581990/000104746913007875/a2216069zex-3_3.htm" TargetMode="External"/><Relationship Id="rId85" Type="http://schemas.openxmlformats.org/officeDocument/2006/relationships/hyperlink" Target="http://www.sec.gov/Archives/edgar/data/1581990/000110465917010602/a17-6893_1ex3d1.htm" TargetMode="External"/><Relationship Id="rId86" Type="http://schemas.openxmlformats.org/officeDocument/2006/relationships/hyperlink" Target="http://www.sec.gov/Archives/edgar/data/1581990/000110465918052852/a18-18386_2ex3d1.htm" TargetMode="External"/><Relationship Id="rId87" Type="http://schemas.openxmlformats.org/officeDocument/2006/relationships/hyperlink" Target="http://www.sec.gov/Archives/edgar/data/1581990/000110465918072385/a18-41342_1ex3d1.htm" TargetMode="External"/><Relationship Id="rId88" Type="http://schemas.openxmlformats.org/officeDocument/2006/relationships/hyperlink" Target="http://www.sec.gov/Archives/edgar/data/1070423/000089924302002834/dex41.txt" TargetMode="External"/><Relationship Id="rId89" Type="http://schemas.openxmlformats.org/officeDocument/2006/relationships/hyperlink" Target="http://www.sec.gov/Archives/edgar/data/1070423/000110465906034368/a06-11663_1ex4d1.htm" TargetMode="External"/><Relationship Id="rId90" Type="http://schemas.openxmlformats.org/officeDocument/2006/relationships/hyperlink" Target="http://www.sec.gov/Archives/edgar/data/1070423/000095012906009235/h40667exv4w2.htm" TargetMode="External"/><Relationship Id="rId91" Type="http://schemas.openxmlformats.org/officeDocument/2006/relationships/hyperlink" Target="http://www.sec.gov/Archives/edgar/data/1070423/000095012309041075/h67912exv4w1.htm" TargetMode="External"/><Relationship Id="rId92" Type="http://schemas.openxmlformats.org/officeDocument/2006/relationships/hyperlink" Target="http://www.sec.gov/Archives/edgar/data/1070423/000095012311002051/h78739exv4w1.htm" TargetMode="External"/><Relationship Id="rId93" Type="http://schemas.openxmlformats.org/officeDocument/2006/relationships/hyperlink" Target="http://www.sec.gov/Archives/edgar/data/1070423/000119312512132295/d321017dex41.htm" TargetMode="External"/><Relationship Id="rId94" Type="http://schemas.openxmlformats.org/officeDocument/2006/relationships/hyperlink" Target="http://www.sec.gov/Archives/edgar/data/1070423/000119312512132295/d321017dex43.htm" TargetMode="External"/><Relationship Id="rId95" Type="http://schemas.openxmlformats.org/officeDocument/2006/relationships/hyperlink" Target="http://www.sec.gov/Archives/edgar/data/1070423/000119312512499932/d453762dex41.htm" TargetMode="External"/><Relationship Id="rId96" Type="http://schemas.openxmlformats.org/officeDocument/2006/relationships/hyperlink" Target="http://www.sec.gov/Archives/edgar/data/1070423/000119312512499932/d453762dex43.htm" TargetMode="External"/><Relationship Id="rId97" Type="http://schemas.openxmlformats.org/officeDocument/2006/relationships/hyperlink" Target="http://www.sec.gov/Archives/edgar/data/1070423/000119312513336066/d581734dex41.htm" TargetMode="External"/><Relationship Id="rId98" Type="http://schemas.openxmlformats.org/officeDocument/2006/relationships/hyperlink" Target="http://www.sec.gov/Archives/edgar/data/1070423/000119312514164183/d713938dex41.htm" TargetMode="External"/><Relationship Id="rId99" Type="http://schemas.openxmlformats.org/officeDocument/2006/relationships/hyperlink" Target="http://www.sec.gov/Archives/edgar/data/1070423/000119312514338289/d787160dex41.htm" TargetMode="External"/><Relationship Id="rId100" Type="http://schemas.openxmlformats.org/officeDocument/2006/relationships/hyperlink" Target="http://www.sec.gov/Archives/edgar/data/1070423/000119312514440007/d833885dex41.htm" TargetMode="External"/><Relationship Id="rId101" Type="http://schemas.openxmlformats.org/officeDocument/2006/relationships/hyperlink" Target="http://www.sec.gov/Archives/edgar/data/1070423/000119312514440007/d833885dex43.htm" TargetMode="External"/><Relationship Id="rId102" Type="http://schemas.openxmlformats.org/officeDocument/2006/relationships/hyperlink" Target="http://www.sec.gov/Archives/edgar/data/1070423/000119312515302829/d45393dex41.htm" TargetMode="External"/><Relationship Id="rId103" Type="http://schemas.openxmlformats.org/officeDocument/2006/relationships/hyperlink" Target="http://www.sec.gov/Archives/edgar/data/1070423/000110465916159593/a16-22232_1ex4d1.htm" TargetMode="External"/><Relationship Id="rId104" Type="http://schemas.openxmlformats.org/officeDocument/2006/relationships/hyperlink" Target="http://www.sec.gov/Archives/edgar/data/1581990/000110465913078057/a13-22338_2ex4d1.htm" TargetMode="External"/><Relationship Id="rId105" Type="http://schemas.openxmlformats.org/officeDocument/2006/relationships/hyperlink" Target="http://www.sec.gov/Archives/edgar/data/1070423/000095012311080225/h84381exv10w1.htm" TargetMode="External"/><Relationship Id="rId106" Type="http://schemas.openxmlformats.org/officeDocument/2006/relationships/hyperlink" Target="http://www.sec.gov/Archives/edgar/data/1070423/000119312512293769/d374172dex102.htm" TargetMode="External"/><Relationship Id="rId107" Type="http://schemas.openxmlformats.org/officeDocument/2006/relationships/hyperlink" Target="http://www.sec.gov/Archives/edgar/data/1070423/000119312513340586/d585794dex102.htm" TargetMode="External"/><Relationship Id="rId108" Type="http://schemas.openxmlformats.org/officeDocument/2006/relationships/hyperlink" Target="http://www.sec.gov/Archives/edgar/data/1070423/000110465916140243/a16-16900_1ex10d1.htm" TargetMode="External"/><Relationship Id="rId109" Type="http://schemas.openxmlformats.org/officeDocument/2006/relationships/hyperlink" Target="http://www.sec.gov/Archives/edgar/data/1070423/000095012311080225/h84381exv10w2.htm" TargetMode="External"/><Relationship Id="rId110" Type="http://schemas.openxmlformats.org/officeDocument/2006/relationships/hyperlink" Target="http://www.sec.gov/Archives/edgar/data/1070423/000119312512293769/d374172dex101.htm" TargetMode="External"/><Relationship Id="rId111" Type="http://schemas.openxmlformats.org/officeDocument/2006/relationships/hyperlink" Target="http://www.sec.gov/Archives/edgar/data/1070423/000119312513340586/d585794dex101.htm" TargetMode="External"/><Relationship Id="rId112" Type="http://schemas.openxmlformats.org/officeDocument/2006/relationships/hyperlink" Target="http://www.sec.gov/Archives/edgar/data/1070423/000110465916140243/a16-16900_1ex10d3.htm" TargetMode="External"/><Relationship Id="rId113" Type="http://schemas.openxmlformats.org/officeDocument/2006/relationships/hyperlink" Target="http://www.sec.gov/Archives/edgar/data/1070423/000107042317000021/paa09302017exhibit106.htm" TargetMode="External"/><Relationship Id="rId114" Type="http://schemas.openxmlformats.org/officeDocument/2006/relationships/hyperlink" Target="http://www.sec.gov/Archives/edgar/data/1070423/0000899243-99-000614.txt" TargetMode="External"/><Relationship Id="rId115" Type="http://schemas.openxmlformats.org/officeDocument/2006/relationships/hyperlink" Target="http://www.sec.gov/Archives/edgar/data/1070423/000089924301500835/dex101.txt" TargetMode="External"/><Relationship Id="rId116" Type="http://schemas.openxmlformats.org/officeDocument/2006/relationships/hyperlink" Target="http://www.sec.gov/Archives/edgar/data/1070423/000089924301500767/dex101.txt" TargetMode="External"/><Relationship Id="rId117" Type="http://schemas.openxmlformats.org/officeDocument/2006/relationships/hyperlink" Target="http://www.sec.gov/Archives/edgar/data/1070423/000089924301500767/dex102.txt" TargetMode="External"/><Relationship Id="rId118" Type="http://schemas.openxmlformats.org/officeDocument/2006/relationships/hyperlink" Target="http://www.sec.gov/Archives/edgar/data/1070423/000089924301500767/dex103.txt" TargetMode="External"/><Relationship Id="rId119" Type="http://schemas.openxmlformats.org/officeDocument/2006/relationships/hyperlink" Target="http://www.sec.gov/Archives/edgar/data/1070423/000095012908000071/h52770exv10w2.htm" TargetMode="External"/><Relationship Id="rId120" Type="http://schemas.openxmlformats.org/officeDocument/2006/relationships/hyperlink" Target="http://www.sec.gov/Archives/edgar/data/1070423/000089924301500419/dex991.txt" TargetMode="External"/><Relationship Id="rId121" Type="http://schemas.openxmlformats.org/officeDocument/2006/relationships/hyperlink" Target="http://www.sec.gov/Archives/edgar/data/1070423/0000899243-98-001792.txt" TargetMode="External"/><Relationship Id="rId122" Type="http://schemas.openxmlformats.org/officeDocument/2006/relationships/hyperlink" Target="http://www.sec.gov/Archives/edgar/data/1070423/000110465905044729/a05-16431_1ex1d2.htm" TargetMode="External"/><Relationship Id="rId123" Type="http://schemas.openxmlformats.org/officeDocument/2006/relationships/hyperlink" Target="http://www.sec.gov/Archives/edgar/data/1481506/000095012310043694/h72693exv10w1.htm" TargetMode="External"/><Relationship Id="rId124" Type="http://schemas.openxmlformats.org/officeDocument/2006/relationships/hyperlink" Target="http://www.sec.gov/Archives/edgar/data/1481506/000095012310047963/h72950exv10w1.htm" TargetMode="External"/><Relationship Id="rId125" Type="http://schemas.openxmlformats.org/officeDocument/2006/relationships/hyperlink" Target="http://www.sec.gov/Archives/edgar/data/1070423/000110465916158355/a16-21841_1ex10d1.htm" TargetMode="External"/><Relationship Id="rId126" Type="http://schemas.openxmlformats.org/officeDocument/2006/relationships/hyperlink" Target="http://www.sec.gov/Archives/edgar/data/1070423/000110465916158355/a16-21841_1ex10d2.htm" TargetMode="External"/><Relationship Id="rId127" Type="http://schemas.openxmlformats.org/officeDocument/2006/relationships/hyperlink" Target="http://www.sec.gov/Archives/edgar/data/1070423/000089924301501783/dex101.txt" TargetMode="External"/><Relationship Id="rId128" Type="http://schemas.openxmlformats.org/officeDocument/2006/relationships/hyperlink" Target="http://www.sec.gov/Archives/edgar/data/1070423/000104746909001897/a2190434zex-10_49.htm" TargetMode="External"/><Relationship Id="rId129" Type="http://schemas.openxmlformats.org/officeDocument/2006/relationships/hyperlink" Target="http://www.sec.gov/Archives/edgar/data/1070423/000110465911010359/a11-2319_1ex10d31.htm" TargetMode="External"/><Relationship Id="rId130" Type="http://schemas.openxmlformats.org/officeDocument/2006/relationships/hyperlink" Target="http://www.sec.gov/Archives/edgar/data/1581990/000110465913078057/a13-22338_2ex10d4.htm" TargetMode="External"/><Relationship Id="rId131" Type="http://schemas.openxmlformats.org/officeDocument/2006/relationships/hyperlink" Target="http://www.sec.gov/Archives/edgar/data/1581990/000158199018000014/pagpq32018exhibit106.htm" TargetMode="External"/><Relationship Id="rId132" Type="http://schemas.openxmlformats.org/officeDocument/2006/relationships/hyperlink" Target="http://www.sec.gov/Archives/edgar/data/1070423/000089924301501783/dex102.txt" TargetMode="External"/><Relationship Id="rId133" Type="http://schemas.openxmlformats.org/officeDocument/2006/relationships/hyperlink" Target="http://www.sec.gov/Archives/edgar/data/1070423/000104746909001897/a2190434zex-10_50.htm" TargetMode="External"/><Relationship Id="rId134" Type="http://schemas.openxmlformats.org/officeDocument/2006/relationships/hyperlink" Target="http://www.sec.gov/Archives/edgar/data/1070423/000110465911010359/a11-2319_1ex10d32.htm" TargetMode="External"/><Relationship Id="rId135" Type="http://schemas.openxmlformats.org/officeDocument/2006/relationships/hyperlink" Target="http://www.sec.gov/Archives/edgar/data/1581990/000110465913078057/a13-22338_2ex10d5.htm" TargetMode="External"/><Relationship Id="rId136" Type="http://schemas.openxmlformats.org/officeDocument/2006/relationships/hyperlink" Target="http://www.sec.gov/Archives/edgar/data/1070423/000110465916100030/a15-24557_1ex10d53.htm" TargetMode="External"/><Relationship Id="rId137" Type="http://schemas.openxmlformats.org/officeDocument/2006/relationships/hyperlink" Target="http://www.sec.gov/Archives/edgar/data/1581990/000158199018000014/pagpq32018exhibit107.htm" TargetMode="External"/><Relationship Id="rId138" Type="http://schemas.openxmlformats.org/officeDocument/2006/relationships/hyperlink" Target="http://www.sec.gov/Archives/edgar/data/1070423/000107042316000004/paa09302016exhibit108.htm" TargetMode="External"/><Relationship Id="rId139" Type="http://schemas.openxmlformats.org/officeDocument/2006/relationships/hyperlink" Target="http://www.sec.gov/Archives/edgar/data/1581990/000158199018000008/pagpq12018exhibit101.htm" TargetMode="External"/><Relationship Id="rId140" Type="http://schemas.openxmlformats.org/officeDocument/2006/relationships/hyperlink" Target="http://www.sec.gov/Archives/edgar/data/1070423/000107042316000004/paa09302016exhibit107.htm" TargetMode="External"/><Relationship Id="rId141" Type="http://schemas.openxmlformats.org/officeDocument/2006/relationships/hyperlink" Target="http://www.sec.gov/Archives/edgar/data/1581990/000158199018000008/pagpq12018exhibit103.htm" TargetMode="External"/><Relationship Id="rId142" Type="http://schemas.openxmlformats.org/officeDocument/2006/relationships/hyperlink" Target="http://www.sec.gov/Archives/edgar/data/1581990/000158199018000014/pagpq32018exhibit108.htm" TargetMode="External"/><Relationship Id="rId143" Type="http://schemas.openxmlformats.org/officeDocument/2006/relationships/hyperlink" Target="http://www.sec.gov/Archives/edgar/data/1070423/000095012901504458/h92828ex99-1.txt" TargetMode="External"/><Relationship Id="rId144" Type="http://schemas.openxmlformats.org/officeDocument/2006/relationships/hyperlink" Target="http://www.sec.gov/Archives/edgar/data/1070423/000119312503033153/dex101.htm" TargetMode="External"/><Relationship Id="rId145" Type="http://schemas.openxmlformats.org/officeDocument/2006/relationships/hyperlink" Target="http://www.sec.gov/Archives/edgar/data/1070423/000104746909001897/a2190434zex-10_52.htm" TargetMode="External"/><Relationship Id="rId146" Type="http://schemas.openxmlformats.org/officeDocument/2006/relationships/hyperlink" Target="http://www.sec.gov/Archives/edgar/data/1070423/000095012905000593/h21990exv10w1.htm" TargetMode="External"/><Relationship Id="rId147" Type="http://schemas.openxmlformats.org/officeDocument/2006/relationships/hyperlink" Target="http://www.sec.gov/Archives/edgar/data/1070423/000104746909001897/a2190434zex-10_51.htm" TargetMode="External"/><Relationship Id="rId148" Type="http://schemas.openxmlformats.org/officeDocument/2006/relationships/hyperlink" Target="http://www.sec.gov/Archives/edgar/data/1070423/000095012907001096/h43224exv10w45.htm" TargetMode="External"/><Relationship Id="rId149" Type="http://schemas.openxmlformats.org/officeDocument/2006/relationships/hyperlink" Target="http://www.sec.gov/Archives/edgar/data/1070423/000119312513390367/d597666ddef14a.htm#rom597666_10" TargetMode="External"/><Relationship Id="rId150" Type="http://schemas.openxmlformats.org/officeDocument/2006/relationships/hyperlink" Target="http://www.sec.gov/Archives/edgar/data/1070423/000110465913093006/a13-26950_1ex4d4.htm" TargetMode="External"/><Relationship Id="rId151" Type="http://schemas.openxmlformats.org/officeDocument/2006/relationships/hyperlink" Target="http://www.sec.gov/Archives/edgar/data/1481506/000095012310047963/h72950exv10w2.htm" TargetMode="External"/><Relationship Id="rId152" Type="http://schemas.openxmlformats.org/officeDocument/2006/relationships/hyperlink" Target="http://www.sec.gov/Archives/edgar/data/1581990/000110465913078057/a13-22338_2ex10d3.htm" TargetMode="External"/><Relationship Id="rId153" Type="http://schemas.openxmlformats.org/officeDocument/2006/relationships/hyperlink" Target="http://www.sec.gov/Archives/edgar/data/1070423/000095012908000071/h52770exv10w1.htm" TargetMode="External"/><Relationship Id="rId154" Type="http://schemas.openxmlformats.org/officeDocument/2006/relationships/hyperlink" Target="http://www.sec.gov/Archives/edgar/data/1581990/000110465913078057/a13-22338_2ex10d6.htm" TargetMode="External"/><Relationship Id="rId155" Type="http://schemas.openxmlformats.org/officeDocument/2006/relationships/hyperlink" Target="http://www.sec.gov/Archives/edgar/data/1070423/000107042316000004/paa09302016exhibit106.htm" TargetMode="External"/><Relationship Id="rId156" Type="http://schemas.openxmlformats.org/officeDocument/2006/relationships/hyperlink" Target="http://www.sec.gov/Archives/edgar/data/1581990/000158199018000008/pagpq12018exhibit102.htm" TargetMode="External"/><Relationship Id="rId157" Type="http://schemas.openxmlformats.org/officeDocument/2006/relationships/hyperlink" Target="http://www.sec.gov/Archives/edgar/data/1070423/000107042316000004/paa09302016exhibit105.htm" TargetMode="External"/><Relationship Id="rId158" Type="http://schemas.openxmlformats.org/officeDocument/2006/relationships/hyperlink" Target="http://www.sec.gov/Archives/edgar/data/1581990/000158199018000008/pagpq12018exhibit104.htm" TargetMode="External"/><Relationship Id="rId159" Type="http://schemas.openxmlformats.org/officeDocument/2006/relationships/hyperlink" Target="http://www.sec.gov/Archives/edgar/data/1070423/000107042317000015/paa06302017exhibit104.htm" TargetMode="External"/><Relationship Id="rId160" Type="http://schemas.openxmlformats.org/officeDocument/2006/relationships/hyperlink" Target="http://www.sec.gov/Archives/edgar/data/1581990/000158199018000008/pagpq12018exhibit105.htm" TargetMode="External"/><Relationship Id="rId161" Type="http://schemas.openxmlformats.org/officeDocument/2006/relationships/hyperlink" Target="http://www.sec.gov/Archives/edgar/data/1070423/000107042317000009/paa03312017exhibit101.htm" TargetMode="External"/><Relationship Id="rId162" Type="http://schemas.openxmlformats.org/officeDocument/2006/relationships/hyperlink" Target="http://www.sec.gov/Archives/edgar/data/1070423/000107042317000009/paa03312017exhibit102.htm" TargetMode="External"/><Relationship Id="rId163" Type="http://schemas.openxmlformats.org/officeDocument/2006/relationships/hyperlink" Target="http://www.sec.gov/Archives/edgar/data/1070423/000107042317000009/paa03312017exhibit103.htm" TargetMode="External"/><Relationship Id="rId164" Type="http://schemas.openxmlformats.org/officeDocument/2006/relationships/hyperlink" Target="http://www.sec.gov/Archives/edgar/data/1581990/000158199017000009/pagp03312017exhibit101.htm" TargetMode="External"/><Relationship Id="rId165" Type="http://schemas.openxmlformats.org/officeDocument/2006/relationships/hyperlink" Target="http://www.sec.gov/Archives/edgar/data/1581990/000158199017000009/pagp03312017exhibit102.htm" TargetMode="External"/><Relationship Id="rId166" Type="http://schemas.openxmlformats.org/officeDocument/2006/relationships/hyperlink" Target="http://www.sec.gov/Archives/edgar/data/1581990/000158199017000009/pagp03312017exhibit103.htm" TargetMode="External"/><Relationship Id="rId167" Type="http://schemas.openxmlformats.org/officeDocument/2006/relationships/hyperlink" Target="http://www.sec.gov/Archives/edgar/data/1581990/000110465913078057/a13-22338_2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2020-01-09T23:45:33Z</dcterms:created>
  <dcterms:modified xsi:type="dcterms:W3CDTF">2020-01-09T23:45:33Z</dcterms:modified>
</cp:coreProperties>
</file>