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583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583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Herbold Chris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333 CLAY STREET, SUITE 1600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 xml:space="preserve">PLAINS ALL AMERICAN PIPELINE LP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PAA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VP and Chief Acctg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11,000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75,517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2,679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72,838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1,500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74,338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Units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08/13/2021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366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10.05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7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1,500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08/13/2021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-2217420</wp:posOffset>
            </wp:positionV>
            <wp:extent cx="29210" cy="22225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2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Units granted under Long-Term Incentive Plan (includes distribution equivalent rights payable in cash).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common unit is deliverable, upon vesting, for each Phantom Unit that vests.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N/A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Chris Herbold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08/17/2021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7929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2021-08-17T16:38:20Z</dcterms:created>
  <dcterms:modified xsi:type="dcterms:W3CDTF">2021-08-17T16:38:20Z</dcterms:modified>
</cp:coreProperties>
</file>