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660" w:right="3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tbl>
      <w:tblPr>
        <w:tblLayout w:type="fixed"/>
        <w:tblInd w:w="1140" w:type="dxa"/>
        <w:tblCellMar>
          <w:top w:w="0" w:type="dxa"/>
          <w:left w:w="0" w:type="dxa"/>
          <w:bottom w:w="0" w:type="dxa"/>
          <w:right w:w="0" w:type="dxa"/>
        </w:tblCellMar>
      </w:tblPr>
      <w:tr>
        <w:trPr>
          <w:trHeight w:val="230"/>
        </w:trPr>
        <w:tc>
          <w:tcPr>
            <w:tcW w:w="6640" w:type="dxa"/>
            <w:vAlign w:val="bottom"/>
          </w:tcPr>
          <w:p>
            <w:pPr>
              <w:jc w:val="center"/>
              <w:ind w:left="2430"/>
              <w:spacing w:after="0"/>
              <w:rPr>
                <w:sz w:val="20"/>
                <w:szCs w:val="20"/>
                <w:color w:val="auto"/>
              </w:rPr>
            </w:pPr>
            <w:r>
              <w:rPr>
                <w:rFonts w:ascii="Arial" w:cs="Arial" w:eastAsia="Arial" w:hAnsi="Arial"/>
                <w:sz w:val="18"/>
                <w:szCs w:val="18"/>
                <w:color w:val="auto"/>
                <w:w w:val="90"/>
              </w:rPr>
              <w:t>(Exact name of registrant as specified in its charter)</w:t>
            </w:r>
          </w:p>
        </w:tc>
        <w:tc>
          <w:tcPr>
            <w:tcW w:w="1520" w:type="dxa"/>
            <w:vAlign w:val="bottom"/>
          </w:tcPr>
          <w:p>
            <w:pPr>
              <w:spacing w:after="0"/>
              <w:rPr>
                <w:sz w:val="20"/>
                <w:szCs w:val="20"/>
                <w:color w:val="auto"/>
              </w:rPr>
            </w:pPr>
          </w:p>
        </w:tc>
      </w:tr>
      <w:tr>
        <w:trPr>
          <w:trHeight w:val="402"/>
        </w:trPr>
        <w:tc>
          <w:tcPr>
            <w:tcW w:w="6640" w:type="dxa"/>
            <w:vAlign w:val="bottom"/>
          </w:tcPr>
          <w:p>
            <w:pPr>
              <w:jc w:val="center"/>
              <w:ind w:right="321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76-0582150</w:t>
            </w:r>
          </w:p>
        </w:tc>
      </w:tr>
      <w:tr>
        <w:trPr>
          <w:trHeight w:val="216"/>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640" w:type="dxa"/>
            <w:vAlign w:val="bottom"/>
          </w:tcPr>
          <w:p>
            <w:pPr>
              <w:jc w:val="center"/>
              <w:ind w:right="321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77002</w:t>
            </w:r>
          </w:p>
        </w:tc>
      </w:tr>
      <w:tr>
        <w:trPr>
          <w:trHeight w:val="230"/>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640" w:type="dxa"/>
            <w:vAlign w:val="bottom"/>
          </w:tcPr>
          <w:p>
            <w:pPr>
              <w:jc w:val="center"/>
              <w:ind w:left="2430"/>
              <w:spacing w:after="0"/>
              <w:rPr>
                <w:sz w:val="20"/>
                <w:szCs w:val="20"/>
                <w:color w:val="auto"/>
              </w:rPr>
            </w:pPr>
            <w:r>
              <w:rPr>
                <w:rFonts w:ascii="Arial" w:cs="Arial" w:eastAsia="Arial" w:hAnsi="Arial"/>
                <w:sz w:val="18"/>
                <w:szCs w:val="18"/>
                <w:b w:val="1"/>
                <w:bCs w:val="1"/>
                <w:color w:val="auto"/>
                <w:w w:val="90"/>
              </w:rPr>
              <w:t>(713) 646-4100</w:t>
            </w:r>
          </w:p>
        </w:tc>
        <w:tc>
          <w:tcPr>
            <w:tcW w:w="1520" w:type="dxa"/>
            <w:vAlign w:val="bottom"/>
          </w:tcPr>
          <w:p>
            <w:pPr>
              <w:spacing w:after="0"/>
              <w:rPr>
                <w:sz w:val="24"/>
                <w:szCs w:val="24"/>
                <w:color w:val="auto"/>
              </w:rPr>
            </w:pPr>
          </w:p>
        </w:tc>
      </w:tr>
      <w:tr>
        <w:trPr>
          <w:trHeight w:val="230"/>
        </w:trPr>
        <w:tc>
          <w:tcPr>
            <w:tcW w:w="6640" w:type="dxa"/>
            <w:vAlign w:val="bottom"/>
          </w:tcPr>
          <w:p>
            <w:pPr>
              <w:jc w:val="center"/>
              <w:ind w:left="241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81"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58" w:gutter="0" w:footer="0" w:header="0"/>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20"/>
          </w:cols>
          <w:pgMar w:left="240" w:top="233" w:right="279" w:bottom="58"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00"/>
          </w:cols>
          <w:pgMar w:left="240" w:top="233" w:right="279" w:bottom="58"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 x No</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2, 2016, there were 397,730,991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5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080" w:type="dxa"/>
            <w:vAlign w:val="bottom"/>
            <w:gridSpan w:val="16"/>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7320" w:type="dxa"/>
            <w:vAlign w:val="bottom"/>
            <w:gridSpan w:val="18"/>
            <w:vMerge w:val="restart"/>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16"/>
            <w:vMerge w:val="continue"/>
          </w:tcPr>
          <w:p>
            <w:pPr>
              <w:spacing w:after="0"/>
              <w:rPr>
                <w:sz w:val="13"/>
                <w:szCs w:val="13"/>
                <w:color w:val="auto"/>
              </w:rPr>
            </w:pPr>
          </w:p>
        </w:tc>
        <w:tc>
          <w:tcPr>
            <w:tcW w:w="7320" w:type="dxa"/>
            <w:vAlign w:val="bottom"/>
            <w:gridSpan w:val="18"/>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42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w:anchor="page2">
              <w:r>
                <w:rPr>
                  <w:rFonts w:ascii="Arial" w:cs="Arial" w:eastAsia="Arial" w:hAnsi="Arial"/>
                  <w:sz w:val="18"/>
                  <w:szCs w:val="18"/>
                  <w:color w:val="0000EE"/>
                  <w:w w:val="96"/>
                </w:rPr>
                <w:t>Item 1. UNAUDITED CONDENSED CONSOLIDATED FINANCIAL STATEMENTS:</w:t>
              </w:r>
            </w:hyperlink>
          </w:p>
        </w:tc>
        <w:tc>
          <w:tcPr>
            <w:tcW w:w="3980" w:type="dxa"/>
            <w:vAlign w:val="bottom"/>
            <w:gridSpan w:val="10"/>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0200" w:type="dxa"/>
            <w:vAlign w:val="bottom"/>
            <w:gridSpan w:val="33"/>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March 31, 2016 and December 31, 2015</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62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months ended March 31, 2016 and 2015</w:t>
              </w:r>
            </w:hyperlink>
          </w:p>
        </w:tc>
        <w:tc>
          <w:tcPr>
            <w:tcW w:w="2580" w:type="dxa"/>
            <w:vAlign w:val="bottom"/>
            <w:gridSpan w:val="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54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For the three months ended March 31, 2016 and 2015</w:t>
              </w:r>
            </w:hyperlink>
          </w:p>
        </w:tc>
        <w:tc>
          <w:tcPr>
            <w:tcW w:w="1660" w:type="dxa"/>
            <w:vAlign w:val="bottom"/>
            <w:gridSpan w:val="3"/>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0200" w:type="dxa"/>
            <w:vAlign w:val="bottom"/>
            <w:gridSpan w:val="3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Changes in Accumulated Other Comprehensive Income/(Loss): For the</w:t>
              </w:r>
            </w:hyperlink>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3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three months ended March 31, 2016 and 2015</w:t>
              </w:r>
            </w:hyperlink>
          </w:p>
        </w:tc>
        <w:tc>
          <w:tcPr>
            <w:tcW w:w="4520" w:type="dxa"/>
            <w:vAlign w:val="bottom"/>
            <w:tcBorders>
              <w:top w:val="single" w:sz="8" w:color="0000EE"/>
            </w:tcBorders>
            <w:gridSpan w:val="11"/>
          </w:tcPr>
          <w:p>
            <w:pPr>
              <w:spacing w:after="0"/>
              <w:rPr>
                <w:sz w:val="17"/>
                <w:szCs w:val="17"/>
                <w:color w:val="auto"/>
              </w:rPr>
            </w:pPr>
          </w:p>
        </w:tc>
        <w:tc>
          <w:tcPr>
            <w:tcW w:w="2200" w:type="dxa"/>
            <w:vAlign w:val="bottom"/>
            <w:gridSpan w:val="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0200" w:type="dxa"/>
            <w:vAlign w:val="bottom"/>
            <w:gridSpan w:val="3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Cash Flows: For the three months ended March 31, 2016 and 2015</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200" w:type="dxa"/>
            <w:vAlign w:val="bottom"/>
            <w:gridSpan w:val="3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Changes in Partners’ Capital: For the three months ended March 31, 2016 and 2015</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8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Notes to the Condensed Consolidated Financial Statements:</w:t>
              </w:r>
            </w:hyperlink>
          </w:p>
        </w:tc>
        <w:tc>
          <w:tcPr>
            <w:tcW w:w="132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20" w:type="dxa"/>
            <w:vAlign w:val="bottom"/>
            <w:gridSpan w:val="3"/>
          </w:tcPr>
          <w:p>
            <w:pPr>
              <w:ind w:left="160"/>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1.</w:t>
              </w:r>
            </w:hyperlink>
          </w:p>
        </w:tc>
        <w:tc>
          <w:tcPr>
            <w:tcW w:w="9880" w:type="dxa"/>
            <w:vAlign w:val="bottom"/>
            <w:gridSpan w:val="30"/>
          </w:tcPr>
          <w:p>
            <w:pPr>
              <w:ind w:lef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Organization and Basis of Consolidation and Presentation</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2.</w:t>
              </w:r>
            </w:hyperlink>
          </w:p>
        </w:tc>
        <w:tc>
          <w:tcPr>
            <w:tcW w:w="9880" w:type="dxa"/>
            <w:vAlign w:val="bottom"/>
            <w:gridSpan w:val="30"/>
          </w:tcPr>
          <w:p>
            <w:pPr>
              <w:ind w:lef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Recent Accounting Pronouncements</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3. Net Income Per Common Unit</w:t>
              </w:r>
            </w:hyperlink>
          </w:p>
        </w:tc>
        <w:tc>
          <w:tcPr>
            <w:tcW w:w="420" w:type="dxa"/>
            <w:vAlign w:val="bottom"/>
            <w:tcBorders>
              <w:top w:val="single" w:sz="8" w:color="0000EE"/>
            </w:tcBorders>
            <w:gridSpan w:val="6"/>
          </w:tcPr>
          <w:p>
            <w:pPr>
              <w:spacing w:after="0"/>
              <w:rPr>
                <w:sz w:val="17"/>
                <w:szCs w:val="17"/>
                <w:color w:val="auto"/>
              </w:rPr>
            </w:pPr>
          </w:p>
        </w:tc>
        <w:tc>
          <w:tcPr>
            <w:tcW w:w="7220" w:type="dxa"/>
            <w:vAlign w:val="bottom"/>
            <w:gridSpan w:val="1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4.</w:t>
              </w:r>
            </w:hyperlink>
          </w:p>
        </w:tc>
        <w:tc>
          <w:tcPr>
            <w:tcW w:w="9880" w:type="dxa"/>
            <w:vAlign w:val="bottom"/>
            <w:gridSpan w:val="30"/>
          </w:tcPr>
          <w:p>
            <w:pPr>
              <w:ind w:left="2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Accounts Receivable, Net</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5.</w:t>
              </w:r>
            </w:hyperlink>
          </w:p>
        </w:tc>
        <w:tc>
          <w:tcPr>
            <w:tcW w:w="9880" w:type="dxa"/>
            <w:vAlign w:val="bottom"/>
            <w:gridSpan w:val="30"/>
          </w:tcPr>
          <w:p>
            <w:pPr>
              <w:ind w:left="2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Inventory, Linefill and Base Gas and Long-term Inventory</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6.</w:t>
              </w:r>
            </w:hyperlink>
          </w:p>
        </w:tc>
        <w:tc>
          <w:tcPr>
            <w:tcW w:w="9880" w:type="dxa"/>
            <w:vAlign w:val="bottom"/>
            <w:gridSpan w:val="30"/>
          </w:tcPr>
          <w:p>
            <w:pPr>
              <w:ind w:left="2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Debt</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7.</w:t>
              </w:r>
            </w:hyperlink>
          </w:p>
        </w:tc>
        <w:tc>
          <w:tcPr>
            <w:tcW w:w="9880" w:type="dxa"/>
            <w:vAlign w:val="bottom"/>
            <w:gridSpan w:val="30"/>
          </w:tcPr>
          <w:p>
            <w:pPr>
              <w:ind w:left="2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Partners’ Capital and Distributions</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8.</w:t>
              </w:r>
            </w:hyperlink>
          </w:p>
        </w:tc>
        <w:tc>
          <w:tcPr>
            <w:tcW w:w="9880" w:type="dxa"/>
            <w:vAlign w:val="bottom"/>
            <w:gridSpan w:val="30"/>
          </w:tcPr>
          <w:p>
            <w:pPr>
              <w:ind w:left="2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Derivatives and Risk Management Activities</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9.</w:t>
              </w:r>
            </w:hyperlink>
          </w:p>
        </w:tc>
        <w:tc>
          <w:tcPr>
            <w:tcW w:w="9880" w:type="dxa"/>
            <w:vAlign w:val="bottom"/>
            <w:gridSpan w:val="30"/>
          </w:tcPr>
          <w:p>
            <w:pPr>
              <w:ind w:left="20"/>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Related Party Transactions</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10. Commitments and Contingencies</w:t>
              </w:r>
            </w:hyperlink>
          </w:p>
        </w:tc>
        <w:tc>
          <w:tcPr>
            <w:tcW w:w="7340" w:type="dxa"/>
            <w:vAlign w:val="bottom"/>
            <w:gridSpan w:val="19"/>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18">
              <w:r>
                <w:rPr>
                  <w:rFonts w:ascii="Arial" w:cs="Arial" w:eastAsia="Arial" w:hAnsi="Arial"/>
                  <w:sz w:val="18"/>
                  <w:szCs w:val="18"/>
                  <w:color w:val="0000EE"/>
                  <w:w w:val="86"/>
                </w:rPr>
                <w:t>11. Operating Segments</w:t>
              </w:r>
            </w:hyperlink>
          </w:p>
        </w:tc>
        <w:tc>
          <w:tcPr>
            <w:tcW w:w="8300" w:type="dxa"/>
            <w:vAlign w:val="bottom"/>
            <w:gridSpan w:val="2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12. Acquisitions and Dispositions</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00" w:type="dxa"/>
            <w:vAlign w:val="bottom"/>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80" w:type="dxa"/>
            <w:vAlign w:val="bottom"/>
            <w:tcBorders>
              <w:bottom w:val="single" w:sz="8" w:color="0000EE"/>
            </w:tcBorders>
            <w:gridSpan w:val="33"/>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Item 2. MANAGEMENT’S DISCUSSION AND ANALYSIS OF FINANCIAL CONDITION AND RESULTS OF OPERATIONS</w:t>
              </w:r>
            </w:hyperlink>
          </w:p>
        </w:tc>
        <w:tc>
          <w:tcPr>
            <w:tcW w:w="92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400" w:type="dxa"/>
            <w:vAlign w:val="bottom"/>
            <w:gridSpan w:val="3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3. QUANTITATIVE AND QUALITATIVE DISCLOSURES ABOUT MARKET RISK</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67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4. CONTROLS AND PROCEDURES</w:t>
              </w:r>
            </w:hyperlink>
          </w:p>
        </w:tc>
        <w:tc>
          <w:tcPr>
            <w:tcW w:w="3700" w:type="dxa"/>
            <w:vAlign w:val="bottom"/>
            <w:gridSpan w:val="7"/>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2800" w:type="dxa"/>
            <w:vAlign w:val="bottom"/>
            <w:tcBorders>
              <w:top w:val="single" w:sz="8" w:color="0000EE"/>
              <w:bottom w:val="single" w:sz="8" w:color="0000EE"/>
            </w:tcBorders>
            <w:gridSpan w:val="13"/>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360" w:type="dxa"/>
            <w:vAlign w:val="bottom"/>
            <w:tcBorders>
              <w:top w:val="single" w:sz="8" w:color="0000EE"/>
            </w:tcBorders>
            <w:gridSpan w:val="4"/>
          </w:tcPr>
          <w:p>
            <w:pPr>
              <w:spacing w:after="0"/>
              <w:rPr>
                <w:sz w:val="24"/>
                <w:szCs w:val="24"/>
                <w:color w:val="auto"/>
              </w:rPr>
            </w:pPr>
          </w:p>
        </w:tc>
        <w:tc>
          <w:tcPr>
            <w:tcW w:w="7240" w:type="dxa"/>
            <w:vAlign w:val="bottom"/>
            <w:gridSpan w:val="17"/>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Item 1. LEGAL PROCEEDINGS</w:t>
              </w:r>
            </w:hyperlink>
          </w:p>
        </w:tc>
        <w:tc>
          <w:tcPr>
            <w:tcW w:w="7920" w:type="dxa"/>
            <w:vAlign w:val="bottom"/>
            <w:gridSpan w:val="23"/>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400" w:type="dxa"/>
            <w:vAlign w:val="bottom"/>
            <w:gridSpan w:val="3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1A. RISK FACTORS</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376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2. UNREGISTERED SALES OF EQUITY SECURITIES AND USE OF PROCEEDS</w:t>
              </w:r>
            </w:hyperlink>
          </w:p>
        </w:tc>
        <w:tc>
          <w:tcPr>
            <w:tcW w:w="3760" w:type="dxa"/>
            <w:vAlign w:val="bottom"/>
            <w:gridSpan w:val="8"/>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400" w:type="dxa"/>
            <w:vAlign w:val="bottom"/>
            <w:gridSpan w:val="3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3. DEFAULTS UPON SENIOR SECURITIES</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37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4. MINE SAFETY DISCLOSURES</w:t>
              </w:r>
            </w:hyperlink>
          </w:p>
        </w:tc>
        <w:tc>
          <w:tcPr>
            <w:tcW w:w="6620" w:type="dxa"/>
            <w:vAlign w:val="bottom"/>
            <w:gridSpan w:val="1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30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5. OTHER INFORMATION</w:t>
              </w:r>
            </w:hyperlink>
          </w:p>
        </w:tc>
        <w:tc>
          <w:tcPr>
            <w:tcW w:w="7400" w:type="dxa"/>
            <w:vAlign w:val="bottom"/>
            <w:gridSpan w:val="20"/>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6. EXHIBITS</w:t>
              </w:r>
            </w:hyperlink>
          </w:p>
        </w:tc>
        <w:tc>
          <w:tcPr>
            <w:tcW w:w="7920" w:type="dxa"/>
            <w:vAlign w:val="bottom"/>
            <w:gridSpan w:val="23"/>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3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9020" w:type="dxa"/>
            <w:vAlign w:val="bottom"/>
            <w:gridSpan w:val="27"/>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53"/>
        </w:trPr>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5320" w:type="dxa"/>
            <w:vAlign w:val="bottom"/>
            <w:gridSpan w:val="18"/>
          </w:tcPr>
          <w:p>
            <w:pPr>
              <w:jc w:val="right"/>
              <w:ind w:right="6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Inventory</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877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current assets</w:t>
            </w:r>
          </w:p>
        </w:tc>
        <w:tc>
          <w:tcPr>
            <w:tcW w:w="2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15,875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Property and equipment, net</w:t>
            </w:r>
          </w:p>
        </w:tc>
        <w:tc>
          <w:tcPr>
            <w:tcW w:w="2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13,670</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2,097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Long-term inventory</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2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22,297</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LIABILITIES AND 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bookmarkStart w:id="2" w:name="page3"/>
    <w:bookmarkEnd w:id="2"/>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Short-term debt</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715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current liabilities</w:t>
            </w:r>
          </w:p>
        </w:tc>
        <w:tc>
          <w:tcPr>
            <w:tcW w:w="1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long-term debt</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long-term liabilities</w:t>
            </w:r>
          </w:p>
        </w:tc>
        <w:tc>
          <w:tcPr>
            <w:tcW w:w="1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9,863</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unitholders (61,030,127 units outstanding)</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Common unitholders (397,730,991 and 397,727,624 units outstanding, respectively)</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7,474</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8"/>
                <w:szCs w:val="18"/>
                <w:color w:val="auto"/>
              </w:rPr>
              <w:t>Total partners’ capital excluding noncontrolling interests</w:t>
            </w:r>
          </w:p>
        </w:tc>
        <w:tc>
          <w:tcPr>
            <w:tcW w:w="1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partners’ capital</w:t>
            </w:r>
          </w:p>
        </w:tc>
        <w:tc>
          <w:tcPr>
            <w:tcW w:w="1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9,371</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1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22,297</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242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3,819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5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3,348</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5,042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15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282</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Interest expense (net of capitalized interest of $13 and $14, respectively)</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w:t>
            </w: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 (NOTE 3):</w:t>
            </w: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Net income attributable to common unitholders — Basic</w:t>
            </w:r>
          </w:p>
        </w:tc>
        <w:tc>
          <w:tcPr>
            <w:tcW w:w="242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Basic net income per common unit</w:t>
            </w:r>
          </w:p>
        </w:tc>
        <w:tc>
          <w:tcPr>
            <w:tcW w:w="242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Net income attributable to common unitholders — Diluted</w:t>
            </w:r>
          </w:p>
        </w:tc>
        <w:tc>
          <w:tcPr>
            <w:tcW w:w="242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Diluted net income per common unit</w:t>
            </w:r>
          </w:p>
        </w:tc>
        <w:tc>
          <w:tcPr>
            <w:tcW w:w="242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87" w:orient="portrait"/>
          <w:cols w:equalWidth="0" w:num="1">
            <w:col w:w="11420"/>
          </w:cols>
          <w:pgMar w:left="240" w:top="121" w:right="239" w:bottom="0" w:gutter="0" w:footer="0" w:header="0"/>
        </w:sectPr>
      </w:pPr>
    </w:p>
    <w:bookmarkStart w:id="3" w:name="page4"/>
    <w:bookmarkEnd w:id="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 (in millions)</w:t>
      </w:r>
    </w:p>
    <w:p>
      <w:pPr>
        <w:spacing w:after="0" w:line="386"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6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8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(376)</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income/(loss)</w:t>
            </w:r>
          </w:p>
        </w:tc>
        <w:tc>
          <w:tcPr>
            <w:tcW w:w="18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ind w:left="200"/>
              <w:spacing w:after="0"/>
              <w:rPr>
                <w:sz w:val="20"/>
                <w:szCs w:val="20"/>
                <w:color w:val="auto"/>
              </w:rPr>
            </w:pPr>
            <w:r>
              <w:rPr>
                <w:rFonts w:ascii="Arial" w:cs="Arial" w:eastAsia="Arial" w:hAnsi="Arial"/>
                <w:sz w:val="18"/>
                <w:szCs w:val="18"/>
                <w:color w:val="auto"/>
              </w:rPr>
              <w:t>Comprehensive income attributable to noncontrolling interests</w:t>
            </w:r>
          </w:p>
        </w:tc>
        <w:tc>
          <w:tcPr>
            <w:tcW w:w="1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income/(loss) attributable to PAA</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24"/>
                <w:szCs w:val="2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6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income</w:t>
            </w:r>
          </w:p>
        </w:tc>
        <w:tc>
          <w:tcPr>
            <w:tcW w:w="248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203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6800" w:type="dxa"/>
            <w:vAlign w:val="bottom"/>
          </w:tcPr>
          <w:p>
            <w:pPr>
              <w:ind w:left="200"/>
              <w:spacing w:after="0"/>
              <w:rPr>
                <w:sz w:val="20"/>
                <w:szCs w:val="20"/>
                <w:color w:val="auto"/>
              </w:rPr>
            </w:pPr>
            <w:r>
              <w:rPr>
                <w:rFonts w:ascii="Arial" w:cs="Arial" w:eastAsia="Arial" w:hAnsi="Arial"/>
                <w:sz w:val="18"/>
                <w:szCs w:val="18"/>
                <w:color w:val="auto"/>
              </w:rPr>
              <w:t>Inventory valuation adjustments</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benefit</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6800" w:type="dxa"/>
            <w:vAlign w:val="bottom"/>
          </w:tcPr>
          <w:p>
            <w:pPr>
              <w:ind w:left="200"/>
              <w:spacing w:after="0"/>
              <w:rPr>
                <w:sz w:val="20"/>
                <w:szCs w:val="20"/>
                <w:color w:val="auto"/>
              </w:rPr>
            </w:pPr>
            <w:r>
              <w:rPr>
                <w:rFonts w:ascii="Arial" w:cs="Arial" w:eastAsia="Arial" w:hAnsi="Arial"/>
                <w:sz w:val="18"/>
                <w:szCs w:val="18"/>
                <w:color w:val="auto"/>
              </w:rPr>
              <w:t>Gain on foreign currency revaluation</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earnings in unconsolidated entities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6800" w:type="dxa"/>
            <w:vAlign w:val="bottom"/>
          </w:tcPr>
          <w:p>
            <w:pPr>
              <w:ind w:left="200"/>
              <w:spacing w:after="0"/>
              <w:rPr>
                <w:sz w:val="20"/>
                <w:szCs w:val="20"/>
                <w:color w:val="auto"/>
              </w:rPr>
            </w:pPr>
            <w:r>
              <w:rPr>
                <w:rFonts w:ascii="Arial" w:cs="Arial" w:eastAsia="Arial" w:hAnsi="Arial"/>
                <w:sz w:val="18"/>
                <w:szCs w:val="18"/>
                <w:color w:val="auto"/>
              </w:rPr>
              <w:t>Distributions from unconsolidated entities</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318</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r>
      <w:tr>
        <w:trPr>
          <w:trHeight w:val="210"/>
        </w:trPr>
        <w:tc>
          <w:tcPr>
            <w:tcW w:w="68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84"/>
        </w:trPr>
        <w:tc>
          <w:tcPr>
            <w:tcW w:w="680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bl>
    <w:p>
      <w:pPr>
        <w:sectPr>
          <w:pgSz w:w="11900" w:h="16900" w:orient="portrait"/>
          <w:cols w:equalWidth="0" w:num="1">
            <w:col w:w="11420"/>
          </w:cols>
          <w:pgMar w:left="240" w:top="34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paid in connection with acquisitions</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Additions to property, equipment and other</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(372)</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linefill and base gas</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Proceeds from sales of assets</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246</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under commercial paper program (Note 6)</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repayments under senior secured hedged inventory facility (Note 6)</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6"/>
              </w:rPr>
              <w:t>Net proceeds from the sale of Series A preferred units and associated embedded derivative (Note 7)</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proceeds from the sale of common units</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general partner</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Distributions paid to common unitholders (Note 7)</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general partner (Note 7)</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5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Effect of translation adjustment on cash</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10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net of amounts refunded</w:t>
            </w:r>
          </w:p>
        </w:tc>
        <w:tc>
          <w:tcPr>
            <w:tcW w:w="10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Limited Partners</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Partners’ Capital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w w:val="92"/>
              </w:rPr>
              <w:t>Series A</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General</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Excluding</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4"/>
              </w:rPr>
              <w:t>Noncontrolling</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Unitholders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Unitholders</w:t>
            </w:r>
          </w:p>
        </w:tc>
        <w:tc>
          <w:tcPr>
            <w:tcW w:w="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Partner</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Interests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8"/>
          </w:tcPr>
          <w:p>
            <w:pPr>
              <w:jc w:val="right"/>
              <w:ind w:right="1040"/>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7,580</w:t>
            </w:r>
          </w:p>
        </w:tc>
        <w:tc>
          <w:tcPr>
            <w:tcW w:w="940" w:type="dxa"/>
            <w:vAlign w:val="bottom"/>
            <w:gridSpan w:val="2"/>
            <w:shd w:val="clear" w:color="auto" w:fill="CCEEFF"/>
          </w:tcPr>
          <w:p>
            <w:pPr>
              <w:jc w:val="right"/>
              <w:ind w:right="684"/>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301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6"/>
              </w:rPr>
              <w:t>147</w:t>
            </w:r>
          </w:p>
        </w:tc>
        <w:tc>
          <w:tcPr>
            <w:tcW w:w="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202</w:t>
            </w:r>
          </w:p>
        </w:tc>
        <w:tc>
          <w:tcPr>
            <w:tcW w:w="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203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(278)</w:t>
            </w:r>
          </w:p>
        </w:tc>
        <w:tc>
          <w:tcPr>
            <w:tcW w:w="13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Arial" w:cs="Arial" w:eastAsia="Arial" w:hAnsi="Arial"/>
                <w:sz w:val="18"/>
                <w:szCs w:val="18"/>
                <w:color w:val="auto"/>
              </w:rPr>
              <w:t>Sale of Series A preferred units</w:t>
            </w:r>
          </w:p>
        </w:tc>
        <w:tc>
          <w:tcPr>
            <w:tcW w:w="16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1,542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6"/>
              </w:rPr>
              <w:t>115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84"/>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330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9,313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Partners’ Capital</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rPr>
              <w:t>Limited Partners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General</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Excluding</w:t>
            </w:r>
          </w:p>
        </w:tc>
        <w:tc>
          <w:tcPr>
            <w:tcW w:w="180" w:type="dxa"/>
            <w:vAlign w:val="bottom"/>
          </w:tcPr>
          <w:p>
            <w:pPr>
              <w:spacing w:after="0"/>
              <w:rPr>
                <w:sz w:val="12"/>
                <w:szCs w:val="12"/>
                <w:color w:val="auto"/>
              </w:rPr>
            </w:pPr>
          </w:p>
        </w:tc>
        <w:tc>
          <w:tcPr>
            <w:tcW w:w="138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94"/>
              </w:rPr>
              <w:t>Noncontrolling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Borders>
              <w:top w:val="single" w:sz="8" w:color="auto"/>
            </w:tcBorders>
            <w:gridSpan w:val="5"/>
          </w:tcPr>
          <w:p>
            <w:pPr>
              <w:jc w:val="right"/>
              <w:ind w:right="113"/>
              <w:spacing w:after="0" w:line="142" w:lineRule="exact"/>
              <w:rPr>
                <w:sz w:val="20"/>
                <w:szCs w:val="20"/>
                <w:color w:val="auto"/>
              </w:rPr>
            </w:pPr>
            <w:r>
              <w:rPr>
                <w:rFonts w:ascii="Arial" w:cs="Arial" w:eastAsia="Arial" w:hAnsi="Arial"/>
                <w:sz w:val="14"/>
                <w:szCs w:val="14"/>
                <w:b w:val="1"/>
                <w:bCs w:val="1"/>
                <w:color w:val="auto"/>
              </w:rPr>
              <w:t>Common Unitholders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Partner</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620"/>
              <w:spacing w:after="0" w:line="142" w:lineRule="exact"/>
              <w:rPr>
                <w:sz w:val="20"/>
                <w:szCs w:val="20"/>
                <w:color w:val="auto"/>
              </w:rPr>
            </w:pPr>
            <w:r>
              <w:rPr>
                <w:rFonts w:ascii="Arial" w:cs="Arial" w:eastAsia="Arial" w:hAnsi="Arial"/>
                <w:sz w:val="14"/>
                <w:szCs w:val="14"/>
                <w:b w:val="1"/>
                <w:bCs w:val="1"/>
                <w:color w:val="auto"/>
                <w:w w:val="92"/>
              </w:rPr>
              <w:t>Interests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5"/>
          </w:tcPr>
          <w:p>
            <w:pPr>
              <w:jc w:val="right"/>
              <w:ind w:right="800"/>
              <w:spacing w:after="0" w:line="142" w:lineRule="exact"/>
              <w:rPr>
                <w:sz w:val="20"/>
                <w:szCs w:val="20"/>
                <w:color w:val="auto"/>
              </w:rPr>
            </w:pPr>
            <w:r>
              <w:rPr>
                <w:rFonts w:ascii="Arial" w:cs="Arial" w:eastAsia="Arial" w:hAnsi="Arial"/>
                <w:sz w:val="14"/>
                <w:szCs w:val="14"/>
                <w:b w:val="1"/>
                <w:bCs w:val="1"/>
                <w:color w:val="auto"/>
                <w:w w:val="91"/>
              </w:rPr>
              <w:t>(unaudited)</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1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7,793</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8,133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c>
          <w:tcPr>
            <w:tcW w:w="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145</w:t>
            </w:r>
          </w:p>
        </w:tc>
        <w:tc>
          <w:tcPr>
            <w:tcW w:w="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283</w:t>
            </w:r>
          </w:p>
        </w:tc>
        <w:tc>
          <w:tcPr>
            <w:tcW w:w="2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284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(136)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Arial" w:cs="Arial" w:eastAsia="Arial" w:hAnsi="Arial"/>
                <w:sz w:val="18"/>
                <w:szCs w:val="18"/>
                <w:color w:val="auto"/>
              </w:rPr>
              <w:t>Sale of common units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1,099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1,121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18"/>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540"/>
        <w:spacing w:after="0" w:line="266" w:lineRule="auto"/>
        <w:rPr>
          <w:sz w:val="20"/>
          <w:szCs w:val="20"/>
          <w:color w:val="auto"/>
        </w:rPr>
      </w:pPr>
      <w:r>
        <w:rPr>
          <w:rFonts w:ascii="Arial" w:cs="Arial" w:eastAsia="Arial" w:hAnsi="Arial"/>
          <w:sz w:val="18"/>
          <w:szCs w:val="18"/>
          <w:b w:val="1"/>
          <w:bCs w:val="1"/>
          <w:color w:val="auto"/>
        </w:rPr>
        <w:t>PLAINS ALL AMERICAN PIPELINE, L.P. AND SUBSIDIARIES NOTES TO THE CONDENSED CONSOLIDATED FINANCIAL STATEMENTS (unaudited)</w:t>
      </w:r>
    </w:p>
    <w:p>
      <w:pPr>
        <w:sectPr>
          <w:pgSz w:w="11900" w:h="16838" w:orient="portrait"/>
          <w:cols w:equalWidth="0" w:num="1">
            <w:col w:w="11420"/>
          </w:cols>
          <w:pgMar w:left="240" w:top="140"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for crude oil, natural gas liquids (“NGL”), natural gas and refined products.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11 for further discussion of our operating segments.</w:t>
      </w:r>
    </w:p>
    <w:p>
      <w:pPr>
        <w:spacing w:after="0" w:line="17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2% general partner interest is held by PAA GP LLC, a Delaware limited liability company, whose sole member is Plains AAP, L.P. (“AAP”), a Delaware limited partnership. In addition to its ownership of PAA GP LLC, AAP also owns all of our incentive distribution rights (“IDRs”). Plains All American GP LLC (“GP LLC”), a Delaware limited liability company, is AAP’s general partner. Plains GP Holdings, L.P. (“PAGP”) is the sole member of GP LLC, and at March 31, 2016, owned an approximate 43% limited partner interest in AAP.</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GP LLC manages our operations and activities and employs our domestic officers and personnel. Our Canadian officers and personnel are employed by our subsidiary, Plains Midstream Canada ULC (“PMC”). References to our “general partner,” as the context requires, include any or all of PAA GP LLC, AAP and GP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AOCI</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Accumulated other comprehensive income/(loss)</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Bcf</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Billion cubic feet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Btu</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British thermal unit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CAD</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Canadian dollar</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DERs</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EPA</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United States Environmental Protection Agency</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FASB</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GAAP</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ICE</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Intercontinental Exchange</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LIBOR</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LTIP</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Long-term incentive plan</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Mcf</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Thousand cubic feet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MLP</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Master limited partnership</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NGL</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Natural gas liquids, including ethane, propane and butane</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NYMEX</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Oxy</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Occidental Petroleum Corporation or its subsidiaries</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PLA</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Pipeline loss allowance</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United States Securities and Exchange Commission</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USD</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United States dollar</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WTI</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sz w:val="20"/>
                <w:szCs w:val="20"/>
                <w:color w:val="auto"/>
              </w:rPr>
            </w:pPr>
            <w:r>
              <w:rPr>
                <w:rFonts w:ascii="Arial" w:cs="Arial" w:eastAsia="Arial" w:hAnsi="Arial"/>
                <w:sz w:val="18"/>
                <w:szCs w:val="18"/>
                <w:color w:val="auto"/>
              </w:rPr>
              <w:t>West Texas Intermediate</w:t>
            </w:r>
          </w:p>
        </w:tc>
      </w:tr>
      <w:tr>
        <w:trPr>
          <w:trHeight w:val="432"/>
        </w:trPr>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0" w:type="dxa"/>
            <w:vAlign w:val="bottom"/>
          </w:tcPr>
          <w:p>
            <w:pPr>
              <w:ind w:left="3600"/>
              <w:spacing w:after="0"/>
              <w:rPr>
                <w:sz w:val="20"/>
                <w:szCs w:val="20"/>
                <w:color w:val="auto"/>
              </w:rPr>
            </w:pPr>
            <w:r>
              <w:rPr>
                <w:rFonts w:ascii="Arial" w:cs="Arial" w:eastAsia="Arial" w:hAnsi="Arial"/>
                <w:sz w:val="18"/>
                <w:szCs w:val="18"/>
                <w:color w:val="auto"/>
              </w:rPr>
              <w:t>8</w:t>
            </w:r>
          </w:p>
        </w:tc>
      </w:tr>
      <w:tr>
        <w:trPr>
          <w:trHeight w:val="132"/>
        </w:trPr>
        <w:tc>
          <w:tcPr>
            <w:tcW w:w="12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94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2015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Such reclassifications include $3 million reclassified from “Depreciation and amortization” to “Interest expense, net” in our accompanying Condensed Consolidated Statements of Operations for the three months ended March 31, 2015 due to the retrospective application of revised debt issuance costs guidance issued by the FASB, which we adopted during the fourth quarter of 2015. These reclassifications do not affect net income attributable to PAA. The condensed consolidated balance sheet data as of December 31, 2015 was derived from audited financial statements, but does not include all disclosures required by GAAP. The results of operations for the three months ended March 31, 2016 should not be taken as indicative of results to be expected for the entire year.</w:t>
      </w:r>
    </w:p>
    <w:p>
      <w:pPr>
        <w:spacing w:after="0" w:line="18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Except as discussed below and in our 2015 Annual Report on Form 10-K, there have been no new accounting pronouncements that have become effective or have been issued during the three months ended March 31, 2016 that are of significance or potential significance to us.</w:t>
      </w:r>
    </w:p>
    <w:p>
      <w:pPr>
        <w:sectPr>
          <w:pgSz w:w="11900" w:h="16838" w:orient="portrait"/>
          <w:cols w:equalWidth="0" w:num="1">
            <w:col w:w="11460"/>
          </w:cols>
          <w:pgMar w:left="240" w:top="337" w:right="199" w:bottom="0" w:gutter="0" w:footer="0" w:header="0"/>
        </w:sectPr>
      </w:pPr>
    </w:p>
    <w:bookmarkStart w:id="6" w:name="page7"/>
    <w:bookmarkEnd w:id="6"/>
    <w:p>
      <w:pPr>
        <w:ind w:right="40" w:firstLine="648"/>
        <w:spacing w:after="0" w:line="255" w:lineRule="auto"/>
        <w:rPr>
          <w:sz w:val="20"/>
          <w:szCs w:val="20"/>
          <w:color w:val="auto"/>
        </w:rPr>
      </w:pPr>
      <w:r>
        <w:rPr>
          <w:rFonts w:ascii="Arial" w:cs="Arial" w:eastAsia="Arial" w:hAnsi="Arial"/>
          <w:sz w:val="18"/>
          <w:szCs w:val="18"/>
          <w:color w:val="auto"/>
        </w:rPr>
        <w:t>In February 2016, the FASB issued guidance that revises the current accounting model for leases. The most significant changes are the clarification of the definition of a lease and required lessee recognition on the balance sheet of lease assets and liabilities with lease terms of more than 12 months, including extensive quantitative and qualitative disclosures. This guidance will become effective for interim and annual periods beginning after December 15, 2018, with a modified retrospective application required. Early adoption is permitted, including adoption in an interim period. We expect to adopt this guidance on January 1, 2019, and we are currently evaluating the effect that adopting this guidance will have on our financial position, results of operations and cash flows.</w:t>
      </w:r>
    </w:p>
    <w:p>
      <w:pPr>
        <w:spacing w:after="0" w:line="19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March 2016, the FASB issued guidance to simplify several aspects of the accounting for share-based payment transactions, including the income tax consequences, classification of awards as either equity or liabilities and classification of certain related payments on the statement of cash flows. This guidance will become effective for interim and annual periods beginning after December 15, 2016, with early adoption permitted. We expect to adopt this guidance on January 1, 2017, and we are currently evaluating the effect that adopting this guidance will have on our financial position,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Common Unit</w:t>
      </w:r>
    </w:p>
    <w:p>
      <w:pPr>
        <w:spacing w:after="0" w:line="229"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Basic and diluted net income per common unit is determined pursuant to the two-class method for MLPs as prescribed in FASB guidance. The two-class method is an earnings allocation formula that is used to determine earnings to our general partner, limited partners and participating securities according to distributions pertaining to the current period’s net income and participation rights in undistributed earnings. Under this method, all earnings are allocated to our preferred unitholders, general partner, common unitholders and participating securities based on their respective rights to receive distributions, regardless of whether those earnings would actually be distributed during a particular period from an economic or practical perspective.</w:t>
      </w:r>
    </w:p>
    <w:p>
      <w:pPr>
        <w:spacing w:after="0" w:line="15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calculate basic and diluted net income per common unit by dividing net income attributable to PAA (after deducting the amount allocated to the preferred unitholders, the general partner’s interest, IDRs and participating securities) by the basic and diluted weighted-average number of common units outstanding during the period. Participating securities include LTIP awards that have vested DERs, which entitle the grantee to a cash payment equal to the cash distribution paid on our outstanding common units.</w:t>
      </w:r>
    </w:p>
    <w:p>
      <w:pPr>
        <w:spacing w:after="0" w:line="18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Diluted net income per common unit is computed based on the weighted average number of common units plus the effect of potentially dilutive securities outstanding during the period. When applying the if-converted method prescribed by FASB guidance, the possible conversion of our Series A preferred units was excluded from the calculation of diluted net income per common unit for the three months ended March 31, 2016 as the effect was antidilutive. See Note 7 to our Condensed Consolidated Financial Statements for additional information regarding our Series A preferred units. 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common unit repurchase based on the remaining unamortized fair value, as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prescribed by the treasury stock method in guidance issued by the FASB. See Note 15 to our Consolidated Financial Statements included in Part IV of our 2015 Annual Report on Form 10-K for a complete discussion of our LTIP awards including specific discussion regarding DERs.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common unit (in millions, except per unit data):</w:t>
      </w:r>
    </w:p>
    <w:p>
      <w:pPr>
        <w:spacing w:after="0" w:line="21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PAA</w:t>
            </w:r>
          </w:p>
        </w:tc>
        <w:tc>
          <w:tcPr>
            <w:tcW w:w="116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Less: Distributions to Series A preferred units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CCEEFF"/>
            </w:tcBorders>
            <w:gridSpan w:val="2"/>
          </w:tcPr>
          <w:p>
            <w:pPr>
              <w:ind w:left="340"/>
              <w:spacing w:after="0" w:line="216" w:lineRule="exact"/>
              <w:rPr>
                <w:sz w:val="20"/>
                <w:szCs w:val="20"/>
                <w:color w:val="auto"/>
              </w:rPr>
            </w:pPr>
            <w:r>
              <w:rPr>
                <w:rFonts w:ascii="Arial" w:cs="Arial" w:eastAsia="Arial" w:hAnsi="Arial"/>
                <w:sz w:val="18"/>
                <w:szCs w:val="18"/>
                <w:color w:val="auto"/>
              </w:rPr>
              <w:t xml:space="preserve">Less: Undistributed loss allocated to general partner </w:t>
            </w:r>
            <w:r>
              <w:rPr>
                <w:rFonts w:ascii="Arial" w:cs="Arial" w:eastAsia="Arial" w:hAnsi="Arial"/>
                <w:sz w:val="23"/>
                <w:szCs w:val="23"/>
                <w:color w:val="auto"/>
                <w:vertAlign w:val="superscript"/>
              </w:rPr>
              <w:t>(1)</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60" w:type="dxa"/>
            <w:vAlign w:val="bottom"/>
            <w:gridSpan w:val="2"/>
            <w:shd w:val="clear" w:color="auto" w:fill="CCEEFF"/>
          </w:tcPr>
          <w:p>
            <w:pPr>
              <w:ind w:left="160"/>
              <w:spacing w:after="0" w:line="182" w:lineRule="exact"/>
              <w:rPr>
                <w:sz w:val="20"/>
                <w:szCs w:val="20"/>
                <w:color w:val="auto"/>
              </w:rPr>
            </w:pPr>
            <w:r>
              <w:rPr>
                <w:rFonts w:ascii="Arial" w:cs="Arial" w:eastAsia="Arial" w:hAnsi="Arial"/>
                <w:sz w:val="18"/>
                <w:szCs w:val="18"/>
                <w:color w:val="auto"/>
                <w:w w:val="93"/>
              </w:rPr>
              <w:t>Net income attributable to common unitholders in accordance with application of the two-class method for</w:t>
            </w:r>
          </w:p>
        </w:tc>
        <w:tc>
          <w:tcPr>
            <w:tcW w:w="1160" w:type="dxa"/>
            <w:vAlign w:val="bottom"/>
            <w:gridSpan w:val="2"/>
            <w:vMerge w:val="restart"/>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MLPs</w:t>
            </w:r>
          </w:p>
        </w:tc>
        <w:tc>
          <w:tcPr>
            <w:tcW w:w="116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net income per common unit</w:t>
            </w:r>
          </w:p>
        </w:tc>
        <w:tc>
          <w:tcPr>
            <w:tcW w:w="116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PAA</w:t>
            </w:r>
          </w:p>
        </w:tc>
        <w:tc>
          <w:tcPr>
            <w:tcW w:w="116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Less: Distributions to Series A preferred units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CCEEFF"/>
            </w:tcBorders>
            <w:gridSpan w:val="2"/>
          </w:tcPr>
          <w:p>
            <w:pPr>
              <w:ind w:left="340"/>
              <w:spacing w:after="0" w:line="216" w:lineRule="exact"/>
              <w:rPr>
                <w:sz w:val="20"/>
                <w:szCs w:val="20"/>
                <w:color w:val="auto"/>
              </w:rPr>
            </w:pPr>
            <w:r>
              <w:rPr>
                <w:rFonts w:ascii="Arial" w:cs="Arial" w:eastAsia="Arial" w:hAnsi="Arial"/>
                <w:sz w:val="18"/>
                <w:szCs w:val="18"/>
                <w:color w:val="auto"/>
              </w:rPr>
              <w:t xml:space="preserve">Less: Undistributed loss allocated to general partner </w:t>
            </w:r>
            <w:r>
              <w:rPr>
                <w:rFonts w:ascii="Arial" w:cs="Arial" w:eastAsia="Arial" w:hAnsi="Arial"/>
                <w:sz w:val="23"/>
                <w:szCs w:val="23"/>
                <w:color w:val="auto"/>
                <w:vertAlign w:val="superscript"/>
              </w:rPr>
              <w:t>(1)</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60" w:type="dxa"/>
            <w:vAlign w:val="bottom"/>
            <w:gridSpan w:val="2"/>
            <w:shd w:val="clear" w:color="auto" w:fill="CCEEFF"/>
          </w:tcPr>
          <w:p>
            <w:pPr>
              <w:ind w:left="160"/>
              <w:spacing w:after="0" w:line="182" w:lineRule="exact"/>
              <w:rPr>
                <w:sz w:val="20"/>
                <w:szCs w:val="20"/>
                <w:color w:val="auto"/>
              </w:rPr>
            </w:pPr>
            <w:r>
              <w:rPr>
                <w:rFonts w:ascii="Arial" w:cs="Arial" w:eastAsia="Arial" w:hAnsi="Arial"/>
                <w:sz w:val="18"/>
                <w:szCs w:val="18"/>
                <w:color w:val="auto"/>
                <w:w w:val="93"/>
              </w:rPr>
              <w:t>Net income attributable to common unitholders in accordance with application of the two-class method for</w:t>
            </w:r>
          </w:p>
        </w:tc>
        <w:tc>
          <w:tcPr>
            <w:tcW w:w="1160" w:type="dxa"/>
            <w:vAlign w:val="bottom"/>
            <w:gridSpan w:val="2"/>
            <w:vMerge w:val="restart"/>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MLPs</w:t>
            </w:r>
          </w:p>
        </w:tc>
        <w:tc>
          <w:tcPr>
            <w:tcW w:w="116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weighted average common units outstanding</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Effect of dilutive securities: Weighted average LTIP units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 weighted average common units outstanding</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 net income per common unit</w:t>
            </w:r>
          </w:p>
        </w:tc>
        <w:tc>
          <w:tcPr>
            <w:tcW w:w="116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ind w:left="660" w:hanging="652"/>
        <w:spacing w:after="0" w:line="238" w:lineRule="auto"/>
        <w:tabs>
          <w:tab w:leader="none" w:pos="64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attributable to common unitholders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spacing w:after="0" w:line="20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Pursuant to the terms of our partnership agreement, the general partner’s incentive distribution is limited to a percentage of available cash, which, as defined in our partnership agreement, is net of reserves deemed appropriate. As such, IDRs are not allocated undistributed earnings or distributions in excess of earnings in the calculation of net income per common unit. If, however, undistributed earnings were allocated to our IDRs beyond amounts distributed to them under the terms of our partnership agreement, basic and diluted net income per common unit as reflected in the table above would not have been impacted, as we did not have undistributed earnings for any of the periods presented.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4—Accounts Receivable, Net</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March 31, 2016 and December 31, 2015, we had received $52 million and $88 million, respectively, of advance cash payments from third parties to mitigate credit risk.</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also received $26 million and $36 million as of March 31, 2016 and December 31, 2015,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such arrangements.</w:t>
      </w:r>
    </w:p>
    <w:p>
      <w:pPr>
        <w:spacing w:after="0" w:line="171"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March 31, 2016 and December 31, 2015, substantially all of our trade accounts receivable (net of allowance for doubtful accounts) were less than 30 days past their scheduled invoice date. Our allowance for doubtful accounts receivable totaled $4 million at both March 31, 2016 and December 31, 2015. Although we consider our allowance for doubtful accounts receivable to be adequate, actual amounts could vary significantly from estimated amounts.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March 31, 2016</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Volumes</w:t>
            </w:r>
          </w:p>
        </w:tc>
        <w:tc>
          <w:tcPr>
            <w:tcW w:w="90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Unit of</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0"/>
                <w:szCs w:val="10"/>
                <w:color w:val="auto"/>
              </w:rPr>
            </w:pPr>
          </w:p>
        </w:tc>
        <w:tc>
          <w:tcPr>
            <w:tcW w:w="880" w:type="dxa"/>
            <w:vAlign w:val="bottom"/>
          </w:tcPr>
          <w:p>
            <w:pPr>
              <w:jc w:val="center"/>
              <w:ind w:right="114"/>
              <w:spacing w:after="0" w:line="119" w:lineRule="exact"/>
              <w:rPr>
                <w:sz w:val="20"/>
                <w:szCs w:val="20"/>
                <w:color w:val="auto"/>
              </w:rPr>
            </w:pPr>
            <w:r>
              <w:rPr>
                <w:rFonts w:ascii="Arial" w:cs="Arial" w:eastAsia="Arial" w:hAnsi="Arial"/>
                <w:sz w:val="13"/>
                <w:szCs w:val="13"/>
                <w:b w:val="1"/>
                <w:bCs w:val="1"/>
                <w:color w:val="auto"/>
              </w:rPr>
              <w:t>Price/</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Volumes</w:t>
            </w:r>
          </w:p>
        </w:tc>
        <w:tc>
          <w:tcPr>
            <w:tcW w:w="12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Unit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Pr>
          <w:p>
            <w:pPr>
              <w:spacing w:after="0"/>
              <w:rPr>
                <w:sz w:val="10"/>
                <w:szCs w:val="10"/>
                <w:color w:val="auto"/>
              </w:rPr>
            </w:pPr>
          </w:p>
        </w:tc>
        <w:tc>
          <w:tcPr>
            <w:tcW w:w="740" w:type="dxa"/>
            <w:vAlign w:val="bottom"/>
          </w:tcPr>
          <w:p>
            <w:pPr>
              <w:jc w:val="center"/>
              <w:ind w:right="94"/>
              <w:spacing w:after="0" w:line="119" w:lineRule="exact"/>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Measure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180" w:type="dxa"/>
            <w:vAlign w:val="bottom"/>
            <w:gridSpan w:val="2"/>
          </w:tcPr>
          <w:p>
            <w:pPr>
              <w:jc w:val="center"/>
              <w:ind w:right="520"/>
              <w:spacing w:after="0" w:line="172" w:lineRule="exact"/>
              <w:rPr>
                <w:sz w:val="20"/>
                <w:szCs w:val="20"/>
                <w:color w:val="auto"/>
              </w:rPr>
            </w:pPr>
            <w:r>
              <w:rPr>
                <w:rFonts w:ascii="Arial" w:cs="Arial" w:eastAsia="Arial" w:hAnsi="Arial"/>
                <w:sz w:val="14"/>
                <w:szCs w:val="14"/>
                <w:b w:val="1"/>
                <w:bCs w:val="1"/>
                <w:color w:val="auto"/>
                <w:w w:val="93"/>
              </w:rPr>
              <w:t xml:space="preserve">Unit </w:t>
            </w:r>
            <w:r>
              <w:rPr>
                <w:rFonts w:ascii="Arial" w:cs="Arial" w:eastAsia="Arial" w:hAnsi="Arial"/>
                <w:sz w:val="17"/>
                <w:szCs w:val="17"/>
                <w:b w:val="1"/>
                <w:bCs w:val="1"/>
                <w:color w:val="auto"/>
                <w:w w:val="93"/>
                <w:vertAlign w:val="superscript"/>
              </w:rPr>
              <w:t>(1)</w:t>
            </w: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Measure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840" w:type="dxa"/>
            <w:vAlign w:val="bottom"/>
            <w:gridSpan w:val="2"/>
          </w:tcPr>
          <w:p>
            <w:pPr>
              <w:jc w:val="center"/>
              <w:ind w:right="280"/>
              <w:spacing w:after="0" w:line="172" w:lineRule="exact"/>
              <w:rPr>
                <w:sz w:val="20"/>
                <w:szCs w:val="20"/>
                <w:color w:val="auto"/>
              </w:rPr>
            </w:pPr>
            <w:r>
              <w:rPr>
                <w:rFonts w:ascii="Arial" w:cs="Arial" w:eastAsia="Arial" w:hAnsi="Arial"/>
                <w:sz w:val="14"/>
                <w:szCs w:val="14"/>
                <w:b w:val="1"/>
                <w:bCs w:val="1"/>
                <w:color w:val="auto"/>
                <w:w w:val="88"/>
              </w:rPr>
              <w:t xml:space="preserve">Unit </w:t>
            </w:r>
            <w:r>
              <w:rPr>
                <w:rFonts w:ascii="Arial" w:cs="Arial" w:eastAsia="Arial" w:hAnsi="Arial"/>
                <w:sz w:val="17"/>
                <w:szCs w:val="17"/>
                <w:b w:val="1"/>
                <w:bCs w:val="1"/>
                <w:color w:val="auto"/>
                <w:w w:val="88"/>
                <w:vertAlign w:val="superscript"/>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Crude oil</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21,073</w:t>
            </w:r>
          </w:p>
        </w:tc>
        <w:tc>
          <w:tcPr>
            <w:tcW w:w="900" w:type="dxa"/>
            <w:vAlign w:val="bottom"/>
          </w:tcPr>
          <w:p>
            <w:pPr>
              <w:spacing w:after="0"/>
              <w:rPr>
                <w:sz w:val="20"/>
                <w:szCs w:val="20"/>
                <w:color w:val="auto"/>
              </w:rPr>
            </w:pPr>
            <w:r>
              <w:rPr>
                <w:rFonts w:ascii="Arial" w:cs="Arial" w:eastAsia="Arial" w:hAnsi="Arial"/>
                <w:sz w:val="18"/>
                <w:szCs w:val="18"/>
                <w:color w:val="auto"/>
              </w:rPr>
              <w:t>barrels</w:t>
            </w:r>
          </w:p>
        </w:tc>
        <w:tc>
          <w:tcPr>
            <w:tcW w:w="360" w:type="dxa"/>
            <w:vAlign w:val="bottom"/>
            <w:gridSpan w:val="2"/>
          </w:tcPr>
          <w:p>
            <w:pPr>
              <w:jc w:val="center"/>
              <w:ind w:lef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33.74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16,345</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barrels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608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6,512</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13,907</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Natural gas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17,150</w:t>
            </w:r>
          </w:p>
        </w:tc>
        <w:tc>
          <w:tcPr>
            <w:tcW w:w="900" w:type="dxa"/>
            <w:vAlign w:val="bottom"/>
          </w:tcPr>
          <w:p>
            <w:pPr>
              <w:spacing w:after="0"/>
              <w:rPr>
                <w:sz w:val="20"/>
                <w:szCs w:val="20"/>
                <w:color w:val="auto"/>
              </w:rPr>
            </w:pPr>
            <w:r>
              <w:rPr>
                <w:rFonts w:ascii="Arial" w:cs="Arial" w:eastAsia="Arial" w:hAnsi="Arial"/>
                <w:sz w:val="18"/>
                <w:szCs w:val="18"/>
                <w:color w:val="auto"/>
              </w:rPr>
              <w:t>Mcf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1.98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22,080</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Mcf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Inventory subtotal</w:t>
            </w: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right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79"/>
              </w:rPr>
              <w:t>916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12,060</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58.96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12,298</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713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NGL</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1,348</w:t>
            </w:r>
          </w:p>
        </w:tc>
        <w:tc>
          <w:tcPr>
            <w:tcW w:w="900" w:type="dxa"/>
            <w:vAlign w:val="bottom"/>
          </w:tcPr>
          <w:p>
            <w:pPr>
              <w:spacing w:after="0"/>
              <w:rPr>
                <w:sz w:val="20"/>
                <w:szCs w:val="20"/>
                <w:color w:val="auto"/>
              </w:rPr>
            </w:pPr>
            <w:r>
              <w:rPr>
                <w:rFonts w:ascii="Arial" w:cs="Arial" w:eastAsia="Arial" w:hAnsi="Arial"/>
                <w:sz w:val="18"/>
                <w:szCs w:val="18"/>
                <w:color w:val="auto"/>
              </w:rPr>
              <w:t>barrels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34.87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1,348</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30,812</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Mcf</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4.58</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30,812</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Mcf</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tcPr>
          <w:p>
            <w:pPr>
              <w:ind w:left="160"/>
              <w:spacing w:after="0" w:line="182" w:lineRule="exact"/>
              <w:rPr>
                <w:sz w:val="20"/>
                <w:szCs w:val="20"/>
                <w:color w:val="auto"/>
              </w:rPr>
            </w:pPr>
            <w:r>
              <w:rPr>
                <w:rFonts w:ascii="Arial" w:cs="Arial" w:eastAsia="Arial" w:hAnsi="Arial"/>
                <w:sz w:val="18"/>
                <w:szCs w:val="18"/>
                <w:color w:val="auto"/>
              </w:rPr>
              <w:t>Linefill and base gas</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ind w:left="340"/>
              <w:spacing w:after="0"/>
              <w:rPr>
                <w:sz w:val="20"/>
                <w:szCs w:val="20"/>
                <w:color w:val="auto"/>
              </w:rPr>
            </w:pPr>
            <w:r>
              <w:rPr>
                <w:rFonts w:ascii="Arial" w:cs="Arial" w:eastAsia="Arial" w:hAnsi="Arial"/>
                <w:sz w:val="18"/>
                <w:szCs w:val="18"/>
                <w:color w:val="auto"/>
              </w:rPr>
              <w:t>subtotal</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898</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3,417</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NGL</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1,652</w:t>
            </w:r>
          </w:p>
        </w:tc>
        <w:tc>
          <w:tcPr>
            <w:tcW w:w="900" w:type="dxa"/>
            <w:vAlign w:val="bottom"/>
          </w:tcPr>
          <w:p>
            <w:pPr>
              <w:spacing w:after="0"/>
              <w:rPr>
                <w:sz w:val="20"/>
                <w:szCs w:val="20"/>
                <w:color w:val="auto"/>
              </w:rPr>
            </w:pPr>
            <w:r>
              <w:rPr>
                <w:rFonts w:ascii="Arial" w:cs="Arial" w:eastAsia="Arial" w:hAnsi="Arial"/>
                <w:sz w:val="18"/>
                <w:szCs w:val="18"/>
                <w:color w:val="auto"/>
              </w:rPr>
              <w:t>barrels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12.11</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1,652</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rPr>
              <w:t>Long-term inventory</w:t>
            </w:r>
          </w:p>
        </w:tc>
        <w:tc>
          <w:tcPr>
            <w:tcW w:w="8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right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tcBorders>
              <w:righ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652"/>
        <w:spacing w:after="0" w:line="227"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2"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 xml:space="preserve">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$24 million during the three months ended March 31, 2015 </w:t>
      </w:r>
      <w:r>
        <w:rPr>
          <w:rFonts w:ascii="Arial" w:cs="Arial" w:eastAsia="Arial" w:hAnsi="Arial"/>
          <w:sz w:val="16"/>
          <w:szCs w:val="16"/>
          <w:color w:val="auto"/>
        </w:rPr>
        <w:t>primarily</w:t>
      </w:r>
      <w:r>
        <w:rPr>
          <w:rFonts w:ascii="Arial" w:cs="Arial" w:eastAsia="Arial" w:hAnsi="Arial"/>
          <w:sz w:val="17"/>
          <w:szCs w:val="17"/>
          <w:color w:val="auto"/>
        </w:rPr>
        <w:t xml:space="preserve"> related to the writedown of our NGL inventory due to declines in prices. The loss was substantially offset by a portion of the derivative mark-to-market gain that was recognized in the fourth quarter of 2014. See Note 8 for discussion of our derivative and risk management activities.</w:t>
      </w:r>
    </w:p>
    <w:p>
      <w:pPr>
        <w:sectPr>
          <w:pgSz w:w="11900" w:h="16838" w:orient="portrait"/>
          <w:cols w:equalWidth="0" w:num="1">
            <w:col w:w="11420"/>
          </w:cols>
          <w:pgMar w:left="240" w:top="125" w:right="23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line="216" w:lineRule="exact"/>
              <w:rPr>
                <w:sz w:val="20"/>
                <w:szCs w:val="20"/>
                <w:color w:val="auto"/>
              </w:rPr>
            </w:pPr>
            <w:r>
              <w:rPr>
                <w:rFonts w:ascii="Arial" w:cs="Arial" w:eastAsia="Arial" w:hAnsi="Arial"/>
                <w:sz w:val="18"/>
                <w:szCs w:val="18"/>
                <w:color w:val="auto"/>
                <w:w w:val="95"/>
              </w:rPr>
              <w:t xml:space="preserve">Commercial paper notes, bearing a weighted-average interest rate of 0.9% and 1.1%, respectively </w:t>
            </w:r>
            <w:r>
              <w:rPr>
                <w:rFonts w:ascii="Arial" w:cs="Arial" w:eastAsia="Arial" w:hAnsi="Arial"/>
                <w:sz w:val="23"/>
                <w:szCs w:val="23"/>
                <w:color w:val="auto"/>
                <w:w w:val="95"/>
                <w:vertAlign w:val="superscript"/>
              </w:rPr>
              <w:t>(1)</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Senior secured hedged inventory facility, bearing a weighted-average interest rate of 1.4%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Senior notes: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5.88% senior notes due August 2016</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6.13% senior notes due January 2017</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Pr>
          <w:p>
            <w:pPr>
              <w:ind w:left="360"/>
              <w:spacing w:after="0"/>
              <w:rPr>
                <w:sz w:val="20"/>
                <w:szCs w:val="20"/>
                <w:color w:val="auto"/>
              </w:rPr>
            </w:pPr>
            <w:r>
              <w:rPr>
                <w:rFonts w:ascii="Arial" w:cs="Arial" w:eastAsia="Arial" w:hAnsi="Arial"/>
                <w:sz w:val="18"/>
                <w:szCs w:val="18"/>
                <w:color w:val="auto"/>
              </w:rPr>
              <w:t>Total short-term debt</w:t>
            </w:r>
          </w:p>
        </w:tc>
        <w:tc>
          <w:tcPr>
            <w:tcW w:w="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discounts and debt issuance costs of $74 and $77, respectively</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8"/>
              </w:rPr>
              <w:t>Commercial paper notes, bearing a weighted-average interest rate of 0.9% and 1.1%, respectively</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long-term debt</w:t>
            </w:r>
          </w:p>
        </w:tc>
        <w:tc>
          <w:tcPr>
            <w:tcW w:w="5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9,153</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shd w:val="clear" w:color="auto" w:fill="CCEEFF"/>
          </w:tcPr>
          <w:p>
            <w:pPr>
              <w:ind w:left="540"/>
              <w:spacing w:after="0" w:line="21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(2)</w:t>
            </w:r>
          </w:p>
        </w:tc>
        <w:tc>
          <w:tcPr>
            <w:tcW w:w="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652"/>
        <w:spacing w:after="0" w:line="234"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We classified these commercial paper notes and credit facility borrowings as short-term as of March 31, 2016 and December 31, 2015, as these notes and borrowings were primarily designated as working capital borrowings, were required to be repaid within one year and were primarily for hedged NGL and crude oil inventory and NYMEX and ICE margin deposits.</w:t>
      </w:r>
    </w:p>
    <w:p>
      <w:pPr>
        <w:spacing w:after="0" w:line="202" w:lineRule="exact"/>
        <w:rPr>
          <w:rFonts w:ascii="Arial" w:cs="Arial" w:eastAsia="Arial" w:hAnsi="Arial"/>
          <w:sz w:val="23"/>
          <w:szCs w:val="23"/>
          <w:color w:val="auto"/>
          <w:vertAlign w:val="superscript"/>
        </w:rPr>
      </w:pPr>
    </w:p>
    <w:p>
      <w:pPr>
        <w:ind w:left="660" w:hanging="652"/>
        <w:spacing w:after="0" w:line="259" w:lineRule="auto"/>
        <w:tabs>
          <w:tab w:leader="none" w:pos="648"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Our fixed-rate senior notes (including current maturities) had a face value of approximately $9.8 billion as of both March 31, 2016 and December 31, 2015. We estimated the aggregate fair value of these notes as of March 31, 2016 and December 31, 2015 to be approximately $9.0 billion and $8.6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in Level 2 of the fair value hierarchy.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Total borrowings under our credit facilities and commercial paper program for the three months ended March 31, 2016 and 2015 were approximately $10.8 billion and $7.0 billion, respectively. Total repayments under our credit facilities and commercial paper program were approximately $12.3 billion and $7.7 billion for the three months ended March 31, 2016 and 2015, respectively. The variance in total gross borrowings and repayments is impacted by various business and financial factors including, but not limited to, the timing, average term and method of general partnership borrowing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derivative transactions and construction activities. At March 31, 2016 and December 31, 2015, we had outstanding letters of credit of $45 million and $46 million,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Series A preferred units and common units: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3120" w:type="dxa"/>
            <w:vAlign w:val="bottom"/>
            <w:gridSpan w:val="4"/>
          </w:tcPr>
          <w:p>
            <w:pPr>
              <w:ind w:left="980"/>
              <w:spacing w:after="0"/>
              <w:rPr>
                <w:sz w:val="20"/>
                <w:szCs w:val="20"/>
                <w:color w:val="auto"/>
              </w:rPr>
            </w:pPr>
            <w:r>
              <w:rPr>
                <w:rFonts w:ascii="Arial" w:cs="Arial" w:eastAsia="Arial" w:hAnsi="Arial"/>
                <w:sz w:val="14"/>
                <w:szCs w:val="14"/>
                <w:b w:val="1"/>
                <w:bCs w:val="1"/>
                <w:color w:val="auto"/>
              </w:rPr>
              <w:t>Limited Partners</w:t>
            </w: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64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Preferred Units</w:t>
            </w: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397,727,624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180"/>
              <w:spacing w:after="0"/>
              <w:rPr>
                <w:sz w:val="20"/>
                <w:szCs w:val="20"/>
                <w:color w:val="auto"/>
              </w:rPr>
            </w:pPr>
            <w:r>
              <w:rPr>
                <w:rFonts w:ascii="Arial" w:cs="Arial" w:eastAsia="Arial" w:hAnsi="Arial"/>
                <w:sz w:val="18"/>
                <w:szCs w:val="18"/>
                <w:color w:val="auto"/>
              </w:rPr>
              <w:t>Sale of Series A preferred units</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0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61,030,127</w:t>
            </w:r>
          </w:p>
        </w:tc>
        <w:tc>
          <w:tcPr>
            <w:tcW w:w="28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units under LTIP</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Outstanding at March 31, 2016</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61,030,127</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397,730,991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0" w:type="dxa"/>
            <w:vAlign w:val="bottom"/>
          </w:tcPr>
          <w:p>
            <w:pPr>
              <w:spacing w:after="0"/>
              <w:rPr>
                <w:sz w:val="1"/>
                <w:szCs w:val="1"/>
                <w:color w:val="auto"/>
              </w:rPr>
            </w:pPr>
          </w:p>
        </w:tc>
      </w:tr>
      <w:tr>
        <w:trPr>
          <w:trHeight w:val="142"/>
        </w:trPr>
        <w:tc>
          <w:tcPr>
            <w:tcW w:w="830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Common Units</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375,107,793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180"/>
              <w:spacing w:after="0"/>
              <w:rPr>
                <w:sz w:val="20"/>
                <w:szCs w:val="20"/>
                <w:color w:val="auto"/>
              </w:rPr>
            </w:pPr>
            <w:r>
              <w:rPr>
                <w:rFonts w:ascii="Arial" w:cs="Arial" w:eastAsia="Arial" w:hAnsi="Arial"/>
                <w:sz w:val="18"/>
                <w:szCs w:val="18"/>
                <w:color w:val="auto"/>
              </w:rPr>
              <w:t>Sale of common units</w:t>
            </w: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0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22,133,904</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2015</w:t>
            </w:r>
          </w:p>
        </w:tc>
        <w:tc>
          <w:tcPr>
            <w:tcW w:w="1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397,241,697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Equity Offerings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 xml:space="preserve">Series A Preferred Unit Offering. </w:t>
      </w:r>
      <w:r>
        <w:rPr>
          <w:rFonts w:ascii="Arial" w:cs="Arial" w:eastAsia="Arial" w:hAnsi="Arial"/>
          <w:sz w:val="18"/>
          <w:szCs w:val="18"/>
          <w:color w:val="auto"/>
        </w:rPr>
        <w:t>In January 2016, we completed the private placement of approximately 61.0 million Series A preferred units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limited partner interests in us for a cash purchase price of $26.25 per unit (the “Issue Price”).</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Series A preferred units are a new class of equity security that ranks senior to all classes or series of our equity securities with respect to distribution rights and rights upon liquidation. The holders of the Series A preferred units will receive cumulative quarterly distributions, subject to customary antidilution adjustments, equal to an annual rate of 8% of the Issue Price ($2.10 per unit annualized). With respect to any quarter ending on or prior to December 31, 2017 (the “Initial Distribution Period”), we may elect to pay distributions on the Series A preferred units in additional preferred units, in cash or a combination of both. With respect to any quarter ending after the Initial Distribution Period, we must pay distributions on the Series A preferred units in cash. Our general partner will be entitled to participate in cash distributions on the Series A preferred units equal to its 2% general partner interest.</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purchasers may convert their Series A preferred units, generally on a one-for-one basis and subject to customary antidilution adjustments, at any time after the second anniversary of the issuance date (or prior to a liquidation), in whole or in part, subject to certain minimum conversion amounts. We may convert the Series A preferred units at any time (but not more often than once per quarter) after the third anniversary of the issuance date, in whole or in part, subject to certain minimum conversion amounts, if the closing price of our common units is greater than 150% of the Issue Price for the preceding 20 trading days. The Series A preferred units will vote on an as-converted basis with our common units and will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 Series A preferred units to common units at the then applicable conversion rate.</w:t>
      </w:r>
    </w:p>
    <w:p>
      <w:pPr>
        <w:spacing w:after="0" w:line="17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For a period of 30 days following (a) the fifth anniversary of the issuance date of the Series A preferred units and (b) each subsequent anniversary of the issuance date, the holders of the Series A preferred units, acting by majority vote, may make a one-time election to reset the distribution rate to equal the then applicable rate of the ten-year U.S. Treasury plus 5.85% (the “Preferred Distribution Rate Reset Option”). The Preferred Distribution Rate Reset Option is accounted for as an embedded derivative. See Note 8 for additional information. If the holders of the Series A preferred units have exercised the Preferred Distribution Rate Reset Option, then, at any time following 30 days after the sixth anniversary of the issuance date, we may redeem all or any portion of the outstanding Series A preferred units in exchange for cash, common units (valued at 95% of the volume-weighted average price of the common units for a trading day period specified in our partnership agreement) or a combination of cash and common units at a redemption price equal to 110% of the Issue Price, plus any accrued and unpaid distributions.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Cash Distributions</w:t>
      </w:r>
      <w:r>
        <w:rPr>
          <w:rFonts w:ascii="Arial" w:cs="Arial" w:eastAsia="Arial" w:hAnsi="Arial"/>
          <w:sz w:val="18"/>
          <w:szCs w:val="18"/>
          <w:color w:val="auto"/>
        </w:rPr>
        <w:t>. The following table details the distributions paid in cash during or pertaining to the first three months of 2016, net of reductions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general partner’s incentive distributions (in millions,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w w:val="98"/>
              </w:rPr>
              <w:t>Distributions Paid</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Distributions per</w:t>
            </w:r>
          </w:p>
        </w:tc>
      </w:tr>
      <w:tr>
        <w:trPr>
          <w:trHeight w:val="142"/>
        </w:trPr>
        <w:tc>
          <w:tcPr>
            <w:tcW w:w="2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Date Declared</w:t>
            </w:r>
          </w:p>
        </w:tc>
        <w:tc>
          <w:tcPr>
            <w:tcW w:w="202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rPr>
              <w:t>Distribution Date</w:t>
            </w:r>
          </w:p>
        </w:tc>
        <w:tc>
          <w:tcPr>
            <w:tcW w:w="140" w:type="dxa"/>
            <w:vAlign w:val="bottom"/>
          </w:tcPr>
          <w:p>
            <w:pPr>
              <w:spacing w:after="0"/>
              <w:rPr>
                <w:sz w:val="12"/>
                <w:szCs w:val="12"/>
                <w:color w:val="auto"/>
              </w:rPr>
            </w:pPr>
          </w:p>
        </w:tc>
        <w:tc>
          <w:tcPr>
            <w:tcW w:w="16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Common Unitholders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8"/>
              </w:rPr>
              <w:t>General Partner</w:t>
            </w:r>
          </w:p>
        </w:tc>
        <w:tc>
          <w:tcPr>
            <w:tcW w:w="280" w:type="dxa"/>
            <w:vAlign w:val="bottom"/>
          </w:tcPr>
          <w:p>
            <w:pPr>
              <w:spacing w:after="0"/>
              <w:rPr>
                <w:sz w:val="12"/>
                <w:szCs w:val="12"/>
                <w:color w:val="auto"/>
              </w:rPr>
            </w:pPr>
          </w:p>
        </w:tc>
        <w:tc>
          <w:tcPr>
            <w:tcW w:w="1000" w:type="dxa"/>
            <w:vAlign w:val="bottom"/>
          </w:tcPr>
          <w:p>
            <w:pPr>
              <w:jc w:val="right"/>
              <w:ind w:right="396"/>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0"/>
              </w:rPr>
              <w:t>common unit</w:t>
            </w: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7,</w:t>
            </w:r>
          </w:p>
        </w:tc>
        <w:tc>
          <w:tcPr>
            <w:tcW w:w="1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3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May 13, 2016 </w:t>
            </w:r>
            <w:r>
              <w:rPr>
                <w:rFonts w:ascii="Arial" w:cs="Arial" w:eastAsia="Arial" w:hAnsi="Arial"/>
                <w:sz w:val="23"/>
                <w:szCs w:val="23"/>
                <w:color w:val="auto"/>
                <w:vertAlign w:val="superscript"/>
              </w:rPr>
              <w:t>(1)</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w w:val="79"/>
              </w:rPr>
              <w:t>278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0"/>
              </w:rPr>
              <w:t>January</w:t>
            </w:r>
          </w:p>
        </w:tc>
        <w:tc>
          <w:tcPr>
            <w:tcW w:w="1600" w:type="dxa"/>
            <w:vAlign w:val="bottom"/>
          </w:tcPr>
          <w:p>
            <w:pPr>
              <w:ind w:left="20"/>
              <w:spacing w:after="0"/>
              <w:rPr>
                <w:sz w:val="20"/>
                <w:szCs w:val="20"/>
                <w:color w:val="auto"/>
              </w:rPr>
            </w:pPr>
            <w:r>
              <w:rPr>
                <w:rFonts w:ascii="Arial" w:cs="Arial" w:eastAsia="Arial" w:hAnsi="Arial"/>
                <w:sz w:val="18"/>
                <w:szCs w:val="18"/>
                <w:color w:val="auto"/>
              </w:rPr>
              <w:t>12, 2016</w:t>
            </w:r>
          </w:p>
        </w:tc>
        <w:tc>
          <w:tcPr>
            <w:tcW w:w="3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February 12, 2016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278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596"/>
        <w:spacing w:after="0"/>
        <w:tabs>
          <w:tab w:leader="none" w:pos="6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April 29, 2016 for the period January 1, 2016 through March 31, 2016.</w:t>
      </w:r>
    </w:p>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In-Kind Distributions</w:t>
      </w:r>
      <w:r>
        <w:rPr>
          <w:rFonts w:ascii="Arial" w:cs="Arial" w:eastAsia="Arial" w:hAnsi="Arial"/>
          <w:sz w:val="18"/>
          <w:szCs w:val="18"/>
          <w:color w:val="auto"/>
        </w:rPr>
        <w:t>. On May 13, 2016, we will issue 858,439 additional Series A preferred units in lieu of a cash distribution of $23 million. Such</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is prorated for the period beginning on January 28, 2016, the issuance date of the Series A preferred units, through March 31, 2016 and will be issued to Series A preferred unitholders of record as of April 29, 2016. Since the May 13, 2016 Series A preferred unit distribution was declared as payment-in-kind, this distribution payable was accrued to partners’ capital as of March 31, 2016 and thus had no net impact on the Series A preferred unitholders’ capital account.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2016, noncontrolling interests in our subsidiaries consisted of a 25% interest in SLC Pipeline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2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ectPr>
          <w:pgSz w:w="11900" w:h="16838" w:orient="portrait"/>
          <w:cols w:equalWidth="0" w:num="1">
            <w:col w:w="11420"/>
          </w:cols>
          <w:pgMar w:left="240" w:top="341" w:right="239" w:bottom="194" w:gutter="0" w:footer="0" w:header="0"/>
        </w:sectPr>
      </w:pPr>
    </w:p>
    <w:bookmarkStart w:id="10" w:name="page11"/>
    <w:bookmarkEnd w:id="10"/>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March 31, 2016, net derivative positions related to these activities included:</w:t>
      </w:r>
    </w:p>
    <w:p>
      <w:pPr>
        <w:spacing w:after="0" w:line="147" w:lineRule="exact"/>
        <w:rPr>
          <w:sz w:val="20"/>
          <w:szCs w:val="20"/>
          <w:color w:val="auto"/>
        </w:rPr>
      </w:pPr>
    </w:p>
    <w:p>
      <w:pPr>
        <w:ind w:left="980" w:right="68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average of 146,300 barrels per day net long position (total of 4.4 million barrels) associated with our crude oil purchases, which was unwound ratably during April 2016 to match monthly average pricing.</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net short time spread position averaging 10,000 barrels per day (total of 4.3 million barrels), which hedges a portion of our anticipated crude oil lease gathering purchases through June 2017.</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average of 2,600 barrels per day (total of 1.2 million barrels) of crude oil grade spread positions through June 2017. These derivatives allow us to lock in grade basis differentials.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net short position of 13.9 Bcf through April 2017 related to anticipated sales of natural gas inventory and base gas requirements.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net short position of 25.8 million barrels through December 2018 related to anticipated net sales of our crude oil and NGL inventory.</w:t>
      </w:r>
    </w:p>
    <w:p>
      <w:pPr>
        <w:spacing w:after="0" w:line="23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among other things, offset losses due to evaporation, measurement and other losses in transit. We utilize derivative instruments to hedge a portion of the anticipated sales of the loss allowance oil that is to be collected under our tariffs. As of March 31, 2016, our material PLA hedges included a long call option position of 1.4 million barrels through December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fractionation and sell the resulting individual specification products (including ethane, propane, butane and condensate). In conjunction with these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activities, we hedge the price risk associated with the purchase of the natural gas and the subsequent sale of the individual specification products.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March 31, 2016, we had a long natural gas position of 14.0 Bcf through December 2016, a short propane position of 2.7 million barrels through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2016, a short butane position of 0.8 million barrels through December 2016 and a short WTI position of 0.3 million barrels through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2016. In addition, we had a long power position of 0.4 million megawatt hours, which hedges a portion of our power supply requirements at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Canadian natural gas processing and fractionation plants through December 2018.</w:t>
      </w:r>
    </w:p>
    <w:p>
      <w:pPr>
        <w:spacing w:after="0" w:line="21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and outstanding interest payments occurring as a result of debt issuances. The derivative instruments we use to manage this risk consist of forward starting interest rate swaps and treasury locks. As of March 31, 2016, AOCI includes deferred losses of $270 million that relate to open and terminated interest rate derivatives that were designated as cash flow hedges.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jc w:val="both"/>
        <w:ind w:right="380" w:firstLine="648"/>
        <w:spacing w:after="0" w:line="342" w:lineRule="auto"/>
        <w:rPr>
          <w:sz w:val="20"/>
          <w:szCs w:val="20"/>
          <w:color w:val="auto"/>
        </w:rPr>
      </w:pPr>
      <w:r>
        <w:rPr>
          <w:rFonts w:ascii="Arial" w:cs="Arial" w:eastAsia="Arial" w:hAnsi="Arial"/>
          <w:sz w:val="16"/>
          <w:szCs w:val="16"/>
          <w:color w:val="auto"/>
        </w:rPr>
        <w:t>We have entered into forward starting interest rate swaps to hedge the underlying benchmark interest rate related to forecasted interest payments through 2049. The following table summarizes the terms of our forward starting interest rate swaps as of March 31, 2016 (notional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and Types of</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Notional</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Expected</w:t>
            </w:r>
          </w:p>
        </w:tc>
        <w:tc>
          <w:tcPr>
            <w:tcW w:w="15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Average Rate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Termination Date</w:t>
            </w: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Locked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95"/>
        </w:trPr>
        <w:tc>
          <w:tcPr>
            <w:tcW w:w="2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interest payments</w:t>
            </w:r>
          </w:p>
        </w:tc>
        <w:tc>
          <w:tcPr>
            <w:tcW w:w="18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8 forward starting swaps (30-</w:t>
            </w: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year)</w:t>
            </w:r>
          </w:p>
        </w:tc>
        <w:tc>
          <w:tcPr>
            <w:tcW w:w="10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6/15/2016</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91"/>
              </w:rPr>
              <w:t>8 forward starting swaps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year)</w:t>
            </w:r>
          </w:p>
        </w:tc>
        <w:tc>
          <w:tcPr>
            <w:tcW w:w="106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200</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6/15/2017</w:t>
            </w:r>
          </w:p>
        </w:tc>
        <w:tc>
          <w:tcPr>
            <w:tcW w:w="16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02"/>
        </w:trPr>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8 forward starting swaps (30-</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year)</w:t>
            </w:r>
          </w:p>
        </w:tc>
        <w:tc>
          <w:tcPr>
            <w:tcW w:w="10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6/15/2018</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91"/>
              </w:rPr>
              <w:t>8 forward starting swaps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year)</w:t>
            </w:r>
          </w:p>
        </w:tc>
        <w:tc>
          <w:tcPr>
            <w:tcW w:w="106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200</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16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As of March 31, 2016,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1" w:name="page12"/>
    <w:bookmarkEnd w:id="11"/>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March 31, 2016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USD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CAD</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jc w:val="right"/>
              <w:ind w:right="2030"/>
              <w:spacing w:after="0" w:line="196" w:lineRule="exact"/>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191</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$1.00 - $1.30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jc w:val="right"/>
              <w:ind w:right="203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2016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Corresponding changes in fair value are recognized in “Other income/(expense), net” in our Condensed Consolidated Statement of Operations. At March 31, 2016, the fair value of this embedded derivative was a liability of approximately $60 million. See Note 7 for additional information regarding our Series A preferred units and the Preferred Distribution Rate Reset Option.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 activities recognized in earnings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March 31, 2016</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Three Months Ended March 31, 2015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Derivatives in</w:t>
            </w: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Derivatives</w:t>
            </w:r>
          </w:p>
        </w:tc>
        <w:tc>
          <w:tcPr>
            <w:tcW w:w="2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Derivatives in</w:t>
            </w: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Derivatives</w:t>
            </w: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40" w:type="dxa"/>
            <w:vAlign w:val="bottom"/>
          </w:tcPr>
          <w:p>
            <w:pPr>
              <w:spacing w:after="0"/>
              <w:rPr>
                <w:sz w:val="12"/>
                <w:szCs w:val="12"/>
                <w:color w:val="auto"/>
              </w:rPr>
            </w:pPr>
          </w:p>
        </w:tc>
        <w:tc>
          <w:tcPr>
            <w:tcW w:w="7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Hedging</w:t>
            </w:r>
          </w:p>
        </w:tc>
        <w:tc>
          <w:tcPr>
            <w:tcW w:w="8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Relationships</w:t>
            </w:r>
          </w:p>
        </w:tc>
        <w:tc>
          <w:tcPr>
            <w:tcW w:w="10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as a Hedge</w:t>
            </w: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Relationships</w:t>
            </w: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a Hedge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Transportation segment revenues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 Derivatives Recognized in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right w:val="single" w:sz="8" w:color="auto"/>
            </w:tcBorders>
            <w:shd w:val="clear" w:color="auto" w:fill="CCEEFF"/>
          </w:tcPr>
          <w:p>
            <w:pPr>
              <w:spacing w:after="0"/>
              <w:rPr>
                <w:sz w:val="17"/>
                <w:szCs w:val="17"/>
                <w:color w:val="auto"/>
              </w:rPr>
            </w:pP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w:t>
            </w:r>
          </w:p>
        </w:tc>
        <w:tc>
          <w:tcPr>
            <w:tcW w:w="12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736"/>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March 31, 2016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w w:val="99"/>
              </w:rPr>
              <w:t>Asset Derivatives</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Liability Derivatives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60" w:type="dxa"/>
            <w:vAlign w:val="bottom"/>
          </w:tcPr>
          <w:p>
            <w:pPr>
              <w:spacing w:after="0"/>
              <w:rPr>
                <w:sz w:val="10"/>
                <w:szCs w:val="10"/>
                <w:color w:val="auto"/>
              </w:rPr>
            </w:pPr>
          </w:p>
        </w:tc>
        <w:tc>
          <w:tcPr>
            <w:tcW w:w="740" w:type="dxa"/>
            <w:vAlign w:val="bottom"/>
          </w:tcPr>
          <w:p>
            <w:pPr>
              <w:jc w:val="right"/>
              <w:ind w:right="64"/>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8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ind w:right="237"/>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60" w:type="dxa"/>
            <w:vAlign w:val="bottom"/>
          </w:tcPr>
          <w:p>
            <w:pPr>
              <w:spacing w:after="0"/>
              <w:rPr>
                <w:sz w:val="14"/>
                <w:szCs w:val="14"/>
                <w:color w:val="auto"/>
              </w:rPr>
            </w:pPr>
          </w:p>
        </w:tc>
        <w:tc>
          <w:tcPr>
            <w:tcW w:w="740" w:type="dxa"/>
            <w:vAlign w:val="bottom"/>
          </w:tcPr>
          <w:p>
            <w:pPr>
              <w:jc w:val="right"/>
              <w:ind w:right="24"/>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Location</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5"/>
              </w:rPr>
              <w:t>Derivatives designated as hedging instruments:</w:t>
            </w:r>
          </w:p>
        </w:tc>
        <w:tc>
          <w:tcPr>
            <w:tcW w:w="20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Commodity derivatives</w:t>
            </w:r>
          </w:p>
        </w:tc>
        <w:tc>
          <w:tcPr>
            <w:tcW w:w="2600" w:type="dxa"/>
            <w:vAlign w:val="bottom"/>
            <w:gridSpan w:val="2"/>
          </w:tcPr>
          <w:p>
            <w:pPr>
              <w:ind w:left="200"/>
              <w:spacing w:after="0"/>
              <w:rPr>
                <w:sz w:val="20"/>
                <w:szCs w:val="20"/>
                <w:color w:val="auto"/>
              </w:rPr>
            </w:pPr>
            <w:r>
              <w:rPr>
                <w:rFonts w:ascii="Arial" w:cs="Arial" w:eastAsia="Arial" w:hAnsi="Arial"/>
                <w:sz w:val="18"/>
                <w:szCs w:val="18"/>
                <w:color w:val="auto"/>
              </w:rPr>
              <w:t>Other current assets</w:t>
            </w:r>
          </w:p>
        </w:tc>
        <w:tc>
          <w:tcPr>
            <w:tcW w:w="90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w:t>
            </w:r>
          </w:p>
        </w:tc>
        <w:tc>
          <w:tcPr>
            <w:tcW w:w="2520" w:type="dxa"/>
            <w:vAlign w:val="bottom"/>
            <w:gridSpan w:val="3"/>
          </w:tcPr>
          <w:p>
            <w:pPr>
              <w:ind w:left="140"/>
              <w:spacing w:after="0"/>
              <w:rPr>
                <w:sz w:val="20"/>
                <w:szCs w:val="20"/>
                <w:color w:val="auto"/>
              </w:rPr>
            </w:pPr>
            <w:r>
              <w:rPr>
                <w:rFonts w:ascii="Arial" w:cs="Arial" w:eastAsia="Arial" w:hAnsi="Arial"/>
                <w:sz w:val="18"/>
                <w:szCs w:val="18"/>
                <w:color w:val="auto"/>
              </w:rPr>
              <w:t>Other current assets</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520" w:type="dxa"/>
            <w:vAlign w:val="bottom"/>
            <w:gridSpan w:val="3"/>
          </w:tcPr>
          <w:p>
            <w:pPr>
              <w:ind w:left="140"/>
              <w:spacing w:after="0"/>
              <w:rPr>
                <w:sz w:val="20"/>
                <w:szCs w:val="20"/>
                <w:color w:val="auto"/>
              </w:rPr>
            </w:pPr>
            <w:r>
              <w:rPr>
                <w:rFonts w:ascii="Arial" w:cs="Arial" w:eastAsia="Arial" w:hAnsi="Arial"/>
                <w:sz w:val="18"/>
                <w:szCs w:val="18"/>
                <w:color w:val="auto"/>
              </w:rPr>
              <w:t>Other current liabilities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5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Other long-term liabilities and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credits</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3"/>
              </w:rPr>
              <w:t>Total derivatives designated as hedging instruments</w:t>
            </w:r>
          </w:p>
        </w:tc>
        <w:tc>
          <w:tcPr>
            <w:tcW w:w="200" w:type="dxa"/>
            <w:vAlign w:val="bottom"/>
            <w:tcBorders>
              <w:bottom w:val="single" w:sz="8" w:color="CCEEFF"/>
            </w:tcBorders>
          </w:tcPr>
          <w:p>
            <w:pPr>
              <w:spacing w:after="0"/>
              <w:rPr>
                <w:sz w:val="21"/>
                <w:szCs w:val="21"/>
                <w:color w:val="auto"/>
              </w:rPr>
            </w:pPr>
          </w:p>
        </w:tc>
        <w:tc>
          <w:tcPr>
            <w:tcW w:w="24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right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b w:val="1"/>
                <w:bCs w:val="1"/>
                <w:color w:val="auto"/>
              </w:rPr>
              <w:t>Derivatives not designated as</w:t>
            </w:r>
          </w:p>
        </w:tc>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Pr>
          <w:p>
            <w:pPr>
              <w:ind w:left="160"/>
              <w:spacing w:after="0"/>
              <w:rPr>
                <w:sz w:val="20"/>
                <w:szCs w:val="20"/>
                <w:color w:val="auto"/>
              </w:rPr>
            </w:pPr>
            <w:r>
              <w:rPr>
                <w:rFonts w:ascii="Arial" w:cs="Arial" w:eastAsia="Arial" w:hAnsi="Arial"/>
                <w:sz w:val="18"/>
                <w:szCs w:val="18"/>
                <w:b w:val="1"/>
                <w:bCs w:val="1"/>
                <w:color w:val="auto"/>
              </w:rPr>
              <w:t>hedging instruments:</w:t>
            </w: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80" w:type="dxa"/>
            <w:vAlign w:val="bottom"/>
            <w:tcBorders>
              <w:right w:val="single" w:sz="8" w:color="auto"/>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68" w:right="199" w:bottom="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current assets</w:t>
            </w:r>
          </w:p>
        </w:tc>
        <w:tc>
          <w:tcPr>
            <w:tcW w:w="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w:t>
            </w:r>
          </w:p>
        </w:tc>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8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w:t>
            </w:r>
          </w:p>
        </w:tc>
        <w:tc>
          <w:tcPr>
            <w:tcW w:w="246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28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Other long-term liabilities and</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4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8"/>
              </w:rPr>
              <w:t>Other long-term liabilities and</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2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credits</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credits</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Distribution Rate Reset Option</w:t>
            </w:r>
          </w:p>
        </w:tc>
        <w:tc>
          <w:tcPr>
            <w:tcW w:w="2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4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8"/>
              </w:rPr>
              <w:t>Other long-term liabilities and</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credits</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vMerge w:val="restart"/>
          </w:tcPr>
          <w:p>
            <w:pPr>
              <w:spacing w:after="0" w:line="201" w:lineRule="exact"/>
              <w:rPr>
                <w:sz w:val="20"/>
                <w:szCs w:val="20"/>
                <w:color w:val="auto"/>
              </w:rPr>
            </w:pPr>
            <w:r>
              <w:rPr>
                <w:rFonts w:ascii="Arial" w:cs="Arial" w:eastAsia="Arial" w:hAnsi="Arial"/>
                <w:sz w:val="18"/>
                <w:szCs w:val="18"/>
                <w:color w:val="auto"/>
              </w:rPr>
              <w:t>Total derivatives not designated as hedging</w:t>
            </w:r>
          </w:p>
        </w:tc>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2880" w:type="dxa"/>
            <w:vAlign w:val="bottom"/>
          </w:tcPr>
          <w:p>
            <w:pPr>
              <w:spacing w:after="0"/>
              <w:rPr>
                <w:sz w:val="15"/>
                <w:szCs w:val="15"/>
                <w:color w:val="auto"/>
              </w:rPr>
            </w:pPr>
          </w:p>
        </w:tc>
        <w:tc>
          <w:tcPr>
            <w:tcW w:w="180" w:type="dxa"/>
            <w:vAlign w:val="bottom"/>
            <w:vMerge w:val="restart"/>
          </w:tcPr>
          <w:p>
            <w:pPr>
              <w:spacing w:after="0"/>
              <w:rPr>
                <w:sz w:val="15"/>
                <w:szCs w:val="15"/>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Borders>
              <w:right w:val="single" w:sz="8" w:color="auto"/>
            </w:tcBorders>
            <w:vMerge w:val="restart"/>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vMerge w:val="restart"/>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instruments</w:t>
            </w:r>
          </w:p>
        </w:tc>
        <w:tc>
          <w:tcPr>
            <w:tcW w:w="288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560" w:type="dxa"/>
            <w:vAlign w:val="bottom"/>
            <w:vMerge w:val="continue"/>
          </w:tcPr>
          <w:p>
            <w:pPr>
              <w:spacing w:after="0"/>
              <w:rPr>
                <w:sz w:val="22"/>
                <w:szCs w:val="22"/>
                <w:color w:val="auto"/>
              </w:rPr>
            </w:pPr>
          </w:p>
        </w:tc>
        <w:tc>
          <w:tcPr>
            <w:tcW w:w="180" w:type="dxa"/>
            <w:vAlign w:val="bottom"/>
            <w:tcBorders>
              <w:right w:val="single" w:sz="8" w:color="auto"/>
            </w:tcBorders>
            <w:vMerge w:val="continue"/>
          </w:tcPr>
          <w:p>
            <w:pPr>
              <w:spacing w:after="0"/>
              <w:rPr>
                <w:sz w:val="22"/>
                <w:szCs w:val="22"/>
                <w:color w:val="auto"/>
              </w:rPr>
            </w:pPr>
          </w:p>
        </w:tc>
        <w:tc>
          <w:tcPr>
            <w:tcW w:w="246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68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20" w:type="dxa"/>
            <w:vAlign w:val="bottom"/>
            <w:tcBorders>
              <w:top w:val="single" w:sz="8" w:color="CCEEFF"/>
            </w:tcBorders>
            <w:shd w:val="clear" w:color="auto" w:fill="CCEEFF"/>
          </w:tcPr>
          <w:p>
            <w:pPr>
              <w:spacing w:after="0"/>
              <w:rPr>
                <w:sz w:val="17"/>
                <w:szCs w:val="17"/>
                <w:color w:val="auto"/>
              </w:rPr>
            </w:pPr>
          </w:p>
        </w:tc>
        <w:tc>
          <w:tcPr>
            <w:tcW w:w="28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derivatives</w:t>
            </w:r>
          </w:p>
        </w:tc>
        <w:tc>
          <w:tcPr>
            <w:tcW w:w="2880" w:type="dxa"/>
            <w:vAlign w:val="bottom"/>
          </w:tcPr>
          <w:p>
            <w:pPr>
              <w:spacing w:after="0"/>
              <w:rPr>
                <w:sz w:val="21"/>
                <w:szCs w:val="21"/>
                <w:color w:val="auto"/>
              </w:rPr>
            </w:pP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181</w:t>
            </w:r>
          </w:p>
        </w:tc>
        <w:tc>
          <w:tcPr>
            <w:tcW w:w="2460" w:type="dxa"/>
            <w:vAlign w:val="bottom"/>
          </w:tcPr>
          <w:p>
            <w:pPr>
              <w:spacing w:after="0"/>
              <w:rPr>
                <w:sz w:val="21"/>
                <w:szCs w:val="21"/>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80" w:type="dxa"/>
            <w:vAlign w:val="bottom"/>
            <w:vMerge w:val="restart"/>
          </w:tcPr>
          <w:p>
            <w:pPr>
              <w:ind w:left="198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62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w w:val="97"/>
              </w:rPr>
              <w:t>Asset Derivatives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97"/>
              </w:rPr>
              <w:t>Liability Derivatives</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0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Fair</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Location</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Derivatives designated as hedging instruments:</w:t>
            </w:r>
          </w:p>
        </w:tc>
        <w:tc>
          <w:tcPr>
            <w:tcW w:w="24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Other current assets</w:t>
            </w: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w:t>
            </w:r>
          </w:p>
        </w:tc>
        <w:tc>
          <w:tcPr>
            <w:tcW w:w="2440" w:type="dxa"/>
            <w:vAlign w:val="bottom"/>
            <w:gridSpan w:val="3"/>
          </w:tcPr>
          <w:p>
            <w:pPr>
              <w:ind w:left="160"/>
              <w:spacing w:after="0"/>
              <w:rPr>
                <w:sz w:val="20"/>
                <w:szCs w:val="20"/>
                <w:color w:val="auto"/>
              </w:rPr>
            </w:pPr>
            <w:r>
              <w:rPr>
                <w:rFonts w:ascii="Arial" w:cs="Arial" w:eastAsia="Arial" w:hAnsi="Arial"/>
                <w:sz w:val="18"/>
                <w:szCs w:val="18"/>
                <w:color w:val="auto"/>
              </w:rPr>
              <w:t>Other current assets</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Other long-term assets, net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w:t>
            </w:r>
          </w:p>
        </w:tc>
        <w:tc>
          <w:tcPr>
            <w:tcW w:w="2440" w:type="dxa"/>
            <w:vAlign w:val="bottom"/>
            <w:gridSpan w:val="3"/>
          </w:tcPr>
          <w:p>
            <w:pPr>
              <w:ind w:left="160"/>
              <w:spacing w:after="0"/>
              <w:rPr>
                <w:sz w:val="20"/>
                <w:szCs w:val="20"/>
                <w:color w:val="auto"/>
              </w:rPr>
            </w:pPr>
            <w:r>
              <w:rPr>
                <w:rFonts w:ascii="Arial" w:cs="Arial" w:eastAsia="Arial" w:hAnsi="Arial"/>
                <w:sz w:val="18"/>
                <w:szCs w:val="18"/>
                <w:color w:val="auto"/>
              </w:rPr>
              <w:t>Other current liabilities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4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long-term liabilities</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deferred credits</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derivatives designated as hedging instruments</w:t>
            </w:r>
          </w:p>
        </w:tc>
        <w:tc>
          <w:tcPr>
            <w:tcW w:w="240" w:type="dxa"/>
            <w:vAlign w:val="bottom"/>
            <w:tcBorders>
              <w:bottom w:val="single" w:sz="8" w:color="CCEEFF"/>
            </w:tcBorders>
          </w:tcPr>
          <w:p>
            <w:pPr>
              <w:spacing w:after="0"/>
              <w:rPr>
                <w:sz w:val="21"/>
                <w:szCs w:val="21"/>
                <w:color w:val="auto"/>
              </w:rPr>
            </w:pPr>
          </w:p>
        </w:tc>
        <w:tc>
          <w:tcPr>
            <w:tcW w:w="20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w w:val="94"/>
              </w:rPr>
              <w:t>Derivatives not designated as hedging instruments:</w:t>
            </w: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265</w:t>
            </w:r>
          </w:p>
        </w:tc>
        <w:tc>
          <w:tcPr>
            <w:tcW w:w="2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Other long-term assets, net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w:t>
            </w:r>
          </w:p>
        </w:tc>
        <w:tc>
          <w:tcPr>
            <w:tcW w:w="2440" w:type="dxa"/>
            <w:vAlign w:val="bottom"/>
            <w:gridSpan w:val="3"/>
          </w:tcPr>
          <w:p>
            <w:pPr>
              <w:ind w:left="160"/>
              <w:spacing w:after="0"/>
              <w:rPr>
                <w:sz w:val="20"/>
                <w:szCs w:val="20"/>
                <w:color w:val="auto"/>
              </w:rPr>
            </w:pPr>
            <w:r>
              <w:rPr>
                <w:rFonts w:ascii="Arial" w:cs="Arial" w:eastAsia="Arial" w:hAnsi="Arial"/>
                <w:sz w:val="18"/>
                <w:szCs w:val="18"/>
                <w:color w:val="auto"/>
              </w:rPr>
              <w:t>Other long-term assets, net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2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4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Other long-term liabilities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gridSpan w:val="2"/>
          </w:tcPr>
          <w:p>
            <w:pPr>
              <w:ind w:left="180"/>
              <w:spacing w:after="0"/>
              <w:rPr>
                <w:sz w:val="20"/>
                <w:szCs w:val="20"/>
                <w:color w:val="auto"/>
              </w:rPr>
            </w:pPr>
            <w:r>
              <w:rPr>
                <w:rFonts w:ascii="Arial" w:cs="Arial" w:eastAsia="Arial" w:hAnsi="Arial"/>
                <w:sz w:val="18"/>
                <w:szCs w:val="18"/>
                <w:color w:val="auto"/>
              </w:rPr>
              <w:t>and deferred credits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440" w:type="dxa"/>
            <w:vAlign w:val="bottom"/>
            <w:gridSpan w:val="3"/>
          </w:tcPr>
          <w:p>
            <w:pPr>
              <w:ind w:left="160"/>
              <w:spacing w:after="0"/>
              <w:rPr>
                <w:sz w:val="20"/>
                <w:szCs w:val="20"/>
                <w:color w:val="auto"/>
              </w:rPr>
            </w:pPr>
            <w:r>
              <w:rPr>
                <w:rFonts w:ascii="Arial" w:cs="Arial" w:eastAsia="Arial" w:hAnsi="Arial"/>
                <w:sz w:val="18"/>
                <w:szCs w:val="18"/>
                <w:color w:val="auto"/>
              </w:rPr>
              <w:t>Other current liabilities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Total derivatives not designated as hedging instruments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6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275</w:t>
            </w:r>
          </w:p>
        </w:tc>
        <w:tc>
          <w:tcPr>
            <w:tcW w:w="18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4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280</w:t>
            </w:r>
          </w:p>
        </w:tc>
        <w:tc>
          <w:tcPr>
            <w:tcW w:w="16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March 31, 2016, we had a net broker payable of $17 million (consisting of initial margin of $70 million reduced by $87 million of variation margin that had been returned to us). As of December 31, 2015, we had a net broker payable of $156 million (consisting of initial margin of $91 million reduced by $247 million of variation margin that had been returned to us).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gridSpan w:val="7"/>
          </w:tcPr>
          <w:p>
            <w:pPr>
              <w:ind w:left="82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14"/>
                <w:szCs w:val="14"/>
                <w:color w:val="auto"/>
              </w:rPr>
            </w:pPr>
          </w:p>
        </w:tc>
        <w:tc>
          <w:tcPr>
            <w:tcW w:w="28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Derivative</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rPr>
              <w:t>Derivative</w:t>
            </w:r>
          </w:p>
        </w:tc>
        <w:tc>
          <w:tcPr>
            <w:tcW w:w="360" w:type="dxa"/>
            <w:vAlign w:val="bottom"/>
            <w:gridSpan w:val="2"/>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6"/>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Asset Positions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Liability Positions</w:t>
            </w:r>
          </w:p>
        </w:tc>
        <w:tc>
          <w:tcPr>
            <w:tcW w:w="16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Asset Positions</w:t>
            </w:r>
          </w:p>
        </w:tc>
        <w:tc>
          <w:tcPr>
            <w:tcW w:w="1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Liability Positions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Netting Adjustments:</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Cash collateral received</w:t>
            </w:r>
          </w:p>
        </w:tc>
        <w:tc>
          <w:tcPr>
            <w:tcW w:w="1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CCEEFF"/>
            </w:tcBorders>
          </w:tcPr>
          <w:p>
            <w:pPr>
              <w:spacing w:after="0"/>
              <w:rPr>
                <w:sz w:val="21"/>
                <w:szCs w:val="21"/>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00" w:orient="portrait"/>
          <w:cols w:equalWidth="0" w:num="1">
            <w:col w:w="11460"/>
          </w:cols>
          <w:pgMar w:left="240" w:top="140" w:right="19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23"/>
        </w:trPr>
        <w:tc>
          <w:tcPr>
            <w:tcW w:w="5160" w:type="dxa"/>
            <w:vAlign w:val="bottom"/>
          </w:tcPr>
          <w:p>
            <w:pPr>
              <w:spacing w:after="0"/>
              <w:rPr>
                <w:sz w:val="19"/>
                <w:szCs w:val="19"/>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w w:val="79"/>
              </w:rPr>
              <w:t>81</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March 31, 2016, there was a net loss of $292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March 31, 2016, we expect to reclassify a net loss of $5 million to earnings in the next twelve months. The remaining deferred loss of $287 million is expected to be reclassified to earnings through 2049. A portion of these amounts is based on market prices as of March 31, 2016;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deferred gain/(loss) recognized in AOCI for derivatives (in millions):</w:t>
      </w:r>
    </w:p>
    <w:p>
      <w:pPr>
        <w:spacing w:after="0" w:line="217"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Three Months Ended</w:t>
      </w:r>
    </w:p>
    <w:p>
      <w:pPr>
        <w:jc w:val="center"/>
        <w:ind w:left="75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2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28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6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Interest rate derivatives, net</w:t>
            </w:r>
          </w:p>
        </w:tc>
        <w:tc>
          <w:tcPr>
            <w:tcW w:w="2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48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6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8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At March 31, 2016 and December 31, 2015,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23"/>
                <w:szCs w:val="23"/>
                <w:b w:val="1"/>
                <w:bCs w:val="1"/>
                <w:color w:val="auto"/>
                <w:vertAlign w:val="superscript"/>
              </w:rPr>
              <w:t>(1)</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97"/>
              </w:rPr>
              <w:t>Fair Value as of March 31, 2016</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rPr>
              <w:t>Fair Value as of December 31, 2015</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Level 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64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82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Level 3</w:t>
            </w:r>
          </w:p>
        </w:tc>
        <w:tc>
          <w:tcPr>
            <w:tcW w:w="180" w:type="dxa"/>
            <w:vAlign w:val="bottom"/>
          </w:tcPr>
          <w:p>
            <w:pPr>
              <w:spacing w:after="0"/>
              <w:rPr>
                <w:sz w:val="12"/>
                <w:szCs w:val="12"/>
                <w:color w:val="auto"/>
              </w:rPr>
            </w:pPr>
          </w:p>
        </w:tc>
        <w:tc>
          <w:tcPr>
            <w:tcW w:w="62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Preferred Distribution Rate Reset Option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top w:val="single" w:sz="8" w:color="CCEEFF"/>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2560" w:hanging="5612"/>
        <w:spacing w:after="0" w:line="461" w:lineRule="auto"/>
        <w:tabs>
          <w:tab w:leader="none" w:pos="6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Level 3 of the fair value hierarchy includes certain physical commodity contracts and the Preferred Distribution Rate Reset Option contained in our Series A preferred unit offering classified as an embedded derivative.</w:t>
      </w:r>
    </w:p>
    <w:p>
      <w:pPr>
        <w:spacing w:after="0" w:line="170" w:lineRule="exact"/>
        <w:rPr>
          <w:sz w:val="20"/>
          <w:szCs w:val="20"/>
          <w:color w:val="auto"/>
        </w:rPr>
      </w:pPr>
    </w:p>
    <w:p>
      <w:pPr>
        <w:ind w:left="660" w:right="200"/>
        <w:spacing w:after="0" w:line="276" w:lineRule="auto"/>
        <w:rPr>
          <w:sz w:val="20"/>
          <w:szCs w:val="20"/>
          <w:color w:val="auto"/>
        </w:rPr>
      </w:pPr>
      <w:r>
        <w:rPr>
          <w:rFonts w:ascii="Arial" w:cs="Arial" w:eastAsia="Arial" w:hAnsi="Arial"/>
          <w:sz w:val="17"/>
          <w:szCs w:val="17"/>
          <w:color w:val="auto"/>
        </w:rPr>
        <w:t>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physical commodity contracts. We report unrealized gains and losses associated with these physical commodity contracts in our Condensed Consolidated Statements of Operations as Supply and Logistics segment revenues.</w:t>
      </w:r>
    </w:p>
    <w:p>
      <w:pPr>
        <w:spacing w:after="0" w:line="173"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The fair value of the embedded derivative feature contained in our Series A preferred units is based on a valuation model that estimates the future fair value of the Series A preferred units with and without the Preferred Distribution Rate Reset Option. This model contains inputs, including our future common unit price, future ten-year U.S. treasury rates, future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Condensed Consolidated Statements of Operations as “Other income/(expense), net.”</w:t>
      </w:r>
    </w:p>
    <w:p>
      <w:pPr>
        <w:sectPr>
          <w:pgSz w:w="11900" w:h="16838" w:orient="portrait"/>
          <w:cols w:equalWidth="0" w:num="1">
            <w:col w:w="11420"/>
          </w:cols>
          <w:pgMar w:left="240" w:top="140" w:right="239" w:bottom="0" w:gutter="0" w:footer="0" w:header="0"/>
        </w:sectPr>
      </w:pPr>
    </w:p>
    <w:bookmarkStart w:id="14" w:name="page15"/>
    <w:bookmarkEnd w:id="14"/>
    <w:p>
      <w:pPr>
        <w:spacing w:after="0" w:line="9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Losses for the period included in earnings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Derivatives entered into during the period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Change in unrealized gains/(losses) included in earnings relating to Level 3 derivatives still held at the end of</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period</w:t>
            </w:r>
          </w:p>
        </w:tc>
        <w:tc>
          <w:tcPr>
            <w:tcW w:w="1180" w:type="dxa"/>
            <w:vAlign w:val="bottom"/>
            <w:gridSpan w:val="2"/>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Note 14 to our Consolidated Financial Statements included in Part IV of our 2015 Annual Report on Form 10-K for a complete discussion of our related party transactions.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March 31, 2016, Oxy owned approximately 13% of the limited partner interests in our general partner and had a representative on the board of directors of GP LLC. During the three months ended March 31, 2016 and 2015,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180"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8"/>
                <w:szCs w:val="8"/>
                <w:color w:val="auto"/>
              </w:rPr>
              <w:t>(1)</w:t>
            </w:r>
          </w:p>
        </w:tc>
        <w:tc>
          <w:tcPr>
            <w:tcW w:w="408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60" w:hanging="652"/>
        <w:spacing w:after="0" w:line="227"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Purchases and related costs include crude oil buy/sell transactions that are accounted for as inventory exchanges and are presented net in our Condensed Consolidated Statements of Operations.</w:t>
      </w:r>
    </w:p>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currently have a netting arrangement with Oxy. Our gross receivable and payable amounts with Oxy on our Condensed Consolidated Balance Sheets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48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2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80" w:type="dxa"/>
            <w:vAlign w:val="bottom"/>
            <w:gridSpan w:val="2"/>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w:t>
      </w:r>
    </w:p>
    <w:p>
      <w:pPr>
        <w:sectPr>
          <w:pgSz w:w="11900" w:h="16935" w:orient="portrait"/>
          <w:cols w:equalWidth="0" w:num="1">
            <w:col w:w="11420"/>
          </w:cols>
          <w:pgMar w:left="240" w:top="341" w:right="239" w:bottom="0" w:gutter="0" w:footer="0" w:header="0"/>
        </w:sectPr>
      </w:pPr>
    </w:p>
    <w:bookmarkStart w:id="15" w:name="page16"/>
    <w:bookmarkEnd w:id="15"/>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adequate, in every case, to fully protect us from losses arising from current or future legal proceedings.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March 31, 2016, our estimated undiscounted reserve for environmental liabilities (including liabilities related to the Line 901 incident,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discussed further below) totaled $176 million, of which $69 million was classified as short-term and $107 million was classified as long-term. At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2015, our estimated undiscounted reserve for environmental liabilities (including liabilities related to the Line 901 incident) totaled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$185 million, of which $81 million was classified as short-term and $104 million was classified as long-term. The short- and long-term environmental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liabilities referenced above are reflected in “Accounts payable and accrued liabilities” and “Other long-term liabilities and deferred credits,” respectively,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Condensed Consolidated Balance Sheets. At March 31, 2016 and December 31, 2015, we had recorded receivables totaling $81 million and $161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for amounts probable of recovery under insurance and from third parties under indemnification agreements, which are predominantly reflected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“Trade accounts receivable and other receivables, net” on our Condensed Consolidated Balance Sheets.</w:t>
      </w:r>
    </w:p>
    <w:p>
      <w:pPr>
        <w:spacing w:after="0" w:line="21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Line 901 Incident</w:t>
      </w:r>
      <w:r>
        <w:rPr>
          <w:rFonts w:ascii="Arial" w:cs="Arial" w:eastAsia="Arial" w:hAnsi="Arial"/>
          <w:sz w:val="16"/>
          <w:szCs w:val="16"/>
          <w:color w:val="auto"/>
        </w:rPr>
        <w:t>. In May 2015, we experienced a crude oil release from our Las Flores to Gaviota Pipeline (Line 901) in Santa Barbara County,</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subject to continued shoreline monitoring. The cause of the release remains under investigation. Our current “worst case” estimate of the amount of oil spilled, representing the maximum volume of oil that we believed could have been spilled based on relevant facts, data and information, is approximately 2,935 barrels.</w:t>
      </w:r>
    </w:p>
    <w:p>
      <w:pPr>
        <w:spacing w:after="0" w:line="167"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have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On June 3, 2015, the corrective action order was amended to require us to take additional corrective actions with respect to both Lines 901 and 903, and on November 13, 2015, the corrective action order was further amended to require the purge and shutdown of Line 903 between Gaviota and Pentland (as amended, the “CAO”). Among other requirements, the CAO also obligates us to conduct a root cause failure analysis with respect to Line 901 and present remedial work plans and restart plans to PHMSA prior to returning Line 901 and 903 to service; the CAO also imposes a pressure restriction on Line 903 and requires us to take other specified actions with respect to both Lines 901 and 903. We intend to continue to comply with</w:t>
      </w:r>
    </w:p>
    <w:p>
      <w:pPr>
        <w:sectPr>
          <w:pgSz w:w="11900" w:h="16933" w:orient="portrait"/>
          <w:cols w:equalWidth="0" w:num="1">
            <w:col w:w="11420"/>
          </w:cols>
          <w:pgMar w:left="240" w:top="125" w:right="239" w:bottom="0" w:gutter="0" w:footer="0" w:header="0"/>
        </w:sectPr>
      </w:pPr>
    </w:p>
    <w:bookmarkStart w:id="16" w:name="page17"/>
    <w:bookmarkEnd w:id="16"/>
    <w:p>
      <w:pPr>
        <w:spacing w:after="0" w:line="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CAO and to cooperate with any other governmental investigations relating to or arising out of the release. Excavation and removal of the affected section of the pipeline was completed on May 28, 2015. Line 901 and Line 903 have been purged and are not currently operational. No timeline has been established for the restart of Line 901 or Line 903. On February 17, 2016, PHMSA issued a Preliminary Factual Report of the Line 901 failure, which contains PHMSA’s preliminary findings regarding factual information about the events leading up to the accident and the technical analysis that has been conducted to date. By virtue of its statutory authority, PHMSA has the power and authority to impose fines and penalties on us and cause civil or criminal charges to be brought against us. While to date PHMSA has not imposed any such fines or penalties or pursued any such civil or criminal charges with respect to the Line 901 release, there can be no assurance that such fines or penalties will not be imposed upon us, or that such civil or criminal charges will not be brought against us, in the future.</w:t>
      </w:r>
    </w:p>
    <w:p>
      <w:pPr>
        <w:spacing w:after="0" w:line="19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late May of 2015, on behalf of the EPA,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In addition to the DOJ, the California Attorney General’s Office and the District Attorney’s Office for the County of Santa Barbara are also investigating the Line 901 incident to determine whether any applicable state or local laws have been violated. On August 26, 2015, we also received a Request for Information from the EPA relating to Line 901 and we are in the process of responding to such request. While to date no civil or criminal charges with respect to the Line 901 release have been brought against PAA or any of its affiliates, officers or employees by PHMSA, DOJ, EPA, California Attorney General or Santa Barbara County District Attorney, and no fines or penalties have been imposed by such governmental agencies, there can be no assurance that such fines or penalties will not be imposed upon us, our officers or our employees, or that such civil or criminal charges will not be brought against us, our officers or our employees in the future, whether by those or other governmental agencies.</w:t>
      </w:r>
    </w:p>
    <w:p>
      <w:pPr>
        <w:spacing w:after="0" w:line="16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eight class action lawsuits filed against us, seven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persons that derive a significant portion of their income through commercial fishing and harvesting activities in the waters adjacent to Santa Barbara County or from businesses that are dependent on marine resources from Santa Barbara County, retail businesses located in historic downtown Santa Barbara, certain owners of oceanfront and/or beachfront property on the Pacific Coast of California, and other classes of individuals and businesses that were allegedly impacted by the release.</w:t>
      </w:r>
    </w:p>
    <w:p>
      <w:pPr>
        <w:spacing w:after="0" w:line="166"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There have also been two securities law class action lawsuits filed on behalf of certain purported investors in the Partnership and/or PAGP against the Partnership,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 unspecified damages as a result of the reduction in value of their investments in the Partnership and PAGP, which they attribute to the alleged wrongful acts of the defendants. The Partnership and PAGP, and the other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three unitholder derivative lawsuits have been filed by certain purported investors in the Partnership against the Partnership, certain of its affiliates and certain officers and directors. Two of these lawsuits were filed in the United States District Court for the Southern District of Texas and the other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the Partnership during the period of time leading up to and following the Line 901 release. The plaintiffs claim that the Partnership suffered unspecified damages as a result of the actions of the various defendants and seek to hold the defendants liable for such damages, in addition to other remedies. The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18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have also had two lawsuits filed against us in the Chancery Court for the State of Delaware wherein the respective plaintiffs seek to compel the production of certain books and records that purportedly relate to the Line 901 incident, our alleged failure to comply with certain regulations and other matters.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Taking the foregoing into account, as of March 31, 2016, we estimate that the aggregate total costs we have incurred or will incur with respect to the Line 901 incident will be approximately $269 million, which estimate includes actual and projected emergency response and clean-up costs, natural resource</w:t>
      </w:r>
    </w:p>
    <w:p>
      <w:pPr>
        <w:sectPr>
          <w:pgSz w:w="11900" w:h="16908" w:orient="portrait"/>
          <w:cols w:equalWidth="0" w:num="1">
            <w:col w:w="11400"/>
          </w:cols>
          <w:pgMar w:left="240" w:top="125" w:right="259" w:bottom="0" w:gutter="0" w:footer="0" w:header="0"/>
        </w:sectPr>
      </w:pPr>
    </w:p>
    <w:bookmarkStart w:id="17" w:name="page18"/>
    <w:bookmarkEnd w:id="17"/>
    <w:p>
      <w:pPr>
        <w:spacing w:after="0" w:line="285" w:lineRule="auto"/>
        <w:rPr>
          <w:sz w:val="20"/>
          <w:szCs w:val="20"/>
          <w:color w:val="auto"/>
        </w:rPr>
      </w:pPr>
      <w:r>
        <w:rPr>
          <w:rFonts w:ascii="Arial" w:cs="Arial" w:eastAsia="Arial" w:hAnsi="Arial"/>
          <w:sz w:val="16"/>
          <w:szCs w:val="16"/>
          <w:color w:val="auto"/>
        </w:rPr>
        <w:t>damage assessments and certain third party claims settlements, as well as estimates for fines, penalties and certain legal fees.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expected number of days that monitoring services will be required, (ii) the duration of the natural resource damage assessment and the ultimate amount of damages determined, (iii) the resolution of certain third party claims and lawsuits, but excluding claims and lawsuits with respect to which losses are not probable and reasonably estimable, and excluding future claims and lawsuits, (iv) the determination and calculation of fines and penalties, but excluding fines and penalties that are not probable and reasonably estimable and (v)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7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As of March 31, 2016, we had a remaining undiscounted gross liability of $104 million related to this event, the majority of which is presented as a current liability in “Accounts payable and accrued liabilities” on our Condensed Consolidated Balance Sheet.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March 31, 2016, we had collected, subject to customary reservations, $112 million out of the approximate $186 million of release costs that we believe are probable of recovery from insurance carriers, net of deductibles. Therefore, as of March 31, 2016, we have recognized a receivable of approximately $74 million for the portion of the release costs that we believe is probable of recovery from insurance, net of deductibles and amounts already collected. A majority of this receivable has been recognized as a current asset in “Trade accounts receivable and other receivables, net” on our Condensed Consolidated Balance Sheet. We have substantially completed the clean-up and remediation efforts, excluding long-term site monitoring activities; however, we expect to make payments for additional costs associated with restoration and monitoring of the area, as well as natural resource damage assessment, legal, professional and regulatory costs, in addition to fines and penalties, during future periods.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firstLine="816"/>
        <w:spacing w:after="0" w:line="286" w:lineRule="auto"/>
        <w:rPr>
          <w:sz w:val="20"/>
          <w:szCs w:val="20"/>
          <w:color w:val="auto"/>
        </w:rPr>
      </w:pPr>
      <w:r>
        <w:rPr>
          <w:rFonts w:ascii="Arial" w:cs="Arial" w:eastAsia="Arial" w:hAnsi="Arial"/>
          <w:sz w:val="16"/>
          <w:szCs w:val="16"/>
          <w:i w:val="1"/>
          <w:iCs w:val="1"/>
          <w:color w:val="auto"/>
        </w:rPr>
        <w:t xml:space="preserve">MP29 Release. </w:t>
      </w:r>
      <w:r>
        <w:rPr>
          <w:rFonts w:ascii="Arial" w:cs="Arial" w:eastAsia="Arial" w:hAnsi="Arial"/>
          <w:sz w:val="16"/>
          <w:szCs w:val="16"/>
          <w:color w:val="auto"/>
        </w:rPr>
        <w:t>On July 10, 2015, we experienced a crude oil release of approximately 100 barrels at our Pocahontas Pump Station near</w:t>
      </w:r>
      <w:r>
        <w:rPr>
          <w:rFonts w:ascii="Arial" w:cs="Arial" w:eastAsia="Arial" w:hAnsi="Arial"/>
          <w:sz w:val="16"/>
          <w:szCs w:val="16"/>
          <w:i w:val="1"/>
          <w:iCs w:val="1"/>
          <w:color w:val="auto"/>
        </w:rPr>
        <w:t xml:space="preserve"> </w:t>
      </w:r>
      <w:r>
        <w:rPr>
          <w:rFonts w:ascii="Arial" w:cs="Arial" w:eastAsia="Arial" w:hAnsi="Arial"/>
          <w:sz w:val="16"/>
          <w:szCs w:val="16"/>
          <w:color w:val="auto"/>
        </w:rPr>
        <w:t>the border of Bond and Madison Counties in Illinois, approximately 40 miles from St. Louis, Missouri. The Pocahontas Station is part of the Capwood pipeline that runs from our Patoka Station to Wood River, Illinois. A portion of the released crude oil was contained within our Pocahontas facility, but some of the released crude oil entered a nearby waterway where it was contained with booms. On July 14, 2015, PHMSA issued a corrective action order requiring us to take various actions in response to the release, including remediation, reporting and other actions. As of December 18, 2015, we had submitted all requested information and reports required by the corrective action order and are currently awaiting PHMSA’s comment or approval. On August 10, 2015, we received a Notice of Violation from the Illinois Environmental Protection Agency (the “Agency”) alleging violations relating to the release and outlining the activities recommended by the Agency to resolve the alleged violations, including the completion of an investigation and various remediation activities. The Agency approved a work plan describing remediation activities proposed for remaining hydrocarbons at Pocahontas Station and affected waterways. Remediation activities under this work plan have effectively been completed, and on December 17, 2015, we entered into a Compliance Commitment Agreement with the Agency, which provides the framework for final completion and documentation of the remediation effort. To date, no fines or penalties have been assessed in this matter; however, it is possible that fines and penalties could be assessed in the future. In connection with this incident, we have also had one class action lawsuit filed against us in the United States District Court for the Southern District of Illinois, which was subsequently voluntarily dismissed by the plaintiff. We estimate that the aggregate total costs associated with this release will be less than $10 million.</w:t>
      </w:r>
    </w:p>
    <w:p>
      <w:pPr>
        <w:spacing w:after="0" w:line="169" w:lineRule="exact"/>
        <w:rPr>
          <w:sz w:val="20"/>
          <w:szCs w:val="20"/>
          <w:color w:val="auto"/>
        </w:rPr>
      </w:pPr>
    </w:p>
    <w:p>
      <w:pPr>
        <w:ind w:right="720" w:firstLine="816"/>
        <w:spacing w:after="0" w:line="274" w:lineRule="auto"/>
        <w:rPr>
          <w:sz w:val="20"/>
          <w:szCs w:val="20"/>
          <w:color w:val="auto"/>
        </w:rPr>
      </w:pPr>
      <w:r>
        <w:rPr>
          <w:rFonts w:ascii="Arial" w:cs="Arial" w:eastAsia="Arial" w:hAnsi="Arial"/>
          <w:sz w:val="17"/>
          <w:szCs w:val="17"/>
          <w:i w:val="1"/>
          <w:iCs w:val="1"/>
          <w:color w:val="auto"/>
        </w:rPr>
        <w:t xml:space="preserve">In the Matter of Bakersfield Crude Terminal LLC et al. </w:t>
      </w:r>
      <w:r>
        <w:rPr>
          <w:rFonts w:ascii="Arial" w:cs="Arial" w:eastAsia="Arial" w:hAnsi="Arial"/>
          <w:sz w:val="17"/>
          <w:szCs w:val="17"/>
          <w:color w:val="auto"/>
        </w:rPr>
        <w:t>On April 30, 2015, the EPA issued a Finding and Notice of Violation (“NOV”) to</w:t>
      </w:r>
      <w:r>
        <w:rPr>
          <w:rFonts w:ascii="Arial" w:cs="Arial" w:eastAsia="Arial" w:hAnsi="Arial"/>
          <w:sz w:val="17"/>
          <w:szCs w:val="17"/>
          <w:i w:val="1"/>
          <w:iCs w:val="1"/>
          <w:color w:val="auto"/>
        </w:rPr>
        <w:t xml:space="preserve"> </w:t>
      </w:r>
      <w:r>
        <w:rPr>
          <w:rFonts w:ascii="Arial" w:cs="Arial" w:eastAsia="Arial" w:hAnsi="Arial"/>
          <w:sz w:val="17"/>
          <w:szCs w:val="17"/>
          <w:color w:val="auto"/>
        </w:rPr>
        <w:t>Bakersfield Crude Terminal LLC, our subsidiary, for alleged violations of the Clean Air Act, as amended. The NOV, which cites 10 separate</w:t>
      </w:r>
    </w:p>
    <w:p>
      <w:pPr>
        <w:jc w:val="both"/>
        <w:ind w:right="680"/>
        <w:spacing w:after="0" w:line="254" w:lineRule="auto"/>
        <w:rPr>
          <w:sz w:val="20"/>
          <w:szCs w:val="20"/>
          <w:color w:val="auto"/>
        </w:rPr>
      </w:pPr>
      <w:r>
        <w:rPr>
          <w:rFonts w:ascii="Arial" w:cs="Arial" w:eastAsia="Arial" w:hAnsi="Arial"/>
          <w:sz w:val="18"/>
          <w:szCs w:val="18"/>
          <w:color w:val="auto"/>
        </w:rPr>
        <w:t>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90" w:lineRule="exact"/>
        <w:rPr>
          <w:sz w:val="20"/>
          <w:szCs w:val="20"/>
          <w:color w:val="auto"/>
        </w:rPr>
      </w:pPr>
    </w:p>
    <w:p>
      <w:pPr>
        <w:ind w:right="640" w:firstLine="816"/>
        <w:spacing w:after="0" w:line="271" w:lineRule="auto"/>
        <w:rPr>
          <w:sz w:val="20"/>
          <w:szCs w:val="20"/>
          <w:color w:val="auto"/>
        </w:rPr>
      </w:pPr>
      <w:r>
        <w:rPr>
          <w:rFonts w:ascii="Arial" w:cs="Arial" w:eastAsia="Arial" w:hAnsi="Arial"/>
          <w:sz w:val="17"/>
          <w:szCs w:val="17"/>
          <w:i w:val="1"/>
          <w:iCs w:val="1"/>
          <w:color w:val="auto"/>
        </w:rPr>
        <w:t>Mesa to Basin Pipeline</w:t>
      </w:r>
      <w:r>
        <w:rPr>
          <w:rFonts w:ascii="Arial" w:cs="Arial" w:eastAsia="Arial" w:hAnsi="Arial"/>
          <w:sz w:val="17"/>
          <w:szCs w:val="17"/>
          <w:color w:val="auto"/>
        </w:rPr>
        <w:t>. On January 6, 2016, PHMSA issued a Notice of Probable Violation and Proposed Civil Penalty relating to an</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 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PHMSA’s compliance officer has recommended that we be assessed a civil penalty of $190,000. We have formally responded to PHMSA regarding this matter, but at this point we can provide no assurance regarding the final disposition of this matter or the final amount of any civil penalties.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11—Operating Segments</w:t>
      </w:r>
    </w:p>
    <w:p>
      <w:pPr>
        <w:sectPr>
          <w:pgSz w:w="11900" w:h="16838" w:orient="portrait"/>
          <w:cols w:equalWidth="0" w:num="1">
            <w:col w:w="11400"/>
          </w:cols>
          <w:pgMar w:left="240" w:top="125" w:right="259" w:bottom="36" w:gutter="0" w:footer="0" w:header="0"/>
        </w:sectPr>
      </w:pPr>
    </w:p>
    <w:bookmarkStart w:id="18" w:name="page19"/>
    <w:bookmarkEnd w:id="18"/>
    <w:p>
      <w:pPr>
        <w:ind w:right="20" w:firstLine="648"/>
        <w:spacing w:after="0" w:line="297"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(a) purchases and related costs, (b) field operating costs and (c)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2016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9"/>
              </w:rPr>
              <w:t>Transportation</w:t>
            </w:r>
          </w:p>
        </w:tc>
        <w:tc>
          <w:tcPr>
            <w:tcW w:w="260" w:type="dxa"/>
            <w:vAlign w:val="bottom"/>
          </w:tcPr>
          <w:p>
            <w:pPr>
              <w:spacing w:after="0"/>
              <w:rPr>
                <w:sz w:val="14"/>
                <w:szCs w:val="14"/>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External Customers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154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3,819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 of reportable segments</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(2) (3)</w:t>
            </w: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w:t>
            </w:r>
          </w:p>
        </w:tc>
        <w:tc>
          <w:tcPr>
            <w:tcW w:w="3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2015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9"/>
              </w:rPr>
              <w:t>Transportation</w:t>
            </w:r>
          </w:p>
        </w:tc>
        <w:tc>
          <w:tcPr>
            <w:tcW w:w="260" w:type="dxa"/>
            <w:vAlign w:val="bottom"/>
          </w:tcPr>
          <w:p>
            <w:pPr>
              <w:spacing w:after="0"/>
              <w:rPr>
                <w:sz w:val="24"/>
                <w:szCs w:val="24"/>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24"/>
                <w:szCs w:val="2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External Customers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185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5,632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 of reportable segments</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5,634</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(2) (3)</w:t>
            </w: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w:t>
            </w:r>
          </w:p>
        </w:tc>
        <w:tc>
          <w:tcPr>
            <w:tcW w:w="3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120" w:hanging="11"/>
        <w:spacing w:after="0" w:line="259" w:lineRule="auto"/>
        <w:rPr>
          <w:sz w:val="20"/>
          <w:szCs w:val="20"/>
          <w:color w:val="auto"/>
        </w:rPr>
      </w:pPr>
      <w:r>
        <w:rPr>
          <w:rFonts w:ascii="Arial" w:cs="Arial" w:eastAsia="Arial" w:hAnsi="Arial"/>
          <w:sz w:val="18"/>
          <w:szCs w:val="18"/>
          <w:color w:val="auto"/>
        </w:rPr>
        <w:t>Segment revenues include intersegment amounts that are eliminated in “Purchases and related costs” and “Field operating costs” in our Condensed Consolidated Statements of Operations. Intersegment sales are conducted at posted tariff rates, rates similar to those charged to third parties or rates that we believe approximate market at the time the agreement is executed or renegotiated. For further discussion, see “Analysis of Operating Segments” under Item 7 of our 2015 Annual Report on Form 10-K.</w:t>
      </w:r>
    </w:p>
    <w:p>
      <w:pPr>
        <w:spacing w:after="0" w:line="187" w:lineRule="exact"/>
        <w:rPr>
          <w:sz w:val="20"/>
          <w:szCs w:val="20"/>
          <w:color w:val="auto"/>
        </w:rPr>
      </w:pPr>
    </w:p>
    <w:p>
      <w:pPr>
        <w:ind w:left="20" w:right="420" w:hanging="11"/>
        <w:spacing w:after="0" w:line="277" w:lineRule="auto"/>
        <w:rPr>
          <w:sz w:val="20"/>
          <w:szCs w:val="20"/>
          <w:color w:val="auto"/>
        </w:rPr>
      </w:pPr>
      <w:r>
        <w:rPr>
          <w:rFonts w:ascii="Arial" w:cs="Arial" w:eastAsia="Arial" w:hAnsi="Arial"/>
          <w:sz w:val="18"/>
          <w:szCs w:val="18"/>
          <w:color w:val="auto"/>
        </w:rPr>
        <w:t>Supply and Logistics segment profit includes interest expense (related to hedged inventory purchases) of $2 million and $1 million for the three months ended March 31, 2016 and 2015, respectively.</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91"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The following table reconciles segment profit to net income attributable to PAA (in millions):</w:t>
      </w:r>
    </w:p>
    <w:p>
      <w:pPr>
        <w:spacing w:after="0" w:line="193"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Three Months Ended</w:t>
      </w:r>
    </w:p>
    <w:p>
      <w:pPr>
        <w:jc w:val="center"/>
        <w:ind w:left="62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52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1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Income tax expense</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12—Acquisitions and Dispositions</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During the first quarter of 2016, we completed one acquisition for cash consideration of $85 million. We did not recognize any</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related to this acquisition.</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i w:val="1"/>
          <w:iCs w:val="1"/>
          <w:color w:val="auto"/>
        </w:rPr>
        <w:t>Dispositions</w:t>
      </w:r>
      <w:r>
        <w:rPr>
          <w:rFonts w:ascii="Arial" w:cs="Arial" w:eastAsia="Arial" w:hAnsi="Arial"/>
          <w:sz w:val="16"/>
          <w:szCs w:val="16"/>
          <w:color w:val="auto"/>
        </w:rPr>
        <w:t>. In the first quarter of 2016, we entered into definitive agreements to sell several non-core assets. A portion of these transactions closed</w:t>
      </w:r>
      <w:r>
        <w:rPr>
          <w:rFonts w:ascii="Arial" w:cs="Arial" w:eastAsia="Arial" w:hAnsi="Arial"/>
          <w:sz w:val="16"/>
          <w:szCs w:val="16"/>
          <w:i w:val="1"/>
          <w:iCs w:val="1"/>
          <w:color w:val="auto"/>
        </w:rPr>
        <w:t xml:space="preserve"> </w:t>
      </w:r>
      <w:r>
        <w:rPr>
          <w:rFonts w:ascii="Arial" w:cs="Arial" w:eastAsia="Arial" w:hAnsi="Arial"/>
          <w:sz w:val="16"/>
          <w:szCs w:val="16"/>
          <w:color w:val="auto"/>
        </w:rPr>
        <w:t>in March, and we expect the sale of the remaining assets to be consummated in the second quarter of 2016, subject to customary closing conditions, as applicable. As of March 31, 2016, we classified approximately $120 million of assets as held for sale on our Condensed Consolidated Balance Sheet (in “Other current assets”). During the three months ended March 31, 2016, we recognized gains of approximately $56 million and impairment losses of $50 million related to these non-core asset sales, including $15 million of impairment of goodwill included in a disposal group classified as held for sale. These gains and impairment losses are included in “Depreciation and amortization” on our Condensed Consolidated Statement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ectPr>
          <w:pgSz w:w="11900" w:h="16838" w:orient="portrait"/>
          <w:cols w:equalWidth="0" w:num="1">
            <w:col w:w="11420"/>
          </w:cols>
          <w:pgMar w:left="240" w:top="125" w:right="239" w:bottom="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2015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Outlook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for crude oil, NGL, natural gas and refined products.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Operations—Analysis of Operating Segments”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left="40" w:right="80" w:firstLine="612"/>
        <w:spacing w:after="0" w:line="342" w:lineRule="auto"/>
        <w:rPr>
          <w:sz w:val="20"/>
          <w:szCs w:val="20"/>
          <w:color w:val="auto"/>
        </w:rPr>
      </w:pPr>
      <w:r>
        <w:rPr>
          <w:rFonts w:ascii="Arial" w:cs="Arial" w:eastAsia="Arial" w:hAnsi="Arial"/>
          <w:sz w:val="16"/>
          <w:szCs w:val="16"/>
          <w:color w:val="auto"/>
        </w:rPr>
        <w:t>During the first three months of 2016, we recognized net income attributable to PAA of $202 million as compared to net income attributable to PAA of $283 million recognized during the first three months of 2015. These results reflect growth in our Transportation and Facilities segments offset by:</w:t>
      </w:r>
    </w:p>
    <w:p>
      <w:pPr>
        <w:spacing w:after="0" w:line="124" w:lineRule="exact"/>
        <w:rPr>
          <w:sz w:val="20"/>
          <w:szCs w:val="20"/>
          <w:color w:val="auto"/>
        </w:rPr>
      </w:pPr>
    </w:p>
    <w:p>
      <w:pPr>
        <w:ind w:left="1300" w:right="180" w:hanging="320"/>
        <w:spacing w:after="0" w:line="277" w:lineRule="auto"/>
        <w:tabs>
          <w:tab w:leader="none" w:pos="1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operating results, primarily from our Supply and Logistics segment. See further discussion of our segment results in the “—Results of Operations—Analysis of Operating Segments” section below; and</w:t>
      </w:r>
    </w:p>
    <w:p>
      <w:pPr>
        <w:spacing w:after="0" w:line="170" w:lineRule="exact"/>
        <w:rPr>
          <w:rFonts w:ascii="Arial" w:cs="Arial" w:eastAsia="Arial" w:hAnsi="Arial"/>
          <w:sz w:val="18"/>
          <w:szCs w:val="18"/>
          <w:color w:val="auto"/>
        </w:rPr>
      </w:pPr>
    </w:p>
    <w:p>
      <w:pPr>
        <w:ind w:left="1300" w:right="420" w:hanging="320"/>
        <w:spacing w:after="0" w:line="277" w:lineRule="auto"/>
        <w:tabs>
          <w:tab w:leader="none" w:pos="1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depreciation and amortization expense and interest expense primarily associated with our capital expansion projects and related financing activities.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invested approximately $370 million in midstream infrastructure projects during the three months ended March 31, 2016, with a targeted expansion capital plan for the full year of 2016 of approximately $1.5 billion. To fund such capital activities, during the quarter we completed (i) the private placement of approximately 61.0 million Series A preferred units for net proceeds of approximately $1.6 billion, including our general partner’s proportionate capital contribution and (ii) the sale of various non-core assets for proceeds of approximately $250 million. In addition, we paid $433 million of cash distributions to our common unitholders and general partner during the three months ended March 31, 2016, and we declared a quarterly distribution of $0.70 per common unit to be paid on May 13, 2016.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21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80" w:type="dxa"/>
            <w:vAlign w:val="bottom"/>
            <w:tcBorders>
              <w:bottom w:val="single" w:sz="8" w:color="CCEEFF"/>
            </w:tcBorders>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288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(1)</w:t>
            </w:r>
          </w:p>
        </w:tc>
        <w:tc>
          <w:tcPr>
            <w:tcW w:w="5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line="216"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3"/>
                <w:szCs w:val="23"/>
                <w:color w:val="auto"/>
                <w:vertAlign w:val="superscript"/>
              </w:rPr>
              <w:t>(1) (2)</w:t>
            </w:r>
          </w:p>
        </w:tc>
        <w:tc>
          <w:tcPr>
            <w:tcW w:w="5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(2)</w:t>
            </w:r>
          </w:p>
        </w:tc>
        <w:tc>
          <w:tcPr>
            <w:tcW w:w="5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r>
      <w:tr>
        <w:trPr>
          <w:trHeight w:val="210"/>
        </w:trPr>
        <w:tc>
          <w:tcPr>
            <w:tcW w:w="28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5"/>
        </w:trPr>
        <w:tc>
          <w:tcPr>
            <w:tcW w:w="2880" w:type="dxa"/>
            <w:vAlign w:val="bottom"/>
            <w:tcBorders>
              <w:bottom w:val="single" w:sz="8" w:color="808080"/>
            </w:tcBorders>
          </w:tcPr>
          <w:p>
            <w:pPr>
              <w:spacing w:after="0"/>
              <w:rPr>
                <w:sz w:val="24"/>
                <w:szCs w:val="24"/>
                <w:color w:val="auto"/>
              </w:rPr>
            </w:pPr>
          </w:p>
        </w:tc>
        <w:tc>
          <w:tcPr>
            <w:tcW w:w="5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337" w:right="239" w:bottom="76" w:gutter="0" w:footer="0" w:header="0"/>
        </w:sectPr>
      </w:pPr>
    </w:p>
    <w:bookmarkStart w:id="20" w:name="page21"/>
    <w:bookmarkEnd w:id="20"/>
    <w:p>
      <w:pPr>
        <w:spacing w:after="0" w:line="6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right="20" w:hanging="11"/>
        <w:spacing w:after="0" w:line="263" w:lineRule="auto"/>
        <w:rPr>
          <w:sz w:val="20"/>
          <w:szCs w:val="20"/>
          <w:color w:val="auto"/>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184" w:lineRule="exact"/>
        <w:rPr>
          <w:sz w:val="20"/>
          <w:szCs w:val="20"/>
          <w:color w:val="auto"/>
        </w:rPr>
      </w:pPr>
    </w:p>
    <w:p>
      <w:pPr>
        <w:ind w:right="280" w:hanging="11"/>
        <w:spacing w:after="0" w:line="264"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ectPr>
          <w:pgSz w:w="11900" w:h="16838" w:orient="portrait"/>
          <w:cols w:equalWidth="0" w:num="2">
            <w:col w:w="140" w:space="520"/>
            <w:col w:w="10760"/>
          </w:cols>
          <w:pgMar w:left="240" w:top="71" w:right="239" w:bottom="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2016 and the forecasted expenditures for the year ending December 31, 2016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80" w:type="dxa"/>
            <w:vAlign w:val="bottom"/>
            <w:gridSpan w:val="3"/>
          </w:tcPr>
          <w:p>
            <w:pPr>
              <w:spacing w:after="0"/>
              <w:rPr>
                <w:sz w:val="20"/>
                <w:szCs w:val="20"/>
                <w:color w:val="auto"/>
              </w:rPr>
            </w:pPr>
            <w:r>
              <w:rPr>
                <w:rFonts w:ascii="Arial" w:cs="Arial" w:eastAsia="Arial" w:hAnsi="Arial"/>
                <w:sz w:val="14"/>
                <w:szCs w:val="14"/>
                <w:b w:val="1"/>
                <w:bCs w:val="1"/>
                <w:color w:val="auto"/>
              </w:rPr>
              <w:t>Projects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Red River Pipeline (Cushing to Longview)</w:t>
            </w:r>
          </w:p>
        </w:tc>
        <w:tc>
          <w:tcPr>
            <w:tcW w:w="2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Diamond Pipeline</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Permian Basin Area Pipeline Projects</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Fort Saskatchewan Facility Projects</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Saddlehorn Pipeline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Cushing Terminal Expansions</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James Terminal Expansions</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Caddo Pipeline</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Cactus Pipeline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Eagle Ford JV Project</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(1)</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-$100 + $100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7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Projected Expansion Capital Expenditures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$1,400 - $1,600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Maintenance Capital Expenditures</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$190 - $210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196850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20" w:hanging="652"/>
        <w:spacing w:after="0" w:line="227" w:lineRule="auto"/>
        <w:tabs>
          <w:tab w:leader="none" w:pos="64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an overview of our consolidated financial results calculated in accordance with GAAP (in millions, except per unit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960" w:type="dxa"/>
            <w:vAlign w:val="bottom"/>
            <w:gridSpan w:val="5"/>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center"/>
              <w:ind w:right="47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March 31,</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4"/>
                <w:szCs w:val="14"/>
                <w:b w:val="1"/>
                <w:bCs w:val="1"/>
                <w:color w:val="auto"/>
                <w:w w:val="92"/>
              </w:rPr>
              <w:t>Variance</w:t>
            </w: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6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profit</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rPr>
              <w:t>Total segment profit</w:t>
            </w: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expense, net</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(112)</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0"/>
              </w:rPr>
              <w:t>(105)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 expense</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60" w:type="dxa"/>
            <w:vAlign w:val="bottom"/>
            <w:tcBorders>
              <w:right w:val="single" w:sz="8" w:color="auto"/>
            </w:tcBorders>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60" w:type="dxa"/>
            <w:vAlign w:val="bottom"/>
            <w:tcBorders>
              <w:right w:val="single" w:sz="8" w:color="auto"/>
            </w:tcBorders>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0.07</w:t>
            </w:r>
          </w:p>
        </w:tc>
        <w:tc>
          <w:tcPr>
            <w:tcW w:w="780" w:type="dxa"/>
            <w:vAlign w:val="bottom"/>
            <w:gridSpan w:val="2"/>
            <w:shd w:val="clear" w:color="auto" w:fill="CCEEFF"/>
          </w:tcPr>
          <w:p>
            <w:pPr>
              <w:jc w:val="right"/>
              <w:ind w:right="516"/>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0.36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Diluted net income per common unit</w:t>
            </w: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0.07</w:t>
            </w:r>
          </w:p>
        </w:tc>
        <w:tc>
          <w:tcPr>
            <w:tcW w:w="780" w:type="dxa"/>
            <w:vAlign w:val="bottom"/>
            <w:gridSpan w:val="2"/>
          </w:tcPr>
          <w:p>
            <w:pPr>
              <w:jc w:val="right"/>
              <w:ind w:right="516"/>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1"/>
              </w:rPr>
              <w:t>0.35</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(0.28)</w:t>
            </w:r>
          </w:p>
        </w:tc>
        <w:tc>
          <w:tcPr>
            <w:tcW w:w="30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Diluted weighted average common units outstanding</w:t>
            </w:r>
          </w:p>
        </w:tc>
        <w:tc>
          <w:tcPr>
            <w:tcW w:w="6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6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w:t>
      </w:r>
    </w:p>
    <w:p>
      <w:pPr>
        <w:sectPr>
          <w:pgSz w:w="11900" w:h="16838" w:orient="portrait"/>
          <w:cols w:equalWidth="0" w:num="1">
            <w:col w:w="11420"/>
          </w:cols>
          <w:pgMar w:left="240" w:top="71" w:right="239" w:bottom="0" w:gutter="0" w:footer="0" w:header="0"/>
          <w:type w:val="continuous"/>
        </w:sectPr>
      </w:pPr>
    </w:p>
    <w:bookmarkStart w:id="21" w:name="page22"/>
    <w:bookmarkEnd w:id="21"/>
    <w:p>
      <w:pPr>
        <w:spacing w:after="0" w:line="270" w:lineRule="auto"/>
        <w:rPr>
          <w:sz w:val="20"/>
          <w:szCs w:val="20"/>
          <w:color w:val="auto"/>
        </w:rPr>
      </w:pPr>
      <w:r>
        <w:rPr>
          <w:rFonts w:ascii="Arial" w:cs="Arial" w:eastAsia="Arial" w:hAnsi="Arial"/>
          <w:sz w:val="17"/>
          <w:szCs w:val="17"/>
          <w:color w:val="auto"/>
        </w:rPr>
        <w:t>to be settled with the issuance of equity instruments, (ii) the mark-to-market of derivative instruments that are related to underlying activities in another period (or the reversal of such adjustments from a prior period), gains and losses on derivative activities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We have defined all such items hereinafter as “Selected Items Impacting Comparability.” These additional financial measures are reconciled to the most directly comparable measures as reported in accordance with GAAP, and should be viewed in addition to, and not in lieu of, our Condensed Consolidated Financial Statements and footnotes.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non-GAAP financial measures that are reconciled to the most directly comparable GAAP measures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20" w:type="dxa"/>
            <w:vAlign w:val="bottom"/>
            <w:gridSpan w:val="5"/>
          </w:tcPr>
          <w:p>
            <w:pPr>
              <w:jc w:val="right"/>
              <w:ind w:right="10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5"/>
          </w:tcPr>
          <w:p>
            <w:pPr>
              <w:jc w:val="center"/>
              <w:ind w:right="49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45"/>
              <w:spacing w:after="0"/>
              <w:rPr>
                <w:sz w:val="20"/>
                <w:szCs w:val="20"/>
                <w:color w:val="auto"/>
              </w:rPr>
            </w:pPr>
            <w:r>
              <w:rPr>
                <w:rFonts w:ascii="Arial" w:cs="Arial" w:eastAsia="Arial" w:hAnsi="Arial"/>
                <w:sz w:val="14"/>
                <w:szCs w:val="14"/>
                <w:b w:val="1"/>
                <w:bCs w:val="1"/>
                <w:color w:val="auto"/>
              </w:rPr>
              <w:t>March 31,</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412"/>
              <w:spacing w:after="0"/>
              <w:rPr>
                <w:sz w:val="20"/>
                <w:szCs w:val="20"/>
                <w:color w:val="auto"/>
              </w:rPr>
            </w:pPr>
            <w:r>
              <w:rPr>
                <w:rFonts w:ascii="Arial" w:cs="Arial" w:eastAsia="Arial" w:hAnsi="Arial"/>
                <w:sz w:val="14"/>
                <w:szCs w:val="14"/>
                <w:b w:val="1"/>
                <w:bCs w:val="1"/>
                <w:color w:val="auto"/>
                <w:w w:val="95"/>
              </w:rPr>
              <w:t>Variance</w:t>
            </w:r>
          </w:p>
        </w:tc>
        <w:tc>
          <w:tcPr>
            <w:tcW w:w="7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Add:</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EBITDA</w:t>
            </w:r>
          </w:p>
        </w:tc>
        <w:tc>
          <w:tcPr>
            <w:tcW w:w="64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40" w:type="dxa"/>
            <w:vAlign w:val="bottom"/>
            <w:tcBorders>
              <w:bottom w:val="single" w:sz="8" w:color="CCEEFF"/>
              <w:right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Selected Items Impacting Comparability of EBITDA</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Gains/(losses) from derivative activities net of inventory</w:t>
            </w: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valuation adjustments </w:t>
            </w:r>
            <w:r>
              <w:rPr>
                <w:rFonts w:ascii="Arial" w:cs="Arial" w:eastAsia="Arial" w:hAnsi="Arial"/>
                <w:sz w:val="23"/>
                <w:szCs w:val="23"/>
                <w:color w:val="auto"/>
                <w:vertAlign w:val="superscript"/>
              </w:rPr>
              <w:t>(1)</w:t>
            </w:r>
          </w:p>
        </w:tc>
        <w:tc>
          <w:tcPr>
            <w:tcW w:w="1340" w:type="dxa"/>
            <w:vAlign w:val="bottom"/>
            <w:gridSpan w:val="2"/>
            <w:shd w:val="clear" w:color="auto" w:fill="CCEEFF"/>
          </w:tcPr>
          <w:p>
            <w:pPr>
              <w:jc w:val="right"/>
              <w:ind w:right="514"/>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(122)</w:t>
            </w:r>
          </w:p>
        </w:tc>
        <w:tc>
          <w:tcPr>
            <w:tcW w:w="680" w:type="dxa"/>
            <w:vAlign w:val="bottom"/>
            <w:gridSpan w:val="2"/>
            <w:shd w:val="clear" w:color="auto" w:fill="CCEEFF"/>
          </w:tcPr>
          <w:p>
            <w:pPr>
              <w:jc w:val="right"/>
              <w:ind w:right="505"/>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4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(2)</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(3)</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(4)</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Selected Items Impacting Comparability of EBITDA</w:t>
            </w:r>
          </w:p>
        </w:tc>
        <w:tc>
          <w:tcPr>
            <w:tcW w:w="64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(173)</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(113)</w:t>
            </w:r>
          </w:p>
        </w:tc>
        <w:tc>
          <w:tcPr>
            <w:tcW w:w="240" w:type="dxa"/>
            <w:vAlign w:val="bottom"/>
            <w:tcBorders>
              <w:bottom w:val="single" w:sz="8" w:color="CCEEFF"/>
              <w:right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EBITDA</w:t>
            </w:r>
          </w:p>
        </w:tc>
        <w:tc>
          <w:tcPr>
            <w:tcW w:w="1340" w:type="dxa"/>
            <w:vAlign w:val="bottom"/>
            <w:gridSpan w:val="2"/>
          </w:tcPr>
          <w:p>
            <w:pPr>
              <w:jc w:val="right"/>
              <w:ind w:right="514"/>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448</w:t>
            </w:r>
          </w:p>
        </w:tc>
        <w:tc>
          <w:tcPr>
            <w:tcW w:w="680" w:type="dxa"/>
            <w:vAlign w:val="bottom"/>
            <w:gridSpan w:val="2"/>
          </w:tcPr>
          <w:p>
            <w:pPr>
              <w:jc w:val="right"/>
              <w:ind w:right="505"/>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509</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Selected Items Impacting Comparability of EBITDA</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6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621</w:t>
            </w:r>
          </w:p>
        </w:tc>
        <w:tc>
          <w:tcPr>
            <w:tcW w:w="30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622</w:t>
            </w:r>
          </w:p>
        </w:tc>
        <w:tc>
          <w:tcPr>
            <w:tcW w:w="240" w:type="dxa"/>
            <w:vAlign w:val="bottom"/>
            <w:tcBorders>
              <w:right w:val="single" w:sz="8" w:color="auto"/>
            </w:tcBorders>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Adjusted EBITDA</w:t>
            </w:r>
          </w:p>
        </w:tc>
        <w:tc>
          <w:tcPr>
            <w:tcW w:w="1340" w:type="dxa"/>
            <w:vAlign w:val="bottom"/>
            <w:gridSpan w:val="2"/>
          </w:tcPr>
          <w:p>
            <w:pPr>
              <w:jc w:val="right"/>
              <w:ind w:right="514"/>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621</w:t>
            </w:r>
          </w:p>
        </w:tc>
        <w:tc>
          <w:tcPr>
            <w:tcW w:w="680" w:type="dxa"/>
            <w:vAlign w:val="bottom"/>
            <w:gridSpan w:val="2"/>
          </w:tcPr>
          <w:p>
            <w:pPr>
              <w:jc w:val="right"/>
              <w:ind w:right="505"/>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622</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(6)</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(108)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(7)</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 net of distributions</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(8)</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spacing w:after="0"/>
              <w:rPr>
                <w:sz w:val="20"/>
                <w:szCs w:val="20"/>
                <w:color w:val="auto"/>
              </w:rPr>
            </w:pPr>
            <w:r>
              <w:rPr>
                <w:rFonts w:ascii="Arial" w:cs="Arial" w:eastAsia="Arial" w:hAnsi="Arial"/>
                <w:sz w:val="18"/>
                <w:szCs w:val="18"/>
                <w:color w:val="auto"/>
              </w:rPr>
              <w:t>Implied DCF</w:t>
            </w:r>
          </w:p>
        </w:tc>
        <w:tc>
          <w:tcPr>
            <w:tcW w:w="6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439</w:t>
            </w:r>
          </w:p>
        </w:tc>
        <w:tc>
          <w:tcPr>
            <w:tcW w:w="3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445</w:t>
            </w:r>
          </w:p>
        </w:tc>
        <w:tc>
          <w:tcPr>
            <w:tcW w:w="240" w:type="dxa"/>
            <w:vAlign w:val="bottom"/>
            <w:tcBorders>
              <w:right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Less: Cash distributions </w:t>
            </w:r>
            <w:r>
              <w:rPr>
                <w:rFonts w:ascii="Arial" w:cs="Arial" w:eastAsia="Arial" w:hAnsi="Arial"/>
                <w:sz w:val="23"/>
                <w:szCs w:val="23"/>
                <w:color w:val="auto"/>
                <w:vertAlign w:val="superscript"/>
              </w:rPr>
              <w:t>(8)</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(433)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(420)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line="210" w:lineRule="exact"/>
              <w:rPr>
                <w:sz w:val="20"/>
                <w:szCs w:val="20"/>
                <w:color w:val="auto"/>
              </w:rPr>
            </w:pPr>
            <w:r>
              <w:rPr>
                <w:rFonts w:ascii="Arial" w:cs="Arial" w:eastAsia="Arial" w:hAnsi="Arial"/>
                <w:sz w:val="18"/>
                <w:szCs w:val="18"/>
                <w:color w:val="auto"/>
              </w:rPr>
              <w:t xml:space="preserve">DCF Excess/(Shortage) </w:t>
            </w:r>
            <w:r>
              <w:rPr>
                <w:rFonts w:ascii="Arial" w:cs="Arial" w:eastAsia="Arial" w:hAnsi="Arial"/>
                <w:sz w:val="23"/>
                <w:szCs w:val="23"/>
                <w:color w:val="auto"/>
                <w:vertAlign w:val="superscript"/>
              </w:rPr>
              <w:t>(9)</w:t>
            </w:r>
          </w:p>
        </w:tc>
        <w:tc>
          <w:tcPr>
            <w:tcW w:w="6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204"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40" w:hanging="11"/>
        <w:spacing w:after="0" w:line="271" w:lineRule="auto"/>
        <w:rPr>
          <w:sz w:val="20"/>
          <w:szCs w:val="20"/>
          <w:color w:val="auto"/>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See Note 8 to our Condensed Consolidated Financial Statements for a comprehensive discussion regarding our derivatives and risk management activities.</w:t>
      </w:r>
    </w:p>
    <w:p>
      <w:pPr>
        <w:spacing w:after="0" w:line="179" w:lineRule="exact"/>
        <w:rPr>
          <w:sz w:val="20"/>
          <w:szCs w:val="20"/>
          <w:color w:val="auto"/>
        </w:rPr>
      </w:pPr>
    </w:p>
    <w:p>
      <w:pPr>
        <w:ind w:left="20" w:right="160" w:hanging="11"/>
        <w:spacing w:after="0" w:line="272" w:lineRule="auto"/>
        <w:rPr>
          <w:sz w:val="20"/>
          <w:szCs w:val="20"/>
          <w:color w:val="auto"/>
        </w:rPr>
      </w:pPr>
      <w:r>
        <w:rPr>
          <w:rFonts w:ascii="Arial" w:cs="Arial" w:eastAsia="Arial" w:hAnsi="Arial"/>
          <w:sz w:val="17"/>
          <w:szCs w:val="17"/>
          <w:color w:val="auto"/>
        </w:rPr>
        <w:t>We carry approximately 5 million barrels of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included in Part IV of our 2015 Annual Report on Form 10-K for a complete discussion of our long-term inventory.</w:t>
      </w:r>
    </w:p>
    <w:p>
      <w:pPr>
        <w:spacing w:after="0" w:line="178"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204" w:gutter="0" w:footer="0" w:header="0"/>
          <w:type w:val="continuous"/>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204" w:gutter="0" w:footer="0" w:header="0"/>
          <w:type w:val="continuous"/>
        </w:sectPr>
      </w:pPr>
    </w:p>
    <w:bookmarkStart w:id="22" w:name="page23"/>
    <w:bookmarkEnd w:id="22"/>
    <w:p>
      <w:pPr>
        <w:ind w:left="660" w:right="20" w:hanging="652"/>
        <w:spacing w:after="0" w:line="259" w:lineRule="auto"/>
        <w:tabs>
          <w:tab w:leader="none" w:pos="64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 See Note 15 to our Consolidated Financial Statements included in Part IV of our 2015 Annual Report on Form 10-K for a comprehensive discussion regarding our equity-indexed compensation plans.</w:t>
      </w:r>
    </w:p>
    <w:p>
      <w:pPr>
        <w:sectPr>
          <w:pgSz w:w="11900" w:h="16838" w:orient="portrait"/>
          <w:cols w:equalWidth="0" w:num="1">
            <w:col w:w="11420"/>
          </w:cols>
          <w:pgMar w:left="240" w:top="125" w:right="239" w:bottom="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380" w:hanging="11"/>
        <w:spacing w:after="0" w:line="342" w:lineRule="auto"/>
        <w:rPr>
          <w:sz w:val="20"/>
          <w:szCs w:val="20"/>
          <w:color w:val="auto"/>
        </w:rPr>
      </w:pPr>
      <w:r>
        <w:rPr>
          <w:rFonts w:ascii="Arial" w:cs="Arial" w:eastAsia="Arial" w:hAnsi="Arial"/>
          <w:sz w:val="16"/>
          <w:szCs w:val="16"/>
          <w:color w:val="auto"/>
        </w:rPr>
        <w:t>During the three months ended March 31, 2016 and 2015, there were fluctuations in the value of CAD to USD, resulting in gains and losses that were not related to our core operating results for the period and were thus classified as a selected item impacting comparability.</w:t>
      </w:r>
    </w:p>
    <w:p>
      <w:pPr>
        <w:spacing w:after="0" w:line="124" w:lineRule="exact"/>
        <w:rPr>
          <w:sz w:val="20"/>
          <w:szCs w:val="20"/>
          <w:color w:val="auto"/>
        </w:rPr>
      </w:pPr>
    </w:p>
    <w:p>
      <w:pPr>
        <w:ind w:right="40" w:hanging="11"/>
        <w:spacing w:after="0" w:line="291" w:lineRule="auto"/>
        <w:rPr>
          <w:sz w:val="20"/>
          <w:szCs w:val="20"/>
          <w:color w:val="auto"/>
        </w:rPr>
      </w:pPr>
      <w:r>
        <w:rPr>
          <w:rFonts w:ascii="Arial" w:cs="Arial" w:eastAsia="Arial" w:hAnsi="Arial"/>
          <w:sz w:val="16"/>
          <w:szCs w:val="16"/>
          <w:color w:val="auto"/>
        </w:rPr>
        <w:t>We have certain agreements that require counterparties to deliver, transport or throughput a minimum volume over 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w:t>
      </w:r>
    </w:p>
    <w:p>
      <w:pPr>
        <w:spacing w:after="0" w:line="167" w:lineRule="exact"/>
        <w:rPr>
          <w:sz w:val="20"/>
          <w:szCs w:val="20"/>
          <w:color w:val="auto"/>
        </w:rPr>
      </w:pPr>
    </w:p>
    <w:p>
      <w:pPr>
        <w:sectPr>
          <w:pgSz w:w="11900" w:h="16838" w:orient="portrait"/>
          <w:cols w:equalWidth="0" w:num="2">
            <w:col w:w="140" w:space="520"/>
            <w:col w:w="10760"/>
          </w:cols>
          <w:pgMar w:left="240" w:top="125" w:right="239"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37" w:lineRule="exact"/>
        <w:rPr>
          <w:sz w:val="20"/>
          <w:szCs w:val="20"/>
          <w:color w:val="auto"/>
        </w:rPr>
      </w:pPr>
    </w:p>
    <w:p>
      <w:pPr>
        <w:ind w:left="20" w:right="160" w:hanging="11"/>
        <w:spacing w:after="0" w:line="277" w:lineRule="auto"/>
        <w:rPr>
          <w:sz w:val="20"/>
          <w:szCs w:val="20"/>
          <w:color w:val="auto"/>
        </w:rPr>
      </w:pPr>
      <w:r>
        <w:rPr>
          <w:rFonts w:ascii="Arial" w:cs="Arial" w:eastAsia="Arial" w:hAnsi="Arial"/>
          <w:sz w:val="18"/>
          <w:szCs w:val="18"/>
          <w:color w:val="auto"/>
        </w:rPr>
        <w:t>Maintenance capital expenditures are defined as capital expenditures for the replacement of partially or fully depreciated assets in order to maintain the operating and/or earnings capacity of our existing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cash distributions that pertain to the current period’s net income and are paid in the subsequent period.</w:t>
      </w:r>
    </w:p>
    <w:p>
      <w:pPr>
        <w:spacing w:after="0" w:line="225" w:lineRule="exact"/>
        <w:rPr>
          <w:sz w:val="20"/>
          <w:szCs w:val="20"/>
          <w:color w:val="auto"/>
        </w:rPr>
      </w:pPr>
    </w:p>
    <w:p>
      <w:pPr>
        <w:ind w:left="20" w:right="160" w:hanging="11"/>
        <w:spacing w:after="0" w:line="308" w:lineRule="auto"/>
        <w:rPr>
          <w:sz w:val="20"/>
          <w:szCs w:val="20"/>
          <w:color w:val="auto"/>
        </w:rPr>
      </w:pPr>
      <w:r>
        <w:rPr>
          <w:rFonts w:ascii="Arial" w:cs="Arial" w:eastAsia="Arial" w:hAnsi="Arial"/>
          <w:sz w:val="17"/>
          <w:szCs w:val="17"/>
          <w:color w:val="auto"/>
        </w:rPr>
        <w:t>Excess DCF is retained to establish reserves for future distributions, capital expenditures and other partnership purposes. DCF shortages are funded from previously established reserves, cash on hand or from borrowings under our credit facilities or commercial paper program.</w:t>
      </w:r>
    </w:p>
    <w:p>
      <w:pPr>
        <w:spacing w:after="0" w:line="147"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Chief Operating Decision Maker (our Chief Executive Officer) evaluates segment performance based on a variety of measures including segment profit, segment volumes, segment profit per barrel and maintenance capital investment. See Note 18 to our Consolidated Financial Statements included in Part IV of our 2015 Annual Report on Form 10-K for further discussion of how we evaluate segment profit. See Note 11 to our Condensed Consolidated Financial Statements for a reconciliation of segment profit to net income attributable to PAA.</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00" w:type="dxa"/>
            <w:vAlign w:val="bottom"/>
            <w:gridSpan w:val="5"/>
          </w:tcPr>
          <w:p>
            <w:pPr>
              <w:jc w:val="center"/>
              <w:ind w:right="41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56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456"/>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5"/>
              </w:rPr>
              <w:t>Variance</w:t>
            </w:r>
          </w:p>
        </w:tc>
        <w:tc>
          <w:tcPr>
            <w:tcW w:w="7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9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Tariff activities</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349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358</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spacing w:after="0"/>
              <w:rPr>
                <w:sz w:val="20"/>
                <w:szCs w:val="20"/>
                <w:color w:val="auto"/>
              </w:rPr>
            </w:pPr>
            <w:r>
              <w:rPr>
                <w:rFonts w:ascii="Arial" w:cs="Arial" w:eastAsia="Arial" w:hAnsi="Arial"/>
                <w:sz w:val="18"/>
                <w:szCs w:val="18"/>
                <w:color w:val="auto"/>
              </w:rPr>
              <w:t>Total transportation revenues</w:t>
            </w: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right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Trucking costs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 - operations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 - general and administrative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3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Borders>
              <w:right w:val="single" w:sz="8" w:color="auto"/>
            </w:tcBorders>
            <w:vMerge w:val="continue"/>
            <w:shd w:val="clear" w:color="auto" w:fill="CCEEFF"/>
          </w:tcPr>
          <w:p>
            <w:pPr>
              <w:spacing w:after="0"/>
              <w:rPr>
                <w:sz w:val="18"/>
                <w:szCs w:val="18"/>
                <w:color w:val="auto"/>
              </w:rPr>
            </w:pP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Maintenance capital</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18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20" w:type="dxa"/>
            <w:vAlign w:val="bottom"/>
            <w:tcBorders>
              <w:right w:val="single" w:sz="8" w:color="auto"/>
            </w:tcBorders>
          </w:tcPr>
          <w:p>
            <w:pPr>
              <w:spacing w:after="0"/>
              <w:rPr>
                <w:sz w:val="20"/>
                <w:szCs w:val="20"/>
                <w:color w:val="auto"/>
              </w:rPr>
            </w:pPr>
          </w:p>
        </w:tc>
        <w:tc>
          <w:tcPr>
            <w:tcW w:w="20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0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Segment profit per barrel</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2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340" w:type="dxa"/>
            <w:vAlign w:val="bottom"/>
            <w:tcBorders>
              <w:top w:val="single" w:sz="8" w:color="CCEEFF"/>
              <w:bottom w:val="single" w:sz="8" w:color="CCEEFF"/>
            </w:tcBorders>
            <w:shd w:val="clear" w:color="auto" w:fill="CCEEFF"/>
          </w:tcPr>
          <w:p>
            <w:pPr>
              <w:jc w:val="right"/>
              <w:ind w:right="30"/>
              <w:spacing w:after="0" w:line="190"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jc w:val="center"/>
              <w:ind w:right="41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56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436"/>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2"/>
              </w:rPr>
              <w:t>Variance</w:t>
            </w:r>
          </w:p>
        </w:tc>
        <w:tc>
          <w:tcPr>
            <w:tcW w:w="7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6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7"/>
                <w:szCs w:val="17"/>
                <w:b w:val="1"/>
                <w:bCs w:val="1"/>
                <w:color w:val="auto"/>
                <w:vertAlign w:val="superscript"/>
              </w:rPr>
              <w:t>(4)</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6"/>
              <w:spacing w:after="0" w:line="157"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ind w:right="313"/>
              <w:spacing w:after="0" w:line="157"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tcPr>
          <w:p>
            <w:pPr>
              <w:ind w:left="80"/>
              <w:spacing w:after="0" w:line="157" w:lineRule="exact"/>
              <w:rPr>
                <w:sz w:val="20"/>
                <w:szCs w:val="20"/>
                <w:color w:val="auto"/>
              </w:rPr>
            </w:pPr>
            <w:r>
              <w:rPr>
                <w:rFonts w:ascii="Arial" w:cs="Arial" w:eastAsia="Arial" w:hAnsi="Arial"/>
                <w:sz w:val="14"/>
                <w:szCs w:val="14"/>
                <w:b w:val="1"/>
                <w:bCs w:val="1"/>
                <w:color w:val="auto"/>
              </w:rPr>
              <w:t>Volumes</w:t>
            </w:r>
          </w:p>
        </w:tc>
        <w:tc>
          <w:tcPr>
            <w:tcW w:w="740" w:type="dxa"/>
            <w:vAlign w:val="bottom"/>
          </w:tcPr>
          <w:p>
            <w:pPr>
              <w:jc w:val="right"/>
              <w:ind w:right="353"/>
              <w:spacing w:after="0" w:line="157"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3187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1877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p>
      <w:pPr>
        <w:spacing w:after="0"/>
        <w:rPr>
          <w:sz w:val="20"/>
          <w:szCs w:val="20"/>
          <w:color w:val="auto"/>
        </w:rPr>
      </w:pPr>
      <w:r>
        <w:rPr>
          <w:rFonts w:ascii="Arial" w:cs="Arial" w:eastAsia="Arial" w:hAnsi="Arial"/>
          <w:sz w:val="18"/>
          <w:szCs w:val="18"/>
          <w:color w:val="auto"/>
        </w:rPr>
        <w:t>Tariff activities volumes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Crude oil pipelines (by region):</w:t>
      </w:r>
    </w:p>
    <w:p>
      <w:pPr>
        <w:sectPr>
          <w:pgSz w:w="11900" w:h="16838" w:orient="portrait"/>
          <w:cols w:equalWidth="0" w:num="1">
            <w:col w:w="11420"/>
          </w:cols>
          <w:pgMar w:left="240" w:top="125" w:right="239" w:bottom="0" w:gutter="0" w:footer="0" w:header="0"/>
          <w:type w:val="continuous"/>
        </w:sectPr>
      </w:pPr>
    </w:p>
    <w:bookmarkStart w:id="23" w:name="page24"/>
    <w:bookmarkEnd w:id="23"/>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2,045</w:t>
            </w:r>
          </w:p>
        </w:tc>
        <w:tc>
          <w:tcPr>
            <w:tcW w:w="12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w:t>
            </w:r>
          </w:p>
        </w:tc>
        <w:tc>
          <w:tcPr>
            <w:tcW w:w="2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960" w:type="dxa"/>
            <w:vAlign w:val="bottom"/>
          </w:tcPr>
          <w:p>
            <w:pPr>
              <w:ind w:left="38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12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Western</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12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960" w:type="dxa"/>
            <w:vAlign w:val="bottom"/>
          </w:tcPr>
          <w:p>
            <w:pPr>
              <w:ind w:left="38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437</w:t>
            </w:r>
          </w:p>
        </w:tc>
        <w:tc>
          <w:tcPr>
            <w:tcW w:w="12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Gulf Coast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w:t>
            </w:r>
          </w:p>
        </w:tc>
        <w:tc>
          <w:tcPr>
            <w:tcW w:w="12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rPr>
              <w:t>Central</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379</w:t>
            </w:r>
          </w:p>
        </w:tc>
        <w:tc>
          <w:tcPr>
            <w:tcW w:w="12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Canada</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w:t>
            </w:r>
          </w:p>
        </w:tc>
        <w:tc>
          <w:tcPr>
            <w:tcW w:w="12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200"/>
              <w:spacing w:after="0"/>
              <w:rPr>
                <w:sz w:val="20"/>
                <w:szCs w:val="20"/>
                <w:color w:val="auto"/>
              </w:rPr>
            </w:pPr>
            <w:r>
              <w:rPr>
                <w:rFonts w:ascii="Arial" w:cs="Arial" w:eastAsia="Arial" w:hAnsi="Arial"/>
                <w:sz w:val="18"/>
                <w:szCs w:val="18"/>
                <w:color w:val="auto"/>
              </w:rPr>
              <w:t>Crude oil pipelines</w:t>
            </w: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4,324</w:t>
            </w:r>
          </w:p>
        </w:tc>
        <w:tc>
          <w:tcPr>
            <w:tcW w:w="280" w:type="dxa"/>
            <w:vAlign w:val="bottom"/>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3,932</w:t>
            </w:r>
          </w:p>
        </w:tc>
        <w:tc>
          <w:tcPr>
            <w:tcW w:w="220" w:type="dxa"/>
            <w:vAlign w:val="bottom"/>
            <w:tcBorders>
              <w:right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w:t>
            </w:r>
          </w:p>
        </w:tc>
        <w:tc>
          <w:tcPr>
            <w:tcW w:w="280" w:type="dxa"/>
            <w:vAlign w:val="bottom"/>
            <w:vMerge w:val="continue"/>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12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Tariff activities total volumes</w:t>
            </w: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4,502</w:t>
            </w:r>
          </w:p>
        </w:tc>
        <w:tc>
          <w:tcPr>
            <w:tcW w:w="280" w:type="dxa"/>
            <w:vAlign w:val="bottom"/>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4,123</w:t>
            </w:r>
          </w:p>
        </w:tc>
        <w:tc>
          <w:tcPr>
            <w:tcW w:w="220" w:type="dxa"/>
            <w:vAlign w:val="bottom"/>
            <w:tcBorders>
              <w:right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379</w:t>
            </w:r>
          </w:p>
        </w:tc>
        <w:tc>
          <w:tcPr>
            <w:tcW w:w="280" w:type="dxa"/>
            <w:vAlign w:val="bottom"/>
            <w:vMerge w:val="continue"/>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Trucking</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12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Transportation segment total volumes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4,608</w:t>
            </w:r>
          </w:p>
        </w:tc>
        <w:tc>
          <w:tcPr>
            <w:tcW w:w="2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2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12" w:orient="portrait"/>
          <w:cols w:equalWidth="0" w:num="1">
            <w:col w:w="11420"/>
          </w:cols>
          <w:pgMar w:left="240" w:top="9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00" w:lineRule="exact"/>
        <w:rPr>
          <w:sz w:val="20"/>
          <w:szCs w:val="20"/>
          <w:color w:val="auto"/>
        </w:rPr>
      </w:pPr>
    </w:p>
    <w:p>
      <w:pPr>
        <w:sectPr>
          <w:pgSz w:w="11900" w:h="16912" w:orient="portrait"/>
          <w:cols w:equalWidth="0" w:num="2">
            <w:col w:w="140" w:space="500"/>
            <w:col w:w="10780"/>
          </w:cols>
          <w:pgMar w:left="240" w:top="91" w:right="239" w:bottom="0" w:gutter="0" w:footer="0" w:header="0"/>
          <w:type w:val="continuous"/>
        </w:sectPr>
      </w:pPr>
    </w:p>
    <w:p>
      <w:pPr>
        <w:spacing w:after="0" w:line="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activities revenues. Revenue from our pipeline capacity agreements generally reflects a negotiated amount.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Equity Earnings and Volumes. </w:t>
      </w:r>
      <w:r>
        <w:rPr>
          <w:rFonts w:ascii="Arial" w:cs="Arial" w:eastAsia="Arial" w:hAnsi="Arial"/>
          <w:sz w:val="18"/>
          <w:szCs w:val="18"/>
          <w:color w:val="auto"/>
        </w:rPr>
        <w:t>As noted in the table above, our total Transportation segment revenues, net of trucking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for the three months ended March 31, 2016 compared to the same period in 2015, while equity earnings in unconsolidated entities and average daily volumes increased over this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significant net revenue and equity earnings variances by region for the comparative period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6"/>
          </w:tcPr>
          <w:p>
            <w:pPr>
              <w:ind w:left="280"/>
              <w:spacing w:after="0"/>
              <w:rPr>
                <w:sz w:val="20"/>
                <w:szCs w:val="20"/>
                <w:color w:val="auto"/>
              </w:rPr>
            </w:pPr>
            <w:r>
              <w:rPr>
                <w:rFonts w:ascii="Arial" w:cs="Arial" w:eastAsia="Arial" w:hAnsi="Arial"/>
                <w:sz w:val="14"/>
                <w:szCs w:val="14"/>
                <w:b w:val="1"/>
                <w:bCs w:val="1"/>
                <w:color w:val="auto"/>
              </w:rPr>
              <w:t>Favorable/(Unfavorable) Variance</w:t>
            </w:r>
          </w:p>
        </w:tc>
        <w:tc>
          <w:tcPr>
            <w:tcW w:w="0" w:type="dxa"/>
            <w:vAlign w:val="bottom"/>
          </w:tcPr>
          <w:p>
            <w:pPr>
              <w:spacing w:after="0"/>
              <w:rPr>
                <w:sz w:val="1"/>
                <w:szCs w:val="1"/>
                <w:color w:val="auto"/>
              </w:rPr>
            </w:pPr>
          </w:p>
        </w:tc>
      </w:tr>
      <w:tr>
        <w:trPr>
          <w:trHeight w:val="142"/>
        </w:trPr>
        <w:tc>
          <w:tcPr>
            <w:tcW w:w="8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7"/>
              </w:rPr>
              <w:t>Net Revenues</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5"/>
              </w:rPr>
              <w:t>Equity Earnings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Permian Basin region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Western region</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Canada crude oil pipelines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(including pipeline loss allowance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380"/>
              <w:spacing w:after="0"/>
              <w:rPr>
                <w:sz w:val="20"/>
                <w:szCs w:val="20"/>
                <w:color w:val="auto"/>
              </w:rPr>
            </w:pPr>
            <w:r>
              <w:rPr>
                <w:rFonts w:ascii="Arial" w:cs="Arial" w:eastAsia="Arial" w:hAnsi="Arial"/>
                <w:sz w:val="18"/>
                <w:szCs w:val="18"/>
                <w:color w:val="auto"/>
              </w:rPr>
              <w:t>Tariff activities total</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120" w:hanging="324"/>
        <w:spacing w:after="0" w:line="264" w:lineRule="auto"/>
        <w:tabs>
          <w:tab w:leader="none" w:pos="9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Permian Basin region — The increase in revenues was largely driven by results from (i) our Cactus pipeline, which was placed in service in April 2015 and also impacted volumes on our McCamey pipeline system and our 50% interest in the Eagle Ford Joint Venture pipeline, and (ii) higher volumes associated with the expansion of our pipeline systems in the Delaware Basin.</w:t>
      </w:r>
    </w:p>
    <w:p>
      <w:pPr>
        <w:spacing w:after="0" w:line="181" w:lineRule="exact"/>
        <w:rPr>
          <w:rFonts w:ascii="Arial" w:cs="Arial" w:eastAsia="Arial" w:hAnsi="Arial"/>
          <w:sz w:val="18"/>
          <w:szCs w:val="18"/>
          <w:color w:val="auto"/>
        </w:rPr>
      </w:pPr>
    </w:p>
    <w:p>
      <w:pPr>
        <w:ind w:left="980" w:right="120"/>
        <w:spacing w:after="0" w:line="277" w:lineRule="auto"/>
        <w:rPr>
          <w:rFonts w:ascii="Arial" w:cs="Arial" w:eastAsia="Arial" w:hAnsi="Arial"/>
          <w:sz w:val="18"/>
          <w:szCs w:val="18"/>
          <w:color w:val="auto"/>
        </w:rPr>
      </w:pPr>
      <w:r>
        <w:rPr>
          <w:rFonts w:ascii="Arial" w:cs="Arial" w:eastAsia="Arial" w:hAnsi="Arial"/>
          <w:sz w:val="18"/>
          <w:szCs w:val="18"/>
          <w:color w:val="auto"/>
        </w:rPr>
        <w:t>The increase in equity earnings was driven by higher earnings from our interest in BridgeTex, which was in a ramp-up phase in the first quarter of 2015, and was not in full service until mid-2015.</w:t>
      </w:r>
    </w:p>
    <w:p>
      <w:pPr>
        <w:spacing w:after="0" w:line="170" w:lineRule="exact"/>
        <w:rPr>
          <w:rFonts w:ascii="Arial" w:cs="Arial" w:eastAsia="Arial" w:hAnsi="Arial"/>
          <w:sz w:val="18"/>
          <w:szCs w:val="18"/>
          <w:color w:val="auto"/>
        </w:rPr>
      </w:pPr>
    </w:p>
    <w:p>
      <w:pPr>
        <w:ind w:left="980" w:right="260" w:hanging="324"/>
        <w:spacing w:after="0" w:line="279" w:lineRule="auto"/>
        <w:tabs>
          <w:tab w:leader="none" w:pos="971"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Western region — Revenues and volumes decreased primarily due to (i) pipeline downtime on our All American Pipeline associated with the Line 901 incident that occurred in the second quarter of 2015 and (ii) refinery downtime in the Los Angeles area impacting our Line 63/Line 2000 pipelines, gathered volumes on our SJV system and rail volumes into our Bakersfield terminal. See Note 10 to our Condensed Consolidated Financial Statements for additional information regarding the Line 901 incident.</w:t>
      </w:r>
    </w:p>
    <w:p>
      <w:pPr>
        <w:spacing w:after="0" w:line="171" w:lineRule="exact"/>
        <w:rPr>
          <w:rFonts w:ascii="Arial" w:cs="Arial" w:eastAsia="Arial" w:hAnsi="Arial"/>
          <w:sz w:val="17"/>
          <w:szCs w:val="17"/>
          <w:color w:val="auto"/>
        </w:rPr>
      </w:pPr>
    </w:p>
    <w:p>
      <w:pPr>
        <w:ind w:left="980" w:right="320" w:hanging="324"/>
        <w:spacing w:after="0" w:line="277" w:lineRule="auto"/>
        <w:tabs>
          <w:tab w:leader="none" w:pos="9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Canada crude oil pipelines — Revenues decreased primarily due to estimated unfavorable foreign exchange impacts of $7 million and lower volumes, which offset increases from higher tariff rates on certain of our pipelines and related system assets.</w:t>
      </w:r>
    </w:p>
    <w:p>
      <w:pPr>
        <w:spacing w:after="0" w:line="170" w:lineRule="exact"/>
        <w:rPr>
          <w:rFonts w:ascii="Arial" w:cs="Arial" w:eastAsia="Arial" w:hAnsi="Arial"/>
          <w:sz w:val="18"/>
          <w:szCs w:val="18"/>
          <w:color w:val="auto"/>
        </w:rPr>
      </w:pPr>
    </w:p>
    <w:p>
      <w:pPr>
        <w:ind w:left="980" w:right="260" w:hanging="324"/>
        <w:spacing w:after="0" w:line="259" w:lineRule="auto"/>
        <w:tabs>
          <w:tab w:leader="none" w:pos="9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 The decrease was primarily related to lower pipeline loss allowance revenue of $18 million driven by a lower average realized price per barrel, partially offset by higher volumes. Additionally, volumes increased in the Gulf Coast region, which was primarily associated with increased movements on certain pipelines that are subject to long-term commitments with annual service payments; as such, these volume fluctuations did not have a meaningful impact on revenue.</w:t>
      </w:r>
    </w:p>
    <w:p>
      <w:pPr>
        <w:sectPr>
          <w:pgSz w:w="11900" w:h="16912" w:orient="portrait"/>
          <w:cols w:equalWidth="0" w:num="1">
            <w:col w:w="11420"/>
          </w:cols>
          <w:pgMar w:left="240" w:top="91" w:right="239" w:bottom="0" w:gutter="0" w:footer="0" w:header="0"/>
          <w:type w:val="continuous"/>
        </w:sectPr>
      </w:pPr>
    </w:p>
    <w:bookmarkStart w:id="24" w:name="page25"/>
    <w:bookmarkEnd w:id="24"/>
    <w:p>
      <w:pPr>
        <w:spacing w:after="0" w:line="22"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 for the three months ended March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March 31, 2015 increased slightly primarily due to higher integrity management costs substantially offset by lower utilities costs and a favorable foreign exchange impact of $3 million.</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On a consolidated basis, equity-indexed compensation expense decreased by $15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2016 compared to the same period in 2015, primarily due to the impact of lower unit prices during the 2016 period compared to the unit prices for the same period in 2015.</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Allocations of equity-indexed compensation expense vary over time between field operating costs and general and administrative expenses, as well as between segments, and could result in variances in those expense categories or segments that differ from the consolidated variance explanations above. See Note 15 to our Consolidated Financial Statements included in Part IV of our 2015 Annual Report on Form 10-K for additional information regarding our equity-indexed compensation plans.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7"/>
                <w:szCs w:val="17"/>
                <w:b w:val="1"/>
                <w:bCs w:val="1"/>
                <w:color w:val="auto"/>
                <w:vertAlign w:val="superscript"/>
              </w:rPr>
              <w:t>(1)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jc w:val="center"/>
              <w:ind w:right="37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61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4"/>
                <w:szCs w:val="14"/>
                <w:b w:val="1"/>
                <w:bCs w:val="1"/>
                <w:color w:val="auto"/>
                <w:w w:val="92"/>
              </w:rPr>
              <w:t>Variance</w:t>
            </w:r>
          </w:p>
        </w:tc>
        <w:tc>
          <w:tcPr>
            <w:tcW w:w="6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Natural gas related storage costs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Equity-indexed compensation expense - operations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Equity-indexed compensation expense - general and administrative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3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Maintenance capital</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2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300" w:type="dxa"/>
            <w:vAlign w:val="bottom"/>
            <w:vMerge w:val="continue"/>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40" w:type="dxa"/>
            <w:vAlign w:val="bottom"/>
            <w:tcBorders>
              <w:right w:val="single" w:sz="8" w:color="auto"/>
            </w:tcBorders>
          </w:tcPr>
          <w:p>
            <w:pPr>
              <w:spacing w:after="0"/>
              <w:rPr>
                <w:sz w:val="20"/>
                <w:szCs w:val="20"/>
                <w:color w:val="auto"/>
              </w:rPr>
            </w:pPr>
          </w:p>
        </w:tc>
        <w:tc>
          <w:tcPr>
            <w:tcW w:w="180" w:type="dxa"/>
            <w:vAlign w:val="bottom"/>
            <w:vMerge w:val="continue"/>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7"/>
        </w:trPr>
        <w:tc>
          <w:tcPr>
            <w:tcW w:w="61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Segment profit per barrel</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3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2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340" w:type="dxa"/>
            <w:vAlign w:val="bottom"/>
            <w:tcBorders>
              <w:top w:val="single" w:sz="8" w:color="CCEEFF"/>
              <w:bottom w:val="single" w:sz="8" w:color="CCEEFF"/>
            </w:tcBorders>
            <w:shd w:val="clear" w:color="auto" w:fill="CCEEFF"/>
          </w:tcPr>
          <w:p>
            <w:pPr>
              <w:jc w:val="right"/>
              <w:ind w:right="90"/>
              <w:spacing w:after="0" w:line="19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5"/>
          </w:tcPr>
          <w:p>
            <w:pPr>
              <w:jc w:val="center"/>
              <w:ind w:right="37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7"/>
                <w:szCs w:val="17"/>
                <w:b w:val="1"/>
                <w:bCs w:val="1"/>
                <w:color w:val="auto"/>
                <w:vertAlign w:val="superscript"/>
              </w:rPr>
              <w:t>(4)</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4"/>
                <w:szCs w:val="14"/>
                <w:b w:val="1"/>
                <w:bCs w:val="1"/>
                <w:color w:val="auto"/>
                <w:w w:val="92"/>
              </w:rPr>
              <w:t>Variance</w:t>
            </w:r>
          </w:p>
        </w:tc>
        <w:tc>
          <w:tcPr>
            <w:tcW w:w="6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right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5"/>
              </w:rPr>
              <w:t>Volumes</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1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Crude oil, refined products and NGL terminalling and storage (average monthly</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capacity in millions of barrels)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vMerge w:val="continue"/>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8"/>
              </w:rPr>
              <w:t>Rail load / unload volumes (average volumes in thousands of barrels per day)</w:t>
            </w: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206</w:t>
            </w:r>
          </w:p>
        </w:tc>
        <w:tc>
          <w:tcPr>
            <w:tcW w:w="240" w:type="dxa"/>
            <w:vAlign w:val="bottom"/>
            <w:tcBorders>
              <w:right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c>
          <w:tcPr>
            <w:tcW w:w="2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w w:val="97"/>
              </w:rPr>
              <w:t>Natural gas storage (average monthly working capacity in billions of cubic feet)</w:t>
            </w: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2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NGL fractionation (average volumes in thousands of barrels per day)</w:t>
            </w: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240" w:type="dxa"/>
            <w:vAlign w:val="bottom"/>
            <w:tcBorders>
              <w:right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7"/>
        </w:trPr>
        <w:tc>
          <w:tcPr>
            <w:tcW w:w="6120" w:type="dxa"/>
            <w:vAlign w:val="bottom"/>
            <w:tcBorders>
              <w:top w:val="single" w:sz="8" w:color="CCEEFF"/>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Facilities segment total (average monthly volumes in millions of barrels) </w:t>
            </w:r>
            <w:r>
              <w:rPr>
                <w:rFonts w:ascii="Arial" w:cs="Arial" w:eastAsia="Arial" w:hAnsi="Arial"/>
                <w:sz w:val="22"/>
                <w:szCs w:val="22"/>
                <w:color w:val="auto"/>
                <w:vertAlign w:val="superscript"/>
              </w:rPr>
              <w:t>(5)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3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w:t>
            </w:r>
          </w:p>
        </w:tc>
        <w:tc>
          <w:tcPr>
            <w:tcW w:w="2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340" w:type="dxa"/>
            <w:vAlign w:val="bottom"/>
            <w:tcBorders>
              <w:top w:val="single" w:sz="8" w:color="CCEEFF"/>
              <w:bottom w:val="single" w:sz="8" w:color="CCEEFF"/>
            </w:tcBorders>
            <w:shd w:val="clear" w:color="auto" w:fill="CCEEFF"/>
          </w:tcPr>
          <w:p>
            <w:pPr>
              <w:jc w:val="right"/>
              <w:ind w:right="90"/>
              <w:spacing w:after="0" w:line="19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60"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period divided by the number of months in the period.</w:t>
      </w:r>
    </w:p>
    <w:p>
      <w:pPr>
        <w:spacing w:after="0" w:line="225" w:lineRule="exact"/>
        <w:rPr>
          <w:sz w:val="20"/>
          <w:szCs w:val="20"/>
          <w:color w:val="auto"/>
        </w:rPr>
      </w:pPr>
    </w:p>
    <w:p>
      <w:pPr>
        <w:ind w:left="20" w:hanging="7"/>
        <w:spacing w:after="0" w:line="302" w:lineRule="auto"/>
        <w:rPr>
          <w:sz w:val="20"/>
          <w:szCs w:val="20"/>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00" w:lineRule="exact"/>
        <w:rPr>
          <w:sz w:val="20"/>
          <w:szCs w:val="20"/>
          <w:color w:val="auto"/>
        </w:rPr>
      </w:pPr>
    </w:p>
    <w:p>
      <w:pPr>
        <w:sectPr>
          <w:pgSz w:w="11900" w:h="16860" w:orient="portrait"/>
          <w:cols w:equalWidth="0" w:num="2">
            <w:col w:w="160" w:space="480"/>
            <w:col w:w="10780"/>
          </w:cols>
          <w:pgMar w:left="240" w:top="341" w:right="239" w:bottom="0" w:gutter="0" w:footer="0" w:header="0"/>
          <w:type w:val="continuous"/>
        </w:sectPr>
      </w:pPr>
    </w:p>
    <w:p>
      <w:pPr>
        <w:spacing w:after="0" w:line="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As noted in the table above, our Facilities segment revenues, net of related costs, increased by $7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2016 as compared to the same period in 2015, and total volumes increased slightly. Our Facilities segment results for the comparative periods were impacted 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60" w:orient="portrait"/>
          <w:cols w:equalWidth="0" w:num="1">
            <w:col w:w="11420"/>
          </w:cols>
          <w:pgMar w:left="240" w:top="341" w:right="239" w:bottom="0" w:gutter="0" w:footer="0" w:header="0"/>
          <w:type w:val="continuous"/>
        </w:sectPr>
      </w:pPr>
    </w:p>
    <w:bookmarkStart w:id="25" w:name="page26"/>
    <w:bookmarkEnd w:id="25"/>
    <w:p>
      <w:pPr>
        <w:ind w:left="660" w:right="300" w:hanging="328"/>
        <w:spacing w:after="0" w:line="277"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Crude Oil Storage —Revenues increased by $14 million due to increased utilization at certain of our West Coast terminals and aggregate capacity expansions of approximately 4 million barrels at our St. James and Cushing terminals.</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Rail Terminals —Revenues from our rail activities decreased by $8 million primarily due to lower volumes as a result of less favorable market conditions.</w:t>
      </w:r>
    </w:p>
    <w:p>
      <w:pPr>
        <w:spacing w:after="0" w:line="170"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Field operating costs (excluding equity-indexed compensation expense) decreased during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2016 compared to the three months ended March 31, 2015 primarily due to lower costs related to contract services, primarily at our rail terminals and, to a lesser extent, at our processing facilities. The decrease in field operating costs was also impacted by a $3 million favorable foreign exchange effect.</w:t>
      </w:r>
    </w:p>
    <w:p>
      <w:pPr>
        <w:spacing w:after="0" w:line="14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 depreciated assets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operating and/or earnings capacity of our existing assets. The decrease in maintenance capital for the three months ended March 31, 2016 compared to the three months ended March 31, 2015 was primarily due to lower spending on various tank and other maintenance capital projects, partially due to timing.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our segment profit is impacted by (i) increases or decreases in our Supply and Logistics segment volumes (which consist of lease gathering crude oil purchases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segment profit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320" w:type="dxa"/>
            <w:vAlign w:val="bottom"/>
          </w:tcPr>
          <w:p>
            <w:pPr>
              <w:spacing w:after="0"/>
              <w:rPr>
                <w:sz w:val="14"/>
                <w:szCs w:val="14"/>
                <w:color w:val="auto"/>
              </w:rPr>
            </w:pPr>
          </w:p>
        </w:tc>
        <w:tc>
          <w:tcPr>
            <w:tcW w:w="272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tcPr>
          <w:p>
            <w:pPr>
              <w:jc w:val="center"/>
              <w:ind w:right="45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5100" w:type="dxa"/>
            <w:vAlign w:val="bottom"/>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636"/>
              <w:spacing w:after="0"/>
              <w:rPr>
                <w:sz w:val="20"/>
                <w:szCs w:val="20"/>
                <w:color w:val="auto"/>
              </w:rPr>
            </w:pPr>
            <w:r>
              <w:rPr>
                <w:rFonts w:ascii="Arial" w:cs="Arial" w:eastAsia="Arial" w:hAnsi="Arial"/>
                <w:sz w:val="14"/>
                <w:szCs w:val="14"/>
                <w:b w:val="1"/>
                <w:bCs w:val="1"/>
                <w:color w:val="auto"/>
                <w:w w:val="92"/>
              </w:rPr>
              <w:t>Variance</w:t>
            </w:r>
          </w:p>
        </w:tc>
        <w:tc>
          <w:tcPr>
            <w:tcW w:w="9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32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jc w:val="right"/>
              <w:ind w:right="53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300" w:type="dxa"/>
            <w:vAlign w:val="bottom"/>
            <w:tcBorders>
              <w:top w:val="single" w:sz="8" w:color="CCEEFF"/>
              <w:right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(2)</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(3,677)</w:t>
            </w:r>
          </w:p>
        </w:tc>
        <w:tc>
          <w:tcPr>
            <w:tcW w:w="28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(5,353)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1,676</w:t>
            </w:r>
          </w:p>
        </w:tc>
        <w:tc>
          <w:tcPr>
            <w:tcW w:w="46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Equity-indexed compensation expense - operations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(3) (4)</w:t>
            </w:r>
          </w:p>
        </w:tc>
        <w:tc>
          <w:tcPr>
            <w:tcW w:w="3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510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 expense - general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administrative</w:t>
            </w:r>
          </w:p>
        </w:tc>
        <w:tc>
          <w:tcPr>
            <w:tcW w:w="3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00" w:type="dxa"/>
            <w:vAlign w:val="bottom"/>
            <w:tcBorders>
              <w:right w:val="single" w:sz="8" w:color="auto"/>
            </w:tcBorders>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00" w:type="dxa"/>
            <w:vAlign w:val="bottom"/>
            <w:gridSpan w:val="2"/>
            <w:vMerge w:val="continue"/>
          </w:tcPr>
          <w:p>
            <w:pPr>
              <w:spacing w:after="0"/>
              <w:rPr>
                <w:sz w:val="20"/>
                <w:szCs w:val="20"/>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180" w:type="dxa"/>
            <w:vAlign w:val="bottom"/>
            <w:vMerge w:val="continue"/>
          </w:tcPr>
          <w:p>
            <w:pPr>
              <w:spacing w:after="0"/>
              <w:rPr>
                <w:sz w:val="20"/>
                <w:szCs w:val="20"/>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300" w:type="dxa"/>
            <w:vAlign w:val="bottom"/>
            <w:tcBorders>
              <w:right w:val="single" w:sz="8" w:color="auto"/>
            </w:tcBorders>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460" w:type="dxa"/>
            <w:vAlign w:val="bottom"/>
          </w:tcPr>
          <w:p>
            <w:pPr>
              <w:spacing w:after="0"/>
              <w:rPr>
                <w:sz w:val="20"/>
                <w:szCs w:val="20"/>
                <w:color w:val="auto"/>
              </w:rPr>
            </w:pPr>
          </w:p>
        </w:tc>
        <w:tc>
          <w:tcPr>
            <w:tcW w:w="12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7"/>
        </w:trPr>
        <w:tc>
          <w:tcPr>
            <w:tcW w:w="510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Segment profit per barrel</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1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w:t>
            </w:r>
          </w:p>
        </w:tc>
        <w:tc>
          <w:tcPr>
            <w:tcW w:w="3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(0.81</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w:t>
            </w:r>
          </w:p>
        </w:tc>
        <w:tc>
          <w:tcPr>
            <w:tcW w:w="320" w:type="dxa"/>
            <w:vAlign w:val="bottom"/>
            <w:tcBorders>
              <w:top w:val="single" w:sz="8" w:color="CCEEFF"/>
              <w:bottom w:val="single" w:sz="8" w:color="CCEEFF"/>
            </w:tcBorders>
            <w:shd w:val="clear" w:color="auto" w:fill="CCEEFF"/>
          </w:tcPr>
          <w:p>
            <w:pPr>
              <w:jc w:val="right"/>
              <w:ind w:right="30"/>
              <w:spacing w:after="0" w:line="190"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320" w:type="dxa"/>
            <w:vAlign w:val="bottom"/>
          </w:tcPr>
          <w:p>
            <w:pPr>
              <w:spacing w:after="0"/>
              <w:rPr>
                <w:sz w:val="24"/>
                <w:szCs w:val="24"/>
                <w:color w:val="auto"/>
              </w:rPr>
            </w:pPr>
          </w:p>
        </w:tc>
        <w:tc>
          <w:tcPr>
            <w:tcW w:w="272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5"/>
          </w:tcPr>
          <w:p>
            <w:pPr>
              <w:jc w:val="center"/>
              <w:ind w:right="45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5100" w:type="dxa"/>
            <w:vAlign w:val="bottom"/>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636"/>
              <w:spacing w:after="0"/>
              <w:rPr>
                <w:sz w:val="20"/>
                <w:szCs w:val="20"/>
                <w:color w:val="auto"/>
              </w:rPr>
            </w:pPr>
            <w:r>
              <w:rPr>
                <w:rFonts w:ascii="Arial" w:cs="Arial" w:eastAsia="Arial" w:hAnsi="Arial"/>
                <w:sz w:val="14"/>
                <w:szCs w:val="14"/>
                <w:b w:val="1"/>
                <w:bCs w:val="1"/>
                <w:color w:val="auto"/>
                <w:w w:val="92"/>
              </w:rPr>
              <w:t>Variance</w:t>
            </w:r>
          </w:p>
        </w:tc>
        <w:tc>
          <w:tcPr>
            <w:tcW w:w="9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Volumes</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3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3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3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5100" w:type="dxa"/>
            <w:vAlign w:val="bottom"/>
            <w:gridSpan w:val="2"/>
          </w:tcPr>
          <w:p>
            <w:pPr>
              <w:ind w:left="200"/>
              <w:spacing w:after="0"/>
              <w:rPr>
                <w:sz w:val="20"/>
                <w:szCs w:val="20"/>
                <w:color w:val="auto"/>
              </w:rPr>
            </w:pPr>
            <w:r>
              <w:rPr>
                <w:rFonts w:ascii="Arial" w:cs="Arial" w:eastAsia="Arial" w:hAnsi="Arial"/>
                <w:sz w:val="18"/>
                <w:szCs w:val="18"/>
                <w:color w:val="auto"/>
              </w:rPr>
              <w:t>Supply and Logistics segment total</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41" w:right="239" w:bottom="156"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225"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Purchases and related costs include interest expense (related to hedged inventory purchases) of $2 million and $1 million for the three months ended March 31, 2016 and 2015, respectively.</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341" w:right="239" w:bottom="156" w:gutter="0" w:footer="0" w:header="0"/>
          <w:type w:val="continuous"/>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341" w:right="239" w:bottom="156"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200" w:lineRule="exact"/>
        <w:rPr>
          <w:sz w:val="20"/>
          <w:szCs w:val="20"/>
          <w:color w:val="auto"/>
        </w:rPr>
      </w:pPr>
    </w:p>
    <w:p>
      <w:pPr>
        <w:sectPr>
          <w:pgSz w:w="11900" w:h="16838" w:orient="portrait"/>
          <w:cols w:equalWidth="0" w:num="2">
            <w:col w:w="160" w:space="480"/>
            <w:col w:w="10780"/>
          </w:cols>
          <w:pgMar w:left="240" w:top="341" w:right="239" w:bottom="156" w:gutter="0" w:footer="0" w:header="0"/>
          <w:type w:val="continuous"/>
        </w:sectPr>
      </w:pPr>
    </w:p>
    <w:p>
      <w:pPr>
        <w:spacing w:after="0" w:line="17"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NYMEX WTI</w:t>
      </w:r>
    </w:p>
    <w:p>
      <w:pPr>
        <w:ind w:left="9320"/>
        <w:spacing w:after="0" w:line="236" w:lineRule="auto"/>
        <w:rPr>
          <w:sz w:val="20"/>
          <w:szCs w:val="20"/>
          <w:color w:val="auto"/>
        </w:rPr>
      </w:pPr>
      <w:r>
        <w:rPr>
          <w:rFonts w:ascii="Arial" w:cs="Arial" w:eastAsia="Arial" w:hAnsi="Arial"/>
          <w:sz w:val="14"/>
          <w:szCs w:val="14"/>
          <w:b w:val="1"/>
          <w:bCs w:val="1"/>
          <w:color w:val="auto"/>
        </w:rPr>
        <w:t>Crude Oil Price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48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Low</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12"/>
                <w:szCs w:val="12"/>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2016</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Three months ended March 31, 2015</w:t>
            </w:r>
          </w:p>
        </w:tc>
        <w:tc>
          <w:tcPr>
            <w:tcW w:w="384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420"/>
          </w:cols>
          <w:pgMar w:left="240" w:top="341" w:right="239" w:bottom="156" w:gutter="0" w:footer="0" w:header="0"/>
          <w:type w:val="continuous"/>
        </w:sectPr>
      </w:pPr>
    </w:p>
    <w:bookmarkStart w:id="26" w:name="page27"/>
    <w:bookmarkEnd w:id="26"/>
    <w:p>
      <w:pPr>
        <w:spacing w:after="0" w:line="11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decreased for the three months ended March 31, 2016 compared to the same period in 2015 due to lower crude oil and NGL prices.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During certain transitional periods, such as this extended period of lower crude oil prices, the ability to generate above base level earnings is challenging, and taking into account the over-capacity of midstream assets and increased competition that currently exists in most crude oil producing regions, generating even baseline level performance will be challenging. Also, 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Our Supply and Logistics segment revenues, net of purchases and related costs, decreased by $137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2016 compared to the three months ended March 31, 2015. The following summarizes the more significant items impacting the comparative periods:</w:t>
      </w:r>
    </w:p>
    <w:p>
      <w:pPr>
        <w:spacing w:after="0" w:line="181" w:lineRule="exact"/>
        <w:rPr>
          <w:sz w:val="20"/>
          <w:szCs w:val="20"/>
          <w:color w:val="auto"/>
        </w:rPr>
      </w:pPr>
    </w:p>
    <w:p>
      <w:pPr>
        <w:ind w:left="980" w:right="60" w:hanging="324"/>
        <w:spacing w:after="0" w:line="259"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Crude Oil Operations — Net revenues from our crude oil supply and logistics activities decreased for the three months ended March 31, 2016 as compared to the same period in 2015, primarily due to increased competition, largely due to overbuilt infrastructure and volume declines in certain areas, that has negatively impacted our lease gathering unit margins, partially offset by favorable results related to contango market opportunities.</w:t>
      </w:r>
    </w:p>
    <w:p>
      <w:pPr>
        <w:spacing w:after="0" w:line="186" w:lineRule="exact"/>
        <w:rPr>
          <w:rFonts w:ascii="Arial" w:cs="Arial" w:eastAsia="Arial" w:hAnsi="Arial"/>
          <w:sz w:val="18"/>
          <w:szCs w:val="18"/>
          <w:color w:val="auto"/>
        </w:rPr>
      </w:pPr>
    </w:p>
    <w:p>
      <w:pPr>
        <w:ind w:left="980" w:right="180" w:hanging="324"/>
        <w:spacing w:after="0" w:line="264"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NGL Operations — Net revenues from our NGL operations decreased for the three months ended March 31, 2016 as compared to the three months ended March 31, 2015, primarily due to softer propane sales margins resulting from a shorter and milder winter in North America, and lower sales levels in the Eastern Canadian market.</w:t>
      </w:r>
    </w:p>
    <w:p>
      <w:pPr>
        <w:spacing w:after="0" w:line="181" w:lineRule="exact"/>
        <w:rPr>
          <w:rFonts w:ascii="Arial" w:cs="Arial" w:eastAsia="Arial" w:hAnsi="Arial"/>
          <w:sz w:val="18"/>
          <w:szCs w:val="18"/>
          <w:color w:val="auto"/>
        </w:rPr>
      </w:pPr>
    </w:p>
    <w:p>
      <w:pPr>
        <w:ind w:left="980" w:right="140" w:hanging="324"/>
        <w:spacing w:after="0" w:line="312" w:lineRule="auto"/>
        <w:tabs>
          <w:tab w:leader="none" w:pos="9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Foreign Exchange Impacts — Our results are impacted by fluctuations in the value of CAD to USD, resulting in foreign exchange gains and losses on U.S. denominated net assets within our Canadian operations. The changes in exchange rates during each quarter resulted in net losses of $1 million for the three months ended March 31, 2016 as compared to net gains of $32 million for the three months ended March 31, 2015.</w:t>
      </w:r>
    </w:p>
    <w:p>
      <w:pPr>
        <w:spacing w:after="0" w:line="146" w:lineRule="exact"/>
        <w:rPr>
          <w:rFonts w:ascii="Arial" w:cs="Arial" w:eastAsia="Arial" w:hAnsi="Arial"/>
          <w:sz w:val="16"/>
          <w:szCs w:val="16"/>
          <w:color w:val="auto"/>
        </w:rPr>
      </w:pPr>
    </w:p>
    <w:p>
      <w:pPr>
        <w:ind w:left="980" w:right="8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mark-to-market of certain of our derivative activities impacted our net revenues as shown in the table below (in millions):</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Losses from certain derivative activities net of inventory valuation</w:t>
            </w: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11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205740</wp:posOffset>
            </wp:positionV>
            <wp:extent cx="16725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20" w:right="20" w:hanging="640"/>
        <w:spacing w:after="0" w:line="227" w:lineRule="auto"/>
        <w:tabs>
          <w:tab w:leader="none" w:pos="160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Includes mark-to-market and other gains and losses resulting from certain derivative instruments that are related to underlying activities in another period (or the reversal of mark-to-market gains and losses from a prior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20" w:right="140"/>
        <w:spacing w:after="0" w:line="264" w:lineRule="auto"/>
        <w:rPr>
          <w:sz w:val="20"/>
          <w:szCs w:val="20"/>
          <w:color w:val="auto"/>
        </w:rPr>
      </w:pPr>
      <w:r>
        <w:rPr>
          <w:rFonts w:ascii="Arial" w:cs="Arial" w:eastAsia="Arial" w:hAnsi="Arial"/>
          <w:sz w:val="18"/>
          <w:szCs w:val="18"/>
          <w:color w:val="auto"/>
        </w:rPr>
        <w:t>period), gains and losses on certain derivatives that are related to investing activities (such as the purchase of linefill) and inventory valuation adjustments, as applicable. See Note 8 to our Condensed Consolidated Financial Statements for a comprehensive discussion regarding our derivatives and risk management activities.</w:t>
      </w:r>
    </w:p>
    <w:p>
      <w:pPr>
        <w:spacing w:after="0" w:line="181" w:lineRule="exact"/>
        <w:rPr>
          <w:sz w:val="20"/>
          <w:szCs w:val="20"/>
          <w:color w:val="auto"/>
        </w:rPr>
      </w:pPr>
    </w:p>
    <w:p>
      <w:pPr>
        <w:ind w:left="980" w:right="260" w:hanging="324"/>
        <w:spacing w:after="0" w:line="255"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Long-Term Inventory Costing Adjustment — Our operating results are impacted by changes in the weighted average cost of our crude oil and NGL inventory pools that result from price movements during the periods. Such costing adjustments resulted in unfavorable impacts of $23 million and $38 million for the three months ended March 31, 2016 and 2015, respectively, due to price decreases during each period.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(excluding equity-indexed compensation expense)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compared to the three months ended March 31, 2015 was primarily due to a combination of (i) lower lease gathering volumes, (ii) shorter truck hauls as pipeline expansion projects were placed into service and (iii) a decrease in fuel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Depreciation and amortization expense increased for the three months ended March 31, 2016 compared to the three months ended March 31, 2015 due to various capital expansion projects completed since March 31, 2015 and the write-off of costs associated with the discontinuation of certain projects. These items were partially offset by a net gain of approximately $6 million associated with entering into agreements to sell several non-core assets.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increase in interest expense for the three months ended March 31, 2016 over the three months ended March 31, 2015 was primarily due to a higher weighted average debt balance largely driven by our August 2015 $1.0 billion senior note issuance, partially offset by the maturity of $150 million and</w:t>
      </w:r>
    </w:p>
    <w:p>
      <w:pPr>
        <w:sectPr>
          <w:pgSz w:w="11900" w:h="16948" w:orient="portrait"/>
          <w:cols w:equalWidth="0" w:num="1">
            <w:col w:w="11420"/>
          </w:cols>
          <w:pgMar w:left="240" w:top="125" w:right="239" w:bottom="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$400 million of our senior notes in June 2015 and September 2015, respectively.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Other income/(expense), net in each of the periods presented was primarily comprised of foreign currency gains or losses related to revaluations of CAD-denominated interest receivables associated with our intercompany notes.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Income tax expense increased for the three months ended March 31, 2016 compared to the three months ended March 31, 2015 primarily due to the deferred income tax impact associated with fluctuations in the derivative mark-to-market valuation in our Canadian operations, partially offset by lower year-over-year taxable earnings from our Canadian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Primarily as a result of advances in drilling and completion techniques and their application to a number of large-scale shale and resource plays, which occurred contemporaneously with attractive crude oil and liquids prices, during the approximately three year period through the end of 2014, U.S. crude oil and liquids production in the lower 48 states increased rapidly. This was particularly true for light crudes and condensates. Similar resource development activities in Canada and ongoing oil sands development activities also led to increased Canadian crude oil production during this period. Additionally, during this period, the crude oil market experienced high levels of volatility in location and quality differentials as a result of the confluence of regional infrastructure constraints in North America, rapid and unexpected changes in crude oil qualities, international supply issues, and regional downstream operating issues. During 2013 and to a lesser degree 2014, these market conditions had a positive impact on our profitability as our business strategy and asset base positioned us to capitalize on opportunities created by the volatile environment.</w:t>
      </w:r>
    </w:p>
    <w:p>
      <w:pPr>
        <w:spacing w:after="0" w:line="17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However, the combination during such period of surging North American liquids production, relatively flat liquids production for the rest of the world and relatively modest growth in global liquids demand led to a supply imbalance, which in turn led to a significant and rapid reduction in petroleum prices. While we believe that our business model and asset base have minimal direct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exposure to petroleum prices, our performance is influenced by certain differentials and overall North American production levels, which in turn are impacted by major price movements. The meaningful decrease in crude oil price levels during the second half of 2014 and throughout 2015 relative to the levels experienced during 2013 and the first half of 2014 have led many producers, including North American producers, to significantly scale back capital programs. As a result, during 2015 and through the first quarter of 2016, the rate of growth of North American crude oil production slowed significantly and began to decrease in some areas as producers have taken rigs out of service and deferred completions at an increased rate. The pace and depth of the reduction in drilling and completion activities by producers has been greater than anticipated by many market participants and observers; since the beginning of 2015, onshore rig counts for the lower 48 States have decreased approximately 80%. As a result of the combined effect of such reduced activity levels and the high decline rates for many of the producing wells that contribute towards current lower 48 onshore production levels, crude oil production declines are expected to continue during 2016 and potentially beyond in a number of onshore plays. While we believe that the larger North American resource base remains intact and will ultimately be developed, such production will likely take place at a slower pace and previously anticipated peak production levels will likely be reduced. This slowdown and reduction in North American production coupled with past increases in infrastructure has led to a compression of basis differentials in a number of locations. This transitioning crude oil market presents challenges to our business model and asset base and will likely impact the rate of cash flow and distribution growth that we would have otherwise experienced over the next several years. In addition, increased competition and compressed differentials may drive lower volumes and lower unit margins in parts of our business, particularly our Supply and Logistics segment.</w:t>
      </w:r>
    </w:p>
    <w:p>
      <w:pPr>
        <w:spacing w:after="0" w:line="17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While we believe that these recent market developments will continue to impede crude oil supply growth and contribute toward bringing the markets back to equilibrium, there can be no assurance that such equilibrium will be achieved or that we will not be negatively impacted by declining crude oil supply, low levels of volatility or challenging capital markets conditions. Additionally, construction of additional infrastructure by us and our competitors will likely lead to even greater levels of excess takeaway capacity in certain areas for the near to medium term, which could further reduce unit margins in our various segments, and which could be exacerbated by declining levels of crude oil production. Finally, we cannot be certain that our expansion efforts will generate targeted returns or that any future acquisition activities will be successful. See “Risk Factors—Risks Related to Our Business” discussed in Item 1A of our 2015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Our primary sources of liquidity are (i) cash flow from operating activities, (ii) borrowings under our credit facilities or commercial paper program and (iii) funds received from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our long-term debt and</w:t>
      </w:r>
    </w:p>
    <w:p>
      <w:pPr>
        <w:spacing w:after="0" w:line="2" w:lineRule="exact"/>
        <w:rPr>
          <w:sz w:val="20"/>
          <w:szCs w:val="20"/>
          <w:color w:val="auto"/>
        </w:rPr>
      </w:pPr>
    </w:p>
    <w:p>
      <w:pPr>
        <w:ind w:right="120" w:firstLine="8"/>
        <w:spacing w:after="0" w:line="270"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distributions to our unitholders and general partner.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As of March 31, 2016, we had a working capital deficit of $283 million and over $3.8 billion of liquidity available to meet our ongoing operating, investing and financing needs, subject to continued covenant compliance, as noted below (in millions):</w:t>
      </w:r>
    </w:p>
    <w:p>
      <w:pPr>
        <w:spacing w:after="0" w:line="170" w:lineRule="exact"/>
        <w:rPr>
          <w:sz w:val="20"/>
          <w:szCs w:val="20"/>
          <w:color w:val="auto"/>
        </w:rPr>
      </w:pPr>
    </w:p>
    <w:p>
      <w:pPr>
        <w:jc w:val="center"/>
        <w:ind w:left="9860"/>
        <w:spacing w:after="0"/>
        <w:rPr>
          <w:sz w:val="20"/>
          <w:szCs w:val="20"/>
          <w:color w:val="auto"/>
        </w:rPr>
      </w:pPr>
      <w:r>
        <w:rPr>
          <w:rFonts w:ascii="Arial" w:cs="Arial" w:eastAsia="Arial" w:hAnsi="Arial"/>
          <w:sz w:val="14"/>
          <w:szCs w:val="14"/>
          <w:b w:val="1"/>
          <w:bCs w:val="1"/>
          <w:color w:val="auto"/>
        </w:rPr>
        <w:t>As of</w:t>
      </w:r>
    </w:p>
    <w:p>
      <w:pPr>
        <w:jc w:val="center"/>
        <w:ind w:left="9860"/>
        <w:spacing w:after="0" w:line="236" w:lineRule="auto"/>
        <w:rPr>
          <w:sz w:val="20"/>
          <w:szCs w:val="20"/>
          <w:color w:val="auto"/>
        </w:rPr>
      </w:pPr>
      <w:r>
        <w:rPr>
          <w:rFonts w:ascii="Arial" w:cs="Arial" w:eastAsia="Arial" w:hAnsi="Arial"/>
          <w:sz w:val="14"/>
          <w:szCs w:val="14"/>
          <w:b w:val="1"/>
          <w:bCs w:val="1"/>
          <w:color w:val="auto"/>
        </w:rPr>
        <w:t>March 31, 2016</w:t>
      </w:r>
    </w:p>
    <w:p>
      <w:pPr>
        <w:sectPr>
          <w:pgSz w:w="11900" w:h="16838" w:orient="portrait"/>
          <w:cols w:equalWidth="0" w:num="1">
            <w:col w:w="11420"/>
          </w:cols>
          <w:pgMar w:left="240" w:top="125" w:right="239" w:bottom="0" w:gutter="0" w:footer="0" w:header="0"/>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3"/>
                <w:szCs w:val="23"/>
                <w:color w:val="auto"/>
                <w:vertAlign w:val="superscript"/>
              </w:rPr>
              <w:t>(1) (2)</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tcPr>
          <w:p>
            <w:pPr>
              <w:spacing w:after="0" w:line="216" w:lineRule="exact"/>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3"/>
                <w:szCs w:val="23"/>
                <w:color w:val="auto"/>
                <w:vertAlign w:val="superscript"/>
              </w:rPr>
              <w:t>(1) (2)</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1,371</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senior unsecured 364-day revolving credit facility</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bl>
    <w:p>
      <w:pPr>
        <w:sectPr>
          <w:pgSz w:w="11900" w:h="16838" w:orient="portrait"/>
          <w:cols w:equalWidth="0" w:num="1">
            <w:col w:w="11420"/>
          </w:cols>
          <w:pgMar w:left="240" w:top="125" w:right="239" w:bottom="0" w:gutter="0" w:footer="0" w:header="0"/>
          <w:type w:val="continuous"/>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60" w:type="dxa"/>
            <w:vAlign w:val="bottom"/>
          </w:tcPr>
          <w:p>
            <w:pPr>
              <w:spacing w:after="0"/>
              <w:rPr>
                <w:sz w:val="20"/>
                <w:szCs w:val="20"/>
                <w:color w:val="auto"/>
              </w:rPr>
            </w:pPr>
            <w:r>
              <w:rPr>
                <w:rFonts w:ascii="Arial" w:cs="Arial" w:eastAsia="Arial" w:hAnsi="Arial"/>
                <w:sz w:val="18"/>
                <w:szCs w:val="18"/>
                <w:color w:val="auto"/>
              </w:rPr>
              <w:t>Amounts outstanding under commercial paper program</w:t>
            </w:r>
          </w:p>
        </w:tc>
        <w:tc>
          <w:tcPr>
            <w:tcW w:w="5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r>
      <w:tr>
        <w:trPr>
          <w:trHeight w:val="210"/>
        </w:trPr>
        <w:tc>
          <w:tcPr>
            <w:tcW w:w="99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0"/>
        </w:trPr>
        <w:tc>
          <w:tcPr>
            <w:tcW w:w="99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 w:hanging="11"/>
        <w:spacing w:after="0" w:line="277" w:lineRule="auto"/>
        <w:rPr>
          <w:sz w:val="20"/>
          <w:szCs w:val="20"/>
          <w:color w:val="auto"/>
        </w:rPr>
      </w:pPr>
      <w:r>
        <w:rPr>
          <w:rFonts w:ascii="Arial" w:cs="Arial" w:eastAsia="Arial" w:hAnsi="Arial"/>
          <w:sz w:val="18"/>
          <w:szCs w:val="18"/>
          <w:color w:val="auto"/>
        </w:rPr>
        <w:t>Represents availability prior to giving effect to amounts outstanding under our commercial paper program, which reduce available capacity under the facilities.</w:t>
      </w:r>
    </w:p>
    <w:p>
      <w:pPr>
        <w:spacing w:after="0" w:line="170" w:lineRule="exact"/>
        <w:rPr>
          <w:sz w:val="20"/>
          <w:szCs w:val="20"/>
          <w:color w:val="auto"/>
        </w:rPr>
      </w:pPr>
    </w:p>
    <w:p>
      <w:pPr>
        <w:ind w:left="20" w:right="160" w:hanging="11"/>
        <w:spacing w:after="0" w:line="277" w:lineRule="auto"/>
        <w:rPr>
          <w:sz w:val="20"/>
          <w:szCs w:val="20"/>
          <w:color w:val="auto"/>
        </w:rPr>
      </w:pPr>
      <w:r>
        <w:rPr>
          <w:rFonts w:ascii="Arial" w:cs="Arial" w:eastAsia="Arial" w:hAnsi="Arial"/>
          <w:sz w:val="18"/>
          <w:szCs w:val="18"/>
          <w:color w:val="auto"/>
        </w:rPr>
        <w:t>Available capacity under the senior unsecured revolving credit facility and the senior secured hedged inventory facility was reduced by outstanding letters of credit of $16 million and $29 million, respectively.</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believe that we have, and will continue to have, the ability to access the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of our 2015 Annual Report on Form 10-K for further discussion regarding such risks that may impact our liquidity and capital resources. Usage of the credit facilities, which provide the backstop for the commercial paper program, is subject to ongoing compliance with covenants. As of March 31, 2016, we were in compliance with all such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2015 Annual Report on Form 10-K.</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Net cash provided by operating activities for the first three months of 2016 and 2015 was $635 million and $732 million, respectively, and primarily resulted from earnings from our operations. Additionally, as discussed further below, changes in our inventory levels during these periods impacted our cash flow from operating activities.</w:t>
      </w:r>
    </w:p>
    <w:p>
      <w:pPr>
        <w:spacing w:after="0" w:line="18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During each of the three months ended March 31, 2016 and 2015, we decreased the overall volume of inventory that we held, primarily due to the seasonal sale of NGL and natural gas inventory. The net proceeds received from liquidation of such inventory were used to repay borrowings under our commercial paper program and favorably impacted cash flow from operating activities during each period. Additionally, lower inventory levels were further impacted by lower prices for such inventory stored at the end of each quarter compared to the prior year end. However, the favorable effects from liquidation of our NGL and natural gas inventory were partially offset by increased levels of crude oil inventory purchased and stored due to contango market conditions.</w:t>
      </w:r>
    </w:p>
    <w:p>
      <w:pPr>
        <w:spacing w:after="0" w:line="158"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i w:val="1"/>
          <w:iCs w:val="1"/>
          <w:color w:val="auto"/>
        </w:rPr>
        <w:t xml:space="preserve">Minimum Volume Commitments. </w:t>
      </w:r>
      <w:r>
        <w:rPr>
          <w:rFonts w:ascii="Arial" w:cs="Arial" w:eastAsia="Arial" w:hAnsi="Arial"/>
          <w:sz w:val="16"/>
          <w:szCs w:val="16"/>
          <w:color w:val="auto"/>
        </w:rPr>
        <w:t>We have certain agreements that require counterparties to deliver, transport or throughput a minimum volume over</w:t>
      </w:r>
      <w:r>
        <w:rPr>
          <w:rFonts w:ascii="Arial" w:cs="Arial" w:eastAsia="Arial" w:hAnsi="Arial"/>
          <w:sz w:val="16"/>
          <w:szCs w:val="16"/>
          <w:i w:val="1"/>
          <w:iCs w:val="1"/>
          <w:color w:val="auto"/>
        </w:rPr>
        <w:t xml:space="preserve"> </w:t>
      </w:r>
      <w:r>
        <w:rPr>
          <w:rFonts w:ascii="Arial" w:cs="Arial" w:eastAsia="Arial" w:hAnsi="Arial"/>
          <w:sz w:val="16"/>
          <w:szCs w:val="16"/>
          <w:color w:val="auto"/>
        </w:rPr>
        <w:t>an agreed upon period. Some of these agreements include make-up rights if the minimum volume is not met. At March 31, 2016, counterparty deficiencies associated with agreements that include minimum volume commitments totaled $53 million.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 make-up right and subsequently recognize the revenue at the earlier of when the deficiency volume is delivered or shipped, when the make-up right expires or when it is determined that the counterparty’s ability to utilize the make-up right is remote. Deferred revenue associated with non-performance under minimum volume contracts could be significant and could adversely affect our profitability and earnings, but generally does not impact our liquidity.</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March 31, 2016, we had deferred revenue associated with minimum volume commitments of $45 million. In addition to the amounts recorded as deferred revenue, as of March 31, 2016, there was $8 million of accrued deficiencies for which the counterparties had not met their contractual minimum commitments, but we had not yet billed or collected such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Capital Expenditures and Divestitures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addition to our operating needs discussed above, we also use cash for our acquisition activities and capital projects. We have made and will continue to make capital expenditures for acquisitions, expansion capital and maintenance capital.</w:t>
      </w:r>
    </w:p>
    <w:p>
      <w:pPr>
        <w:spacing w:after="0" w:line="17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During the three months ended March 31, 2016 and 2015, we paid cash of $85 million and $64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for acquisitions. In addition, during the first quarter of 2016, we completed the sale of various non-core assets for consideration of approximately $250 million, and since the beginning of the second quarter of 2016 we completed an additional divestiture of non-core assets for approximately $100 million.</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in early April 2016, we entered into a definitive agreement to acquire an integrated system of NGL assets in Western Canada for a cash purchase price of approximately $150 million, subject to customary closing adjustments. We expect this transaction to close during the second quarter of 2016, subject to regulatory approvals and the satisfaction of customary closing conditions.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 xml:space="preserve">2016 Capital Projects. </w:t>
      </w:r>
      <w:r>
        <w:rPr>
          <w:rFonts w:ascii="Arial" w:cs="Arial" w:eastAsia="Arial" w:hAnsi="Arial"/>
          <w:sz w:val="18"/>
          <w:szCs w:val="18"/>
          <w:color w:val="auto"/>
        </w:rPr>
        <w:t>“See —Acquisitions and Capital Projects” for detail of our projected capital expenditures for the year ending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We expect the majority of funding for our remaining 2016 capital program will be provided by the proceeds from our January 2016 Series A preferred unit offering.</w:t>
      </w:r>
    </w:p>
    <w:p>
      <w:pPr>
        <w:sectPr>
          <w:pgSz w:w="11900" w:h="16838" w:orient="portrait"/>
          <w:cols w:equalWidth="0" w:num="1">
            <w:col w:w="11420"/>
          </w:cols>
          <w:pgMar w:left="240" w:top="125" w:right="239" w:bottom="0" w:gutter="0" w:footer="0" w:header="0"/>
          <w:type w:val="continuous"/>
        </w:sectPr>
      </w:pPr>
    </w:p>
    <w:bookmarkStart w:id="29" w:name="page30"/>
    <w:bookmarkEnd w:id="29"/>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financing activities primarily relate to funding expansion capital projects, acquisitions and refinancing of our debt maturities, as well as short-term working capital and hedged inventory borrowings related to our NGL business and contango market activities. Our financing activities have primarily consisted of equity offerings, senior notes offerings and borrowings and repayments under our credit facilities or commercial paper program, as well as payment of distributions to our unitholders and general partner.</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Registration Statements</w:t>
      </w:r>
      <w:r>
        <w:rPr>
          <w:rFonts w:ascii="Arial" w:cs="Arial" w:eastAsia="Arial" w:hAnsi="Arial"/>
          <w:sz w:val="18"/>
          <w:szCs w:val="18"/>
          <w:color w:val="auto"/>
        </w:rPr>
        <w:t>. We periodically access the capital markets for both equity and debt financing. We have filed with the SEC a universal shelf</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that, subject to effectiveness at the time of use, allows us to issue up to an aggregate of $2.0 billion of debt or equity securities (“Traditional Shelf”). At March 31, 2016, we had approximately $2.0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under our WKSI Shelf during the three months ended March 31, 2016.</w:t>
      </w:r>
    </w:p>
    <w:p>
      <w:pPr>
        <w:spacing w:after="0" w:line="193" w:lineRule="exact"/>
        <w:rPr>
          <w:sz w:val="20"/>
          <w:szCs w:val="20"/>
          <w:color w:val="auto"/>
        </w:rPr>
      </w:pPr>
    </w:p>
    <w:p>
      <w:pPr>
        <w:jc w:val="both"/>
        <w:ind w:right="100" w:firstLine="684"/>
        <w:spacing w:after="0" w:line="259" w:lineRule="auto"/>
        <w:rPr>
          <w:sz w:val="20"/>
          <w:szCs w:val="20"/>
          <w:color w:val="auto"/>
        </w:rPr>
      </w:pPr>
      <w:r>
        <w:rPr>
          <w:rFonts w:ascii="Arial" w:cs="Arial" w:eastAsia="Arial" w:hAnsi="Arial"/>
          <w:sz w:val="18"/>
          <w:szCs w:val="18"/>
          <w:i w:val="1"/>
          <w:iCs w:val="1"/>
          <w:color w:val="auto"/>
        </w:rPr>
        <w:t xml:space="preserve">Series A Preferred Unit Issuance. </w:t>
      </w:r>
      <w:r>
        <w:rPr>
          <w:rFonts w:ascii="Arial" w:cs="Arial" w:eastAsia="Arial" w:hAnsi="Arial"/>
          <w:sz w:val="18"/>
          <w:szCs w:val="18"/>
          <w:color w:val="auto"/>
        </w:rPr>
        <w:t>In January 2016, we completed the private placement of approximately 61.0 million Series A preferred units at a</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$26.25 per unit resulting in total net proceeds to us, after deducting offering expenses and the 2% transaction fee due to the purchasers and including our 2% general partner’s proportionate contribution, of approximately $1.6 billion. We intend to use the net proceeds for capital expenditures, repayment of debt and general partnership purposes.</w:t>
      </w:r>
    </w:p>
    <w:p>
      <w:pPr>
        <w:spacing w:after="0" w:line="187" w:lineRule="exact"/>
        <w:rPr>
          <w:sz w:val="20"/>
          <w:szCs w:val="20"/>
          <w:color w:val="auto"/>
        </w:rPr>
      </w:pPr>
    </w:p>
    <w:p>
      <w:pPr>
        <w:ind w:right="140" w:firstLine="684"/>
        <w:spacing w:after="0" w:line="279" w:lineRule="auto"/>
        <w:rPr>
          <w:sz w:val="20"/>
          <w:szCs w:val="20"/>
          <w:color w:val="auto"/>
        </w:rPr>
      </w:pPr>
      <w:r>
        <w:rPr>
          <w:rFonts w:ascii="Arial" w:cs="Arial" w:eastAsia="Arial" w:hAnsi="Arial"/>
          <w:sz w:val="17"/>
          <w:szCs w:val="17"/>
          <w:color w:val="auto"/>
        </w:rPr>
        <w:t>Our Series A preferred units rank senior to all classes or series of equity securities in us with respect to distribution rights. The holders of the Series A preferred units are entitled to receive quarterly distributions, subject to customary antidilution adjustments, of $0.525 per unit ($2.10 per unit annualized), commencing with the quarter ended March 31, 2016. With respect to any quarter ending on or prior to December 31, 2017, we may elect to pay distributions on the Series A preferred units in additional preferred units, in cash or a combination of both.</w:t>
      </w:r>
    </w:p>
    <w:p>
      <w:pPr>
        <w:spacing w:after="0" w:line="171" w:lineRule="exact"/>
        <w:rPr>
          <w:sz w:val="20"/>
          <w:szCs w:val="20"/>
          <w:color w:val="auto"/>
        </w:rPr>
      </w:pPr>
    </w:p>
    <w:p>
      <w:pPr>
        <w:jc w:val="both"/>
        <w:ind w:right="240" w:firstLine="684"/>
        <w:spacing w:after="0" w:line="264" w:lineRule="auto"/>
        <w:rPr>
          <w:sz w:val="20"/>
          <w:szCs w:val="20"/>
          <w:color w:val="auto"/>
        </w:rPr>
      </w:pPr>
      <w:r>
        <w:rPr>
          <w:rFonts w:ascii="Arial" w:cs="Arial" w:eastAsia="Arial" w:hAnsi="Arial"/>
          <w:sz w:val="18"/>
          <w:szCs w:val="18"/>
          <w:color w:val="auto"/>
        </w:rPr>
        <w:t>After two years, the Series A preferred units are convertible at the purchasers’ option into common units on a one-for-one basis, subject to certain conditions, and are convertible at our option in certain circumstances after three years. See Note 7 to our Consolidated Financial Statements for additional information regarding the Series A preferred units.</w:t>
      </w:r>
    </w:p>
    <w:p>
      <w:pPr>
        <w:spacing w:after="0" w:line="181" w:lineRule="exact"/>
        <w:rPr>
          <w:sz w:val="20"/>
          <w:szCs w:val="20"/>
          <w:color w:val="auto"/>
        </w:rPr>
      </w:pPr>
    </w:p>
    <w:p>
      <w:pPr>
        <w:ind w:firstLine="684"/>
        <w:spacing w:after="0" w:line="257"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Our credit agreements (which impact our ability to access our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because they provide the backstop that supports our short-term credit ratings) and the indentures governing our senior notes contain cross-default provisions. A default under our credit agreements would permit the lenders to accelerate the maturity of the outstanding debt. As long as we are in compliance with the provisions in our credit agreements, our ability to make distributions of available cash is not restricted. As of March 31, 2016, we were in compliance with the covenants contained in our credit agreements and indentures.</w:t>
      </w:r>
    </w:p>
    <w:p>
      <w:pPr>
        <w:spacing w:after="0" w:line="188"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During the three months ended March 31, 2016 and 2015, we had net repayments on our credit agreements and commercial paper program of $1.5 billion and $734 million, respectively. The net repayments during both periods resulted primarily from cash flow from operating activities, including sales of NGL and natural gas inventory that was liquidated during the periods, as well as cash received from our equity activities.</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$175 million, 5.88% senior notes will mature in August 2016, and our $400 million, 6.13% senior notes will mature in January 2017. We intend to use borrowings under our commercial paper program to repay these senior notes when they mature.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Unitholders and General Partner</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i w:val="1"/>
          <w:iCs w:val="1"/>
          <w:color w:val="auto"/>
        </w:rPr>
        <w:t xml:space="preserve">Distributions to our Series A preferred unitholders. </w:t>
      </w:r>
      <w:r>
        <w:rPr>
          <w:rFonts w:ascii="Arial" w:cs="Arial" w:eastAsia="Arial" w:hAnsi="Arial"/>
          <w:sz w:val="18"/>
          <w:szCs w:val="18"/>
          <w:color w:val="auto"/>
        </w:rPr>
        <w:t>On May 13, 2016, we will issue 858,439 Series A preferred units in lieu of paying a cash</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$23 million. Such distribution is prorated from the issuance date of the Series A preferred units.</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Distributions to our common unitholders. </w:t>
      </w:r>
      <w:r>
        <w:rPr>
          <w:rFonts w:ascii="Arial" w:cs="Arial" w:eastAsia="Arial" w:hAnsi="Arial"/>
          <w:sz w:val="18"/>
          <w:szCs w:val="18"/>
          <w:color w:val="auto"/>
        </w:rPr>
        <w:t>We distribute 100% of our available cash within 45 days following the end of each quarter 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unitholders of record and to our general partner. Available cash is generally defined as all of our cash and cash equivalents on hand at the end of each quarter less reserves established in the discretion of our general partner for future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available cash also includes cash on hand resulting from borrowings made after the end of the quarter. On May 13, 2016, we will pay a quarterly distribution of $0.70 per common unit. See Note 7 to our Condensed Consolidated Financial Statements for details of distributions paid. Also, see Item 5. “Market for Registrant’s Common Units, Related Unitholder Matters and Issuer Purchases of Equity Securities—Cash Distribution Policy” included in our 2015 Annual Report on Form 10-K for additional discussion regarding distributions.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range in term from thirty-day evergreen to five years, with a limited number of contracts with remaining terms extending up to approximately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w:t>
      </w:r>
    </w:p>
    <w:p>
      <w:pPr>
        <w:sectPr>
          <w:pgSz w:w="11900" w:h="16874" w:orient="portrait"/>
          <w:cols w:equalWidth="0" w:num="1">
            <w:col w:w="11420"/>
          </w:cols>
          <w:pgMar w:left="240" w:top="125" w:right="239" w:bottom="0" w:gutter="0" w:footer="0" w:header="0"/>
        </w:sectPr>
      </w:pPr>
    </w:p>
    <w:bookmarkStart w:id="30" w:name="page31"/>
    <w:bookmarkEnd w:id="30"/>
    <w:p>
      <w:pPr>
        <w:jc w:val="both"/>
        <w:ind w:right="40"/>
        <w:spacing w:after="0" w:line="312" w:lineRule="auto"/>
        <w:rPr>
          <w:sz w:val="20"/>
          <w:szCs w:val="20"/>
          <w:color w:val="auto"/>
        </w:rPr>
      </w:pPr>
      <w:r>
        <w:rPr>
          <w:rFonts w:ascii="Arial" w:cs="Arial" w:eastAsia="Arial" w:hAnsi="Arial"/>
          <w:sz w:val="16"/>
          <w:szCs w:val="16"/>
          <w:color w:val="auto"/>
        </w:rPr>
        <w:t>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4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March 31, 2016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Remainder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2021 and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Thereafter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Long-term debt, including current</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maturities and related interest payments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554</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846</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1,236</w:t>
            </w: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834</w:t>
            </w:r>
          </w:p>
        </w:tc>
        <w:tc>
          <w:tcPr>
            <w:tcW w:w="26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11,041</w:t>
            </w:r>
          </w:p>
        </w:tc>
        <w:tc>
          <w:tcPr>
            <w:tcW w:w="18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15,531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(1)</w:t>
            </w:r>
          </w:p>
        </w:tc>
        <w:tc>
          <w:tcPr>
            <w:tcW w:w="120" w:type="dxa"/>
            <w:vAlign w:val="bottom"/>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Pr>
          <w:p>
            <w:pPr>
              <w:ind w:left="20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Crude oil, natural gas, NGL and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other purchases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2,302</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1,417</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4,075</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14,036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40" w:type="dxa"/>
            <w:vAlign w:val="bottom"/>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3,721</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2,957</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32,871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 w:hanging="11"/>
        <w:spacing w:after="0" w:line="279" w:lineRule="auto"/>
        <w:rPr>
          <w:sz w:val="20"/>
          <w:szCs w:val="20"/>
          <w:color w:val="auto"/>
        </w:rPr>
      </w:pPr>
      <w:r>
        <w:rPr>
          <w:rFonts w:ascii="Arial" w:cs="Arial" w:eastAsia="Arial" w:hAnsi="Arial"/>
          <w:sz w:val="17"/>
          <w:szCs w:val="17"/>
          <w:color w:val="auto"/>
        </w:rPr>
        <w:t>Includes debt service payments, interest payments due on senior notes, the commitment fee on assumed available capacity under our credit facilities, and long-term borrowings under our commercial paper program. Although there may be short-term borrowings under our credit facilities and commercial paper program, we historically repay and borrow at varying amounts. As such, we have included only the maximum commitment fee (as if no short-term borrowings were outstanding on the facilities or commercial paper program) in the amounts above.</w:t>
      </w:r>
    </w:p>
    <w:p>
      <w:pPr>
        <w:spacing w:after="0" w:line="171" w:lineRule="exact"/>
        <w:rPr>
          <w:sz w:val="20"/>
          <w:szCs w:val="20"/>
          <w:color w:val="auto"/>
        </w:rPr>
      </w:pPr>
    </w:p>
    <w:p>
      <w:pPr>
        <w:ind w:left="20" w:right="20" w:hanging="11"/>
        <w:spacing w:after="0" w:line="277" w:lineRule="auto"/>
        <w:rPr>
          <w:sz w:val="20"/>
          <w:szCs w:val="20"/>
          <w:color w:val="auto"/>
        </w:rPr>
      </w:pPr>
      <w:r>
        <w:rPr>
          <w:rFonts w:ascii="Arial" w:cs="Arial" w:eastAsia="Arial" w:hAnsi="Arial"/>
          <w:sz w:val="18"/>
          <w:szCs w:val="18"/>
          <w:color w:val="auto"/>
        </w:rPr>
        <w:t>Leases are primarily for (i) surface rentals, (ii) office rent, (iii) pipeline assets and (iv) trucks, trailers and railcars. Includes both capital and operating leases as defined by FASB guidance.</w:t>
      </w:r>
    </w:p>
    <w:p>
      <w:pPr>
        <w:spacing w:after="0" w:line="170" w:lineRule="exact"/>
        <w:rPr>
          <w:sz w:val="20"/>
          <w:szCs w:val="20"/>
          <w:color w:val="auto"/>
        </w:rPr>
      </w:pPr>
    </w:p>
    <w:p>
      <w:pPr>
        <w:ind w:left="20" w:hanging="11"/>
        <w:spacing w:after="0" w:line="264" w:lineRule="auto"/>
        <w:rPr>
          <w:sz w:val="20"/>
          <w:szCs w:val="20"/>
          <w:color w:val="auto"/>
        </w:rPr>
      </w:pPr>
      <w:r>
        <w:rPr>
          <w:rFonts w:ascii="Arial" w:cs="Arial" w:eastAsia="Arial" w:hAnsi="Arial"/>
          <w:sz w:val="18"/>
          <w:szCs w:val="18"/>
          <w:color w:val="auto"/>
        </w:rPr>
        <w:t>Includes (i) other long-term liabilities (excluding approximately $99 million related to derivative activity included in Crude oil, natural gas, NGL and other purchases), (ii) storage, processing and transportation agreements and (iii) non-cancelable commitments related to our capital expansion projects, including projected contributions for our share of the</w:t>
      </w:r>
    </w:p>
    <w:p>
      <w:pPr>
        <w:spacing w:after="0" w:line="18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capital spending of our equity method investments. The transportation agreements include approximately $910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181" w:lineRule="exact"/>
        <w:rPr>
          <w:sz w:val="20"/>
          <w:szCs w:val="20"/>
          <w:color w:val="auto"/>
        </w:rPr>
      </w:pPr>
    </w:p>
    <w:p>
      <w:pPr>
        <w:ind w:left="660" w:right="220" w:hanging="652"/>
        <w:spacing w:after="0" w:line="249" w:lineRule="auto"/>
        <w:tabs>
          <w:tab w:leader="none" w:pos="648"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March 2016.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of crude oil, NGL and natural gas. Additionally, we issue letters of credit to support insurance programs, derivative transactions and construction activities. At March 31, 2016 and December 31, 2015, we had outstanding letters of credit of approximately $45 million and $46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2015 Annual Report on Form 10-K.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right="220" w:hanging="324"/>
        <w:spacing w:after="0" w:line="259"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ectPr>
          <w:pgSz w:w="11900" w:h="16838" w:orient="portrait"/>
          <w:cols w:equalWidth="0" w:num="1">
            <w:col w:w="11420"/>
          </w:cols>
          <w:pgMar w:left="240" w:top="125" w:right="239" w:bottom="0" w:gutter="0" w:footer="0" w:header="0"/>
          <w:type w:val="continuous"/>
        </w:sectPr>
      </w:pPr>
    </w:p>
    <w:bookmarkStart w:id="31" w:name="page32"/>
    <w:bookmarkEnd w:id="31"/>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280" w:hanging="324"/>
        <w:spacing w:after="0" w:line="308" w:lineRule="auto"/>
        <w:tabs>
          <w:tab w:leader="none" w:pos="944" w:val="left"/>
        </w:tabs>
        <w:numPr>
          <w:ilvl w:val="0"/>
          <w:numId w:val="24"/>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80" w:right="300" w:hanging="324"/>
        <w:spacing w:after="0" w:line="342" w:lineRule="auto"/>
        <w:tabs>
          <w:tab w:leader="none" w:pos="94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120" w:hanging="324"/>
        <w:spacing w:after="0" w:line="308" w:lineRule="auto"/>
        <w:tabs>
          <w:tab w:leader="none" w:pos="9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2015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32" w:name="page33"/>
    <w:bookmarkEnd w:id="32"/>
    <w:p>
      <w:pPr>
        <w:spacing w:after="0" w:line="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w:t>
      </w:r>
    </w:p>
    <w:p>
      <w:pPr>
        <w:spacing w:after="0" w:line="225" w:lineRule="exact"/>
        <w:rPr>
          <w:sz w:val="20"/>
          <w:szCs w:val="20"/>
          <w:color w:val="auto"/>
        </w:rPr>
      </w:pPr>
    </w:p>
    <w:p>
      <w:pPr>
        <w:ind w:left="980" w:right="20"/>
        <w:spacing w:after="0" w:line="286" w:lineRule="auto"/>
        <w:rPr>
          <w:sz w:val="20"/>
          <w:szCs w:val="20"/>
          <w:color w:val="auto"/>
        </w:rPr>
      </w:pPr>
      <w:r>
        <w:rPr>
          <w:rFonts w:ascii="Arial" w:cs="Arial" w:eastAsia="Arial" w:hAnsi="Arial"/>
          <w:sz w:val="17"/>
          <w:szCs w:val="17"/>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66" w:lineRule="exact"/>
        <w:rPr>
          <w:sz w:val="20"/>
          <w:szCs w:val="20"/>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81" w:lineRule="exact"/>
        <w:rPr>
          <w:sz w:val="20"/>
          <w:szCs w:val="20"/>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980" w:right="8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8 to our Condensed Consolidated Financial Statements for further discussion regarding our hedging strategies and objectives.</w:t>
      </w:r>
    </w:p>
    <w:p>
      <w:pPr>
        <w:spacing w:after="0" w:line="23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March 31, 2016 that would be expected from a 10% price increase or decrease is shown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100" w:type="dxa"/>
            <w:vAlign w:val="bottom"/>
            <w:vMerge w:val="restart"/>
          </w:tcPr>
          <w:p>
            <w:pPr>
              <w:jc w:val="right"/>
              <w:ind w:right="26"/>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Effect of 10%</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Price Increase</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w:t>
            </w:r>
          </w:p>
        </w:tc>
        <w:tc>
          <w:tcPr>
            <w:tcW w:w="1100" w:type="dxa"/>
            <w:vAlign w:val="bottom"/>
            <w:tcBorders>
              <w:top w:val="single" w:sz="8" w:color="auto"/>
            </w:tcBorders>
            <w:shd w:val="clear" w:color="auto" w:fill="CCEEFF"/>
          </w:tcPr>
          <w:p>
            <w:pPr>
              <w:jc w:val="right"/>
              <w:ind w:right="94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Natural gas</w:t>
            </w:r>
          </w:p>
        </w:tc>
        <w:tc>
          <w:tcPr>
            <w:tcW w:w="11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1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6640" w:type="dxa"/>
            <w:vAlign w:val="bottom"/>
          </w:tcPr>
          <w:p>
            <w:pPr>
              <w:ind w:left="200"/>
              <w:spacing w:after="0"/>
              <w:rPr>
                <w:sz w:val="20"/>
                <w:szCs w:val="20"/>
                <w:color w:val="auto"/>
              </w:rPr>
            </w:pPr>
            <w:r>
              <w:rPr>
                <w:rFonts w:ascii="Arial" w:cs="Arial" w:eastAsia="Arial" w:hAnsi="Arial"/>
                <w:sz w:val="18"/>
                <w:szCs w:val="18"/>
                <w:color w:val="auto"/>
              </w:rPr>
              <w:t>Total fair value</w:t>
            </w:r>
          </w:p>
        </w:tc>
        <w:tc>
          <w:tcPr>
            <w:tcW w:w="1100" w:type="dxa"/>
            <w:vAlign w:val="bottom"/>
            <w:tcBorders>
              <w:bottom w:val="single" w:sz="8" w:color="auto"/>
            </w:tcBorders>
          </w:tcPr>
          <w:p>
            <w:pPr>
              <w:jc w:val="right"/>
              <w:ind w:right="946"/>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March 31, 2016, approximately $160 million, was subject to interest rate re-sets of less than one week. The average interest rate on variable rate debt that was outstanding during the three months ended March 31, 2016 was 1.1%, based upon rates in effect during such period. The fair value of our interest rate derivatives was a liability of $138 million as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March 31, 2016. A 10% increase in the forward LIBOR curve as of March 31, 2016 would have resulted in an increase of $42 million to the fair value of our interest rate derivatives. A 10% decrease in the forward LIBOR curve as of March 31, 2016 would have resulted in a decrease of $42 million to the fair value of our interest rate derivatives. See Note 8 to our Condensed Consolidated Financial Statements for a discussion of our interest rate risk hedging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was an asset of $5 million as of March 31, 2016. A 10% increase in the exchange rate (USD-to-CAD) would have resulted in a decrease of $19 million to the fair value of our foreign currency derivatives. A 10% decrease in the exchange rate (USD-to-CAD) would have resulted in an increase of $19 million to the fair value of our foreign currency derivatives. See Note 8 to our Condensed Consolidated Financial Statements for a discussion of our currency exchange rate risk hedging.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w:t>
      </w:r>
    </w:p>
    <w:p>
      <w:pPr>
        <w:sectPr>
          <w:pgSz w:w="11900" w:h="16840" w:orient="portrait"/>
          <w:cols w:equalWidth="0" w:num="1">
            <w:col w:w="11420"/>
          </w:cols>
          <w:pgMar w:left="240" w:top="125" w:right="239" w:bottom="0" w:gutter="0" w:footer="0" w:header="0"/>
        </w:sectPr>
      </w:pPr>
    </w:p>
    <w:bookmarkStart w:id="33" w:name="page34"/>
    <w:bookmarkEnd w:id="33"/>
    <w:p>
      <w:pPr>
        <w:ind w:right="140"/>
        <w:spacing w:after="0" w:line="257" w:lineRule="auto"/>
        <w:rPr>
          <w:sz w:val="20"/>
          <w:szCs w:val="20"/>
          <w:color w:val="auto"/>
        </w:rPr>
      </w:pPr>
      <w:r>
        <w:rPr>
          <w:rFonts w:ascii="Arial" w:cs="Arial" w:eastAsia="Arial" w:hAnsi="Arial"/>
          <w:sz w:val="18"/>
          <w:szCs w:val="18"/>
          <w:color w:val="auto"/>
        </w:rPr>
        <w:t>embedded derivative contains inputs including our future common unit price, future ten-year U.S. treasury rates and future default probabilities to ultimately calculate the fair value of our Series A preferred units with and without the Preferred Distribution Rate Reset Option. The fair value of this embedded derivative was a liability of $60 million as of March 31, 2016. A 10% increase in the fair value would have an impact of $6 million. A 10% decrease in the fair value would also have an impact of $6 million. See Note 8 to our Condensed Consolidated Financial Statements for a discussion of embedded derivatives.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March 31, 2016,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2016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information required by this item is included under the caption “Legal Proceedings — General” in Note 10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2015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Information with respect to unregistered sales of equity securities during the three months ended March 31, 2016 was previously included in Current Reports on Form 8-K filed on January 19, 2016 and February 2,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34" w:name="page35"/>
    <w:bookmarkEnd w:id="34"/>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PAA GP LLC,</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its general partner</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Plains AAP, L.P.,</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its sole member</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PLAINS ALL AMERICAN GP LLC,</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its general partner</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Greg L. Armstrong</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7"/>
          <w:szCs w:val="17"/>
          <w:b w:val="1"/>
          <w:bCs w:val="1"/>
          <w:i w:val="1"/>
          <w:iCs w:val="1"/>
          <w:color w:val="auto"/>
        </w:rPr>
        <w:t>Chairman of the Board, Chief Executive Officer and Director of</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18"/>
          <w:szCs w:val="18"/>
          <w:b w:val="1"/>
          <w:bCs w:val="1"/>
          <w:i w:val="1"/>
          <w:iCs w:val="1"/>
          <w:color w:val="auto"/>
        </w:rPr>
        <w:t>Plains All American GP LLC</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9, 2016</w:t>
      </w:r>
    </w:p>
    <w:p>
      <w:pPr>
        <w:spacing w:after="0" w:line="225"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Al Swanson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Plains All</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b w:val="1"/>
          <w:bCs w:val="1"/>
          <w:i w:val="1"/>
          <w:iCs w:val="1"/>
          <w:color w:val="auto"/>
        </w:rPr>
        <w:t>American GP LLC</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9, 2016</w:t>
      </w:r>
    </w:p>
    <w:p>
      <w:pPr>
        <w:spacing w:after="0" w:line="225"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Chris Herbold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5"/>
          <w:szCs w:val="15"/>
          <w:b w:val="1"/>
          <w:bCs w:val="1"/>
          <w:i w:val="1"/>
          <w:iCs w:val="1"/>
          <w:color w:val="auto"/>
        </w:rPr>
        <w:t>Vice President —Accounting and Chief Accounting Officer of Plains</w:t>
      </w:r>
    </w:p>
    <w:p>
      <w:pPr>
        <w:spacing w:after="0" w:line="44" w:lineRule="exact"/>
        <w:rPr>
          <w:sz w:val="20"/>
          <w:szCs w:val="20"/>
          <w:color w:val="auto"/>
        </w:rPr>
      </w:pPr>
    </w:p>
    <w:p>
      <w:pPr>
        <w:ind w:left="6280"/>
        <w:spacing w:after="0"/>
        <w:rPr>
          <w:sz w:val="20"/>
          <w:szCs w:val="20"/>
          <w:color w:val="auto"/>
        </w:rPr>
      </w:pPr>
      <w:r>
        <w:rPr>
          <w:rFonts w:ascii="Arial" w:cs="Arial" w:eastAsia="Arial" w:hAnsi="Arial"/>
          <w:sz w:val="18"/>
          <w:szCs w:val="18"/>
          <w:b w:val="1"/>
          <w:bCs w:val="1"/>
          <w:i w:val="1"/>
          <w:iCs w:val="1"/>
          <w:color w:val="auto"/>
        </w:rPr>
        <w:t>All American GP LLC</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9,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1260" w:right="380" w:hanging="1620"/>
        <w:spacing w:after="0" w:line="277" w:lineRule="auto"/>
        <w:tabs>
          <w:tab w:leader="none" w:pos="12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Fifth Amended and Restated Agreement of Limited Partnership of Plains All American Pipeline, L.P. dated as of January 28, 2016 (incorporated by reference to Exhibit 3.2 to our Current Report on Form 8-K filed February 2, 2016).</w:t>
      </w:r>
    </w:p>
    <w:p>
      <w:pPr>
        <w:spacing w:after="0" w:line="170" w:lineRule="exact"/>
        <w:rPr>
          <w:sz w:val="20"/>
          <w:szCs w:val="20"/>
          <w:color w:val="auto"/>
        </w:rPr>
      </w:pPr>
    </w:p>
    <w:p>
      <w:pPr>
        <w:ind w:left="1260" w:right="240" w:hanging="1620"/>
        <w:spacing w:after="0" w:line="277" w:lineRule="auto"/>
        <w:tabs>
          <w:tab w:leader="none" w:pos="12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Third Amended and Restated Agreement of Limited Partnership of Plains Marketing, L.P. dated as of April 1, 2004 (incorporated by reference to Exhibit 3.2 to our Quarterly Report on Form 10-Q for the quarter ended March 31, 2004).</w:t>
      </w:r>
    </w:p>
    <w:p>
      <w:pPr>
        <w:spacing w:after="0" w:line="170" w:lineRule="exact"/>
        <w:rPr>
          <w:sz w:val="20"/>
          <w:szCs w:val="20"/>
          <w:color w:val="auto"/>
        </w:rPr>
      </w:pPr>
    </w:p>
    <w:p>
      <w:pPr>
        <w:ind w:left="1260" w:right="120" w:hanging="1620"/>
        <w:spacing w:after="0" w:line="308" w:lineRule="auto"/>
        <w:tabs>
          <w:tab w:leader="none" w:pos="12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 Amendment No. 1 dated December 31, 2010 to the Third Amended and Restated Agreement of Limited Partnership of Plains Marketing, L.P. (incorporated by reference to Exhibit 3.9 to our Annual Report on Form 10-K for the year ended December 31, 2010).</w:t>
      </w:r>
    </w:p>
    <w:p>
      <w:pPr>
        <w:spacing w:after="0" w:line="147" w:lineRule="exact"/>
        <w:rPr>
          <w:sz w:val="20"/>
          <w:szCs w:val="20"/>
          <w:color w:val="auto"/>
        </w:rPr>
      </w:pPr>
    </w:p>
    <w:p>
      <w:pPr>
        <w:spacing w:after="0"/>
        <w:tabs>
          <w:tab w:leader="none" w:pos="1240" w:val="left"/>
          <w:tab w:leader="none" w:pos="16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Amendment No. 2 dated January 1, 2011 to the Third Amended and Restated Agreement of Limited Partnership of Plains</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Marketing, L.P. (incorporated by reference to Exhibit 3.10 to our Annual Report on Form 10-K for the year ended December 31, 2010).</w:t>
      </w:r>
    </w:p>
    <w:p>
      <w:pPr>
        <w:spacing w:after="0" w:line="234" w:lineRule="exact"/>
        <w:rPr>
          <w:sz w:val="20"/>
          <w:szCs w:val="20"/>
          <w:color w:val="auto"/>
        </w:rPr>
      </w:pPr>
    </w:p>
    <w:p>
      <w:pPr>
        <w:spacing w:after="0"/>
        <w:tabs>
          <w:tab w:leader="none" w:pos="1240" w:val="left"/>
          <w:tab w:leader="none" w:pos="16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Amendment No. 3 dated June 30, 2011 to the Third Amended and Restated Agreement of Limited Partnership of Plains Marketing, L.P.</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(incorporated by reference to Exhibit 3.7 to our Annual Report on Form 10-K for the year ended December 31, 2013).</w:t>
      </w:r>
    </w:p>
    <w:p>
      <w:pPr>
        <w:spacing w:after="0" w:line="211" w:lineRule="exact"/>
        <w:rPr>
          <w:sz w:val="20"/>
          <w:szCs w:val="20"/>
          <w:color w:val="auto"/>
        </w:rPr>
      </w:pPr>
    </w:p>
    <w:p>
      <w:pPr>
        <w:ind w:left="1260" w:right="140" w:hanging="1620"/>
        <w:spacing w:after="0" w:line="308" w:lineRule="auto"/>
        <w:tabs>
          <w:tab w:leader="none" w:pos="12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 Amendment No. 4 dated January 1, 2013 to the Third Amended and Restated Agreement of Limited Partnership of Plains Marketing, L.P (incorporated by reference to Exhibit 3.8 to our Annual Report on Form 10-K for the year ended December 31, 2013).</w:t>
      </w:r>
    </w:p>
    <w:p>
      <w:pPr>
        <w:spacing w:after="0" w:line="147" w:lineRule="exact"/>
        <w:rPr>
          <w:sz w:val="20"/>
          <w:szCs w:val="20"/>
          <w:color w:val="auto"/>
        </w:rPr>
      </w:pPr>
    </w:p>
    <w:p>
      <w:pPr>
        <w:ind w:left="1260" w:right="400" w:hanging="1620"/>
        <w:spacing w:after="0" w:line="277" w:lineRule="auto"/>
        <w:tabs>
          <w:tab w:leader="none" w:pos="12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Third Amended and Restated Agreement of Limited Partnership of Plains Pipeline, L.P. dated as of April 1, 2004 (incorporated by reference to Exhibit 3.3 to our Quarterly Report on Form 10-Q for the quarter ended March 31, 2004).</w:t>
      </w:r>
    </w:p>
    <w:p>
      <w:pPr>
        <w:spacing w:after="0" w:line="170" w:lineRule="exact"/>
        <w:rPr>
          <w:sz w:val="20"/>
          <w:szCs w:val="20"/>
          <w:color w:val="auto"/>
        </w:rPr>
      </w:pPr>
    </w:p>
    <w:p>
      <w:pPr>
        <w:spacing w:after="0"/>
        <w:tabs>
          <w:tab w:leader="none" w:pos="1240" w:val="left"/>
          <w:tab w:leader="none" w:pos="16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Amendment No. 1 dated January 1, 2013 to the Third Amended and Restated Agreement of Limited Partnership of Plains Pipeline, L.P.</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(incorporated by reference to Exhibit 3.10 to our Annual Report on Form 10-K for the year ended December 31, 2013).</w:t>
      </w:r>
    </w:p>
    <w:p>
      <w:pPr>
        <w:spacing w:after="0" w:line="211" w:lineRule="exact"/>
        <w:rPr>
          <w:sz w:val="20"/>
          <w:szCs w:val="20"/>
          <w:color w:val="auto"/>
        </w:rPr>
      </w:pPr>
    </w:p>
    <w:p>
      <w:pPr>
        <w:jc w:val="center"/>
        <w:ind w:right="720"/>
        <w:spacing w:after="0" w:line="277" w:lineRule="auto"/>
        <w:rPr>
          <w:sz w:val="20"/>
          <w:szCs w:val="20"/>
          <w:color w:val="auto"/>
        </w:rPr>
      </w:pPr>
      <w:r>
        <w:rPr>
          <w:rFonts w:ascii="Arial" w:cs="Arial" w:eastAsia="Arial" w:hAnsi="Arial"/>
          <w:sz w:val="18"/>
          <w:szCs w:val="18"/>
          <w:color w:val="auto"/>
        </w:rPr>
        <w:t>3.9           —  Sixth Amended and Restated Limited Liability Company Agreement of Plains All American GP LLC dated October 21, 2013 (incorporated by reference to Exhibit 3.2 to our Current Report on Form 8-K filed October 25, 2013).</w:t>
      </w:r>
    </w:p>
    <w:p>
      <w:pPr>
        <w:spacing w:after="0" w:line="170" w:lineRule="exact"/>
        <w:rPr>
          <w:sz w:val="20"/>
          <w:szCs w:val="20"/>
          <w:color w:val="auto"/>
        </w:rPr>
      </w:pPr>
    </w:p>
    <w:p>
      <w:pPr>
        <w:ind w:left="1260" w:right="320" w:hanging="1620"/>
        <w:spacing w:after="0" w:line="308" w:lineRule="auto"/>
        <w:tabs>
          <w:tab w:leader="none" w:pos="124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7"/>
          <w:szCs w:val="17"/>
          <w:color w:val="auto"/>
        </w:rPr>
        <w:t>— Amendment No. 1 dated January 28, 2016 to the Sixth Amended and Restated Limited Liability Company Agreement of Plains All American GP LLC (incorporated by reference to Exhibit 3.1 to our Current Report on Form 8-K filed February 2, 2016).</w:t>
      </w:r>
    </w:p>
    <w:p>
      <w:pPr>
        <w:sectPr>
          <w:pgSz w:w="11900" w:h="16926" w:orient="portrait"/>
          <w:cols w:equalWidth="0" w:num="1">
            <w:col w:w="11420"/>
          </w:cols>
          <w:pgMar w:left="240" w:top="121" w:right="239" w:bottom="0" w:gutter="0" w:footer="0" w:header="0"/>
        </w:sectPr>
      </w:pPr>
    </w:p>
    <w:bookmarkStart w:id="35" w:name="page36"/>
    <w:bookmarkEnd w:id="35"/>
    <w:p>
      <w:pPr>
        <w:ind w:left="1260" w:right="20" w:hanging="1620"/>
        <w:spacing w:after="0" w:line="277" w:lineRule="auto"/>
        <w:tabs>
          <w:tab w:leader="none" w:pos="12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Seventh Amended and Restated Limited Partnership Agreement of Plains AAP, L.P. dated October 21, 2013 (incorporated by reference to Exhibit 3.1 to our Current Report on Form 8-K filed October 25, 2013).</w:t>
      </w:r>
    </w:p>
    <w:p>
      <w:pPr>
        <w:spacing w:after="0" w:line="170" w:lineRule="exact"/>
        <w:rPr>
          <w:sz w:val="20"/>
          <w:szCs w:val="20"/>
          <w:color w:val="auto"/>
        </w:rPr>
      </w:pPr>
    </w:p>
    <w:p>
      <w:pPr>
        <w:spacing w:after="0"/>
        <w:tabs>
          <w:tab w:leader="none" w:pos="1240" w:val="left"/>
          <w:tab w:leader="none" w:pos="1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Amendment No. 1 dated December 31, 2013 to the Seventh Amended and Restated Limited Partnership Agreement of Plains AAP, L.P.</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(incorporated by reference to Exhibit 3.2 to our Current Report on Form 8-K filed December 31, 2013).</w:t>
      </w:r>
    </w:p>
    <w:p>
      <w:pPr>
        <w:spacing w:after="0" w:line="211" w:lineRule="exact"/>
        <w:rPr>
          <w:sz w:val="20"/>
          <w:szCs w:val="20"/>
          <w:color w:val="auto"/>
        </w:rPr>
      </w:pPr>
    </w:p>
    <w:p>
      <w:pPr>
        <w:ind w:left="1260" w:right="340" w:hanging="1620"/>
        <w:spacing w:after="0" w:line="342" w:lineRule="auto"/>
        <w:tabs>
          <w:tab w:leader="none" w:pos="12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 Certificate of Incorporation of PAA Finance Corp (f/k/a Pacific Energy Finance Corporation, successor-by-merger to PAA Finance Corp.) (incorporated by reference to Exhibit 3.10 to our Annual Report on Form 10-K for the year ended December 31, 2006).</w:t>
      </w:r>
    </w:p>
    <w:p>
      <w:pPr>
        <w:spacing w:after="0" w:line="124" w:lineRule="exact"/>
        <w:rPr>
          <w:sz w:val="20"/>
          <w:szCs w:val="20"/>
          <w:color w:val="auto"/>
        </w:rPr>
      </w:pPr>
    </w:p>
    <w:p>
      <w:pPr>
        <w:ind w:left="1260" w:right="40" w:hanging="1620"/>
        <w:spacing w:after="0" w:line="277" w:lineRule="auto"/>
        <w:tabs>
          <w:tab w:leader="none" w:pos="12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 Bylaws of PAA Finance Corp (f/k/a Pacific Energy Finance Corporation, successor-by-merger to PAA Finance Corp.) (incorporated by reference to Exhibit 3.11 to our Annual Report on Form 10-K for the year ended December 31, 2006).</w:t>
      </w:r>
    </w:p>
    <w:p>
      <w:pPr>
        <w:spacing w:after="0" w:line="170" w:lineRule="exact"/>
        <w:rPr>
          <w:sz w:val="20"/>
          <w:szCs w:val="20"/>
          <w:color w:val="auto"/>
        </w:rPr>
      </w:pPr>
    </w:p>
    <w:p>
      <w:pPr>
        <w:ind w:left="1260" w:right="380" w:hanging="1620"/>
        <w:spacing w:after="0" w:line="277" w:lineRule="auto"/>
        <w:tabs>
          <w:tab w:leader="none" w:pos="12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 Limited Liability Company Agreement of PAA GP LLC dated December 28, 2007 (incorporated by reference to Exhibit 3.3 to our Current Report on Form 8-K filed January 4, 2008).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right="400" w:hanging="1620"/>
        <w:spacing w:after="0" w:line="264" w:lineRule="auto"/>
        <w:tabs>
          <w:tab w:leader="none" w:pos="12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Indenture dated September 25, 2002 among Plains All American Pipeline, L.P., PAA Finance Corp. and Wachovia Bank, National Association, as trustee (incorporated by reference to Exhibit 4.1 to our Quarterly Report on Form 10-Q for the quarter ended September 30, 2002).</w:t>
      </w:r>
    </w:p>
    <w:p>
      <w:pPr>
        <w:spacing w:after="0" w:line="181" w:lineRule="exact"/>
        <w:rPr>
          <w:sz w:val="20"/>
          <w:szCs w:val="20"/>
          <w:color w:val="auto"/>
        </w:rPr>
      </w:pPr>
    </w:p>
    <w:p>
      <w:pPr>
        <w:ind w:left="1260" w:right="180" w:hanging="1620"/>
        <w:spacing w:after="0" w:line="286" w:lineRule="auto"/>
        <w:tabs>
          <w:tab w:leader="none" w:pos="12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 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our Registration Statement on Form S-4, File No. 333-121168).</w:t>
      </w:r>
    </w:p>
    <w:p>
      <w:pPr>
        <w:spacing w:after="0" w:line="166" w:lineRule="exact"/>
        <w:rPr>
          <w:sz w:val="20"/>
          <w:szCs w:val="20"/>
          <w:color w:val="auto"/>
        </w:rPr>
      </w:pPr>
    </w:p>
    <w:p>
      <w:pPr>
        <w:ind w:left="1260" w:right="160" w:hanging="1620"/>
        <w:spacing w:after="0" w:line="264" w:lineRule="auto"/>
        <w:tabs>
          <w:tab w:leader="none" w:pos="12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our Current Report on Form 8-K filed May 12, 2006).</w:t>
      </w:r>
    </w:p>
    <w:p>
      <w:pPr>
        <w:spacing w:after="0" w:line="181" w:lineRule="exact"/>
        <w:rPr>
          <w:sz w:val="20"/>
          <w:szCs w:val="20"/>
          <w:color w:val="auto"/>
        </w:rPr>
      </w:pPr>
    </w:p>
    <w:p>
      <w:pPr>
        <w:ind w:left="1260" w:right="100" w:hanging="1620"/>
        <w:spacing w:after="0" w:line="264" w:lineRule="auto"/>
        <w:tabs>
          <w:tab w:leader="none" w:pos="12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our Current Report on Form 8-K filed October 30, 2006).</w:t>
      </w:r>
    </w:p>
    <w:p>
      <w:pPr>
        <w:spacing w:after="0" w:line="181" w:lineRule="exact"/>
        <w:rPr>
          <w:sz w:val="20"/>
          <w:szCs w:val="20"/>
          <w:color w:val="auto"/>
        </w:rPr>
      </w:pPr>
    </w:p>
    <w:p>
      <w:pPr>
        <w:ind w:left="1260" w:right="100" w:hanging="1620"/>
        <w:spacing w:after="0" w:line="264" w:lineRule="auto"/>
        <w:tabs>
          <w:tab w:leader="none" w:pos="12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our Current Report on Form 8-K filed October 30, 2006).</w:t>
      </w:r>
    </w:p>
    <w:p>
      <w:pPr>
        <w:spacing w:after="0" w:line="181" w:lineRule="exact"/>
        <w:rPr>
          <w:sz w:val="20"/>
          <w:szCs w:val="20"/>
          <w:color w:val="auto"/>
        </w:rPr>
      </w:pPr>
    </w:p>
    <w:p>
      <w:pPr>
        <w:ind w:left="1260" w:right="100" w:hanging="1620"/>
        <w:spacing w:after="0" w:line="264" w:lineRule="auto"/>
        <w:tabs>
          <w:tab w:leader="none" w:pos="12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Thirteenth Supplemental Indenture (Series A and Series B 6.50% Senior Notes due 2018) dated April 23, 2008 among Plains All American Pipeline, L.P., PAA Finance Corp., the Subsidiary Guarantors named therein and U.S. Bank National Association, as trustee (incorporated by reference to Exhibit 4.1 to our Current Report on Form 8-K filed April 23, 2008).</w:t>
      </w:r>
    </w:p>
    <w:p>
      <w:pPr>
        <w:spacing w:after="0" w:line="181" w:lineRule="exact"/>
        <w:rPr>
          <w:sz w:val="20"/>
          <w:szCs w:val="20"/>
          <w:color w:val="auto"/>
        </w:rPr>
      </w:pPr>
    </w:p>
    <w:p>
      <w:pPr>
        <w:ind w:left="1260" w:hanging="1620"/>
        <w:spacing w:after="0" w:line="264" w:lineRule="auto"/>
        <w:tabs>
          <w:tab w:leader="none" w:pos="12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Fifteenth Supplemental Indenture (8.75% Senior Notes due 2019) dated April 20, 2009 among Plains All American Pipeline, L.P., PAA Finance Corp., the Subsidiary Guarantors named therein and U.S. Bank National Association, as trustee (incorporated by reference to Exhibit 4.1 to our Current Report on Form 8-K filed April 20, 2009).</w:t>
      </w:r>
    </w:p>
    <w:p>
      <w:pPr>
        <w:spacing w:after="0" w:line="181" w:lineRule="exact"/>
        <w:rPr>
          <w:sz w:val="20"/>
          <w:szCs w:val="20"/>
          <w:color w:val="auto"/>
        </w:rPr>
      </w:pPr>
    </w:p>
    <w:p>
      <w:pPr>
        <w:jc w:val="both"/>
        <w:ind w:left="1260" w:right="240" w:hanging="1620"/>
        <w:spacing w:after="0" w:line="264" w:lineRule="auto"/>
        <w:tabs>
          <w:tab w:leader="none" w:pos="12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Seventeenth Supplemental Indenture (5.75% Senior Notes due 2020) dated September 4, 2009 among Plains All American Pipeline, L.P., PAA Finance Corp., the Subsidiary Guarantors named therein and U.S. Bank National Association, as trustee (incorporated by reference to Exhibit 4.1 to our Current Report on Form 8-K filed September 4, 2009).</w:t>
      </w:r>
    </w:p>
    <w:p>
      <w:pPr>
        <w:spacing w:after="0" w:line="181" w:lineRule="exact"/>
        <w:rPr>
          <w:sz w:val="20"/>
          <w:szCs w:val="20"/>
          <w:color w:val="auto"/>
        </w:rPr>
      </w:pPr>
    </w:p>
    <w:p>
      <w:pPr>
        <w:ind w:left="1260" w:right="80" w:hanging="1620"/>
        <w:spacing w:after="0" w:line="264" w:lineRule="auto"/>
        <w:tabs>
          <w:tab w:leader="none" w:pos="12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Nineteenth Supplemental Indenture (5.00% Senior Notes due 2021) dated January 14, 2011 among Plains All American Pipeline, L.P., PAA Finance Corp., the Subsidiary Guarantors named therein and U.S. Bank National Association, as trustee (incorporated by reference to Exhibit 4.1 to our Current Report on Form 8-K filed January 11, 2011).</w:t>
      </w:r>
    </w:p>
    <w:p>
      <w:pPr>
        <w:spacing w:after="0" w:line="181" w:lineRule="exact"/>
        <w:rPr>
          <w:sz w:val="20"/>
          <w:szCs w:val="20"/>
          <w:color w:val="auto"/>
        </w:rPr>
      </w:pPr>
    </w:p>
    <w:p>
      <w:pPr>
        <w:ind w:left="1260" w:right="140" w:hanging="1620"/>
        <w:spacing w:after="0" w:line="264" w:lineRule="auto"/>
        <w:tabs>
          <w:tab w:leader="none" w:pos="124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 Twentieth Supplemental Indenture (3.65% Senior Notes due 2022) dated March 22, 2012 among Plains All American Pipeline, L.P., PAA Finance Corp. and U.S. Bank National Association, as trustee (incorporated by reference to Exhibit 4.1 to our Current Report on Form 8-K filed March 26, 2012).</w:t>
      </w:r>
    </w:p>
    <w:p>
      <w:pPr>
        <w:spacing w:after="0" w:line="181" w:lineRule="exact"/>
        <w:rPr>
          <w:sz w:val="20"/>
          <w:szCs w:val="20"/>
          <w:color w:val="auto"/>
        </w:rPr>
      </w:pPr>
    </w:p>
    <w:p>
      <w:pPr>
        <w:ind w:left="1260" w:right="40" w:hanging="1620"/>
        <w:spacing w:after="0" w:line="264" w:lineRule="auto"/>
        <w:tabs>
          <w:tab w:leader="none" w:pos="12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 Twenty-First Supplemental Indenture (5.15% Senior Notes due 2042) dated March 22, 2012 among Plains All American Pipeline, L.P., PAA Finance Corp. and U.S. Bank National Association, as trustee (incorporated by reference to Exhibit 4.3 to our Current Report on Form 8-K filed March 26, 2012).</w:t>
      </w:r>
    </w:p>
    <w:p>
      <w:pPr>
        <w:spacing w:after="0" w:line="181" w:lineRule="exact"/>
        <w:rPr>
          <w:sz w:val="20"/>
          <w:szCs w:val="20"/>
          <w:color w:val="auto"/>
        </w:rPr>
      </w:pPr>
    </w:p>
    <w:p>
      <w:pPr>
        <w:ind w:left="1260" w:right="40" w:hanging="1620"/>
        <w:spacing w:after="0" w:line="264" w:lineRule="auto"/>
        <w:tabs>
          <w:tab w:leader="none" w:pos="124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 Twenty-Second Supplemental Indenture (2.85% Senior Notes due 2023) dated December 10, 2012, by and among Plains All American Pipeline, L.P., PAA Finance Corp. and U.S. Bank National Association, as trustee (incorporated by reference to Exhibit 4.1 to our Current Report on Form 8-K filed December 12, 2012).</w:t>
      </w:r>
    </w:p>
    <w:p>
      <w:pPr>
        <w:spacing w:after="0" w:line="181" w:lineRule="exact"/>
        <w:rPr>
          <w:sz w:val="20"/>
          <w:szCs w:val="20"/>
          <w:color w:val="auto"/>
        </w:rPr>
      </w:pPr>
    </w:p>
    <w:p>
      <w:pPr>
        <w:ind w:left="1260" w:right="160" w:hanging="1620"/>
        <w:spacing w:after="0" w:line="264" w:lineRule="auto"/>
        <w:tabs>
          <w:tab w:leader="none" w:pos="124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 Twenty-Third Supplemental Indenture (4.30% Senior Notes due 2043) dated December 10, 2012, by and among Plains All American Pipeline, L.P., PAA Finance Corp. and U.S. Bank National Association, as trustee (incorporated by reference to Exhibit 4.3 to our Current Report on Form 8-K filed December 12, 2012).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0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4.14</w:t>
            </w:r>
          </w:p>
        </w:tc>
        <w:tc>
          <w:tcPr>
            <w:tcW w:w="680" w:type="dxa"/>
            <w:vAlign w:val="bottom"/>
          </w:tcPr>
          <w:p>
            <w:pPr>
              <w:spacing w:after="0"/>
              <w:rPr>
                <w:sz w:val="18"/>
                <w:szCs w:val="18"/>
                <w:color w:val="auto"/>
              </w:rPr>
            </w:pPr>
          </w:p>
        </w:tc>
        <w:tc>
          <w:tcPr>
            <w:tcW w:w="10300" w:type="dxa"/>
            <w:vAlign w:val="bottom"/>
            <w:gridSpan w:val="2"/>
          </w:tcPr>
          <w:p>
            <w:pPr>
              <w:ind w:left="240"/>
              <w:spacing w:after="0"/>
              <w:rPr>
                <w:sz w:val="20"/>
                <w:szCs w:val="20"/>
                <w:color w:val="auto"/>
              </w:rPr>
            </w:pPr>
            <w:r>
              <w:rPr>
                <w:rFonts w:ascii="Arial" w:cs="Arial" w:eastAsia="Arial" w:hAnsi="Arial"/>
                <w:sz w:val="18"/>
                <w:szCs w:val="18"/>
                <w:color w:val="auto"/>
                <w:w w:val="94"/>
              </w:rPr>
              <w:t>—  Twenty-Fourth Supplemental Indenture (3.85% Senior Notes due 2023) dated August 15, 2013, by and among Plains All American</w:t>
            </w:r>
          </w:p>
        </w:tc>
      </w:t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4.1 to our</w:t>
            </w:r>
          </w:p>
        </w:tc>
      </w:tr>
      <w:tr>
        <w:trPr>
          <w:trHeight w:val="230"/>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rPr>
              <w:t>Current Report on Form 8-K filed August 15, 2013).</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4.15</w:t>
            </w:r>
          </w:p>
        </w:tc>
        <w:tc>
          <w:tcPr>
            <w:tcW w:w="680" w:type="dxa"/>
            <w:vAlign w:val="bottom"/>
          </w:tcPr>
          <w:p>
            <w:pPr>
              <w:spacing w:after="0"/>
              <w:rPr>
                <w:sz w:val="24"/>
                <w:szCs w:val="24"/>
                <w:color w:val="auto"/>
              </w:rPr>
            </w:pPr>
          </w:p>
        </w:tc>
        <w:tc>
          <w:tcPr>
            <w:tcW w:w="10300" w:type="dxa"/>
            <w:vAlign w:val="bottom"/>
            <w:gridSpan w:val="2"/>
          </w:tcPr>
          <w:p>
            <w:pPr>
              <w:ind w:left="240"/>
              <w:spacing w:after="0"/>
              <w:rPr>
                <w:sz w:val="20"/>
                <w:szCs w:val="20"/>
                <w:color w:val="auto"/>
              </w:rPr>
            </w:pPr>
            <w:r>
              <w:rPr>
                <w:rFonts w:ascii="Arial" w:cs="Arial" w:eastAsia="Arial" w:hAnsi="Arial"/>
                <w:sz w:val="18"/>
                <w:szCs w:val="18"/>
                <w:color w:val="auto"/>
                <w:w w:val="97"/>
              </w:rPr>
              <w:t>—  Twenty-Fifth Supplemental Indenture (4.70% Senior Notes due 2044) dated April 23, 2014, by and among Plains All American</w:t>
            </w:r>
          </w:p>
        </w:tc>
      </w:t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4.1 to our</w:t>
            </w:r>
          </w:p>
        </w:tc>
      </w:tr>
      <w:tr>
        <w:trPr>
          <w:trHeight w:val="230"/>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rPr>
              <w:t>Current Report on Form 8-K filed April 29,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4.16</w:t>
            </w:r>
          </w:p>
        </w:tc>
        <w:tc>
          <w:tcPr>
            <w:tcW w:w="680" w:type="dxa"/>
            <w:vAlign w:val="bottom"/>
          </w:tcPr>
          <w:p>
            <w:pPr>
              <w:spacing w:after="0"/>
              <w:rPr>
                <w:sz w:val="24"/>
                <w:szCs w:val="24"/>
                <w:color w:val="auto"/>
              </w:rPr>
            </w:pPr>
          </w:p>
        </w:tc>
        <w:tc>
          <w:tcPr>
            <w:tcW w:w="10300" w:type="dxa"/>
            <w:vAlign w:val="bottom"/>
            <w:gridSpan w:val="2"/>
          </w:tcPr>
          <w:p>
            <w:pPr>
              <w:ind w:left="240"/>
              <w:spacing w:after="0"/>
              <w:rPr>
                <w:sz w:val="20"/>
                <w:szCs w:val="20"/>
                <w:color w:val="auto"/>
              </w:rPr>
            </w:pPr>
            <w:r>
              <w:rPr>
                <w:rFonts w:ascii="Arial" w:cs="Arial" w:eastAsia="Arial" w:hAnsi="Arial"/>
                <w:sz w:val="18"/>
                <w:szCs w:val="18"/>
                <w:color w:val="auto"/>
                <w:w w:val="93"/>
              </w:rPr>
              <w:t>—  Twenty-Sixth Supplemental Indenture (3.60% Senior Notes due 2024) dated September 9, 2014, by and among Plains All American</w:t>
            </w:r>
          </w:p>
        </w:tc>
      </w:t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4.1 to our</w:t>
            </w:r>
          </w:p>
        </w:tc>
      </w:tr>
      <w:tr>
        <w:trPr>
          <w:trHeight w:val="230"/>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rPr>
              <w:t>Current Report on Form 8-K filed September 11,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4.17</w:t>
            </w:r>
          </w:p>
        </w:tc>
        <w:tc>
          <w:tcPr>
            <w:tcW w:w="680" w:type="dxa"/>
            <w:vAlign w:val="bottom"/>
          </w:tcPr>
          <w:p>
            <w:pPr>
              <w:spacing w:after="0"/>
              <w:rPr>
                <w:sz w:val="24"/>
                <w:szCs w:val="24"/>
                <w:color w:val="auto"/>
              </w:rPr>
            </w:pPr>
          </w:p>
        </w:tc>
        <w:tc>
          <w:tcPr>
            <w:tcW w:w="10300" w:type="dxa"/>
            <w:vAlign w:val="bottom"/>
            <w:gridSpan w:val="2"/>
          </w:tcPr>
          <w:p>
            <w:pPr>
              <w:ind w:left="240"/>
              <w:spacing w:after="0"/>
              <w:rPr>
                <w:sz w:val="20"/>
                <w:szCs w:val="20"/>
                <w:color w:val="auto"/>
              </w:rPr>
            </w:pPr>
            <w:r>
              <w:rPr>
                <w:rFonts w:ascii="Arial" w:cs="Arial" w:eastAsia="Arial" w:hAnsi="Arial"/>
                <w:sz w:val="18"/>
                <w:szCs w:val="18"/>
                <w:color w:val="auto"/>
                <w:w w:val="91"/>
              </w:rPr>
              <w:t>—  Twenty-Seventh Supplemental Indenture (2.60% Senior Notes due 2019) dated December 9, 2014, by and among Plains All American</w:t>
            </w:r>
          </w:p>
        </w:tc>
      </w:t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4.1 to our</w:t>
            </w:r>
          </w:p>
        </w:tc>
      </w:tr>
      <w:tr>
        <w:trPr>
          <w:trHeight w:val="230"/>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rPr>
              <w:t>Current Report on Form 8-K filed December 11,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4.18</w:t>
            </w:r>
          </w:p>
        </w:tc>
        <w:tc>
          <w:tcPr>
            <w:tcW w:w="680" w:type="dxa"/>
            <w:vAlign w:val="bottom"/>
          </w:tcPr>
          <w:p>
            <w:pPr>
              <w:spacing w:after="0"/>
              <w:rPr>
                <w:sz w:val="24"/>
                <w:szCs w:val="24"/>
                <w:color w:val="auto"/>
              </w:rPr>
            </w:pPr>
          </w:p>
        </w:tc>
        <w:tc>
          <w:tcPr>
            <w:tcW w:w="10300" w:type="dxa"/>
            <w:vAlign w:val="bottom"/>
            <w:gridSpan w:val="2"/>
          </w:tcPr>
          <w:p>
            <w:pPr>
              <w:ind w:left="240"/>
              <w:spacing w:after="0"/>
              <w:rPr>
                <w:sz w:val="20"/>
                <w:szCs w:val="20"/>
                <w:color w:val="auto"/>
              </w:rPr>
            </w:pPr>
            <w:r>
              <w:rPr>
                <w:rFonts w:ascii="Arial" w:cs="Arial" w:eastAsia="Arial" w:hAnsi="Arial"/>
                <w:sz w:val="18"/>
                <w:szCs w:val="18"/>
                <w:color w:val="auto"/>
                <w:w w:val="92"/>
              </w:rPr>
              <w:t>—  Twenty-Eighth Supplemental Indenture (4.90% Senior Notes due 2045) dated December 9, 2014, by and among Plains All American</w:t>
            </w:r>
          </w:p>
        </w:tc>
      </w:t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4.3 to our</w:t>
            </w:r>
          </w:p>
        </w:tc>
      </w:tr>
      <w:tr>
        <w:trPr>
          <w:trHeight w:val="230"/>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rPr>
              <w:t>Current Report on Form 8-K filed December 11,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4.19</w:t>
            </w:r>
          </w:p>
        </w:tc>
        <w:tc>
          <w:tcPr>
            <w:tcW w:w="680" w:type="dxa"/>
            <w:vAlign w:val="bottom"/>
          </w:tcPr>
          <w:p>
            <w:pPr>
              <w:spacing w:after="0"/>
              <w:rPr>
                <w:sz w:val="24"/>
                <w:szCs w:val="24"/>
                <w:color w:val="auto"/>
              </w:rPr>
            </w:pPr>
          </w:p>
        </w:tc>
        <w:tc>
          <w:tcPr>
            <w:tcW w:w="10300" w:type="dxa"/>
            <w:vAlign w:val="bottom"/>
            <w:gridSpan w:val="2"/>
          </w:tcPr>
          <w:p>
            <w:pPr>
              <w:ind w:left="240"/>
              <w:spacing w:after="0"/>
              <w:rPr>
                <w:sz w:val="20"/>
                <w:szCs w:val="20"/>
                <w:color w:val="auto"/>
              </w:rPr>
            </w:pPr>
            <w:r>
              <w:rPr>
                <w:rFonts w:ascii="Arial" w:cs="Arial" w:eastAsia="Arial" w:hAnsi="Arial"/>
                <w:sz w:val="18"/>
                <w:szCs w:val="18"/>
                <w:color w:val="auto"/>
                <w:w w:val="94"/>
              </w:rPr>
              <w:t>—  Twenty-Ninth Supplemental Indenture (4.65% Senior Notes due 2025) dated August 24, 2015, by and among Plains All American</w:t>
            </w:r>
          </w:p>
        </w:tc>
      </w:t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4.1 to our</w:t>
            </w:r>
          </w:p>
        </w:tc>
      </w:tr>
      <w:tr>
        <w:trPr>
          <w:trHeight w:val="230"/>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rPr>
              <w:t>Current Report on Form 8-K filed August 26, 2015).</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4.20</w:t>
            </w:r>
          </w:p>
        </w:tc>
        <w:tc>
          <w:tcPr>
            <w:tcW w:w="680" w:type="dxa"/>
            <w:vAlign w:val="bottom"/>
          </w:tcPr>
          <w:p>
            <w:pPr>
              <w:spacing w:after="0"/>
              <w:rPr>
                <w:sz w:val="24"/>
                <w:szCs w:val="24"/>
                <w:color w:val="auto"/>
              </w:rPr>
            </w:pPr>
          </w:p>
        </w:tc>
        <w:tc>
          <w:tcPr>
            <w:tcW w:w="10300" w:type="dxa"/>
            <w:vAlign w:val="bottom"/>
            <w:gridSpan w:val="2"/>
          </w:tcPr>
          <w:p>
            <w:pPr>
              <w:ind w:left="240"/>
              <w:spacing w:after="0"/>
              <w:rPr>
                <w:sz w:val="20"/>
                <w:szCs w:val="20"/>
                <w:color w:val="auto"/>
              </w:rPr>
            </w:pPr>
            <w:r>
              <w:rPr>
                <w:rFonts w:ascii="Arial" w:cs="Arial" w:eastAsia="Arial" w:hAnsi="Arial"/>
                <w:sz w:val="18"/>
                <w:szCs w:val="18"/>
                <w:color w:val="auto"/>
                <w:w w:val="92"/>
              </w:rPr>
              <w:t>—  Registration Rights Agreement dated September 3, 2009 by and between Plains All American Pipeline, L.P. and Vulcan Gas Storage</w:t>
            </w:r>
          </w:p>
        </w:tc>
      </w:tr>
      <w:tr>
        <w:trPr>
          <w:trHeight w:val="230"/>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rPr>
              <w:t>LLC (incorporated by reference to Exhibit 4.1 to our Registration Statement on Form S-3, File No. 333-162477).</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4.21</w:t>
            </w:r>
          </w:p>
        </w:tc>
        <w:tc>
          <w:tcPr>
            <w:tcW w:w="680" w:type="dxa"/>
            <w:vAlign w:val="bottom"/>
          </w:tcPr>
          <w:p>
            <w:pPr>
              <w:spacing w:after="0"/>
              <w:rPr>
                <w:sz w:val="24"/>
                <w:szCs w:val="24"/>
                <w:color w:val="auto"/>
              </w:rPr>
            </w:pPr>
          </w:p>
        </w:tc>
        <w:tc>
          <w:tcPr>
            <w:tcW w:w="10300" w:type="dxa"/>
            <w:vAlign w:val="bottom"/>
            <w:gridSpan w:val="2"/>
          </w:tcPr>
          <w:p>
            <w:pPr>
              <w:ind w:left="240"/>
              <w:spacing w:after="0"/>
              <w:rPr>
                <w:sz w:val="20"/>
                <w:szCs w:val="20"/>
                <w:color w:val="auto"/>
              </w:rPr>
            </w:pPr>
            <w:r>
              <w:rPr>
                <w:rFonts w:ascii="Arial" w:cs="Arial" w:eastAsia="Arial" w:hAnsi="Arial"/>
                <w:sz w:val="18"/>
                <w:szCs w:val="18"/>
                <w:color w:val="auto"/>
                <w:w w:val="94"/>
              </w:rPr>
              <w:t>—  Registration Rights Agreement dated as of January 28, 2016 among Plains All American Pipeline, L.P. and the Purchasers named</w:t>
            </w:r>
          </w:p>
        </w:tc>
      </w:tr>
      <w:tr>
        <w:trPr>
          <w:trHeight w:val="230"/>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rPr>
              <w:t>therein (incorporated by reference to Exhibit 4.1 to our Current Report on Form 8-K filed February 2, 2016).</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31.1</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10300" w:type="dxa"/>
            <w:vAlign w:val="bottom"/>
            <w:gridSpan w:val="2"/>
          </w:tcPr>
          <w:p>
            <w:pPr>
              <w:ind w:left="240"/>
              <w:spacing w:after="0"/>
              <w:rPr>
                <w:sz w:val="20"/>
                <w:szCs w:val="20"/>
                <w:color w:val="auto"/>
              </w:rPr>
            </w:pPr>
            <w:r>
              <w:rPr>
                <w:rFonts w:ascii="Arial" w:cs="Arial" w:eastAsia="Arial" w:hAnsi="Arial"/>
                <w:sz w:val="18"/>
                <w:szCs w:val="18"/>
                <w:color w:val="auto"/>
              </w:rPr>
              <w:t>—  Certification of Principal Executive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31.2</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10300" w:type="dxa"/>
            <w:vAlign w:val="bottom"/>
            <w:gridSpan w:val="2"/>
          </w:tcPr>
          <w:p>
            <w:pPr>
              <w:ind w:left="240"/>
              <w:spacing w:after="0"/>
              <w:rPr>
                <w:sz w:val="20"/>
                <w:szCs w:val="20"/>
                <w:color w:val="auto"/>
              </w:rPr>
            </w:pPr>
            <w:r>
              <w:rPr>
                <w:rFonts w:ascii="Arial" w:cs="Arial" w:eastAsia="Arial" w:hAnsi="Arial"/>
                <w:sz w:val="18"/>
                <w:szCs w:val="18"/>
                <w:color w:val="auto"/>
              </w:rPr>
              <w:t>—  Certification of Principal Financial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32.1</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10300" w:type="dxa"/>
            <w:vAlign w:val="bottom"/>
            <w:gridSpan w:val="2"/>
          </w:tcPr>
          <w:p>
            <w:pPr>
              <w:ind w:left="240"/>
              <w:spacing w:after="0"/>
              <w:rPr>
                <w:sz w:val="20"/>
                <w:szCs w:val="20"/>
                <w:color w:val="auto"/>
              </w:rPr>
            </w:pPr>
            <w:r>
              <w:rPr>
                <w:rFonts w:ascii="Arial" w:cs="Arial" w:eastAsia="Arial" w:hAnsi="Arial"/>
                <w:sz w:val="18"/>
                <w:szCs w:val="18"/>
                <w:color w:val="auto"/>
              </w:rPr>
              <w:t>—  Certification of Principal Executive Officer pursuant to 18 U.S.C. 1350.</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32.2</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10300" w:type="dxa"/>
            <w:vAlign w:val="bottom"/>
            <w:gridSpan w:val="2"/>
          </w:tcPr>
          <w:p>
            <w:pPr>
              <w:ind w:left="240"/>
              <w:spacing w:after="0"/>
              <w:rPr>
                <w:sz w:val="20"/>
                <w:szCs w:val="20"/>
                <w:color w:val="auto"/>
              </w:rPr>
            </w:pPr>
            <w:r>
              <w:rPr>
                <w:rFonts w:ascii="Arial" w:cs="Arial" w:eastAsia="Arial" w:hAnsi="Arial"/>
                <w:sz w:val="18"/>
                <w:szCs w:val="18"/>
                <w:color w:val="auto"/>
              </w:rPr>
              <w:t>—  Certification of Principal Financial Officer pursuant to 18 U.S.C. 1350.</w:t>
            </w:r>
          </w:p>
        </w:tc>
      </w:tr>
      <w:tr>
        <w:trPr>
          <w:trHeight w:val="580"/>
        </w:trPr>
        <w:tc>
          <w:tcPr>
            <w:tcW w:w="1020" w:type="dxa"/>
            <w:vAlign w:val="bottom"/>
            <w:gridSpan w:val="2"/>
          </w:tcPr>
          <w:p>
            <w:pPr>
              <w:spacing w:after="0"/>
              <w:rPr>
                <w:sz w:val="20"/>
                <w:szCs w:val="20"/>
                <w:color w:val="auto"/>
              </w:rPr>
            </w:pPr>
            <w:r>
              <w:rPr>
                <w:rFonts w:ascii="Arial" w:cs="Arial" w:eastAsia="Arial" w:hAnsi="Arial"/>
                <w:sz w:val="18"/>
                <w:szCs w:val="18"/>
                <w:color w:val="auto"/>
              </w:rPr>
              <w:t>101.INS</w:t>
            </w:r>
            <w:r>
              <w:rPr>
                <w:rFonts w:ascii="Arial" w:cs="Arial" w:eastAsia="Arial" w:hAnsi="Arial"/>
                <w:sz w:val="36"/>
                <w:szCs w:val="36"/>
                <w:color w:val="auto"/>
                <w:vertAlign w:val="superscript"/>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978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36"/>
                <w:szCs w:val="36"/>
                <w:color w:val="auto"/>
                <w:vertAlign w:val="superscript"/>
              </w:rPr>
              <w:t>†</w:t>
            </w:r>
          </w:p>
        </w:tc>
        <w:tc>
          <w:tcPr>
            <w:tcW w:w="10300" w:type="dxa"/>
            <w:vAlign w:val="bottom"/>
            <w:gridSpan w:val="2"/>
          </w:tcPr>
          <w:p>
            <w:pPr>
              <w:ind w:left="24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36"/>
                <w:szCs w:val="36"/>
                <w:color w:val="auto"/>
                <w:vertAlign w:val="superscript"/>
              </w:rPr>
              <w:t>†</w:t>
            </w:r>
          </w:p>
        </w:tc>
        <w:tc>
          <w:tcPr>
            <w:tcW w:w="10300" w:type="dxa"/>
            <w:vAlign w:val="bottom"/>
            <w:gridSpan w:val="2"/>
          </w:tcPr>
          <w:p>
            <w:pPr>
              <w:ind w:left="24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36"/>
                <w:szCs w:val="36"/>
                <w:color w:val="auto"/>
                <w:vertAlign w:val="superscript"/>
              </w:rPr>
              <w:t>†</w:t>
            </w:r>
          </w:p>
        </w:tc>
        <w:tc>
          <w:tcPr>
            <w:tcW w:w="10300" w:type="dxa"/>
            <w:vAlign w:val="bottom"/>
            <w:gridSpan w:val="2"/>
          </w:tcPr>
          <w:p>
            <w:pPr>
              <w:ind w:left="24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36"/>
                <w:szCs w:val="36"/>
                <w:color w:val="auto"/>
                <w:vertAlign w:val="superscript"/>
              </w:rPr>
              <w:t>†</w:t>
            </w:r>
          </w:p>
        </w:tc>
        <w:tc>
          <w:tcPr>
            <w:tcW w:w="10300" w:type="dxa"/>
            <w:vAlign w:val="bottom"/>
            <w:gridSpan w:val="2"/>
          </w:tcPr>
          <w:p>
            <w:pPr>
              <w:ind w:left="240"/>
              <w:spacing w:after="0"/>
              <w:rPr>
                <w:sz w:val="20"/>
                <w:szCs w:val="20"/>
                <w:color w:val="auto"/>
              </w:rPr>
            </w:pPr>
            <w:r>
              <w:rPr>
                <w:rFonts w:ascii="Arial" w:cs="Arial" w:eastAsia="Arial" w:hAnsi="Arial"/>
                <w:sz w:val="18"/>
                <w:szCs w:val="18"/>
                <w:color w:val="auto"/>
              </w:rPr>
              <w:t>—  XBRL Taxonomy Extension Label Linkbase Document</w:t>
            </w:r>
          </w:p>
        </w:tc>
      </w:tr>
      <w:tr>
        <w:trPr>
          <w:trHeight w:val="471"/>
        </w:trPr>
        <w:tc>
          <w:tcPr>
            <w:tcW w:w="1020" w:type="dxa"/>
            <w:vAlign w:val="bottom"/>
            <w:gridSpan w:val="2"/>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36"/>
                <w:szCs w:val="36"/>
                <w:color w:val="auto"/>
                <w:vertAlign w:val="superscript"/>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978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ind w:left="660" w:hanging="652"/>
        <w:spacing w:after="0"/>
        <w:tabs>
          <w:tab w:leader="none" w:pos="660" w:val="left"/>
        </w:tabs>
        <w:numPr>
          <w:ilvl w:val="0"/>
          <w:numId w:val="29"/>
        </w:numPr>
        <w:rPr>
          <w:rFonts w:ascii="Arial" w:cs="Arial" w:eastAsia="Arial" w:hAnsi="Arial"/>
          <w:sz w:val="36"/>
          <w:szCs w:val="36"/>
          <w:color w:val="auto"/>
          <w:vertAlign w:val="superscript"/>
        </w:rPr>
      </w:pPr>
      <w:r>
        <w:rPr>
          <w:rFonts w:ascii="Arial" w:cs="Arial" w:eastAsia="Arial" w:hAnsi="Arial"/>
          <w:sz w:val="18"/>
          <w:szCs w:val="18"/>
          <w:color w:val="auto"/>
        </w:rPr>
        <w:t>Filed herewith.</w:t>
      </w:r>
    </w:p>
    <w:p>
      <w:pPr>
        <w:ind w:left="640" w:hanging="632"/>
        <w:spacing w:after="0" w:line="180" w:lineRule="auto"/>
        <w:tabs>
          <w:tab w:leader="none" w:pos="640" w:val="left"/>
        </w:tabs>
        <w:numPr>
          <w:ilvl w:val="0"/>
          <w:numId w:val="30"/>
        </w:numPr>
        <w:rPr>
          <w:rFonts w:ascii="Arial" w:cs="Arial" w:eastAsia="Arial" w:hAnsi="Arial"/>
          <w:sz w:val="31"/>
          <w:szCs w:val="31"/>
          <w:color w:val="auto"/>
          <w:vertAlign w:val="superscript"/>
        </w:rPr>
      </w:pPr>
      <w:r>
        <w:rPr>
          <w:rFonts w:ascii="Arial" w:cs="Arial" w:eastAsia="Arial" w:hAnsi="Arial"/>
          <w:sz w:val="16"/>
          <w:szCs w:val="16"/>
          <w:color w:val="auto"/>
        </w:rPr>
        <w:t>Furnished herewith.</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2016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2016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3"/>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3"/>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lowerRoman"/>
      <w:start w:val="5"/>
    </w:lvl>
  </w:abstractNum>
  <w:abstractNum w:abstractNumId="21">
    <w:nsid w:val="7C3DBD3D"/>
    <w:multiLevelType w:val="hybridMultilevel"/>
    <w:lvl w:ilvl="0">
      <w:lvlJc w:val="left"/>
      <w:lvlText w:val="(%1)"/>
      <w:numFmt w:val="decimal"/>
      <w:start w:val="4"/>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5"/>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Roman"/>
      <w:start w:val="1"/>
    </w:lvl>
  </w:abstractNum>
  <w:abstractNum w:abstractNumId="39">
    <w:nsid w:val="2D51779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2020-01-20T10:30:38Z</dcterms:created>
  <dcterms:modified xsi:type="dcterms:W3CDTF">2020-01-20T10:30:38Z</dcterms:modified>
</cp:coreProperties>
</file>