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bookmarkStart w:id="0" w:name="scotch"/>
      <w:bookmarkStart w:id="1" w:name="a06-16643_18k.htm"/>
      <w:bookmarkStart w:id="2" w:name="ksa0616643_18k"/>
      <w:bookmarkEnd w:id="0"/>
      <w:bookmarkEnd w:id="1"/>
      <w:bookmarkEnd w:id="2"/>
      <w:r>
        <w:rPr/>
        <w:t> </w:t>
      </w:r>
    </w:p>
    <w:p>
      <w:pPr>
        <w:pStyle w:val="TextBody"/>
        <w:spacing w:before="0" w:after="240"/>
        <w:ind w:left="0" w:right="0" w:hanging="0"/>
        <w:jc w:val="center"/>
        <w:rPr>
          <w:rFonts w:ascii="Times New Roman" w:hAnsi="Times New Roman"/>
          <w:sz w:val="17"/>
        </w:rPr>
      </w:pPr>
      <w:r>
        <w:rPr>
          <w:rFonts w:ascii="Times New Roman" w:hAnsi="Times New Roman"/>
          <w:b/>
          <w:sz w:val="30"/>
        </w:rPr>
        <w:t>UNITED STATES</w:t>
        <w:br/>
        <w:t>SECURITIES AND EXCHANGE COMMISSION</w:t>
      </w:r>
      <w:r>
        <w:rPr>
          <w:rFonts w:ascii="Times New Roman" w:hAnsi="Times New Roman"/>
          <w:b/>
          <w:sz w:val="17"/>
        </w:rPr>
        <w:br/>
        <w:t>Washington, D.C. 20549</w:t>
      </w:r>
    </w:p>
    <w:p>
      <w:pPr>
        <w:pStyle w:val="TextBody"/>
        <w:spacing w:before="0" w:after="240"/>
        <w:ind w:left="0" w:right="0" w:hanging="0"/>
        <w:jc w:val="center"/>
        <w:rPr>
          <w:rFonts w:ascii="Times New Roman" w:hAnsi="Times New Roman"/>
          <w:b/>
          <w:sz w:val="30"/>
        </w:rPr>
      </w:pPr>
      <w:r>
        <w:rPr>
          <w:rFonts w:ascii="Times New Roman" w:hAnsi="Times New Roman"/>
          <w:b/>
          <w:sz w:val="30"/>
        </w:rPr>
        <w:t>FORM 8-K</w:t>
      </w:r>
    </w:p>
    <w:p>
      <w:pPr>
        <w:pStyle w:val="TextBody"/>
        <w:spacing w:before="0" w:after="240"/>
        <w:ind w:left="0" w:right="0" w:hanging="0"/>
        <w:jc w:val="center"/>
        <w:rPr>
          <w:rFonts w:ascii="Times New Roman" w:hAnsi="Times New Roman"/>
          <w:b/>
          <w:sz w:val="20"/>
        </w:rPr>
      </w:pPr>
      <w:r>
        <w:rPr>
          <w:rFonts w:ascii="Times New Roman" w:hAnsi="Times New Roman"/>
          <w:b/>
          <w:sz w:val="20"/>
        </w:rPr>
        <w:t>CURRENT REPORT</w:t>
        <w:br/>
        <w:t>Pursuant to Section 13 or 15(d) of The Securities Exchange Act of 1934</w:t>
      </w:r>
    </w:p>
    <w:p>
      <w:pPr>
        <w:pStyle w:val="TextBody"/>
        <w:spacing w:before="0" w:after="24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July 20, 2006</w:t>
      </w:r>
    </w:p>
    <w:p>
      <w:pPr>
        <w:pStyle w:val="TextBody"/>
        <w:spacing w:before="0" w:after="240"/>
        <w:ind w:left="0" w:right="0" w:hanging="0"/>
        <w:jc w:val="center"/>
        <w:rPr>
          <w:rFonts w:ascii="Times New Roman" w:hAnsi="Times New Roman"/>
          <w:sz w:val="17"/>
        </w:rPr>
      </w:pPr>
      <w:r>
        <w:rPr>
          <w:rFonts w:ascii="Times New Roman" w:hAnsi="Times New Roman"/>
          <w:b/>
          <w:sz w:val="30"/>
        </w:rPr>
        <w:t>Plains All American Pipeline, L.P.</w:t>
      </w:r>
      <w:r>
        <w:rPr>
          <w:rFonts w:ascii="Times New Roman" w:hAnsi="Times New Roman"/>
          <w:b/>
          <w:sz w:val="17"/>
        </w:rPr>
        <w:br/>
      </w:r>
      <w:r>
        <w:rPr>
          <w:rFonts w:ascii="Times New Roman" w:hAnsi="Times New Roman"/>
          <w:sz w:val="17"/>
        </w:rPr>
        <w:t>(Exact name of registrant as specified in its charter)</w:t>
      </w:r>
    </w:p>
    <w:p>
      <w:pPr>
        <w:pStyle w:val="TextBody"/>
        <w:spacing w:before="0" w:after="240"/>
        <w:ind w:left="0" w:right="0" w:hanging="0"/>
        <w:rPr/>
      </w:pPr>
      <w:r>
        <w:rPr/>
        <w:t> </w:t>
      </w:r>
    </w:p>
    <w:tbl>
      <w:tblPr>
        <w:tblW w:w="5000" w:type="pct"/>
        <w:jc w:val="center"/>
        <w:tblInd w:w="0" w:type="dxa"/>
        <w:tblCellMar>
          <w:top w:w="0" w:type="dxa"/>
          <w:left w:w="0" w:type="dxa"/>
          <w:bottom w:w="0" w:type="dxa"/>
          <w:right w:w="0" w:type="dxa"/>
        </w:tblCellMar>
      </w:tblPr>
      <w:tblGrid>
        <w:gridCol w:w="3262"/>
        <w:gridCol w:w="209"/>
        <w:gridCol w:w="3262"/>
        <w:gridCol w:w="209"/>
        <w:gridCol w:w="3263"/>
      </w:tblGrid>
      <w:tr>
        <w:trPr/>
        <w:tc>
          <w:tcPr>
            <w:tcW w:w="3262" w:type="dxa"/>
            <w:tcBorders/>
            <w:shd w:fill="auto" w:val="clear"/>
          </w:tcPr>
          <w:p>
            <w:pPr>
              <w:pStyle w:val="TableContents"/>
              <w:spacing w:before="0" w:after="0"/>
              <w:ind w:left="0" w:right="0" w:hanging="0"/>
              <w:jc w:val="center"/>
              <w:rPr>
                <w:b/>
                <w:sz w:val="17"/>
              </w:rPr>
            </w:pPr>
            <w:r>
              <w:rPr>
                <w:b/>
                <w:sz w:val="17"/>
              </w:rPr>
              <w:t>DELAWARE</w:t>
            </w:r>
          </w:p>
        </w:tc>
        <w:tc>
          <w:tcPr>
            <w:tcW w:w="209" w:type="dxa"/>
            <w:tcBorders/>
            <w:shd w:fill="auto" w:val="clear"/>
            <w:vAlign w:val="bottom"/>
          </w:tcPr>
          <w:p>
            <w:pPr>
              <w:pStyle w:val="TableContents"/>
              <w:spacing w:before="0" w:after="0"/>
              <w:ind w:left="0" w:right="0" w:hanging="0"/>
              <w:rPr/>
            </w:pPr>
            <w:r>
              <w:rPr/>
              <w:t> </w:t>
            </w:r>
          </w:p>
        </w:tc>
        <w:tc>
          <w:tcPr>
            <w:tcW w:w="326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9" w:type="dxa"/>
            <w:tcBorders/>
            <w:shd w:fill="auto" w:val="clear"/>
            <w:vAlign w:val="bottom"/>
          </w:tcPr>
          <w:p>
            <w:pPr>
              <w:pStyle w:val="TableContents"/>
              <w:spacing w:before="0" w:after="0"/>
              <w:ind w:left="0" w:right="0" w:hanging="0"/>
              <w:rPr/>
            </w:pPr>
            <w:r>
              <w:rPr/>
              <w:t> </w:t>
            </w:r>
          </w:p>
        </w:tc>
        <w:tc>
          <w:tcPr>
            <w:tcW w:w="3263"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r>
          </w:p>
        </w:tc>
        <w:tc>
          <w:tcPr>
            <w:tcW w:w="209" w:type="dxa"/>
            <w:tcBorders/>
            <w:shd w:fill="auto" w:val="clear"/>
            <w:vAlign w:val="bottom"/>
          </w:tcPr>
          <w:p>
            <w:pPr>
              <w:pStyle w:val="TableContents"/>
              <w:spacing w:before="0" w:after="0"/>
              <w:ind w:left="0" w:right="0" w:hanging="0"/>
              <w:rPr/>
            </w:pPr>
            <w:r>
              <w:rPr/>
              <w:t> </w:t>
            </w:r>
          </w:p>
        </w:tc>
        <w:tc>
          <w:tcPr>
            <w:tcW w:w="326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9" w:type="dxa"/>
            <w:tcBorders/>
            <w:shd w:fill="auto" w:val="clear"/>
            <w:vAlign w:val="bottom"/>
          </w:tcPr>
          <w:p>
            <w:pPr>
              <w:pStyle w:val="TableContents"/>
              <w:spacing w:before="0" w:after="0"/>
              <w:ind w:left="0" w:right="0" w:hanging="0"/>
              <w:rPr/>
            </w:pPr>
            <w:r>
              <w:rPr/>
              <w:t> </w:t>
            </w:r>
          </w:p>
        </w:tc>
        <w:tc>
          <w:tcPr>
            <w:tcW w:w="3263"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r>
        <w:trPr/>
        <w:tc>
          <w:tcPr>
            <w:tcW w:w="326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incorporation)</w:t>
            </w:r>
          </w:p>
        </w:tc>
        <w:tc>
          <w:tcPr>
            <w:tcW w:w="209" w:type="dxa"/>
            <w:tcBorders/>
            <w:shd w:fill="auto" w:val="clear"/>
            <w:vAlign w:val="bottom"/>
          </w:tcPr>
          <w:p>
            <w:pPr>
              <w:pStyle w:val="TableContents"/>
              <w:spacing w:before="0" w:after="0"/>
              <w:ind w:left="0" w:right="0" w:hanging="0"/>
              <w:rPr/>
            </w:pPr>
            <w:r>
              <w:rPr/>
              <w:t> </w:t>
            </w:r>
          </w:p>
        </w:tc>
        <w:tc>
          <w:tcPr>
            <w:tcW w:w="3262" w:type="dxa"/>
            <w:tcBorders/>
            <w:shd w:fill="auto" w:val="clear"/>
          </w:tcPr>
          <w:p>
            <w:pPr>
              <w:pStyle w:val="TableContents"/>
              <w:spacing w:before="0" w:after="0"/>
              <w:ind w:left="0" w:right="0" w:hanging="0"/>
              <w:jc w:val="center"/>
              <w:rPr/>
            </w:pPr>
            <w:r>
              <w:rPr/>
              <w:t> </w:t>
            </w:r>
          </w:p>
        </w:tc>
        <w:tc>
          <w:tcPr>
            <w:tcW w:w="209" w:type="dxa"/>
            <w:tcBorders/>
            <w:shd w:fill="auto" w:val="clear"/>
            <w:vAlign w:val="bottom"/>
          </w:tcPr>
          <w:p>
            <w:pPr>
              <w:pStyle w:val="TableContents"/>
              <w:spacing w:before="0" w:after="0"/>
              <w:ind w:left="0" w:right="0" w:hanging="0"/>
              <w:rPr/>
            </w:pPr>
            <w:r>
              <w:rPr/>
              <w:t> </w:t>
            </w:r>
          </w:p>
        </w:tc>
        <w:tc>
          <w:tcPr>
            <w:tcW w:w="3263"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24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24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24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24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240"/>
        <w:ind w:left="0" w:right="0" w:hanging="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240"/>
        <w:ind w:left="0" w:right="0" w:hanging="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24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24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double" w:sz="16" w:space="1" w:color="000000"/>
        </w:rPr>
      </w:pPr>
      <w:r>
        <w:rPr>
          <w:bdr w:val="double" w:sz="16" w:space="1" w:color="000000"/>
        </w:rPr>
        <w: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rPr>
          <w:rFonts w:ascii="Times New Roman" w:hAnsi="Times New Roman"/>
          <w:b/>
          <w:strike w:val="false"/>
          <w:dstrike w:val="false"/>
          <w:sz w:val="17"/>
          <w:u w:val="none"/>
          <w:effect w:val="none"/>
        </w:rPr>
      </w:pPr>
      <w:r>
        <w:rPr>
          <w:rFonts w:ascii="Times New Roman" w:hAnsi="Times New Roman"/>
          <w:b/>
          <w:strike w:val="false"/>
          <w:dstrike w:val="false"/>
          <w:sz w:val="17"/>
          <w:u w:val="none"/>
          <w:effect w:val="none"/>
        </w:rPr>
        <w:t>Item 1.01.              Entry Into a Material Definitive Agreement</w:t>
      </w:r>
    </w:p>
    <w:p>
      <w:pPr>
        <w:pStyle w:val="TextBody"/>
        <w:spacing w:before="0" w:after="240"/>
        <w:ind w:left="0" w:right="0" w:firstLine="720"/>
        <w:rPr>
          <w:rFonts w:ascii="Times New Roman" w:hAnsi="Times New Roman"/>
          <w:strike w:val="false"/>
          <w:dstrike w:val="false"/>
          <w:sz w:val="17"/>
          <w:u w:val="none"/>
          <w:effect w:val="none"/>
        </w:rPr>
      </w:pPr>
      <w:r>
        <w:rPr>
          <w:rFonts w:ascii="Times New Roman" w:hAnsi="Times New Roman"/>
          <w:strike w:val="false"/>
          <w:dstrike w:val="false"/>
          <w:sz w:val="17"/>
          <w:u w:val="none"/>
          <w:effect w:val="none"/>
        </w:rPr>
        <w:t>On July 20, 2006, Plains All American Pipeline, L.P. (the Partnership) entered into a purchase agreement with several institutional investors in connection with the sale by the Partnership of 3,720,930 common units of the Partnership (the Offering) at a per unit price of $43.00. The common units are being offered pursuant to an effective shelf registration statement that the Partnership previously filed with the U.S. Securities and Exchange Commission. The closing of the Partnerships sale of  3,720,930 common units is expected to occur on July 26, 2006.</w:t>
      </w:r>
    </w:p>
    <w:p>
      <w:pPr>
        <w:pStyle w:val="TextBody"/>
        <w:spacing w:before="0" w:after="240"/>
        <w:ind w:left="0" w:right="0" w:hanging="0"/>
        <w:rPr>
          <w:rFonts w:ascii="Times New Roman" w:hAnsi="Times New Roman"/>
          <w:b/>
          <w:strike w:val="false"/>
          <w:dstrike w:val="false"/>
          <w:sz w:val="17"/>
          <w:u w:val="none"/>
          <w:effect w:val="none"/>
        </w:rPr>
      </w:pPr>
      <w:r>
        <w:rPr>
          <w:rFonts w:ascii="Times New Roman" w:hAnsi="Times New Roman"/>
          <w:b/>
          <w:strike w:val="false"/>
          <w:dstrike w:val="false"/>
          <w:sz w:val="17"/>
          <w:u w:val="none"/>
          <w:effect w:val="none"/>
        </w:rPr>
        <w:t>Item 7.01.              Regulation FD Disclosure</w:t>
      </w:r>
    </w:p>
    <w:p>
      <w:pPr>
        <w:pStyle w:val="TextBody"/>
        <w:spacing w:before="0" w:after="240"/>
        <w:ind w:left="0" w:right="0" w:firstLine="720"/>
        <w:rPr>
          <w:rFonts w:ascii="Times New Roman" w:hAnsi="Times New Roman"/>
          <w:strike w:val="false"/>
          <w:dstrike w:val="false"/>
          <w:sz w:val="17"/>
          <w:u w:val="none"/>
          <w:effect w:val="none"/>
        </w:rPr>
      </w:pPr>
      <w:r>
        <w:rPr>
          <w:rFonts w:ascii="Times New Roman" w:hAnsi="Times New Roman"/>
          <w:strike w:val="false"/>
          <w:dstrike w:val="false"/>
          <w:sz w:val="17"/>
          <w:u w:val="none"/>
          <w:effect w:val="none"/>
        </w:rPr>
        <w:t>In accordance with the General Instruction B.2 of Form 8-K, the information presented herein under Item 7.01 shall not be deemed filed for purposes of Section 18 of the Securities Act of 1934, as amended, nor shall it be deemed incorporated by reference in any filing under the Securities Act of 1933, as amended, except as expressly set forth by specific reference in such a filing.</w:t>
      </w:r>
    </w:p>
    <w:p>
      <w:pPr>
        <w:pStyle w:val="TextBody"/>
        <w:spacing w:before="0" w:after="240"/>
        <w:ind w:left="0" w:right="0" w:firstLine="720"/>
        <w:rPr>
          <w:rFonts w:ascii="Times New Roman" w:hAnsi="Times New Roman"/>
          <w:strike w:val="false"/>
          <w:dstrike w:val="false"/>
          <w:sz w:val="17"/>
          <w:u w:val="none"/>
          <w:effect w:val="none"/>
        </w:rPr>
      </w:pPr>
      <w:r>
        <w:rPr>
          <w:rFonts w:ascii="Times New Roman" w:hAnsi="Times New Roman"/>
          <w:strike w:val="false"/>
          <w:dstrike w:val="false"/>
          <w:sz w:val="17"/>
          <w:u w:val="none"/>
          <w:effect w:val="none"/>
        </w:rPr>
        <w:t>On July 20, 2006, the Partnership issued a press release announcing the Offering. The Partnership is furnishing a copy of such press release as Exhibit 99.1 hereto.</w:t>
      </w:r>
    </w:p>
    <w:p>
      <w:pPr>
        <w:pStyle w:val="TextBody"/>
        <w:spacing w:before="0" w:after="240"/>
        <w:ind w:left="0" w:right="0" w:hanging="0"/>
        <w:rPr>
          <w:rFonts w:ascii="Times New Roman" w:hAnsi="Times New Roman"/>
          <w:b/>
          <w:strike w:val="false"/>
          <w:dstrike w:val="false"/>
          <w:sz w:val="17"/>
          <w:u w:val="none"/>
          <w:effect w:val="none"/>
        </w:rPr>
      </w:pPr>
      <w:r>
        <w:rPr>
          <w:rFonts w:ascii="Times New Roman" w:hAnsi="Times New Roman"/>
          <w:b/>
          <w:strike w:val="false"/>
          <w:dstrike w:val="false"/>
          <w:sz w:val="17"/>
          <w:u w:val="none"/>
          <w:effect w:val="none"/>
        </w:rPr>
        <w:t>Item 9.01.              Financial Statements and Exhibits</w:t>
      </w:r>
    </w:p>
    <w:p>
      <w:pPr>
        <w:pStyle w:val="TextBody"/>
        <w:spacing w:before="0" w:after="240"/>
        <w:ind w:left="0" w:right="0" w:firstLine="720"/>
        <w:rPr>
          <w:rFonts w:ascii="Times New Roman" w:hAnsi="Times New Roman"/>
          <w:strike w:val="false"/>
          <w:dstrike w:val="false"/>
          <w:sz w:val="17"/>
          <w:u w:val="none"/>
          <w:effect w:val="none"/>
        </w:rPr>
      </w:pPr>
      <w:r>
        <w:rPr>
          <w:rFonts w:ascii="Times New Roman" w:hAnsi="Times New Roman"/>
          <w:strike w:val="false"/>
          <w:dstrike w:val="false"/>
          <w:sz w:val="17"/>
          <w:u w:val="none"/>
          <w:effect w:val="none"/>
        </w:rPr>
        <w:t>(d)           Exhibits.</w:t>
      </w:r>
    </w:p>
    <w:tbl>
      <w:tblPr>
        <w:tblW w:w="5000" w:type="pct"/>
        <w:jc w:val="left"/>
        <w:tblInd w:w="0" w:type="dxa"/>
        <w:tblCellMar>
          <w:top w:w="0" w:type="dxa"/>
          <w:left w:w="0" w:type="dxa"/>
          <w:bottom w:w="0" w:type="dxa"/>
          <w:right w:w="0" w:type="dxa"/>
        </w:tblCellMar>
      </w:tblPr>
      <w:tblGrid>
        <w:gridCol w:w="1546"/>
        <w:gridCol w:w="514"/>
        <w:gridCol w:w="309"/>
        <w:gridCol w:w="7836"/>
      </w:tblGrid>
      <w:tr>
        <w:trPr/>
        <w:tc>
          <w:tcPr>
            <w:tcW w:w="1546"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sz w:val="17"/>
              </w:rPr>
            </w:pPr>
            <w:r>
              <w:rPr>
                <w:sz w:val="17"/>
              </w:rPr>
              <w:t>1.1</w:t>
            </w:r>
          </w:p>
        </w:tc>
        <w:tc>
          <w:tcPr>
            <w:tcW w:w="309" w:type="dxa"/>
            <w:tcBorders/>
            <w:shd w:fill="auto" w:val="clear"/>
          </w:tcPr>
          <w:p>
            <w:pPr>
              <w:pStyle w:val="TableContents"/>
              <w:spacing w:before="0" w:after="0"/>
              <w:ind w:left="0" w:right="0" w:hanging="0"/>
              <w:rPr/>
            </w:pPr>
            <w:r>
              <w:rPr/>
              <w:t> </w:t>
            </w:r>
          </w:p>
        </w:tc>
        <w:tc>
          <w:tcPr>
            <w:tcW w:w="78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Common Unit Purchase Agreement dated as of July 20, 2006 by and among Plains All American Pipeline, L.P., and the purchasers named therein.</w:t>
            </w:r>
          </w:p>
        </w:tc>
      </w:tr>
      <w:tr>
        <w:trPr/>
        <w:tc>
          <w:tcPr>
            <w:tcW w:w="1546"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7836" w:type="dxa"/>
            <w:tcBorders/>
            <w:shd w:fill="auto" w:val="clear"/>
          </w:tcPr>
          <w:p>
            <w:pPr>
              <w:pStyle w:val="TableContents"/>
              <w:spacing w:before="0" w:after="0"/>
              <w:ind w:left="0" w:right="0" w:hanging="0"/>
              <w:rPr/>
            </w:pPr>
            <w:r>
              <w:rPr/>
              <w:t> </w:t>
            </w:r>
          </w:p>
        </w:tc>
      </w:tr>
      <w:tr>
        <w:trPr/>
        <w:tc>
          <w:tcPr>
            <w:tcW w:w="1546"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w:t>
            </w:r>
          </w:p>
        </w:tc>
        <w:tc>
          <w:tcPr>
            <w:tcW w:w="309" w:type="dxa"/>
            <w:tcBorders/>
            <w:shd w:fill="auto" w:val="clear"/>
          </w:tcPr>
          <w:p>
            <w:pPr>
              <w:pStyle w:val="TableContents"/>
              <w:spacing w:before="0" w:after="0"/>
              <w:ind w:left="0" w:right="0" w:hanging="0"/>
              <w:rPr/>
            </w:pPr>
            <w:r>
              <w:rPr/>
              <w:t> </w:t>
            </w:r>
          </w:p>
        </w:tc>
        <w:tc>
          <w:tcPr>
            <w:tcW w:w="78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Legal Opinion of Vinson &amp; Elkins L.L.P.</w:t>
            </w:r>
          </w:p>
        </w:tc>
      </w:tr>
      <w:tr>
        <w:trPr/>
        <w:tc>
          <w:tcPr>
            <w:tcW w:w="1546"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7836" w:type="dxa"/>
            <w:tcBorders/>
            <w:shd w:fill="auto" w:val="clear"/>
          </w:tcPr>
          <w:p>
            <w:pPr>
              <w:pStyle w:val="TableContents"/>
              <w:spacing w:before="0" w:after="0"/>
              <w:ind w:left="0" w:right="0" w:hanging="0"/>
              <w:rPr/>
            </w:pPr>
            <w:r>
              <w:rPr/>
              <w:t> </w:t>
            </w:r>
          </w:p>
        </w:tc>
      </w:tr>
      <w:tr>
        <w:trPr/>
        <w:tc>
          <w:tcPr>
            <w:tcW w:w="1546"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8.1</w:t>
            </w:r>
          </w:p>
        </w:tc>
        <w:tc>
          <w:tcPr>
            <w:tcW w:w="309" w:type="dxa"/>
            <w:tcBorders/>
            <w:shd w:fill="auto" w:val="clear"/>
          </w:tcPr>
          <w:p>
            <w:pPr>
              <w:pStyle w:val="TableContents"/>
              <w:spacing w:before="0" w:after="0"/>
              <w:ind w:left="0" w:right="0" w:hanging="0"/>
              <w:rPr/>
            </w:pPr>
            <w:r>
              <w:rPr/>
              <w:t> </w:t>
            </w:r>
          </w:p>
        </w:tc>
        <w:tc>
          <w:tcPr>
            <w:tcW w:w="78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Opinion of Vinson &amp; Elkins L.L.P. as to certain tax matters.</w:t>
            </w:r>
          </w:p>
        </w:tc>
      </w:tr>
      <w:tr>
        <w:trPr/>
        <w:tc>
          <w:tcPr>
            <w:tcW w:w="1546"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7836" w:type="dxa"/>
            <w:tcBorders/>
            <w:shd w:fill="auto" w:val="clear"/>
          </w:tcPr>
          <w:p>
            <w:pPr>
              <w:pStyle w:val="TableContents"/>
              <w:spacing w:before="0" w:after="0"/>
              <w:ind w:left="0" w:right="0" w:hanging="0"/>
              <w:rPr/>
            </w:pPr>
            <w:r>
              <w:rPr/>
              <w:t> </w:t>
            </w:r>
          </w:p>
        </w:tc>
      </w:tr>
      <w:tr>
        <w:trPr/>
        <w:tc>
          <w:tcPr>
            <w:tcW w:w="1546"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23.1</w:t>
            </w:r>
          </w:p>
        </w:tc>
        <w:tc>
          <w:tcPr>
            <w:tcW w:w="309" w:type="dxa"/>
            <w:tcBorders/>
            <w:shd w:fill="auto" w:val="clear"/>
          </w:tcPr>
          <w:p>
            <w:pPr>
              <w:pStyle w:val="TableContents"/>
              <w:spacing w:before="0" w:after="0"/>
              <w:ind w:left="0" w:right="0" w:hanging="0"/>
              <w:rPr/>
            </w:pPr>
            <w:r>
              <w:rPr/>
              <w:t> </w:t>
            </w:r>
          </w:p>
        </w:tc>
        <w:tc>
          <w:tcPr>
            <w:tcW w:w="78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Consent of Vinson &amp; Elkins L.L.P. (included in Exhibits 5.1 and 8.1)</w:t>
            </w:r>
          </w:p>
        </w:tc>
      </w:tr>
      <w:tr>
        <w:trPr/>
        <w:tc>
          <w:tcPr>
            <w:tcW w:w="1546"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7836" w:type="dxa"/>
            <w:tcBorders/>
            <w:shd w:fill="auto" w:val="clear"/>
          </w:tcPr>
          <w:p>
            <w:pPr>
              <w:pStyle w:val="TableContents"/>
              <w:spacing w:before="0" w:after="0"/>
              <w:ind w:left="0" w:right="0" w:hanging="0"/>
              <w:rPr/>
            </w:pPr>
            <w:r>
              <w:rPr/>
              <w:t> </w:t>
            </w:r>
          </w:p>
        </w:tc>
      </w:tr>
      <w:tr>
        <w:trPr/>
        <w:tc>
          <w:tcPr>
            <w:tcW w:w="1546"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99.1</w:t>
            </w:r>
          </w:p>
        </w:tc>
        <w:tc>
          <w:tcPr>
            <w:tcW w:w="309" w:type="dxa"/>
            <w:tcBorders/>
            <w:shd w:fill="auto" w:val="clear"/>
          </w:tcPr>
          <w:p>
            <w:pPr>
              <w:pStyle w:val="TableContents"/>
              <w:spacing w:before="0" w:after="0"/>
              <w:ind w:left="0" w:right="0" w:hanging="0"/>
              <w:rPr/>
            </w:pPr>
            <w:r>
              <w:rPr/>
              <w:t> </w:t>
            </w:r>
          </w:p>
        </w:tc>
        <w:tc>
          <w:tcPr>
            <w:tcW w:w="78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Press Release of Plains All American Pipeline, L.P. dated July 20, 2006.</w:t>
            </w:r>
          </w:p>
        </w:tc>
      </w:tr>
    </w:tbl>
    <w:p>
      <w:pPr>
        <w:pStyle w:val="TextBody"/>
        <w:spacing w:before="480" w:after="480"/>
        <w:ind w:left="0" w:right="0" w:hanging="0"/>
        <w:rPr>
          <w:rFonts w:ascii="Times New Roman" w:hAnsi="Times New Roman"/>
          <w:sz w:val="17"/>
        </w:rPr>
      </w:pPr>
      <w:r>
        <w:rPr>
          <w:rFonts w:ascii="Times New Roman" w:hAnsi="Times New Roman"/>
          <w:sz w:val="17"/>
        </w:rPr>
        <w:t>2</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0" w:right="0" w:hanging="0"/>
        <w:jc w:val="center"/>
        <w:rPr>
          <w:rFonts w:ascii="Times New Roman" w:hAnsi="Times New Roman"/>
          <w:b/>
          <w:strike w:val="false"/>
          <w:dstrike w:val="false"/>
          <w:sz w:val="17"/>
          <w:u w:val="none"/>
          <w:effect w:val="none"/>
        </w:rPr>
      </w:pPr>
      <w:r>
        <w:rPr>
          <w:rFonts w:ascii="Times New Roman" w:hAnsi="Times New Roman"/>
          <w:b/>
          <w:strike w:val="false"/>
          <w:dstrike w:val="false"/>
          <w:sz w:val="17"/>
          <w:u w:val="none"/>
          <w:effect w:val="none"/>
        </w:rPr>
        <w:t>SIGNATURES</w:t>
      </w:r>
    </w:p>
    <w:p>
      <w:pPr>
        <w:pStyle w:val="TextBody"/>
        <w:spacing w:before="0" w:after="240"/>
        <w:ind w:left="0" w:right="0" w:firstLine="720"/>
        <w:rPr>
          <w:rFonts w:ascii="Times New Roman" w:hAnsi="Times New Roman"/>
          <w:strike w:val="false"/>
          <w:dstrike w:val="false"/>
          <w:sz w:val="17"/>
          <w:u w:val="none"/>
          <w:effect w:val="none"/>
        </w:rPr>
      </w:pPr>
      <w:r>
        <w:rPr>
          <w:rFonts w:ascii="Times New Roman" w:hAnsi="Times New Roman"/>
          <w:strike w:val="false"/>
          <w:dstrike w:val="false"/>
          <w:sz w:val="17"/>
          <w:u w:val="none"/>
          <w:effect w:val="none"/>
        </w:rPr>
        <w:t>Pursuant to the requirements of the Securities Exchange Act of 1934, the registrant has duly caused this report to be signed on its behalf by the undersigned hereunto duly authorized.</w:t>
      </w:r>
    </w:p>
    <w:p>
      <w:pPr>
        <w:pStyle w:val="TextBody"/>
        <w:spacing w:before="0" w:after="240"/>
        <w:ind w:left="0" w:right="0" w:hanging="0"/>
        <w:rPr>
          <w:rFonts w:ascii="Times New Roman" w:hAnsi="Times New Roman"/>
          <w:strike w:val="false"/>
          <w:dstrike w:val="false"/>
          <w:sz w:val="17"/>
          <w:u w:val="none"/>
          <w:effect w:val="none"/>
        </w:rPr>
      </w:pPr>
      <w:r>
        <w:rPr>
          <w:rFonts w:ascii="Times New Roman" w:hAnsi="Times New Roman"/>
          <w:strike w:val="false"/>
          <w:dstrike w:val="false"/>
          <w:sz w:val="17"/>
          <w:u w:val="none"/>
          <w:effect w:val="none"/>
        </w:rPr>
        <w:t>Date:  July 25, 2006</w:t>
      </w:r>
    </w:p>
    <w:tbl>
      <w:tblPr>
        <w:tblW w:w="5000" w:type="pct"/>
        <w:jc w:val="left"/>
        <w:tblInd w:w="0" w:type="dxa"/>
        <w:tblCellMar>
          <w:top w:w="0" w:type="dxa"/>
          <w:left w:w="0" w:type="dxa"/>
          <w:bottom w:w="0" w:type="dxa"/>
          <w:right w:w="0" w:type="dxa"/>
        </w:tblCellMar>
      </w:tblPr>
      <w:tblGrid>
        <w:gridCol w:w="4895"/>
        <w:gridCol w:w="103"/>
        <w:gridCol w:w="520"/>
        <w:gridCol w:w="104"/>
        <w:gridCol w:w="4583"/>
      </w:tblGrid>
      <w:tr>
        <w:trPr/>
        <w:tc>
          <w:tcPr>
            <w:tcW w:w="4895"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tcPr>
          <w:p>
            <w:pPr>
              <w:pStyle w:val="TableContents"/>
              <w:spacing w:before="0" w:after="0"/>
              <w:ind w:left="0" w:right="0" w:hanging="0"/>
              <w:rPr/>
            </w:pPr>
            <w:r>
              <w:rPr/>
              <w:t> </w:t>
            </w:r>
          </w:p>
        </w:tc>
        <w:tc>
          <w:tcPr>
            <w:tcW w:w="5207"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4895" w:type="dxa"/>
            <w:tcBorders/>
            <w:shd w:fill="auto" w:val="clear"/>
          </w:tcPr>
          <w:p>
            <w:pPr>
              <w:pStyle w:val="TableContents"/>
              <w:spacing w:before="0" w:after="0"/>
              <w:ind w:left="0" w:right="0" w:hanging="0"/>
              <w:rPr/>
            </w:pPr>
            <w:r>
              <w:rPr/>
              <w:t> </w:t>
            </w:r>
          </w:p>
        </w:tc>
        <w:tc>
          <w:tcPr>
            <w:tcW w:w="103"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pPr>
            <w:r>
              <w:rPr/>
              <w:t> </w:t>
            </w:r>
          </w:p>
        </w:tc>
        <w:tc>
          <w:tcPr>
            <w:tcW w:w="104" w:type="dxa"/>
            <w:tcBorders/>
            <w:shd w:fill="auto" w:val="clear"/>
          </w:tcPr>
          <w:p>
            <w:pPr>
              <w:pStyle w:val="TableContents"/>
              <w:spacing w:before="0" w:after="0"/>
              <w:ind w:left="0" w:right="0" w:hanging="0"/>
              <w:rPr/>
            </w:pPr>
            <w:r>
              <w:rPr/>
              <w:t> </w:t>
            </w:r>
          </w:p>
        </w:tc>
        <w:tc>
          <w:tcPr>
            <w:tcW w:w="4583" w:type="dxa"/>
            <w:tcBorders/>
            <w:shd w:fill="auto" w:val="clear"/>
          </w:tcPr>
          <w:p>
            <w:pPr>
              <w:pStyle w:val="TableContents"/>
              <w:spacing w:before="0" w:after="0"/>
              <w:ind w:left="0" w:right="0" w:hanging="0"/>
              <w:rPr/>
            </w:pPr>
            <w:r>
              <w:rPr/>
              <w:t> </w:t>
            </w:r>
          </w:p>
        </w:tc>
      </w:tr>
      <w:tr>
        <w:trPr/>
        <w:tc>
          <w:tcPr>
            <w:tcW w:w="4895" w:type="dxa"/>
            <w:tcBorders/>
            <w:shd w:fill="auto" w:val="clear"/>
          </w:tcPr>
          <w:p>
            <w:pPr>
              <w:pStyle w:val="TableContents"/>
              <w:spacing w:before="0" w:after="0"/>
              <w:ind w:left="0" w:right="0" w:hanging="0"/>
              <w:rPr/>
            </w:pPr>
            <w:r>
              <w:rPr/>
              <w:t> </w:t>
            </w:r>
          </w:p>
        </w:tc>
        <w:tc>
          <w:tcPr>
            <w:tcW w:w="103"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sz w:val="17"/>
              </w:rPr>
            </w:pPr>
            <w:r>
              <w:rPr>
                <w:sz w:val="17"/>
              </w:rPr>
              <w:t>By:</w:t>
            </w:r>
          </w:p>
        </w:tc>
        <w:tc>
          <w:tcPr>
            <w:tcW w:w="104" w:type="dxa"/>
            <w:tcBorders/>
            <w:shd w:fill="auto" w:val="clear"/>
          </w:tcPr>
          <w:p>
            <w:pPr>
              <w:pStyle w:val="TableContents"/>
              <w:spacing w:before="0" w:after="0"/>
              <w:ind w:left="0" w:right="0" w:hanging="0"/>
              <w:rPr/>
            </w:pPr>
            <w:r>
              <w:rPr/>
              <w:t> </w:t>
            </w:r>
          </w:p>
        </w:tc>
        <w:tc>
          <w:tcPr>
            <w:tcW w:w="45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general partner</w:t>
            </w:r>
          </w:p>
        </w:tc>
      </w:tr>
      <w:tr>
        <w:trPr/>
        <w:tc>
          <w:tcPr>
            <w:tcW w:w="4895" w:type="dxa"/>
            <w:tcBorders/>
            <w:shd w:fill="auto" w:val="clear"/>
          </w:tcPr>
          <w:p>
            <w:pPr>
              <w:pStyle w:val="TableContents"/>
              <w:spacing w:before="0" w:after="0"/>
              <w:ind w:left="0" w:right="0" w:hanging="0"/>
              <w:rPr/>
            </w:pPr>
            <w:r>
              <w:rPr/>
              <w:t> </w:t>
            </w:r>
          </w:p>
        </w:tc>
        <w:tc>
          <w:tcPr>
            <w:tcW w:w="103"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pPr>
            <w:r>
              <w:rPr/>
              <w:t> </w:t>
            </w:r>
          </w:p>
        </w:tc>
        <w:tc>
          <w:tcPr>
            <w:tcW w:w="104" w:type="dxa"/>
            <w:tcBorders/>
            <w:shd w:fill="auto" w:val="clear"/>
          </w:tcPr>
          <w:p>
            <w:pPr>
              <w:pStyle w:val="TableContents"/>
              <w:spacing w:before="0" w:after="0"/>
              <w:ind w:left="0" w:right="0" w:hanging="0"/>
              <w:rPr/>
            </w:pPr>
            <w:r>
              <w:rPr/>
              <w:t> </w:t>
            </w:r>
          </w:p>
        </w:tc>
        <w:tc>
          <w:tcPr>
            <w:tcW w:w="4583" w:type="dxa"/>
            <w:tcBorders/>
            <w:shd w:fill="auto" w:val="clear"/>
          </w:tcPr>
          <w:p>
            <w:pPr>
              <w:pStyle w:val="TableContents"/>
              <w:spacing w:before="0" w:after="0"/>
              <w:ind w:left="0" w:right="0" w:hanging="0"/>
              <w:rPr/>
            </w:pPr>
            <w:r>
              <w:rPr/>
              <w:t> </w:t>
            </w:r>
          </w:p>
        </w:tc>
      </w:tr>
      <w:tr>
        <w:trPr/>
        <w:tc>
          <w:tcPr>
            <w:tcW w:w="4895" w:type="dxa"/>
            <w:tcBorders/>
            <w:shd w:fill="auto" w:val="clear"/>
          </w:tcPr>
          <w:p>
            <w:pPr>
              <w:pStyle w:val="TableContents"/>
              <w:spacing w:before="0" w:after="0"/>
              <w:ind w:left="0" w:right="0" w:hanging="0"/>
              <w:rPr/>
            </w:pPr>
            <w:r>
              <w:rPr/>
              <w:t> </w:t>
            </w:r>
          </w:p>
        </w:tc>
        <w:tc>
          <w:tcPr>
            <w:tcW w:w="103"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104" w:type="dxa"/>
            <w:tcBorders/>
            <w:shd w:fill="auto" w:val="clear"/>
          </w:tcPr>
          <w:p>
            <w:pPr>
              <w:pStyle w:val="TableContents"/>
              <w:spacing w:before="0" w:after="0"/>
              <w:ind w:left="0" w:right="0" w:hanging="0"/>
              <w:rPr/>
            </w:pPr>
            <w:r>
              <w:rPr/>
              <w:t> </w:t>
            </w:r>
          </w:p>
        </w:tc>
        <w:tc>
          <w:tcPr>
            <w:tcW w:w="45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4895" w:type="dxa"/>
            <w:tcBorders/>
            <w:shd w:fill="auto" w:val="clear"/>
          </w:tcPr>
          <w:p>
            <w:pPr>
              <w:pStyle w:val="TableContents"/>
              <w:spacing w:before="0" w:after="0"/>
              <w:ind w:left="0" w:right="0" w:hanging="0"/>
              <w:rPr/>
            </w:pPr>
            <w:r>
              <w:rPr/>
              <w:t> </w:t>
            </w:r>
          </w:p>
        </w:tc>
        <w:tc>
          <w:tcPr>
            <w:tcW w:w="103"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pPr>
            <w:r>
              <w:rPr/>
              <w:t> </w:t>
            </w:r>
          </w:p>
        </w:tc>
        <w:tc>
          <w:tcPr>
            <w:tcW w:w="104" w:type="dxa"/>
            <w:tcBorders/>
            <w:shd w:fill="auto" w:val="clear"/>
          </w:tcPr>
          <w:p>
            <w:pPr>
              <w:pStyle w:val="TableContents"/>
              <w:spacing w:before="0" w:after="0"/>
              <w:ind w:left="0" w:right="0" w:hanging="0"/>
              <w:rPr/>
            </w:pPr>
            <w:r>
              <w:rPr/>
              <w:t> </w:t>
            </w:r>
          </w:p>
        </w:tc>
        <w:tc>
          <w:tcPr>
            <w:tcW w:w="4583" w:type="dxa"/>
            <w:tcBorders/>
            <w:shd w:fill="auto" w:val="clear"/>
          </w:tcPr>
          <w:p>
            <w:pPr>
              <w:pStyle w:val="TableContents"/>
              <w:spacing w:before="0" w:after="0"/>
              <w:ind w:left="0" w:right="0" w:hanging="0"/>
              <w:rPr/>
            </w:pPr>
            <w:r>
              <w:rPr/>
              <w:t> </w:t>
            </w:r>
          </w:p>
        </w:tc>
      </w:tr>
      <w:tr>
        <w:trPr/>
        <w:tc>
          <w:tcPr>
            <w:tcW w:w="4895" w:type="dxa"/>
            <w:tcBorders/>
            <w:shd w:fill="auto" w:val="clear"/>
          </w:tcPr>
          <w:p>
            <w:pPr>
              <w:pStyle w:val="TableContents"/>
              <w:spacing w:before="0" w:after="0"/>
              <w:ind w:left="0" w:right="0" w:hanging="0"/>
              <w:rPr/>
            </w:pPr>
            <w:r>
              <w:rPr/>
              <w:t> </w:t>
            </w:r>
          </w:p>
        </w:tc>
        <w:tc>
          <w:tcPr>
            <w:tcW w:w="103"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104" w:type="dxa"/>
            <w:tcBorders/>
            <w:shd w:fill="auto" w:val="clear"/>
          </w:tcPr>
          <w:p>
            <w:pPr>
              <w:pStyle w:val="TableContents"/>
              <w:spacing w:before="0" w:after="0"/>
              <w:ind w:left="0" w:right="0" w:hanging="0"/>
              <w:rPr/>
            </w:pPr>
            <w:r>
              <w:rPr/>
              <w:t> </w:t>
            </w:r>
          </w:p>
        </w:tc>
        <w:tc>
          <w:tcPr>
            <w:tcW w:w="458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TIM MOORE</w:t>
            </w:r>
          </w:p>
        </w:tc>
      </w:tr>
      <w:tr>
        <w:trPr/>
        <w:tc>
          <w:tcPr>
            <w:tcW w:w="4895" w:type="dxa"/>
            <w:tcBorders/>
            <w:shd w:fill="auto" w:val="clear"/>
          </w:tcPr>
          <w:p>
            <w:pPr>
              <w:pStyle w:val="TableContents"/>
              <w:spacing w:before="0" w:after="0"/>
              <w:ind w:left="0" w:right="0" w:hanging="0"/>
              <w:rPr/>
            </w:pPr>
            <w:r>
              <w:rPr/>
              <w:t> </w:t>
            </w:r>
          </w:p>
        </w:tc>
        <w:tc>
          <w:tcPr>
            <w:tcW w:w="103"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104" w:type="dxa"/>
            <w:tcBorders/>
            <w:shd w:fill="auto" w:val="clear"/>
          </w:tcPr>
          <w:p>
            <w:pPr>
              <w:pStyle w:val="TableContents"/>
              <w:spacing w:before="0" w:after="0"/>
              <w:ind w:left="0" w:right="0" w:hanging="0"/>
              <w:rPr/>
            </w:pPr>
            <w:r>
              <w:rPr/>
              <w:t> </w:t>
            </w:r>
          </w:p>
        </w:tc>
        <w:tc>
          <w:tcPr>
            <w:tcW w:w="45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Tim Moore</w:t>
            </w:r>
          </w:p>
        </w:tc>
      </w:tr>
      <w:tr>
        <w:trPr/>
        <w:tc>
          <w:tcPr>
            <w:tcW w:w="4895" w:type="dxa"/>
            <w:tcBorders/>
            <w:shd w:fill="auto" w:val="clear"/>
          </w:tcPr>
          <w:p>
            <w:pPr>
              <w:pStyle w:val="TableContents"/>
              <w:spacing w:before="0" w:after="0"/>
              <w:ind w:left="0" w:right="0" w:hanging="0"/>
              <w:rPr/>
            </w:pPr>
            <w:r>
              <w:rPr/>
              <w:t> </w:t>
            </w:r>
          </w:p>
        </w:tc>
        <w:tc>
          <w:tcPr>
            <w:tcW w:w="103"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104" w:type="dxa"/>
            <w:tcBorders/>
            <w:shd w:fill="auto" w:val="clear"/>
          </w:tcPr>
          <w:p>
            <w:pPr>
              <w:pStyle w:val="TableContents"/>
              <w:spacing w:before="0" w:after="0"/>
              <w:ind w:left="0" w:right="0" w:hanging="0"/>
              <w:rPr/>
            </w:pPr>
            <w:r>
              <w:rPr/>
              <w:t> </w:t>
            </w:r>
          </w:p>
        </w:tc>
        <w:tc>
          <w:tcPr>
            <w:tcW w:w="45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bl>
    <w:p>
      <w:pPr>
        <w:pStyle w:val="TextBody"/>
        <w:spacing w:before="0" w:after="24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3</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jc w:val="right"/>
        <w:rPr>
          <w:rFonts w:ascii="Times New Roman" w:hAnsi="Times New Roman"/>
          <w:b/>
          <w:sz w:val="17"/>
        </w:rPr>
      </w:pPr>
      <w:bookmarkStart w:id="3" w:name="a06-16643_1ex1d1.htm"/>
      <w:bookmarkStart w:id="4" w:name="ksa0616643_1ex1d1"/>
      <w:bookmarkEnd w:id="3"/>
      <w:bookmarkEnd w:id="4"/>
      <w:r>
        <w:rPr>
          <w:rFonts w:ascii="Times New Roman" w:hAnsi="Times New Roman"/>
          <w:b/>
          <w:sz w:val="17"/>
        </w:rPr>
        <w:t>Exhibit 1.1</w:t>
      </w:r>
    </w:p>
    <w:p>
      <w:pPr>
        <w:pStyle w:val="TextBody"/>
        <w:spacing w:before="0" w:after="240"/>
        <w:ind w:left="0" w:right="0" w:hanging="0"/>
        <w:jc w:val="right"/>
        <w:rPr>
          <w:rFonts w:ascii="Times New Roman" w:hAnsi="Times New Roman"/>
          <w:b/>
          <w:i/>
          <w:sz w:val="17"/>
        </w:rPr>
      </w:pPr>
      <w:r>
        <w:rPr>
          <w:rFonts w:ascii="Times New Roman" w:hAnsi="Times New Roman"/>
          <w:b/>
          <w:i/>
          <w:sz w:val="17"/>
        </w:rPr>
        <w:t>Execution Copy</w:t>
      </w:r>
    </w:p>
    <w:p>
      <w:pPr>
        <w:pStyle w:val="TextBody"/>
        <w:spacing w:before="0" w:after="240"/>
        <w:ind w:left="0" w:right="0" w:hanging="0"/>
        <w:jc w:val="right"/>
        <w:rPr/>
      </w:pPr>
      <w:r>
        <w:rPr/>
        <w:t> </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COMMON UNIT</w:t>
        <w:br/>
        <w:t>PURCHASE AGREEMENT</w:t>
      </w:r>
    </w:p>
    <w:p>
      <w:pPr>
        <w:pStyle w:val="TextBody"/>
        <w:keepNext w:val="true"/>
        <w:spacing w:before="0" w:after="240"/>
        <w:ind w:left="0" w:right="0" w:hanging="0"/>
        <w:jc w:val="center"/>
        <w:rPr/>
      </w:pPr>
      <w:r>
        <w:rPr/>
        <w:t> </w:t>
      </w:r>
    </w:p>
    <w:p>
      <w:pPr>
        <w:pStyle w:val="TextBody"/>
        <w:keepNext w:val="true"/>
        <w:spacing w:before="0" w:after="240"/>
        <w:ind w:left="0" w:right="0" w:hanging="0"/>
        <w:jc w:val="center"/>
        <w:rPr/>
      </w:pPr>
      <w:r>
        <w:rPr/>
        <w:t> </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by and among</w:t>
      </w:r>
    </w:p>
    <w:p>
      <w:pPr>
        <w:pStyle w:val="TextBody"/>
        <w:keepNext w:val="true"/>
        <w:spacing w:before="0" w:after="240"/>
        <w:ind w:left="0" w:right="0" w:hanging="0"/>
        <w:jc w:val="center"/>
        <w:rPr/>
      </w:pPr>
      <w:r>
        <w:rPr/>
        <w:t> </w:t>
      </w:r>
    </w:p>
    <w:p>
      <w:pPr>
        <w:pStyle w:val="TextBody"/>
        <w:keepNext w:val="true"/>
        <w:spacing w:before="0" w:after="240"/>
        <w:ind w:left="0" w:right="0" w:hanging="0"/>
        <w:jc w:val="center"/>
        <w:rPr/>
      </w:pPr>
      <w:r>
        <w:rPr/>
        <w:t> </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PLAINS ALL AMERICAN PIPELINE, L.P.</w:t>
      </w:r>
    </w:p>
    <w:p>
      <w:pPr>
        <w:pStyle w:val="TextBody"/>
        <w:keepNext w:val="true"/>
        <w:spacing w:before="0" w:after="240"/>
        <w:ind w:left="0" w:right="0" w:hanging="0"/>
        <w:jc w:val="center"/>
        <w:rPr/>
      </w:pPr>
      <w:r>
        <w:rPr/>
        <w:t> </w:t>
      </w:r>
    </w:p>
    <w:p>
      <w:pPr>
        <w:pStyle w:val="TextBody"/>
        <w:keepNext w:val="true"/>
        <w:spacing w:before="0" w:after="240"/>
        <w:ind w:left="0" w:right="0" w:hanging="0"/>
        <w:jc w:val="center"/>
        <w:rPr/>
      </w:pPr>
      <w:r>
        <w:rPr/>
        <w:t> </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and</w:t>
      </w:r>
    </w:p>
    <w:p>
      <w:pPr>
        <w:pStyle w:val="TextBody"/>
        <w:keepNext w:val="true"/>
        <w:spacing w:before="0" w:after="240"/>
        <w:ind w:left="0" w:right="0" w:hanging="0"/>
        <w:jc w:val="center"/>
        <w:rPr/>
      </w:pPr>
      <w:r>
        <w:rPr/>
        <w:t> </w:t>
      </w:r>
    </w:p>
    <w:p>
      <w:pPr>
        <w:pStyle w:val="TextBody"/>
        <w:keepNext w:val="true"/>
        <w:spacing w:before="0" w:after="240"/>
        <w:ind w:left="0" w:right="0" w:hanging="0"/>
        <w:jc w:val="center"/>
        <w:rPr/>
      </w:pPr>
      <w:r>
        <w:rPr/>
        <w:t> </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THE PURCHASERS PARTY HERETO</w:t>
      </w:r>
    </w:p>
    <w:p>
      <w:pPr>
        <w:pStyle w:val="TextBody"/>
        <w:spacing w:before="0" w:after="240"/>
        <w:ind w:left="0" w:right="0" w:hanging="0"/>
        <w:rPr/>
      </w:pPr>
      <w:r>
        <w:rPr/>
        <w:t> </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COMMON UNIT</w:t>
        <w:br/>
        <w:t>PURCHASE AGREEMENT</w:t>
      </w:r>
    </w:p>
    <w:p>
      <w:pPr>
        <w:pStyle w:val="TextBody"/>
        <w:spacing w:before="0" w:after="240"/>
        <w:ind w:left="0" w:right="0" w:firstLine="720"/>
        <w:rPr>
          <w:rFonts w:ascii="Times New Roman" w:hAnsi="Times New Roman"/>
          <w:sz w:val="17"/>
        </w:rPr>
      </w:pPr>
      <w:r>
        <w:rPr>
          <w:rFonts w:ascii="Times New Roman" w:hAnsi="Times New Roman"/>
          <w:sz w:val="17"/>
        </w:rPr>
        <w:t>This COMMON UNIT PURCHASE AGREEMENT is made and entered into as of July 20, 2006 (this </w:t>
      </w:r>
      <w:r>
        <w:rPr>
          <w:rFonts w:ascii="Times New Roman" w:hAnsi="Times New Roman"/>
          <w:sz w:val="17"/>
          <w:u w:val="single"/>
        </w:rPr>
        <w:t>Agreement</w:t>
      </w:r>
      <w:r>
        <w:rPr>
          <w:rFonts w:ascii="Times New Roman" w:hAnsi="Times New Roman"/>
          <w:sz w:val="17"/>
        </w:rPr>
        <w:t>), by and among PLAINS ALL AMERICAN PIPELINE, L.P., a Delaware limited partnership (</w:t>
      </w:r>
      <w:r>
        <w:rPr>
          <w:rFonts w:ascii="Times New Roman" w:hAnsi="Times New Roman"/>
          <w:sz w:val="17"/>
          <w:u w:val="single"/>
        </w:rPr>
        <w:t>Seller</w:t>
      </w:r>
      <w:r>
        <w:rPr>
          <w:rFonts w:ascii="Times New Roman" w:hAnsi="Times New Roman"/>
          <w:sz w:val="17"/>
        </w:rPr>
        <w:t>), and the Purchasers listed on Schedule 2.1 hereto (each a Purchaser and collectively, the </w:t>
      </w:r>
      <w:r>
        <w:rPr>
          <w:rFonts w:ascii="Times New Roman" w:hAnsi="Times New Roman"/>
          <w:sz w:val="17"/>
          <w:u w:val="single"/>
        </w:rPr>
        <w:t>Purchasers</w:t>
      </w:r>
      <w:r>
        <w:rPr>
          <w:rFonts w:ascii="Times New Roman" w:hAnsi="Times New Roman"/>
          <w:sz w:val="17"/>
        </w:rPr>
        <w:t>).</w:t>
      </w:r>
    </w:p>
    <w:p>
      <w:pPr>
        <w:pStyle w:val="TextBody"/>
        <w:spacing w:before="0" w:after="240"/>
        <w:ind w:left="0" w:right="0" w:firstLine="720"/>
        <w:rPr>
          <w:rFonts w:ascii="Times New Roman" w:hAnsi="Times New Roman"/>
          <w:sz w:val="17"/>
        </w:rPr>
      </w:pPr>
      <w:r>
        <w:rPr>
          <w:rFonts w:ascii="Times New Roman" w:hAnsi="Times New Roman"/>
          <w:sz w:val="17"/>
        </w:rPr>
        <w:t>WHEREAS, Seller desires to sell to Purchasers, and Purchasers desire to purchase from Seller, certain common units representing limited partner interests in Seller, subject to the terms and conditions set forth in this Agreement.</w:t>
      </w:r>
    </w:p>
    <w:p>
      <w:pPr>
        <w:pStyle w:val="TextBody"/>
        <w:spacing w:before="0" w:after="240"/>
        <w:ind w:left="0" w:right="0" w:firstLine="720"/>
        <w:rPr>
          <w:rFonts w:ascii="Times New Roman" w:hAnsi="Times New Roman"/>
          <w:sz w:val="17"/>
        </w:rPr>
      </w:pPr>
      <w:r>
        <w:rPr>
          <w:rFonts w:ascii="Times New Roman" w:hAnsi="Times New Roman"/>
          <w:sz w:val="17"/>
        </w:rPr>
        <w:t>NOW, THEREFORE, in consideration of the mutual covenants and agreements set forth herein and for good and valuable consideration, the receipt and sufficiency of which are hereby acknowledged, Seller and each of the Purchasers, severally and not jointly, hereby agree as follows:</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ARTICLE I.</w:t>
      </w:r>
      <w:bookmarkStart w:id="5" w:name="ArticleI__153636"/>
      <w:bookmarkEnd w:id="5"/>
      <w:r>
        <w:rPr>
          <w:rFonts w:ascii="Times New Roman" w:hAnsi="Times New Roman"/>
          <w:b/>
          <w:sz w:val="17"/>
        </w:rPr>
        <w:br/>
        <w:t>DEFINITIONS</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1.1             </w:t>
      </w:r>
      <w:r>
        <w:rPr>
          <w:rFonts w:ascii="Times New Roman" w:hAnsi="Times New Roman"/>
          <w:b w:val="false"/>
          <w:sz w:val="17"/>
          <w:u w:val="single"/>
        </w:rPr>
        <w:t>Definitions</w:t>
      </w:r>
      <w:r>
        <w:rPr>
          <w:rFonts w:ascii="Times New Roman" w:hAnsi="Times New Roman"/>
          <w:b w:val="false"/>
          <w:sz w:val="17"/>
        </w:rPr>
        <w:t>.  As used in this Agreement, and unless the context requires a different meaning, the following terms have the meanings indicated:</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Action</w:t>
      </w:r>
      <w:r>
        <w:rPr>
          <w:rFonts w:ascii="Times New Roman" w:hAnsi="Times New Roman"/>
          <w:sz w:val="17"/>
        </w:rPr>
        <w:t> against a Person means any lawsuit, action, proceeding, investigation or complaint before any governmental authority, mediator or arbitrator.</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Affiliate</w:t>
      </w:r>
      <w:r>
        <w:rPr>
          <w:rFonts w:ascii="Times New Roman" w:hAnsi="Times New Roman"/>
          <w:sz w:val="17"/>
        </w:rPr>
        <w:t> means, with respect to a specified Person, any other Person, whether now in existence or hereafter created, directly or indirectly controlling, controlled by or under direct or indirect common control with such specified Person.  For purposes of this definition, control (including, with correlative meanings, controlling, controlled by, and under common control with) means the power to direct or cause the direction of the management and policies of such Person, directly or indirectly, whether through the ownership of voting securities, by contract or otherwise.</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Agreement</w:t>
      </w:r>
      <w:r>
        <w:rPr>
          <w:rFonts w:ascii="Times New Roman" w:hAnsi="Times New Roman"/>
          <w:sz w:val="17"/>
        </w:rPr>
        <w:t> shall have the meaning specified in the Preamble.</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Business Day</w:t>
      </w:r>
      <w:r>
        <w:rPr>
          <w:rFonts w:ascii="Times New Roman" w:hAnsi="Times New Roman"/>
          <w:sz w:val="17"/>
        </w:rPr>
        <w:t> means any day other than a Saturday, Sunday or a legal holiday or other date on which the NYSE does not open for trading.</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Closing</w:t>
      </w:r>
      <w:r>
        <w:rPr>
          <w:rFonts w:ascii="Times New Roman" w:hAnsi="Times New Roman"/>
          <w:sz w:val="17"/>
        </w:rPr>
        <w:t> shall have the meaning specified in Section 2.3.</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Closing Date</w:t>
      </w:r>
      <w:r>
        <w:rPr>
          <w:rFonts w:ascii="Times New Roman" w:hAnsi="Times New Roman"/>
          <w:sz w:val="17"/>
        </w:rPr>
        <w:t> shall have the meaning specified in Section 2.3.</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Commission</w:t>
      </w:r>
      <w:r>
        <w:rPr>
          <w:rFonts w:ascii="Times New Roman" w:hAnsi="Times New Roman"/>
          <w:sz w:val="17"/>
        </w:rPr>
        <w:t> means the United States Securities and Exchange Commission.</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Common Unit Price</w:t>
      </w:r>
      <w:r>
        <w:rPr>
          <w:rFonts w:ascii="Times New Roman" w:hAnsi="Times New Roman"/>
          <w:sz w:val="17"/>
        </w:rPr>
        <w:t> shall have the meaning specified in Section 2.2.</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Common Units</w:t>
      </w:r>
      <w:r>
        <w:rPr>
          <w:rFonts w:ascii="Times New Roman" w:hAnsi="Times New Roman"/>
          <w:sz w:val="17"/>
        </w:rPr>
        <w:t> means the common units representing limited partner interests in Seller.</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Confidential Information</w:t>
      </w:r>
      <w:r>
        <w:rPr>
          <w:rFonts w:ascii="Times New Roman" w:hAnsi="Times New Roman"/>
          <w:sz w:val="17"/>
        </w:rPr>
        <w:t> means, with respect to each Purchaser, all oral or written information, documents, records and data that Seller or its Representatives furnishes or otherwise discloses to such Purchaser or any of its Representatives in</w:t>
      </w:r>
    </w:p>
    <w:p>
      <w:pPr>
        <w:pStyle w:val="TextBody"/>
        <w:spacing w:before="480" w:after="480"/>
        <w:ind w:left="0" w:right="0" w:hanging="0"/>
        <w:rPr>
          <w:rFonts w:ascii="Times New Roman" w:hAnsi="Times New Roman"/>
          <w:sz w:val="17"/>
        </w:rPr>
      </w:pPr>
      <w:r>
        <w:rPr>
          <w:rFonts w:ascii="Times New Roman" w:hAnsi="Times New Roman"/>
          <w:sz w:val="17"/>
        </w:rPr>
        <w:t>1</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rPr>
          <w:rFonts w:ascii="Times New Roman" w:hAnsi="Times New Roman"/>
          <w:sz w:val="17"/>
        </w:rPr>
      </w:pPr>
      <w:r>
        <w:rPr>
          <w:rFonts w:ascii="Times New Roman" w:hAnsi="Times New Roman"/>
          <w:sz w:val="17"/>
        </w:rPr>
        <w:t>connection with the transaction contemplated hereby together with all copies, extracts, analyses, compilations, studies, memoranda, notes or other documents, records or data (in whatever form maintained, whether documentary, computer or other electronic storage or otherwise) prepared by any Person that contain or otherwise reflect or are generated from such information, documents, records, or data.  The term Confidential Information does not include any information that (a) at the time of disclosure or thereafter is generally available to the public (other than as a result of a disclosure by such Purchaser or its Representatives in breach of this Agreement), (b) is developed by such Purchaser or any of its Representatives, independent of, and without reliance in whole or in part on, any Confidential Information or any knowledge of Confidential Information, (c) becomes available to such Purchaser or its Representatives on a non-confidential basis from a source other than Seller or its Representatives who, insofar as is known to the recipient after reasonable inquiry, is not prohibited from transmitting the information to the recipient by a contractual, legal, fiduciary or other obligation to Purchaser or (d) was available to such Purchaser or its Representatives on a non-confidential basis prior to its disclosure to such Purchaser or its Representatives by Seller or its Representatives.</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Exchange Act</w:t>
      </w:r>
      <w:r>
        <w:rPr>
          <w:rFonts w:ascii="Times New Roman" w:hAnsi="Times New Roman"/>
          <w:sz w:val="17"/>
        </w:rPr>
        <w:t> means the Securities Exchange Act of 1934, as amended from time to time, and the rules and regulations of the Commission promulgated thereunder.</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GAAP</w:t>
      </w:r>
      <w:r>
        <w:rPr>
          <w:rFonts w:ascii="Times New Roman" w:hAnsi="Times New Roman"/>
          <w:sz w:val="17"/>
        </w:rPr>
        <w:t> means generally accepted accounting principles in the United States of America as in effect from time to time.</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Indemnified Party</w:t>
      </w:r>
      <w:r>
        <w:rPr>
          <w:rFonts w:ascii="Times New Roman" w:hAnsi="Times New Roman"/>
          <w:sz w:val="17"/>
        </w:rPr>
        <w:t> shall have the meaning specified in Section 6.3.</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Indemnifying Party</w:t>
      </w:r>
      <w:r>
        <w:rPr>
          <w:rFonts w:ascii="Times New Roman" w:hAnsi="Times New Roman"/>
          <w:sz w:val="17"/>
        </w:rPr>
        <w:t> shall have the meaning specified in Section 6.3.</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NYSE</w:t>
      </w:r>
      <w:r>
        <w:rPr>
          <w:rFonts w:ascii="Times New Roman" w:hAnsi="Times New Roman"/>
          <w:sz w:val="17"/>
        </w:rPr>
        <w:t> means the New York Stock Exchange.</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Parties</w:t>
      </w:r>
      <w:r>
        <w:rPr>
          <w:rFonts w:ascii="Times New Roman" w:hAnsi="Times New Roman"/>
          <w:sz w:val="17"/>
        </w:rPr>
        <w:t> means Seller and the Purchasers.</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Partnership Agreement</w:t>
      </w:r>
      <w:r>
        <w:rPr>
          <w:rFonts w:ascii="Times New Roman" w:hAnsi="Times New Roman"/>
          <w:sz w:val="17"/>
        </w:rPr>
        <w:t> means the Third Amended and Restated Agreement of Limited Partnership of Seller, dated as of June 27, 2001 (the </w:t>
      </w:r>
      <w:r>
        <w:rPr>
          <w:rFonts w:ascii="Times New Roman" w:hAnsi="Times New Roman"/>
          <w:sz w:val="17"/>
          <w:u w:val="single"/>
        </w:rPr>
        <w:t>Partnership Agreement</w:t>
      </w:r>
      <w:r>
        <w:rPr>
          <w:rFonts w:ascii="Times New Roman" w:hAnsi="Times New Roman"/>
          <w:sz w:val="17"/>
        </w:rPr>
        <w:t>), as amended by Amendment No. 1 thereto, and as the same may be further amended from time to time.</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Person</w:t>
      </w:r>
      <w:r>
        <w:rPr>
          <w:rFonts w:ascii="Times New Roman" w:hAnsi="Times New Roman"/>
          <w:sz w:val="17"/>
        </w:rPr>
        <w:t> means any individual, corporation, company, voluntary association, partnership, joint venture, trust, limited liability company, unincorporated organization or government or any agency, instrumentality or political subdivision thereof, or any other form of entity.</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Prospectus</w:t>
      </w:r>
      <w:r>
        <w:rPr>
          <w:rFonts w:ascii="Times New Roman" w:hAnsi="Times New Roman"/>
          <w:sz w:val="17"/>
        </w:rPr>
        <w:t> means any prospectus or prospectuses included in the Registration Statement at the effective time of the Registration Statement, as supplemented by a prospectus supplement relating to the Purchased Units and the offering thereof to be filed pursuant to Rule 424(b) under the Securities Act.  Any reference in this Agreement to the Prospectus shall be deemed to refer to and include the documents incorporated by reference therein pursuant to Item 12 of Form S-3 that were filed under the Exchange Act on or before the issue date of the Prospectus; and any reference to the terms amend, amendment or supplement with respect to the Prospectus shall be deemed to refer to and include the filing of any document under the Exchange Act after the issue date of the Prospectus deemed to be incorporated therein by reference.</w:t>
      </w:r>
    </w:p>
    <w:p>
      <w:pPr>
        <w:pStyle w:val="TextBody"/>
        <w:spacing w:before="480" w:after="480"/>
        <w:ind w:left="0" w:right="0" w:hanging="0"/>
        <w:rPr>
          <w:rFonts w:ascii="Times New Roman" w:hAnsi="Times New Roman"/>
          <w:sz w:val="17"/>
        </w:rPr>
      </w:pPr>
      <w:r>
        <w:rPr>
          <w:rFonts w:ascii="Times New Roman" w:hAnsi="Times New Roman"/>
          <w:sz w:val="17"/>
        </w:rPr>
        <w:t>2</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Purchase Price</w:t>
      </w:r>
      <w:r>
        <w:rPr>
          <w:rFonts w:ascii="Times New Roman" w:hAnsi="Times New Roman"/>
          <w:sz w:val="17"/>
        </w:rPr>
        <w:t> means, with respect to a particular Purchaser, the amount set forth opposite such Purchasers name under the column entitled Purchase Price on Schedule 2.1 to this Agreement.</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Purchased Units</w:t>
      </w:r>
      <w:r>
        <w:rPr>
          <w:rFonts w:ascii="Times New Roman" w:hAnsi="Times New Roman"/>
          <w:sz w:val="17"/>
        </w:rPr>
        <w:t> means, with respect to a particular Purchaser, the number of Common Units set forth opposite such Purchasers name under the column entitled Purchased Units on Schedule 2.1 to this Agreement, which is equal to the rounded amount of the quotient determined by dividing (a) the Purchase Price of such Purchaser by (b) the Common Unit Price.</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Purchaser</w:t>
      </w:r>
      <w:r>
        <w:rPr>
          <w:rFonts w:ascii="Times New Roman" w:hAnsi="Times New Roman"/>
          <w:sz w:val="17"/>
        </w:rPr>
        <w:t> or </w:t>
      </w:r>
      <w:r>
        <w:rPr>
          <w:rFonts w:ascii="Times New Roman" w:hAnsi="Times New Roman"/>
          <w:sz w:val="17"/>
          <w:u w:val="single"/>
        </w:rPr>
        <w:t>Purchasers</w:t>
      </w:r>
      <w:r>
        <w:rPr>
          <w:rFonts w:ascii="Times New Roman" w:hAnsi="Times New Roman"/>
          <w:sz w:val="17"/>
        </w:rPr>
        <w:t> shall have the meaning specified in the Preamble.</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Purchaser Material Adverse Effect</w:t>
      </w:r>
      <w:r>
        <w:rPr>
          <w:rFonts w:ascii="Times New Roman" w:hAnsi="Times New Roman"/>
          <w:sz w:val="17"/>
        </w:rPr>
        <w:t> means, with respect to each Purchaser, any material and adverse effect on (i) the ability of such Purchaser to meet its obligations under this Agreement on a timely basis or (ii) the ability of such Purchaser to consummate the transactions under this Agreement.</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Purchaser Related Parties</w:t>
      </w:r>
      <w:r>
        <w:rPr>
          <w:rFonts w:ascii="Times New Roman" w:hAnsi="Times New Roman"/>
          <w:sz w:val="17"/>
        </w:rPr>
        <w:t> shall have the meaning specified in Section 6.1.</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Registration Statement</w:t>
      </w:r>
      <w:r>
        <w:rPr>
          <w:rFonts w:ascii="Times New Roman" w:hAnsi="Times New Roman"/>
          <w:sz w:val="17"/>
        </w:rPr>
        <w:t> means Sellers registration statement (File No. 333-126447) on Form S-3 filed with the Commission on July 7, 2005, including a form of prospectus, as supplemented, and including the exhibits and financial statements, as amended at the time of the Closing, and any post-effective amendment thereto that becomes effective prior to the Closing Date.  Any reference in this Agreement to the Registration Statement shall be deemed to refer to and include the documents incorporated by reference therein pursuant to Item 12 of Form S-3 that were filed under the Exchange Act on or before the effective date of the Registration Statement; and any reference to the terms amend, amendment or supplement with respect to the Registration Statement shall be deemed to refer to and include the filing of any document under the Exchange Act after the effective date of the Registration Statement deemed to be incorporated therein by reference.</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Representatives</w:t>
      </w:r>
      <w:r>
        <w:rPr>
          <w:rFonts w:ascii="Times New Roman" w:hAnsi="Times New Roman"/>
          <w:sz w:val="17"/>
        </w:rPr>
        <w:t> of any Person means the officers, directors, employees, agents, counsel, investment bankers and other representatives of such Person.</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Securities Act</w:t>
      </w:r>
      <w:r>
        <w:rPr>
          <w:rFonts w:ascii="Times New Roman" w:hAnsi="Times New Roman"/>
          <w:sz w:val="17"/>
        </w:rPr>
        <w:t> means the Securities Act of 1933, as amended from time to time, and the rules and regulations of the Commission promulgated thereunder.</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Seller</w:t>
      </w:r>
      <w:r>
        <w:rPr>
          <w:rFonts w:ascii="Times New Roman" w:hAnsi="Times New Roman"/>
          <w:sz w:val="17"/>
        </w:rPr>
        <w:t> shall have the meaning specified in the Preamble.</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Seller Commission Documents</w:t>
      </w:r>
      <w:r>
        <w:rPr>
          <w:rFonts w:ascii="Times New Roman" w:hAnsi="Times New Roman"/>
          <w:sz w:val="17"/>
        </w:rPr>
        <w:t> shall have the meaning specified in Section 3.3.</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Seller Material Adverse Effect</w:t>
      </w:r>
      <w:r>
        <w:rPr>
          <w:rFonts w:ascii="Times New Roman" w:hAnsi="Times New Roman"/>
          <w:sz w:val="17"/>
        </w:rPr>
        <w:t> means any material adverse effect on (i) the condition (financial or otherwise), business, prospects, properties, net worth or results of operations of Seller and its subsidiaries, taken as a whole, (ii) the ability of Seller to meet its obligations under this Agreement on a timely basis, or (iii) the ability of Seller to consummate the transactions under this Agreement.</w:t>
      </w:r>
    </w:p>
    <w:p>
      <w:pPr>
        <w:pStyle w:val="TextBody"/>
        <w:spacing w:before="0" w:after="240"/>
        <w:ind w:left="0" w:right="0" w:firstLine="720"/>
        <w:rPr>
          <w:rFonts w:ascii="Times New Roman" w:hAnsi="Times New Roman"/>
          <w:sz w:val="17"/>
        </w:rPr>
      </w:pPr>
      <w:r>
        <w:rPr>
          <w:rFonts w:ascii="Times New Roman" w:hAnsi="Times New Roman"/>
          <w:sz w:val="17"/>
        </w:rPr>
        <w:t></w:t>
      </w:r>
      <w:r>
        <w:rPr>
          <w:rFonts w:ascii="Times New Roman" w:hAnsi="Times New Roman"/>
          <w:sz w:val="17"/>
          <w:u w:val="single"/>
        </w:rPr>
        <w:t>Seller Related Parties</w:t>
      </w:r>
      <w:r>
        <w:rPr>
          <w:rFonts w:ascii="Times New Roman" w:hAnsi="Times New Roman"/>
          <w:sz w:val="17"/>
        </w:rPr>
        <w:t> shall have the meaning specified in Section 6.2.</w:t>
      </w:r>
    </w:p>
    <w:p>
      <w:pPr>
        <w:pStyle w:val="TextBody"/>
        <w:spacing w:before="480" w:after="480"/>
        <w:ind w:left="0" w:right="0" w:hanging="0"/>
        <w:rPr>
          <w:rFonts w:ascii="Times New Roman" w:hAnsi="Times New Roman"/>
          <w:sz w:val="17"/>
        </w:rPr>
      </w:pPr>
      <w:r>
        <w:rPr>
          <w:rFonts w:ascii="Times New Roman" w:hAnsi="Times New Roman"/>
          <w:sz w:val="17"/>
        </w:rPr>
        <w:t>3</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ARTICLE II.</w:t>
        <w:br/>
        <w:t>AGREEMENT TO SELL AND PURCHASE</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2.1             </w:t>
      </w:r>
      <w:r>
        <w:rPr>
          <w:rFonts w:ascii="Times New Roman" w:hAnsi="Times New Roman"/>
          <w:b w:val="false"/>
          <w:sz w:val="17"/>
          <w:u w:val="single"/>
        </w:rPr>
        <w:t>Sale and Purchase</w:t>
      </w:r>
      <w:r>
        <w:rPr>
          <w:rFonts w:ascii="Times New Roman" w:hAnsi="Times New Roman"/>
          <w:b w:val="false"/>
          <w:sz w:val="17"/>
        </w:rPr>
        <w:t>.  On the basis of the representations and warranties contained herein and subject to the terms and conditions hereof, at the Closing (as defined in Section 2.3 below), Seller hereby agrees to issue and sell to each Purchaser, and each Purchaser hereby agrees to purchase from Seller, the number of Purchased Units set forth opposite such Purchasers name on Schedule 2.1 to this Agreement, and each Purchaser agrees to pay Seller the amount of the Purchase Price in respect of such Purchased Units set forth opposite such Purchasers name on Schedule 2.1 to this Agreement as consideration for the Purchased Units.</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2.2             </w:t>
      </w:r>
      <w:r>
        <w:rPr>
          <w:rFonts w:ascii="Times New Roman" w:hAnsi="Times New Roman"/>
          <w:b w:val="false"/>
          <w:sz w:val="17"/>
          <w:u w:val="single"/>
        </w:rPr>
        <w:t>Consideration</w:t>
      </w:r>
      <w:r>
        <w:rPr>
          <w:rFonts w:ascii="Times New Roman" w:hAnsi="Times New Roman"/>
          <w:b w:val="false"/>
          <w:sz w:val="17"/>
        </w:rPr>
        <w:t>.  The amount per Common Unit each Purchaser will pay to Seller to purchase the Purchased Units (the </w:t>
      </w:r>
      <w:r>
        <w:rPr>
          <w:rFonts w:ascii="Times New Roman" w:hAnsi="Times New Roman"/>
          <w:b w:val="false"/>
          <w:sz w:val="17"/>
          <w:u w:val="single"/>
        </w:rPr>
        <w:t>Common Unit Price</w:t>
      </w:r>
      <w:r>
        <w:rPr>
          <w:rFonts w:ascii="Times New Roman" w:hAnsi="Times New Roman"/>
          <w:b w:val="false"/>
          <w:sz w:val="17"/>
        </w:rPr>
        <w:t>) shall be $43.00 per Common Unit.</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2.3             </w:t>
      </w:r>
      <w:r>
        <w:rPr>
          <w:rFonts w:ascii="Times New Roman" w:hAnsi="Times New Roman"/>
          <w:b w:val="false"/>
          <w:sz w:val="17"/>
          <w:u w:val="single"/>
        </w:rPr>
        <w:t>Closing</w:t>
      </w:r>
      <w:r>
        <w:rPr>
          <w:rFonts w:ascii="Times New Roman" w:hAnsi="Times New Roman"/>
          <w:b w:val="false"/>
          <w:sz w:val="17"/>
        </w:rPr>
        <w:t>.  Subject to the terms and conditions hereof, the consummation of the purchase and sale of the Purchased Units hereunder (the </w:t>
      </w:r>
      <w:r>
        <w:rPr>
          <w:rFonts w:ascii="Times New Roman" w:hAnsi="Times New Roman"/>
          <w:b w:val="false"/>
          <w:sz w:val="17"/>
          <w:u w:val="single"/>
        </w:rPr>
        <w:t>Closing</w:t>
      </w:r>
      <w:r>
        <w:rPr>
          <w:rFonts w:ascii="Times New Roman" w:hAnsi="Times New Roman"/>
          <w:b w:val="false"/>
          <w:sz w:val="17"/>
        </w:rPr>
        <w:t>) shall take place on July 26, 2006, or at such other time and date thereafter as any Purchaser and Seller may mutually agree (such date, the </w:t>
      </w:r>
      <w:r>
        <w:rPr>
          <w:rFonts w:ascii="Times New Roman" w:hAnsi="Times New Roman"/>
          <w:b w:val="false"/>
          <w:sz w:val="17"/>
          <w:u w:val="single"/>
        </w:rPr>
        <w:t>Closing Date</w:t>
      </w:r>
      <w:r>
        <w:rPr>
          <w:rFonts w:ascii="Times New Roman" w:hAnsi="Times New Roman"/>
          <w:b w:val="false"/>
          <w:sz w:val="17"/>
        </w:rPr>
        <w:t>), at the offices of Vinson &amp; Elkins, L.L.P., 1001 Fannin, Suite 2300, Houston, Texas 77002.</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2.4             </w:t>
      </w:r>
      <w:r>
        <w:rPr>
          <w:rFonts w:ascii="Times New Roman" w:hAnsi="Times New Roman"/>
          <w:b w:val="false"/>
          <w:sz w:val="17"/>
          <w:u w:val="single"/>
        </w:rPr>
        <w:t>Independent Obligations</w:t>
      </w:r>
      <w:r>
        <w:rPr>
          <w:rFonts w:ascii="Times New Roman" w:hAnsi="Times New Roman"/>
          <w:b w:val="false"/>
          <w:sz w:val="17"/>
        </w:rPr>
        <w:t>. The obligation of each Purchaser hereunder is several and not joint and is independent of the obligation of each other Purchaser, and the failure of, or Sellers waiver of, performance by any Purchaser does not excuse performance by any other Purchaser or Seller.  No Purchaser shall be responsible in any way for the performance of the obligations of any other Purchaser under this Agreement.  Nothing contained herein, and no action taken by any Purchaser pursuant 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this Agreement.  Each Purchaser shall be entitled to independently protect and enforce its rights, including without limitation, the rights arising out of this Agreement, and it shall not be necessary for any other Purchaser to be joined as an additional party in any proceeding for such purpose. Each Purchaser acknowledges that such Purchaser is not relying upon any person, firm, or corporation in making its investment in Seller.  Each Purchaser agrees that no Purchaser nor the respective controlling persons, officer, directors, partners, agents, or employees of any Purchaser shall be liable to any other Purchaser for any action heretofore or hereafter taken or omitted to be taken by any of them in connection with the transactions contemplated by this Agreement.</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ARTICLE III.</w:t>
      </w:r>
      <w:bookmarkStart w:id="6" w:name="ArticleIii__153804"/>
      <w:bookmarkEnd w:id="6"/>
      <w:r>
        <w:rPr>
          <w:rFonts w:ascii="Times New Roman" w:hAnsi="Times New Roman"/>
          <w:b/>
          <w:sz w:val="17"/>
        </w:rPr>
        <w:br/>
        <w:t>REPRESENTATIONS AND WARRANTIES</w:t>
        <w:br/>
        <w:t>RELATED TO SELLER</w:t>
      </w:r>
    </w:p>
    <w:p>
      <w:pPr>
        <w:pStyle w:val="TextBody"/>
        <w:spacing w:before="0" w:after="240"/>
        <w:ind w:left="0" w:right="0" w:firstLine="720"/>
        <w:rPr>
          <w:rFonts w:ascii="Times New Roman" w:hAnsi="Times New Roman"/>
          <w:sz w:val="17"/>
        </w:rPr>
      </w:pPr>
      <w:r>
        <w:rPr>
          <w:rFonts w:ascii="Times New Roman" w:hAnsi="Times New Roman"/>
          <w:sz w:val="17"/>
        </w:rPr>
        <w:t>Seller hereby represents and warrants to Purchasers as follows:</w:t>
      </w:r>
    </w:p>
    <w:p>
      <w:pPr>
        <w:pStyle w:val="TextBody"/>
        <w:spacing w:before="480" w:after="480"/>
        <w:ind w:left="0" w:right="0" w:hanging="0"/>
        <w:rPr>
          <w:rFonts w:ascii="Times New Roman" w:hAnsi="Times New Roman"/>
          <w:sz w:val="17"/>
        </w:rPr>
      </w:pPr>
      <w:r>
        <w:rPr>
          <w:rFonts w:ascii="Times New Roman" w:hAnsi="Times New Roman"/>
          <w:sz w:val="17"/>
        </w:rPr>
        <w:t>4</w:t>
      </w:r>
    </w:p>
    <w:p>
      <w:pPr>
        <w:pStyle w:val="TextBody"/>
        <w:spacing w:before="0" w:after="0"/>
        <w:rPr/>
      </w:pPr>
      <w:r>
        <w:rPr/>
      </w:r>
    </w:p>
    <w:p>
      <w:pPr>
        <w:pStyle w:val="HorizontalLine"/>
        <w:pBdr>
          <w:bottom w:val="single" w:sz="18" w:space="0" w:color="010101"/>
        </w:pBdr>
        <w:rPr/>
      </w:pPr>
      <w:r>
        <w:rPr/>
      </w:r>
      <w:r>
        <w:br w:type="page"/>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3.1             </w:t>
      </w:r>
      <w:r>
        <w:rPr>
          <w:rFonts w:ascii="Times New Roman" w:hAnsi="Times New Roman"/>
          <w:b w:val="false"/>
          <w:sz w:val="17"/>
          <w:u w:val="single"/>
        </w:rPr>
        <w:t>Corporate Existence of Seller</w:t>
      </w:r>
      <w:r>
        <w:rPr>
          <w:rFonts w:ascii="Times New Roman" w:hAnsi="Times New Roman"/>
          <w:b w:val="false"/>
          <w:sz w:val="17"/>
        </w:rPr>
        <w:t>.  Seller (a) is a limited partnership duly formed, validly existing and in good standing under the laws of the State of Delaware and (b) has all requisite limited partnership power necessary to own its assets and carry on its business as its business is now being conducted.</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3.2             </w:t>
      </w:r>
      <w:r>
        <w:rPr>
          <w:rFonts w:ascii="Times New Roman" w:hAnsi="Times New Roman"/>
          <w:b w:val="false"/>
          <w:sz w:val="17"/>
          <w:u w:val="single"/>
        </w:rPr>
        <w:t>Valid Issuance of Purchased Units</w:t>
      </w:r>
      <w:r>
        <w:rPr>
          <w:rFonts w:ascii="Times New Roman" w:hAnsi="Times New Roman"/>
          <w:b w:val="false"/>
          <w:sz w:val="17"/>
        </w:rPr>
        <w:t>.  The offer and sale of the Purchased Units and the limited partner interests represented thereby have been duly authorized by Seller and, when issued and delivered to the Purchasers against payment therefor in accordance with the terms of this Agreement, will be validly issued, fully paid (to the extent required under the Partnership Agreement) and nonassessable (except as such nonassessability may be affected by such matters described under the caption The Partnership Agreement  Limited Liability in Sellers Registration Statement on Form S-1 (File No. 333-64107), which is incorporated by reference into Sellers Registration Statement on Form 8-A/A (File No. 001-14569)).</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3.3             </w:t>
      </w:r>
      <w:r>
        <w:rPr>
          <w:rFonts w:ascii="Times New Roman" w:hAnsi="Times New Roman"/>
          <w:b w:val="false"/>
          <w:sz w:val="17"/>
          <w:u w:val="single"/>
        </w:rPr>
        <w:t>Form S-3 Eligibility</w:t>
      </w:r>
      <w:r>
        <w:rPr>
          <w:rFonts w:ascii="Times New Roman" w:hAnsi="Times New Roman"/>
          <w:b w:val="false"/>
          <w:sz w:val="17"/>
        </w:rPr>
        <w:t>.  As of the date hereof, Seller meets the requirements for the use of Form S-3 under the Securities Act, and, as of the Closing Date, Seller will meet the requirements for the use of Form S-3 under the Securities Act.</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3.4             </w:t>
      </w:r>
      <w:r>
        <w:rPr>
          <w:rFonts w:ascii="Times New Roman" w:hAnsi="Times New Roman"/>
          <w:b w:val="false"/>
          <w:sz w:val="17"/>
          <w:u w:val="single"/>
        </w:rPr>
        <w:t>Registration Statement</w:t>
      </w:r>
      <w:r>
        <w:rPr>
          <w:rFonts w:ascii="Times New Roman" w:hAnsi="Times New Roman"/>
          <w:b w:val="false"/>
          <w:sz w:val="17"/>
        </w:rPr>
        <w:t>.  The Registration Statement, at the time it became effective, and the prospectus contained therein, complied, and on the date of this Agreement and the Closing Date and when any post-effective amendment to the Registration Statement becomes effective or any supplement to such prospectus is filed with the Commission, the Registration Statement, the Prospectus and any such amendment or supplement, respectively, will comply, in all material respects with the applicable requirements of the Securities Act; all documents incorporated, or deemed to be incorporated, into the Registration Statement or the Prospectus by reference pursuant to the requirements of Item 12 of Form S-3 under the Securities Act, when they were or are filed with the Commission, conformed or will conform as of their respective dates in all material respects with the applicable requirements of the Exchange Act; and each part of the Registration Statement and any amendment thereto, at the time such part became effective, and the Prospectus and any amendment or supplement thereto, at the time it was or is filed with the Commission pursuant to Rule 424 under the Securities Act and at the time of the Closing, did not and will not contain an untrue statement of a material fact or omit to state a material fact required to be stated therein or necessary to make the statements therein, in the light of the circumstances under which they were made, not misleading, except that this representation and warranty does not apply to statements or omissions in the Registration Statement or Prospectus (or in amendments or supplements thereto) made in reliance upon information, if any, furnished in writing to Seller by any Purchaser.</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3.5             </w:t>
      </w:r>
      <w:r>
        <w:rPr>
          <w:rFonts w:ascii="Times New Roman" w:hAnsi="Times New Roman"/>
          <w:b w:val="false"/>
          <w:sz w:val="17"/>
          <w:u w:val="single"/>
        </w:rPr>
        <w:t>Seller Commission Documents</w:t>
      </w:r>
      <w:r>
        <w:rPr>
          <w:rFonts w:ascii="Times New Roman" w:hAnsi="Times New Roman"/>
          <w:b w:val="false"/>
          <w:sz w:val="17"/>
        </w:rPr>
        <w:t>.  Seller has filed with the Commission all forms, registration statements, reports, schedules and statements required to be filed by it under the Exchange Act or the Securities Act (all such documents, collectively </w:t>
      </w:r>
      <w:r>
        <w:rPr>
          <w:rFonts w:ascii="Times New Roman" w:hAnsi="Times New Roman"/>
          <w:b w:val="false"/>
          <w:sz w:val="17"/>
          <w:u w:val="single"/>
        </w:rPr>
        <w:t>Seller Commission Documents</w:t>
      </w:r>
      <w:r>
        <w:rPr>
          <w:rFonts w:ascii="Times New Roman" w:hAnsi="Times New Roman"/>
          <w:b w:val="false"/>
          <w:sz w:val="17"/>
        </w:rPr>
        <w:t xml:space="preserve">).  The Seller Commission Documents, including, without limitation, any audited or unaudited financial statements and any notes thereto or schedules included therein, at the time filed (in the case of registration </w:t>
      </w:r>
    </w:p>
    <w:p>
      <w:pPr>
        <w:pStyle w:val="TextBody"/>
        <w:spacing w:before="480" w:after="480"/>
        <w:ind w:left="0" w:right="0" w:hanging="0"/>
        <w:rPr>
          <w:rFonts w:ascii="Times New Roman" w:hAnsi="Times New Roman"/>
          <w:sz w:val="17"/>
        </w:rPr>
      </w:pPr>
      <w:r>
        <w:rPr>
          <w:rFonts w:ascii="Times New Roman" w:hAnsi="Times New Roman"/>
          <w:sz w:val="17"/>
        </w:rPr>
        <w:t>5</w:t>
      </w:r>
    </w:p>
    <w:p>
      <w:pPr>
        <w:pStyle w:val="TextBody"/>
        <w:spacing w:before="0" w:after="0"/>
        <w:rPr/>
      </w:pPr>
      <w:r>
        <w:rPr/>
      </w:r>
    </w:p>
    <w:p>
      <w:pPr>
        <w:pStyle w:val="HorizontalLine"/>
        <w:pBdr>
          <w:bottom w:val="single" w:sz="18" w:space="0" w:color="010101"/>
        </w:pBdr>
        <w:rPr/>
      </w:pPr>
      <w:r>
        <w:rPr/>
      </w:r>
      <w:r>
        <w:br w:type="page"/>
      </w:r>
    </w:p>
    <w:p>
      <w:pPr>
        <w:pStyle w:val="Heading2"/>
        <w:keepNext w:val="true"/>
        <w:spacing w:before="0" w:after="240"/>
        <w:ind w:left="0" w:right="0" w:hanging="0"/>
        <w:rPr>
          <w:rFonts w:ascii="Times New Roman" w:hAnsi="Times New Roman"/>
          <w:b w:val="false"/>
          <w:sz w:val="17"/>
        </w:rPr>
      </w:pPr>
      <w:r>
        <w:rPr>
          <w:rFonts w:ascii="Times New Roman" w:hAnsi="Times New Roman"/>
          <w:b w:val="false"/>
          <w:sz w:val="17"/>
        </w:rPr>
        <w:t>statements, solely on the dates of effectiveness) (except to the extent corrected by a subsequently filed Seller Commission Document filed prior to the date hereof) (a) complied as to form in all material respects with applicable accounting requirements and with the published rules and regulations of the Commission with respect thereto, (b) were prepared in accordance with GAAP applied on a consistent basis during the periods involved (except as may be indicated in the notes thereto or, in the case of unaudited statements, as permitted by the applicable rules and regulations of the Commission), and (c) fairly present (subject in the case of unaudited statements to normal, recurring and year-end audit adjustments) in all material respects the consolidated financial position and status of the business of Seller as of the dates thereof and the consolidated results of its operations and cash flows for the periods then ended.  PricewaterhouseCoopers LLP is an independent registered public accounting firm with respect to Seller and has not resigned or been dismissed as independent registered public accountants of Seller as a result of or in connection with any disagreement with Seller on any matter of accounting principles or practices, financial statement disclosure or auditing scope or procedures.</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3.6             </w:t>
      </w:r>
      <w:r>
        <w:rPr>
          <w:rFonts w:ascii="Times New Roman" w:hAnsi="Times New Roman"/>
          <w:b w:val="false"/>
          <w:sz w:val="17"/>
          <w:u w:val="single"/>
        </w:rPr>
        <w:t>No Breach</w:t>
      </w:r>
      <w:r>
        <w:rPr>
          <w:rFonts w:ascii="Times New Roman" w:hAnsi="Times New Roman"/>
          <w:b w:val="false"/>
          <w:sz w:val="17"/>
        </w:rPr>
        <w:t>.  The execution, delivery and performance by Seller of this Agreement and all other agreements and instruments to be executed and delivered by Seller pursuant hereto or in connection with the transactions contemplated by this Agreement, and compliance by Seller with the terms and provisions hereof, do not and will not (a) violate any provision of any statute, rule, regulation or order of any court or governmental authority having jurisdiction over Seller or any of its properties or assets, (b) conflict with or result in a violation of Sellers certificate of limited partnership or the Partnership Agreement, or (c)  result in a violation or breach of or constitute a default under any material agreement to which Seller is a party or by which Seller or any of its properties is bound, except, in the case of clauses (a) and (c), where such violation, breach or default would not, individually or in the aggregate, reasonably be expected to have a Seller Material Adverse Effect.</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3.7             </w:t>
      </w:r>
      <w:r>
        <w:rPr>
          <w:rFonts w:ascii="Times New Roman" w:hAnsi="Times New Roman"/>
          <w:b w:val="false"/>
          <w:sz w:val="17"/>
          <w:u w:val="single"/>
        </w:rPr>
        <w:t>Authority</w:t>
      </w:r>
      <w:r>
        <w:rPr>
          <w:rFonts w:ascii="Times New Roman" w:hAnsi="Times New Roman"/>
          <w:b w:val="false"/>
          <w:sz w:val="17"/>
        </w:rPr>
        <w:t>.  Seller has all necessary limited partnership power and authority to execute, deliver and perform its obligations under this Agreement and to consummate the transactions contemplated hereby; the execution, delivery and performance by Seller of this Agreement and the consummation of the transactions contemplated hereby, have been duly authorized by all necessary limited partnership action on its part; and this Agreement constitutes the legal, valid and binding obligation of Seller, enforceable in accordance with its terms, except as such enforceability may be limited by bankruptcy, insolvency, fraudulent transfer and similar laws affecting creditors rights generally or by general principles of equity.</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3.8             </w:t>
      </w:r>
      <w:r>
        <w:rPr>
          <w:rFonts w:ascii="Times New Roman" w:hAnsi="Times New Roman"/>
          <w:b w:val="false"/>
          <w:sz w:val="17"/>
          <w:u w:val="single"/>
        </w:rPr>
        <w:t>Approvals</w:t>
      </w:r>
      <w:r>
        <w:rPr>
          <w:rFonts w:ascii="Times New Roman" w:hAnsi="Times New Roman"/>
          <w:b w:val="false"/>
          <w:sz w:val="17"/>
        </w:rPr>
        <w:t>.  No authorization, consent, approval, waiver, license, qualification or written exemption from, nor any filing, declaration, qualification or registration with, any governmental authority or any other Person is required in connection with the execution, delivery or performance by Seller of this Agreement, except where the failure to receive such authorization, consent, approval, waiver, license, qualification or written exemption, or to make such filing, declaration, qualification or</w:t>
      </w:r>
    </w:p>
    <w:p>
      <w:pPr>
        <w:pStyle w:val="TextBody"/>
        <w:spacing w:before="480" w:after="480"/>
        <w:ind w:left="0" w:right="0" w:hanging="0"/>
        <w:rPr>
          <w:rFonts w:ascii="Times New Roman" w:hAnsi="Times New Roman"/>
          <w:sz w:val="17"/>
        </w:rPr>
      </w:pPr>
      <w:r>
        <w:rPr>
          <w:rFonts w:ascii="Times New Roman" w:hAnsi="Times New Roman"/>
          <w:sz w:val="17"/>
        </w:rPr>
        <w:t>6</w:t>
      </w:r>
    </w:p>
    <w:p>
      <w:pPr>
        <w:pStyle w:val="TextBody"/>
        <w:spacing w:before="0" w:after="0"/>
        <w:rPr/>
      </w:pPr>
      <w:r>
        <w:rPr/>
      </w:r>
    </w:p>
    <w:p>
      <w:pPr>
        <w:pStyle w:val="HorizontalLine"/>
        <w:pBdr>
          <w:bottom w:val="single" w:sz="18" w:space="0" w:color="010101"/>
        </w:pBdr>
        <w:rPr/>
      </w:pPr>
      <w:r>
        <w:rPr/>
      </w:r>
      <w:r>
        <w:br w:type="page"/>
      </w:r>
    </w:p>
    <w:p>
      <w:pPr>
        <w:pStyle w:val="Heading2"/>
        <w:keepNext w:val="true"/>
        <w:spacing w:before="0" w:after="240"/>
        <w:ind w:left="0" w:right="0" w:hanging="0"/>
        <w:rPr>
          <w:rFonts w:ascii="Times New Roman" w:hAnsi="Times New Roman"/>
          <w:b w:val="false"/>
          <w:sz w:val="17"/>
        </w:rPr>
      </w:pPr>
      <w:r>
        <w:rPr>
          <w:rFonts w:ascii="Times New Roman" w:hAnsi="Times New Roman"/>
          <w:b w:val="false"/>
          <w:sz w:val="17"/>
        </w:rPr>
        <w:t>registration, would not, individually or in the aggregate, reasonably be expected to have a Seller Material Adverse Effect.</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3.9             </w:t>
      </w:r>
      <w:r>
        <w:rPr>
          <w:rFonts w:ascii="Times New Roman" w:hAnsi="Times New Roman"/>
          <w:b w:val="false"/>
          <w:sz w:val="17"/>
          <w:u w:val="single"/>
        </w:rPr>
        <w:t>Investment Company Status</w:t>
      </w:r>
      <w:r>
        <w:rPr>
          <w:rFonts w:ascii="Times New Roman" w:hAnsi="Times New Roman"/>
          <w:b w:val="false"/>
          <w:sz w:val="17"/>
        </w:rPr>
        <w:t>.  Seller is not an investment company within the meaning of the Investment Company Act of 1940, as amended.</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3.10           </w:t>
      </w:r>
      <w:r>
        <w:rPr>
          <w:rFonts w:ascii="Times New Roman" w:hAnsi="Times New Roman"/>
          <w:b w:val="false"/>
          <w:sz w:val="17"/>
          <w:u w:val="single"/>
        </w:rPr>
        <w:t>Certain Fees</w:t>
      </w:r>
      <w:r>
        <w:rPr>
          <w:rFonts w:ascii="Times New Roman" w:hAnsi="Times New Roman"/>
          <w:b w:val="false"/>
          <w:sz w:val="17"/>
        </w:rPr>
        <w:t>.  No fees or commissions will be payable by Seller to brokers, finders, or investment bankers with respect to the sale of any of the Purchased Units or the consummation of the transaction contemplated by this Agreement.</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3.11           </w:t>
      </w:r>
      <w:r>
        <w:rPr>
          <w:rFonts w:ascii="Times New Roman" w:hAnsi="Times New Roman"/>
          <w:b w:val="false"/>
          <w:sz w:val="17"/>
          <w:u w:val="single"/>
        </w:rPr>
        <w:t>No Side Agreements</w:t>
      </w:r>
      <w:r>
        <w:rPr>
          <w:rFonts w:ascii="Times New Roman" w:hAnsi="Times New Roman"/>
          <w:b w:val="false"/>
          <w:sz w:val="17"/>
        </w:rPr>
        <w:t>.  Other than (a) any existing confidentiality agreements in favor of Seller that have been executed by any Purchaser or to which any Purchaser is otherwise bound, (b) any total return swap letter contemplated by Section 5.4(c) and (c) a registration rights agreement to be entered into on the Closing Date among Seller, Vulcan Capital Private Equity I LLC, Kayne Anderson MLP Investment Company and Kayne Anderson Energy Total Return Fund, Inc. (the </w:t>
      </w:r>
      <w:r>
        <w:rPr>
          <w:rFonts w:ascii="Times New Roman" w:hAnsi="Times New Roman"/>
          <w:b w:val="false"/>
          <w:sz w:val="17"/>
          <w:u w:val="single"/>
        </w:rPr>
        <w:t>Registration Rights Agreement</w:t>
      </w:r>
      <w:r>
        <w:rPr>
          <w:rFonts w:ascii="Times New Roman" w:hAnsi="Times New Roman"/>
          <w:b w:val="false"/>
          <w:sz w:val="17"/>
        </w:rPr>
        <w:t>), there are no other agreements by, among or between Seller or its Affiliates, on the one hand, and any Purchaser or its Affiliates, on the other hand, with respect to the transactions contemplated hereby.  For purposes of this Section 3.11, Purchaser or its Affiliates shall not include Plains All American GP LLC, Plains AAP, L.P., Seller or any of their respective subsidiaries and Seller or its Affiliates shall not include Vulcan Capital Private Equity I LLC, Kayne Anderson MLP Investment Company, Kayne Anderson Energy Total Return Fund, Inc. or any of their respective Affiliates.</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3.12           </w:t>
      </w:r>
      <w:r>
        <w:rPr>
          <w:rFonts w:ascii="Times New Roman" w:hAnsi="Times New Roman"/>
          <w:b w:val="false"/>
          <w:sz w:val="17"/>
          <w:u w:val="single"/>
        </w:rPr>
        <w:t>MLP Status</w:t>
      </w:r>
      <w:r>
        <w:rPr>
          <w:rFonts w:ascii="Times New Roman" w:hAnsi="Times New Roman"/>
          <w:b w:val="false"/>
          <w:sz w:val="17"/>
        </w:rPr>
        <w:t>.  Seller has, since its formation, met the gross income requirements of Section 7704(c)(2) of the Internal Revenue Code of 1986, as amended.</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ARTICLE IV.</w:t>
      </w:r>
      <w:bookmarkStart w:id="7" w:name="ArticleIv__153902"/>
      <w:bookmarkEnd w:id="7"/>
      <w:r>
        <w:rPr>
          <w:rFonts w:ascii="Times New Roman" w:hAnsi="Times New Roman"/>
          <w:b/>
          <w:sz w:val="17"/>
        </w:rPr>
        <w:br/>
        <w:t>REPRESENTATIONS AND WARRANTIES OF PURCHASERS</w:t>
      </w:r>
    </w:p>
    <w:p>
      <w:pPr>
        <w:pStyle w:val="TextBody"/>
        <w:spacing w:before="0" w:after="240"/>
        <w:ind w:left="0" w:right="0" w:firstLine="720"/>
        <w:rPr>
          <w:rFonts w:ascii="Times New Roman" w:hAnsi="Times New Roman"/>
          <w:sz w:val="17"/>
        </w:rPr>
      </w:pPr>
      <w:r>
        <w:rPr>
          <w:rFonts w:ascii="Times New Roman" w:hAnsi="Times New Roman"/>
          <w:sz w:val="17"/>
        </w:rPr>
        <w:t>Each Purchaser, severally and not jointly, hereby represents and warrants to Seller as follows:</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4.1             </w:t>
      </w:r>
      <w:r>
        <w:rPr>
          <w:rFonts w:ascii="Times New Roman" w:hAnsi="Times New Roman"/>
          <w:b w:val="false"/>
          <w:sz w:val="17"/>
          <w:u w:val="single"/>
        </w:rPr>
        <w:t>Existence</w:t>
      </w:r>
      <w:r>
        <w:rPr>
          <w:rFonts w:ascii="Times New Roman" w:hAnsi="Times New Roman"/>
          <w:b w:val="false"/>
          <w:sz w:val="17"/>
        </w:rPr>
        <w:t>.  Such Purchaser (a) is an entity duly organized, validly existing and in good standing, as applicable, under the laws of its jurisdiction of organization and (b) has all requisite power necessary to own its assets and carry on its business as its business is now being conducted.</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4.2             </w:t>
      </w:r>
      <w:r>
        <w:rPr>
          <w:rFonts w:ascii="Times New Roman" w:hAnsi="Times New Roman"/>
          <w:b w:val="false"/>
          <w:sz w:val="17"/>
          <w:u w:val="single"/>
        </w:rPr>
        <w:t>No Conflicts</w:t>
      </w:r>
      <w:r>
        <w:rPr>
          <w:rFonts w:ascii="Times New Roman" w:hAnsi="Times New Roman"/>
          <w:b w:val="false"/>
          <w:sz w:val="17"/>
        </w:rPr>
        <w:t>.  The execution, delivery and performance by such Purchaser of this Agreement and all other agreements and instruments to be executed and delivered by such Purchaser pursuant hereto or in connection herewith, compliance by such Purchaser with the terms and provisions hereof and the purchase of the Purchased Units by such Purchaser do not and will not (a) violate any provision of any statute, rule, regulation or order of any court or governmental authority having jurisdiction over such Purchaser or any of its properties or assets, (b) conflict with or result in a violation of any provision of the organizational documents of such Purchaser, or (c) result in a violation or breach of or constitute a default under any material agreement to which such Purchaser is a party or by which such Purchaser or any of its properties is bound, except, in the case</w:t>
      </w:r>
    </w:p>
    <w:p>
      <w:pPr>
        <w:pStyle w:val="TextBody"/>
        <w:spacing w:before="480" w:after="480"/>
        <w:ind w:left="0" w:right="0" w:hanging="0"/>
        <w:rPr>
          <w:rFonts w:ascii="Times New Roman" w:hAnsi="Times New Roman"/>
          <w:sz w:val="17"/>
        </w:rPr>
      </w:pPr>
      <w:r>
        <w:rPr>
          <w:rFonts w:ascii="Times New Roman" w:hAnsi="Times New Roman"/>
          <w:sz w:val="17"/>
        </w:rPr>
        <w:t>7</w:t>
      </w:r>
    </w:p>
    <w:p>
      <w:pPr>
        <w:pStyle w:val="TextBody"/>
        <w:spacing w:before="0" w:after="0"/>
        <w:rPr/>
      </w:pPr>
      <w:r>
        <w:rPr/>
      </w:r>
    </w:p>
    <w:p>
      <w:pPr>
        <w:pStyle w:val="HorizontalLine"/>
        <w:pBdr>
          <w:bottom w:val="single" w:sz="18" w:space="0" w:color="010101"/>
        </w:pBdr>
        <w:rPr/>
      </w:pPr>
      <w:r>
        <w:rPr/>
      </w:r>
      <w:r>
        <w:br w:type="page"/>
      </w:r>
    </w:p>
    <w:p>
      <w:pPr>
        <w:pStyle w:val="Heading2"/>
        <w:keepNext w:val="true"/>
        <w:spacing w:before="0" w:after="240"/>
        <w:ind w:left="0" w:right="0" w:hanging="0"/>
        <w:rPr>
          <w:rFonts w:ascii="Times New Roman" w:hAnsi="Times New Roman"/>
          <w:b w:val="false"/>
          <w:sz w:val="17"/>
        </w:rPr>
      </w:pPr>
      <w:r>
        <w:rPr>
          <w:rFonts w:ascii="Times New Roman" w:hAnsi="Times New Roman"/>
          <w:b w:val="false"/>
          <w:sz w:val="17"/>
        </w:rPr>
        <w:t>of clauses (a) and (c), where such violation, breach or default would not, individually or in the aggregate, reasonably be likely to have a Purchaser Material Adverse Effect.</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4.3             </w:t>
      </w:r>
      <w:r>
        <w:rPr>
          <w:rFonts w:ascii="Times New Roman" w:hAnsi="Times New Roman"/>
          <w:b w:val="false"/>
          <w:sz w:val="17"/>
          <w:u w:val="single"/>
        </w:rPr>
        <w:t>Ownership of Securities</w:t>
      </w:r>
      <w:r>
        <w:rPr>
          <w:rFonts w:ascii="Times New Roman" w:hAnsi="Times New Roman"/>
          <w:b w:val="false"/>
          <w:sz w:val="17"/>
        </w:rPr>
        <w:t>.  Except as otherwise disclosed in Sellers Annual Report on Form 10-K for the year ended December 31, 2005, such Purchaser and its Affiliates do not, as of the date hereof, and, as of the Closing Date, will not, own ten percent or more of Sellers issued and outstanding Common Units.</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4.4             </w:t>
      </w:r>
      <w:r>
        <w:rPr>
          <w:rFonts w:ascii="Times New Roman" w:hAnsi="Times New Roman"/>
          <w:b w:val="false"/>
          <w:sz w:val="17"/>
          <w:u w:val="single"/>
        </w:rPr>
        <w:t>Trading Activities</w:t>
      </w:r>
      <w:r>
        <w:rPr>
          <w:rFonts w:ascii="Times New Roman" w:hAnsi="Times New Roman"/>
          <w:b w:val="false"/>
          <w:sz w:val="17"/>
        </w:rPr>
        <w:t>.  Such Purchasers trading activities, if any, with respect to Sellers Common Units will be in compliance with all applicable state and federal securities laws, rules and regulations and the rules and regulations of the NYSE.</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4.5             </w:t>
      </w:r>
      <w:r>
        <w:rPr>
          <w:rFonts w:ascii="Times New Roman" w:hAnsi="Times New Roman"/>
          <w:b w:val="false"/>
          <w:sz w:val="17"/>
          <w:u w:val="single"/>
        </w:rPr>
        <w:t>Certain Fees</w:t>
      </w:r>
      <w:r>
        <w:rPr>
          <w:rFonts w:ascii="Times New Roman" w:hAnsi="Times New Roman"/>
          <w:b w:val="false"/>
          <w:sz w:val="17"/>
        </w:rPr>
        <w:t>.  No fees or commissions will be payable by such Purchaser to brokers, finders, or investment bankers with respect to the sale of any of the Purchased Units or the consummation of the transaction contemplated by this Agreement.</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4.6             </w:t>
      </w:r>
      <w:r>
        <w:rPr>
          <w:rFonts w:ascii="Times New Roman" w:hAnsi="Times New Roman"/>
          <w:b w:val="false"/>
          <w:sz w:val="17"/>
          <w:u w:val="single"/>
        </w:rPr>
        <w:t>No Side Agreements</w:t>
      </w:r>
      <w:r>
        <w:rPr>
          <w:rFonts w:ascii="Times New Roman" w:hAnsi="Times New Roman"/>
          <w:b w:val="false"/>
          <w:sz w:val="17"/>
        </w:rPr>
        <w:t>.  Other than (a) any existing confidentiality agreements in favor of Seller that have been executed by any Purchaser or to which any Purchaser is otherwise bound, (b) any total return swap letter contemplated by Section 5.4(c) and (c) a registration rights agreement to be entered into on the Closing Date among Seller, Vulcan Capital Private Equity I LLC, Kayne Anderson MLP Investment Company and Kayne Anderson Energy Total Return Fund, Inc.  (the Registration Rights Agreement), there are no other agreements by, among or between such Purchaser and any of its Affiliates, on the one hand, and any of Seller or its Affiliates, on the other hand, with respect to the transactions contemplated hereby.  For purposes of this Section 4.6, Purchaser or its Affiliates shall not include Plains All American GP LLC, Plains AAP, L.P., Seller or any of their respective subsidiaries and Seller or its Affiliates shall not include Vulcan Capital Private Equity I LLC, Kayne Anderson MLP Investment Company, Kayne Anderson Energy Total Return Fund, Inc. or any of their respective Affiliates.</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4.7             </w:t>
      </w:r>
      <w:r>
        <w:rPr>
          <w:rFonts w:ascii="Times New Roman" w:hAnsi="Times New Roman"/>
          <w:b w:val="false"/>
          <w:sz w:val="17"/>
          <w:u w:val="single"/>
        </w:rPr>
        <w:t>Seller Information</w:t>
      </w:r>
      <w:r>
        <w:rPr>
          <w:rFonts w:ascii="Times New Roman" w:hAnsi="Times New Roman"/>
          <w:b w:val="false"/>
          <w:sz w:val="17"/>
        </w:rPr>
        <w:t>.  Each Purchaser acknowledges and agrees that Seller has provided or made available to such Purchaser (through EDGAR or otherwise) the Registration Statement, all documents filed by Seller with the Commission through the date of this Agreement and incorporated by reference into the Registration Statement and all press releases issued by Seller through the date of this Agreement.</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ARTICLE V.</w:t>
      </w:r>
      <w:bookmarkStart w:id="8" w:name="ArticleV__153926"/>
      <w:bookmarkEnd w:id="8"/>
      <w:r>
        <w:rPr>
          <w:rFonts w:ascii="Times New Roman" w:hAnsi="Times New Roman"/>
          <w:b/>
          <w:sz w:val="17"/>
        </w:rPr>
        <w:br/>
        <w:t>CLOSING CONDITIONS</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5.1             </w:t>
      </w:r>
      <w:r>
        <w:rPr>
          <w:rFonts w:ascii="Times New Roman" w:hAnsi="Times New Roman"/>
          <w:b w:val="false"/>
          <w:sz w:val="17"/>
          <w:u w:val="single"/>
        </w:rPr>
        <w:t>Conditions to the Closing</w:t>
      </w:r>
      <w:r>
        <w:rPr>
          <w:rFonts w:ascii="Times New Roman" w:hAnsi="Times New Roman"/>
          <w:b w:val="false"/>
          <w:sz w:val="17"/>
        </w:rPr>
        <w:t>.</w:t>
      </w:r>
    </w:p>
    <w:p>
      <w:pPr>
        <w:pStyle w:val="Heading3"/>
        <w:keepNext w:val="true"/>
        <w:spacing w:before="0" w:after="240"/>
        <w:ind w:left="720" w:right="0" w:firstLine="720"/>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sz w:val="17"/>
          <w:u w:val="single"/>
        </w:rPr>
        <w:t>Mutual Conditions</w:t>
      </w:r>
      <w:r>
        <w:rPr>
          <w:rFonts w:ascii="Times New Roman" w:hAnsi="Times New Roman"/>
          <w:b w:val="false"/>
          <w:sz w:val="17"/>
        </w:rPr>
        <w:t>.  The respective obligation of each Party to consummate the purchase and issuance and sale of the Purchased Units shall be subject to the satisfaction on or prior to the Closing Date of each of the following conditions (any or all of which may be waived by a particular Party on behalf of itself in writing, in whole or in part, to the extent permitted by applicable law):</w:t>
      </w:r>
    </w:p>
    <w:p>
      <w:pPr>
        <w:pStyle w:val="TextBody"/>
        <w:spacing w:before="0" w:after="24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8</w:t>
      </w:r>
    </w:p>
    <w:p>
      <w:pPr>
        <w:pStyle w:val="TextBody"/>
        <w:spacing w:before="0" w:after="0"/>
        <w:rPr/>
      </w:pPr>
      <w:r>
        <w:rPr/>
      </w:r>
    </w:p>
    <w:p>
      <w:pPr>
        <w:pStyle w:val="HorizontalLine"/>
        <w:pBdr>
          <w:bottom w:val="single" w:sz="18" w:space="0" w:color="010101"/>
        </w:pBdr>
        <w:rPr/>
      </w:pPr>
      <w:r>
        <w:rPr/>
      </w:r>
      <w:r>
        <w:br w:type="page"/>
      </w:r>
    </w:p>
    <w:p>
      <w:pPr>
        <w:pStyle w:val="Heading4"/>
        <w:keepNext w:val="true"/>
        <w:spacing w:before="0" w:after="240"/>
        <w:ind w:left="1440" w:right="0" w:firstLine="720"/>
        <w:rPr>
          <w:rFonts w:ascii="Times New Roman" w:hAnsi="Times New Roman"/>
          <w:b w:val="false"/>
          <w:sz w:val="17"/>
        </w:rPr>
      </w:pPr>
      <w:r>
        <w:rPr>
          <w:rFonts w:ascii="Times New Roman" w:hAnsi="Times New Roman"/>
          <w:b w:val="false"/>
          <w:sz w:val="17"/>
        </w:rPr>
        <w:t>(i)            no statute, rule, regulation or order shall have been enacted or promulgated, and no action shall have been taken, by any governmental authority of competent jurisdiction which temporarily, preliminarily or permanently restrains, precludes, enjoins or otherwise prohibits the consummation of the transactions contemplated by this Agreement or makes the transactions contemplated by this Agreement  illegal;</w:t>
      </w:r>
    </w:p>
    <w:p>
      <w:pPr>
        <w:pStyle w:val="Heading4"/>
        <w:keepNext w:val="true"/>
        <w:spacing w:before="0" w:after="240"/>
        <w:ind w:left="1440" w:right="0" w:firstLine="720"/>
        <w:rPr>
          <w:rFonts w:ascii="Times New Roman" w:hAnsi="Times New Roman"/>
          <w:b w:val="false"/>
          <w:sz w:val="17"/>
        </w:rPr>
      </w:pPr>
      <w:r>
        <w:rPr>
          <w:rFonts w:ascii="Times New Roman" w:hAnsi="Times New Roman"/>
          <w:b w:val="false"/>
          <w:sz w:val="17"/>
        </w:rPr>
        <w:t>(ii)           there shall not be pending any suit, action or proceeding by any governmental authority seeking to restrain, preclude, enjoin or prohibit the transactions contemplated by this Agreement;</w:t>
      </w:r>
    </w:p>
    <w:p>
      <w:pPr>
        <w:pStyle w:val="Heading4"/>
        <w:keepNext w:val="true"/>
        <w:spacing w:before="0" w:after="240"/>
        <w:ind w:left="1440" w:right="0" w:firstLine="720"/>
        <w:rPr>
          <w:rFonts w:ascii="Times New Roman" w:hAnsi="Times New Roman"/>
          <w:b w:val="false"/>
          <w:sz w:val="17"/>
        </w:rPr>
      </w:pPr>
      <w:r>
        <w:rPr>
          <w:rFonts w:ascii="Times New Roman" w:hAnsi="Times New Roman"/>
          <w:b w:val="false"/>
          <w:sz w:val="17"/>
        </w:rPr>
        <w:t>(iii)          the Purchased Units shall have been approved for listing on the NYSE, subject to notice of issuance; and</w:t>
      </w:r>
    </w:p>
    <w:p>
      <w:pPr>
        <w:pStyle w:val="Heading4"/>
        <w:keepNext w:val="true"/>
        <w:spacing w:before="0" w:after="240"/>
        <w:ind w:left="1440" w:right="0" w:firstLine="720"/>
        <w:rPr>
          <w:rFonts w:ascii="Times New Roman" w:hAnsi="Times New Roman"/>
          <w:b w:val="false"/>
          <w:sz w:val="17"/>
        </w:rPr>
      </w:pPr>
      <w:r>
        <w:rPr>
          <w:rFonts w:ascii="Times New Roman" w:hAnsi="Times New Roman"/>
          <w:b w:val="false"/>
          <w:sz w:val="17"/>
        </w:rPr>
        <w:t>(iv)          no stop order suspending the effectiveness of the Registration Statement or any part thereof shall have been issued and no proceedings for that purpose shall have been instituted or threatened by any governmental authority.</w:t>
      </w:r>
    </w:p>
    <w:p>
      <w:pPr>
        <w:pStyle w:val="Heading3"/>
        <w:keepNext w:val="true"/>
        <w:spacing w:before="0" w:after="240"/>
        <w:ind w:left="720" w:right="0" w:firstLine="720"/>
        <w:rPr>
          <w:rFonts w:ascii="Times New Roman" w:hAnsi="Times New Roman"/>
          <w:b w:val="false"/>
          <w:sz w:val="17"/>
        </w:rPr>
      </w:pPr>
      <w:r>
        <w:rPr>
          <w:rFonts w:ascii="Times New Roman" w:hAnsi="Times New Roman"/>
          <w:b w:val="false"/>
          <w:sz w:val="17"/>
        </w:rPr>
        <w:t xml:space="preserve">(b)           </w:t>
      </w:r>
      <w:r>
        <w:rPr>
          <w:rFonts w:ascii="Times New Roman" w:hAnsi="Times New Roman"/>
          <w:b w:val="false"/>
          <w:sz w:val="17"/>
          <w:u w:val="single"/>
        </w:rPr>
        <w:t>Each Purchasers Conditions</w:t>
      </w:r>
      <w:r>
        <w:rPr>
          <w:rFonts w:ascii="Times New Roman" w:hAnsi="Times New Roman"/>
          <w:b w:val="false"/>
          <w:sz w:val="17"/>
        </w:rPr>
        <w:t>.  The respective obligation of each Purchaser to consummate the purchase of its Purchased Units shall be subject to the satisfaction on or prior to the Closing Date of each of the following conditions (any or all of which may be waived by a particular Purchaser on behalf of itself in writing, in whole or in part, to the extent permitted by applicable law):</w:t>
      </w:r>
    </w:p>
    <w:p>
      <w:pPr>
        <w:pStyle w:val="Heading4"/>
        <w:keepNext w:val="true"/>
        <w:spacing w:before="0" w:after="240"/>
        <w:ind w:left="1440" w:right="0" w:firstLine="720"/>
        <w:rPr>
          <w:rFonts w:ascii="Times New Roman" w:hAnsi="Times New Roman"/>
          <w:b w:val="false"/>
          <w:sz w:val="17"/>
        </w:rPr>
      </w:pPr>
      <w:r>
        <w:rPr>
          <w:rFonts w:ascii="Times New Roman" w:hAnsi="Times New Roman"/>
          <w:b w:val="false"/>
          <w:sz w:val="17"/>
        </w:rPr>
        <w:t>(i)            Seller shall have performed and complied with the covenants and agreements contained in this Agreement that are required to be performed and complied with by Seller on or prior to the Closing Date;</w:t>
      </w:r>
    </w:p>
    <w:p>
      <w:pPr>
        <w:pStyle w:val="Heading4"/>
        <w:keepNext w:val="true"/>
        <w:spacing w:before="0" w:after="240"/>
        <w:ind w:left="1440" w:right="0" w:firstLine="720"/>
        <w:rPr>
          <w:rFonts w:ascii="Times New Roman" w:hAnsi="Times New Roman"/>
          <w:b w:val="false"/>
          <w:sz w:val="17"/>
        </w:rPr>
      </w:pPr>
      <w:r>
        <w:rPr>
          <w:rFonts w:ascii="Times New Roman" w:hAnsi="Times New Roman"/>
          <w:b w:val="false"/>
          <w:sz w:val="17"/>
        </w:rPr>
        <w:t>(ii)           the representations and warranties of Seller contained in this Agreement that are qualified by materiality or Seller Material Adverse Effect shall be true and correct when made and as of the Closing Date and all other representations and warranties shall be true and correct in all material respects when made and as of the Closing Date, in each case as though made at and as of the Closing Date (except that representations made as of a specific date shall be required to be true and correct as of such date only);</w:t>
      </w:r>
    </w:p>
    <w:p>
      <w:pPr>
        <w:pStyle w:val="Heading4"/>
        <w:keepNext w:val="true"/>
        <w:spacing w:before="0" w:after="240"/>
        <w:ind w:left="1440" w:right="0" w:firstLine="720"/>
        <w:rPr>
          <w:rFonts w:ascii="Times New Roman" w:hAnsi="Times New Roman"/>
          <w:b w:val="false"/>
          <w:sz w:val="17"/>
        </w:rPr>
      </w:pPr>
      <w:r>
        <w:rPr>
          <w:rFonts w:ascii="Times New Roman" w:hAnsi="Times New Roman"/>
          <w:b w:val="false"/>
          <w:sz w:val="17"/>
        </w:rPr>
        <w:t>(iii)          since December 31, 2005, no Seller Material Adverse Effect shall have occurred and be continuing;</w:t>
      </w:r>
    </w:p>
    <w:p>
      <w:pPr>
        <w:pStyle w:val="Heading4"/>
        <w:keepNext w:val="true"/>
        <w:spacing w:before="0" w:after="240"/>
        <w:ind w:left="1440" w:right="0" w:firstLine="720"/>
        <w:rPr>
          <w:rFonts w:ascii="Times New Roman" w:hAnsi="Times New Roman"/>
          <w:b w:val="false"/>
          <w:sz w:val="17"/>
        </w:rPr>
      </w:pPr>
      <w:r>
        <w:rPr>
          <w:rFonts w:ascii="Times New Roman" w:hAnsi="Times New Roman"/>
          <w:b w:val="false"/>
          <w:sz w:val="17"/>
        </w:rPr>
        <w:t>(iv)          Seller shall have delivered, or caused to be delivered, to the Purchasers at the Closing, Sellers closing deliveries described in Section 5.3 of this Agreement; and</w:t>
      </w:r>
    </w:p>
    <w:p>
      <w:pPr>
        <w:pStyle w:val="Heading4"/>
        <w:keepNext w:val="true"/>
        <w:spacing w:before="0" w:after="240"/>
        <w:ind w:left="1440" w:right="0" w:firstLine="720"/>
        <w:rPr>
          <w:rFonts w:ascii="Times New Roman" w:hAnsi="Times New Roman"/>
          <w:b w:val="false"/>
          <w:sz w:val="17"/>
        </w:rPr>
      </w:pPr>
      <w:r>
        <w:rPr>
          <w:rFonts w:ascii="Times New Roman" w:hAnsi="Times New Roman"/>
          <w:b w:val="false"/>
          <w:sz w:val="17"/>
        </w:rPr>
        <w:t>(v)           Seller shall have filed with the Commission a prospectus supplement to the Prospectus related to the purchase and sale of Purchased Units.</w:t>
      </w:r>
    </w:p>
    <w:p>
      <w:pPr>
        <w:pStyle w:val="TextBody"/>
        <w:spacing w:before="480" w:after="480"/>
        <w:ind w:left="0" w:right="0" w:hanging="0"/>
        <w:rPr>
          <w:rFonts w:ascii="Times New Roman" w:hAnsi="Times New Roman"/>
          <w:sz w:val="17"/>
        </w:rPr>
      </w:pPr>
      <w:r>
        <w:rPr>
          <w:rFonts w:ascii="Times New Roman" w:hAnsi="Times New Roman"/>
          <w:sz w:val="17"/>
        </w:rPr>
        <w:t>9</w:t>
      </w:r>
    </w:p>
    <w:p>
      <w:pPr>
        <w:pStyle w:val="TextBody"/>
        <w:spacing w:before="0" w:after="0"/>
        <w:rPr/>
      </w:pPr>
      <w:r>
        <w:rPr/>
      </w:r>
    </w:p>
    <w:p>
      <w:pPr>
        <w:pStyle w:val="HorizontalLine"/>
        <w:pBdr>
          <w:bottom w:val="single" w:sz="18" w:space="0" w:color="010101"/>
        </w:pBdr>
        <w:rPr/>
      </w:pPr>
      <w:r>
        <w:rPr/>
      </w:r>
      <w:r>
        <w:br w:type="page"/>
      </w:r>
    </w:p>
    <w:p>
      <w:pPr>
        <w:pStyle w:val="Heading3"/>
        <w:keepNext w:val="true"/>
        <w:spacing w:before="0" w:after="240"/>
        <w:ind w:left="720" w:right="0" w:firstLine="720"/>
        <w:rPr>
          <w:rFonts w:ascii="Times New Roman" w:hAnsi="Times New Roman"/>
          <w:b w:val="false"/>
          <w:sz w:val="17"/>
        </w:rPr>
      </w:pPr>
      <w:r>
        <w:rPr>
          <w:rFonts w:ascii="Times New Roman" w:hAnsi="Times New Roman"/>
          <w:b w:val="false"/>
          <w:sz w:val="17"/>
        </w:rPr>
        <w:t xml:space="preserve">(c)           </w:t>
      </w:r>
      <w:r>
        <w:rPr>
          <w:rFonts w:ascii="Times New Roman" w:hAnsi="Times New Roman"/>
          <w:b w:val="false"/>
          <w:sz w:val="17"/>
          <w:u w:val="single"/>
        </w:rPr>
        <w:t>Sellers Conditions</w:t>
      </w:r>
      <w:r>
        <w:rPr>
          <w:rFonts w:ascii="Times New Roman" w:hAnsi="Times New Roman"/>
          <w:b w:val="false"/>
          <w:sz w:val="17"/>
        </w:rPr>
        <w:t>.  The obligation of Seller to consummate the sale of the Purchased Units to each of the Purchasers shall be subject to the satisfaction on or prior to the Closing Date of each of the following conditions with respect to each Purchaser individually and not the Purchasers jointly (any or all of which may be waived by Seller in writing, in whole or in part, to the extent permitted by applicable law):</w:t>
      </w:r>
    </w:p>
    <w:p>
      <w:pPr>
        <w:pStyle w:val="Heading4"/>
        <w:keepNext w:val="true"/>
        <w:spacing w:before="0" w:after="240"/>
        <w:ind w:left="1440" w:right="0" w:firstLine="720"/>
        <w:rPr>
          <w:rFonts w:ascii="Times New Roman" w:hAnsi="Times New Roman"/>
          <w:b w:val="false"/>
          <w:sz w:val="17"/>
        </w:rPr>
      </w:pPr>
      <w:r>
        <w:rPr>
          <w:rFonts w:ascii="Times New Roman" w:hAnsi="Times New Roman"/>
          <w:b w:val="false"/>
          <w:sz w:val="17"/>
        </w:rPr>
        <w:t>(i)            such Purchaser shall have performed and complied with the covenants and agreements contained in this Agreement that are required to be performed and complied with by that Purchaser on or prior to the Closing Date;</w:t>
      </w:r>
    </w:p>
    <w:p>
      <w:pPr>
        <w:pStyle w:val="Heading4"/>
        <w:keepNext w:val="true"/>
        <w:spacing w:before="0" w:after="240"/>
        <w:ind w:left="1440" w:right="0" w:firstLine="720"/>
        <w:rPr>
          <w:rFonts w:ascii="Times New Roman" w:hAnsi="Times New Roman"/>
          <w:b w:val="false"/>
          <w:sz w:val="17"/>
        </w:rPr>
      </w:pPr>
      <w:r>
        <w:rPr>
          <w:rFonts w:ascii="Times New Roman" w:hAnsi="Times New Roman"/>
          <w:b w:val="false"/>
          <w:sz w:val="17"/>
        </w:rPr>
        <w:t>(ii)           the representations and warranties of such Purchaser contained in this Agreement that are qualified by materiality or Purchaser Material Adverse Effect shall be true and correct when made and as of the Closing Date and all other representations and warranties shall be true and correct in all material respects when made and as of the Closing Date, in each case as though made at and as of the Closing Date  (except that representations made as of a specific date shall be required to be true and correct as of such date only);</w:t>
      </w:r>
    </w:p>
    <w:p>
      <w:pPr>
        <w:pStyle w:val="Heading4"/>
        <w:keepNext w:val="true"/>
        <w:spacing w:before="0" w:after="240"/>
        <w:ind w:left="1440" w:right="0" w:firstLine="720"/>
        <w:rPr>
          <w:rFonts w:ascii="Times New Roman" w:hAnsi="Times New Roman"/>
          <w:b w:val="false"/>
          <w:sz w:val="17"/>
        </w:rPr>
      </w:pPr>
      <w:r>
        <w:rPr>
          <w:rFonts w:ascii="Times New Roman" w:hAnsi="Times New Roman"/>
          <w:b w:val="false"/>
          <w:sz w:val="17"/>
        </w:rPr>
        <w:t>(iii)          since the date of this Agreement, no Purchaser Material Adverse Effect shall have occurred and be continuing; and</w:t>
      </w:r>
    </w:p>
    <w:p>
      <w:pPr>
        <w:pStyle w:val="Heading4"/>
        <w:keepNext w:val="true"/>
        <w:spacing w:before="0" w:after="240"/>
        <w:ind w:left="1440" w:right="0" w:firstLine="720"/>
        <w:rPr>
          <w:rFonts w:ascii="Times New Roman" w:hAnsi="Times New Roman"/>
          <w:b w:val="false"/>
          <w:sz w:val="17"/>
        </w:rPr>
      </w:pPr>
      <w:r>
        <w:rPr>
          <w:rFonts w:ascii="Times New Roman" w:hAnsi="Times New Roman"/>
          <w:b w:val="false"/>
          <w:sz w:val="17"/>
        </w:rPr>
        <w:t>(iv)          such Purchaser shall have delivered, or caused to be delivered, to Seller at the Closing, such Purchasers closing deliveries described in Section 5.4 of this Agreement.</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5.2             </w:t>
      </w:r>
      <w:r>
        <w:rPr>
          <w:rFonts w:ascii="Times New Roman" w:hAnsi="Times New Roman"/>
          <w:b w:val="false"/>
          <w:sz w:val="17"/>
          <w:u w:val="single"/>
        </w:rPr>
        <w:t>Termination</w:t>
      </w:r>
      <w:r>
        <w:rPr>
          <w:rFonts w:ascii="Times New Roman" w:hAnsi="Times New Roman"/>
          <w:b w:val="false"/>
          <w:sz w:val="17"/>
        </w:rPr>
        <w:t>.  In the event that any condition to a Partys obligation to close specified in Section 5.1 is not satisfied or waived on the Closing Date, such Party may terminate this Agreement upon written notice to the other Party.  In the event of any termination of this Agreement, this Agreement shall forthwith become null and void.  In the event of such termination, there shall be no liability on the part of any Party hereto; provided that nothing herein shall relieve any Party from any liability or obligation with respect to any willful breach of this Agreement.  Notwithstanding the foregoing, any termination of this Agreement by any Purchaser shall not serve to terminate this Agreement as between any Purchaser not so terminating and Seller.</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5.3             </w:t>
      </w:r>
      <w:r>
        <w:rPr>
          <w:rFonts w:ascii="Times New Roman" w:hAnsi="Times New Roman"/>
          <w:b w:val="false"/>
          <w:sz w:val="17"/>
          <w:u w:val="single"/>
        </w:rPr>
        <w:t>Seller Deliveries</w:t>
      </w:r>
      <w:r>
        <w:rPr>
          <w:rFonts w:ascii="Times New Roman" w:hAnsi="Times New Roman"/>
          <w:b w:val="false"/>
          <w:sz w:val="17"/>
        </w:rPr>
        <w:t>.  At the Closing, subject to the terms and conditions of this Agreement, Seller will deliver, or cause to be delivered, to the Purchasers:</w:t>
      </w:r>
    </w:p>
    <w:p>
      <w:pPr>
        <w:pStyle w:val="Heading3"/>
        <w:keepNext w:val="true"/>
        <w:spacing w:before="0" w:after="240"/>
        <w:ind w:left="720" w:right="0" w:firstLine="720"/>
        <w:rPr>
          <w:rFonts w:ascii="Times New Roman" w:hAnsi="Times New Roman"/>
          <w:b w:val="false"/>
          <w:sz w:val="17"/>
        </w:rPr>
      </w:pPr>
      <w:r>
        <w:rPr>
          <w:rFonts w:ascii="Times New Roman" w:hAnsi="Times New Roman"/>
          <w:b w:val="false"/>
          <w:sz w:val="17"/>
        </w:rPr>
        <w:t>(a)           the applicable Purchased Units, which Seller shall cause to be electronically delivered to The Depository Trust Company on each Purchasers behalf, registered in such name(s) as such Purchaser shall, with reasonable notice, have designated, all free and clear of any liens, encumbrances or interests of any other Person; and</w:t>
      </w:r>
    </w:p>
    <w:p>
      <w:pPr>
        <w:pStyle w:val="TextBody"/>
        <w:spacing w:before="480" w:after="480"/>
        <w:ind w:left="0" w:right="0" w:hanging="0"/>
        <w:rPr>
          <w:rFonts w:ascii="Times New Roman" w:hAnsi="Times New Roman"/>
          <w:sz w:val="17"/>
        </w:rPr>
      </w:pPr>
      <w:r>
        <w:rPr>
          <w:rFonts w:ascii="Times New Roman" w:hAnsi="Times New Roman"/>
          <w:sz w:val="17"/>
        </w:rPr>
        <w:t>10</w:t>
      </w:r>
    </w:p>
    <w:p>
      <w:pPr>
        <w:pStyle w:val="TextBody"/>
        <w:spacing w:before="0" w:after="0"/>
        <w:rPr/>
      </w:pPr>
      <w:r>
        <w:rPr/>
      </w:r>
    </w:p>
    <w:p>
      <w:pPr>
        <w:pStyle w:val="HorizontalLine"/>
        <w:pBdr>
          <w:bottom w:val="single" w:sz="18" w:space="0" w:color="010101"/>
        </w:pBdr>
        <w:rPr/>
      </w:pPr>
      <w:r>
        <w:rPr/>
      </w:r>
      <w:r>
        <w:br w:type="page"/>
      </w:r>
    </w:p>
    <w:p>
      <w:pPr>
        <w:pStyle w:val="Heading3"/>
        <w:keepNext w:val="true"/>
        <w:spacing w:before="0" w:after="240"/>
        <w:ind w:left="720" w:right="0" w:firstLine="720"/>
        <w:rPr>
          <w:rFonts w:ascii="Times New Roman" w:hAnsi="Times New Roman"/>
          <w:b w:val="false"/>
          <w:sz w:val="17"/>
        </w:rPr>
      </w:pPr>
      <w:r>
        <w:rPr>
          <w:rFonts w:ascii="Times New Roman" w:hAnsi="Times New Roman"/>
          <w:b w:val="false"/>
          <w:sz w:val="17"/>
        </w:rPr>
        <w:t>(b)           an officers certificate in form reasonably satisfactory to the Purchasers attesting to the matters set forth in Section 5.1(b)(i), (ii) and (iii).</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5.4             </w:t>
      </w:r>
      <w:r>
        <w:rPr>
          <w:rFonts w:ascii="Times New Roman" w:hAnsi="Times New Roman"/>
          <w:b w:val="false"/>
          <w:sz w:val="17"/>
          <w:u w:val="single"/>
        </w:rPr>
        <w:t>Purchaser Deliveries</w:t>
      </w:r>
      <w:r>
        <w:rPr>
          <w:rFonts w:ascii="Times New Roman" w:hAnsi="Times New Roman"/>
          <w:b w:val="false"/>
          <w:sz w:val="17"/>
        </w:rPr>
        <w:t>.  At the Closing, subject to the terms and conditions of this Agreement, each Purchaser will deliver, or cause to be delivered, to Seller:</w:t>
      </w:r>
    </w:p>
    <w:p>
      <w:pPr>
        <w:pStyle w:val="Heading3"/>
        <w:keepNext w:val="true"/>
        <w:spacing w:before="0" w:after="240"/>
        <w:ind w:left="720" w:right="0" w:firstLine="720"/>
        <w:rPr>
          <w:rFonts w:ascii="Times New Roman" w:hAnsi="Times New Roman"/>
          <w:b w:val="false"/>
          <w:sz w:val="17"/>
        </w:rPr>
      </w:pPr>
      <w:r>
        <w:rPr>
          <w:rFonts w:ascii="Times New Roman" w:hAnsi="Times New Roman"/>
          <w:b w:val="false"/>
          <w:sz w:val="17"/>
        </w:rPr>
        <w:t>(a)           payment to Seller of the amount of the applicable Purchase Price set forth opposite such Purchasers name on Schedule 2.1 to this Agreement for the applicable Purchased Units by wire transfer of immediately available funds to an account designated by Seller in writing at least two (2) Business Days (or such shorter period as shall be agreeable to the applicable Parties) prior to the Closing;</w:t>
      </w:r>
    </w:p>
    <w:p>
      <w:pPr>
        <w:pStyle w:val="Heading3"/>
        <w:keepNext w:val="true"/>
        <w:spacing w:before="0" w:after="240"/>
        <w:ind w:left="720" w:right="0" w:firstLine="720"/>
        <w:rPr>
          <w:rFonts w:ascii="Times New Roman" w:hAnsi="Times New Roman"/>
          <w:b w:val="false"/>
          <w:sz w:val="17"/>
        </w:rPr>
      </w:pPr>
      <w:r>
        <w:rPr>
          <w:rFonts w:ascii="Times New Roman" w:hAnsi="Times New Roman"/>
          <w:b w:val="false"/>
          <w:sz w:val="17"/>
        </w:rPr>
        <w:t>(b)           an officers certificate in form reasonably acceptable to Seller attesting to the matters set forth in Section 5.1(c)(i), (ii) and (iii); and</w:t>
      </w:r>
    </w:p>
    <w:p>
      <w:pPr>
        <w:pStyle w:val="Heading3"/>
        <w:keepNext w:val="true"/>
        <w:spacing w:before="0" w:after="240"/>
        <w:ind w:left="720" w:right="0" w:firstLine="720"/>
        <w:rPr>
          <w:rFonts w:ascii="Times New Roman" w:hAnsi="Times New Roman"/>
          <w:b w:val="false"/>
          <w:sz w:val="17"/>
        </w:rPr>
      </w:pPr>
      <w:r>
        <w:rPr>
          <w:rFonts w:ascii="Times New Roman" w:hAnsi="Times New Roman"/>
          <w:b w:val="false"/>
          <w:sz w:val="17"/>
        </w:rPr>
        <w:t>(c)           with respect to any Purchaser effecting a total return swap, Seller shall have received a letter from such Purchaser regarding certain tax withholding matters in form reasonably acceptable to Seller.</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ARTICLE VI.</w:t>
      </w:r>
      <w:bookmarkStart w:id="9" w:name="ArticleVi__155510"/>
      <w:bookmarkEnd w:id="9"/>
      <w:r>
        <w:rPr>
          <w:rFonts w:ascii="Times New Roman" w:hAnsi="Times New Roman"/>
          <w:b/>
          <w:sz w:val="17"/>
        </w:rPr>
        <w:br/>
        <w:t>INDEMNIFICATION</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6.1             </w:t>
      </w:r>
      <w:r>
        <w:rPr>
          <w:rFonts w:ascii="Times New Roman" w:hAnsi="Times New Roman"/>
          <w:b w:val="false"/>
          <w:sz w:val="17"/>
          <w:u w:val="single"/>
        </w:rPr>
        <w:t>Indemnification by Seller</w:t>
      </w:r>
      <w:r>
        <w:rPr>
          <w:rFonts w:ascii="Times New Roman" w:hAnsi="Times New Roman"/>
          <w:b w:val="false"/>
          <w:sz w:val="17"/>
        </w:rPr>
        <w:t>.  Seller agrees to indemnify each Purchaser and its Affiliates and each of their respective officers, directors, employees and agents (collectively, </w:t>
      </w:r>
      <w:r>
        <w:rPr>
          <w:rFonts w:ascii="Times New Roman" w:hAnsi="Times New Roman"/>
          <w:b w:val="false"/>
          <w:sz w:val="17"/>
          <w:u w:val="single"/>
        </w:rPr>
        <w:t>Purchaser Related Parties</w:t>
      </w:r>
      <w:r>
        <w:rPr>
          <w:rFonts w:ascii="Times New Roman" w:hAnsi="Times New Roman"/>
          <w:b w:val="false"/>
          <w:sz w:val="17"/>
        </w:rPr>
        <w:t>), from, and hold each of them harmless against any and all actions, suits, proceedings (including any investigations, litigation or inquiries), demands, and causes of action, and, in connection therewith, and promptly upon demand, pay or reimburse each of them for all reasonable costs, losses, liabilities, damages, or expenses of any kind or nature whatsoever, including, without limitation, the reasonable fees and disbursements of counsel and all other reasonable expenses incurred in connection with investigating, defending or preparing to defend any such matter that may be incurred by them or asserted against or involve any of them as a result of, arising out of, or in any way related to the breach of any of the representations, warranties or covenants of Seller contained herein, provided such claim for indemnification relating to a breach of a representation or warranty is made prior to the expiration of such representation or warranty.  Furthermore, Seller agrees that it will indemnify and hold harmless each Purchaser and Purchaser Related Parties from and against any and all claims, demands or liabilities for brokers, finders, placement or other similar fees or commissions incurred by Seller or alleged to have been incurred by Seller in connection with the sale of any of the Purchased Units or the consummation of the transactions contemplated by this Agreement.</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6.2             </w:t>
      </w:r>
      <w:r>
        <w:rPr>
          <w:rFonts w:ascii="Times New Roman" w:hAnsi="Times New Roman"/>
          <w:b w:val="false"/>
          <w:sz w:val="17"/>
          <w:u w:val="single"/>
        </w:rPr>
        <w:t>Indemnification by Purchasers</w:t>
      </w:r>
      <w:r>
        <w:rPr>
          <w:rFonts w:ascii="Times New Roman" w:hAnsi="Times New Roman"/>
          <w:b w:val="false"/>
          <w:sz w:val="17"/>
        </w:rPr>
        <w:t>.  Each Purchaser agrees, severally and not jointly, to indemnify Seller and its officers, directors, employees and agents (collectively, </w:t>
      </w:r>
      <w:r>
        <w:rPr>
          <w:rFonts w:ascii="Times New Roman" w:hAnsi="Times New Roman"/>
          <w:b w:val="false"/>
          <w:sz w:val="17"/>
          <w:u w:val="single"/>
        </w:rPr>
        <w:t>Seller Related Parties</w:t>
      </w:r>
      <w:r>
        <w:rPr>
          <w:rFonts w:ascii="Times New Roman" w:hAnsi="Times New Roman"/>
          <w:b w:val="false"/>
          <w:sz w:val="17"/>
        </w:rPr>
        <w:t>) from, and hold each of them harmless against any and all actions, suits, proceedings (including any investigations, litigation, or inquiries),</w:t>
      </w:r>
    </w:p>
    <w:p>
      <w:pPr>
        <w:pStyle w:val="TextBody"/>
        <w:spacing w:before="480" w:after="480"/>
        <w:ind w:left="0" w:right="0" w:hanging="0"/>
        <w:rPr>
          <w:rFonts w:ascii="Times New Roman" w:hAnsi="Times New Roman"/>
          <w:sz w:val="17"/>
        </w:rPr>
      </w:pPr>
      <w:r>
        <w:rPr>
          <w:rFonts w:ascii="Times New Roman" w:hAnsi="Times New Roman"/>
          <w:sz w:val="17"/>
        </w:rPr>
        <w:t>11</w:t>
      </w:r>
    </w:p>
    <w:p>
      <w:pPr>
        <w:pStyle w:val="TextBody"/>
        <w:spacing w:before="0" w:after="0"/>
        <w:rPr/>
      </w:pPr>
      <w:r>
        <w:rPr/>
      </w:r>
    </w:p>
    <w:p>
      <w:pPr>
        <w:pStyle w:val="HorizontalLine"/>
        <w:pBdr>
          <w:bottom w:val="single" w:sz="18" w:space="0" w:color="010101"/>
        </w:pBdr>
        <w:rPr/>
      </w:pPr>
      <w:r>
        <w:rPr/>
      </w:r>
      <w:r>
        <w:br w:type="page"/>
      </w:r>
    </w:p>
    <w:p>
      <w:pPr>
        <w:pStyle w:val="Heading2"/>
        <w:keepNext w:val="true"/>
        <w:spacing w:before="0" w:after="240"/>
        <w:ind w:left="0" w:right="0" w:hanging="0"/>
        <w:rPr>
          <w:rFonts w:ascii="Times New Roman" w:hAnsi="Times New Roman"/>
          <w:b w:val="false"/>
          <w:sz w:val="17"/>
        </w:rPr>
      </w:pPr>
      <w:r>
        <w:rPr>
          <w:rFonts w:ascii="Times New Roman" w:hAnsi="Times New Roman"/>
          <w:b w:val="false"/>
          <w:sz w:val="17"/>
        </w:rPr>
        <w:t>demands, and causes of action, and, in connection therewith, and promptly upon demand, pay or reimburse each of them for all reasonable costs, losses, liabilities, damages, or expenses of any kind or nature whatsoever, including, without limitation, the reasonable fees and disbursements of counsel and all other reasonable expenses incurred in connection with investigating, defending or preparing to defend any such matter to the extent that it may be incurred by them or asserted against or involve any of them as a result of, arising out of, or in any way related to the breach of any of the representations, warranties or covenants of Purchaser contained herein, provided such claim for indemnification relating to a breach of the representations and warranties is made prior to the expiration of such representations and warranties.  Furthermore, each Purchaser agrees, severally and not jointly, that it will indemnify and hold harmless Seller and Seller Related Parties from and against any and all claims, demands or liabilities for brokers, finders, placement or other similar fees or commissions incurred by such Purchaser or alleged to have been incurred by such Purchaser in connection with the purchase of any of the Purchased Units or the consummation of the transactions contemplated by this Agreement.</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6.3             </w:t>
      </w:r>
      <w:r>
        <w:rPr>
          <w:rFonts w:ascii="Times New Roman" w:hAnsi="Times New Roman"/>
          <w:b w:val="false"/>
          <w:sz w:val="17"/>
          <w:u w:val="single"/>
        </w:rPr>
        <w:t>Indemnification Procedures</w:t>
      </w:r>
      <w:r>
        <w:rPr>
          <w:rFonts w:ascii="Times New Roman" w:hAnsi="Times New Roman"/>
          <w:b w:val="false"/>
          <w:sz w:val="17"/>
        </w:rPr>
        <w:t>.  Promptly after any Seller Related Party or Purchaser Related Party (hereinafter, the </w:t>
      </w:r>
      <w:r>
        <w:rPr>
          <w:rFonts w:ascii="Times New Roman" w:hAnsi="Times New Roman"/>
          <w:b w:val="false"/>
          <w:sz w:val="17"/>
          <w:u w:val="single"/>
        </w:rPr>
        <w:t>Indemnified Party</w:t>
      </w:r>
      <w:r>
        <w:rPr>
          <w:rFonts w:ascii="Times New Roman" w:hAnsi="Times New Roman"/>
          <w:b w:val="false"/>
          <w:sz w:val="17"/>
        </w:rPr>
        <w:t>) has received notice of any indemnifiable claim hereunder, or the commencement of any Action or proceeding by a third person, which the Indemnified Party believes in good faith is an indemnifiable claim under this Agreement, the Indemnified Party shall give the indemnitor hereunder (the </w:t>
      </w:r>
      <w:r>
        <w:rPr>
          <w:rFonts w:ascii="Times New Roman" w:hAnsi="Times New Roman"/>
          <w:b w:val="false"/>
          <w:sz w:val="17"/>
          <w:u w:val="single"/>
        </w:rPr>
        <w:t>Indemnifying Party</w:t>
      </w:r>
      <w:r>
        <w:rPr>
          <w:rFonts w:ascii="Times New Roman" w:hAnsi="Times New Roman"/>
          <w:b w:val="false"/>
          <w:sz w:val="17"/>
        </w:rPr>
        <w:t xml:space="preserve">) written notice of such claim or the commencement of such Action or proceeding, but failure to so notify the Indemnifying Party will not relieve the Indemnifying Party from any liability it may have to such Indemnified Party hereunder except to the extent that the Indemnifying Party is materially prejudiced by such failure.  Such notice shall state the nature and the basis of such claim to the extent then known.  The Indemnifying Party shall have the right to defend and settle, at its own expense and by its own counsel, any such matter as long as the Indemnifying Party pursues the same diligently and in good faith.  If the Indemnifying Party undertakes to defend or settle, it shall promptly notify the Indemnified Party of its intention to do so, and the Indemnified Party shall cooperate with the Indemnifying Party and its counsel in all commercially reasonable respects in the defense thereof and the settlement thereof.  Such cooperation shall include, but shall not be limited to, furnishing the Indemnifying Party with any books, records and other information reasonably requested by the Indemnifying Party and in the Indemnified Partys possession or control.  Such cooperation of the Indemnified Party shall be at the cost of the Indemnifying Party.  After the Indemnifying Party has notified the Indemnified Party of its intention to undertake to defend or settle any such asserted liability, and for so long as the Indemnifying Party diligently pursues such defense, the Indemnifying Party shall not be liable for any additional legal expenses incurred by the Indemnified Party in connection with any defense or settlement of such asserted liability; </w:t>
      </w:r>
      <w:r>
        <w:rPr>
          <w:rFonts w:ascii="Times New Roman" w:hAnsi="Times New Roman"/>
          <w:b w:val="false"/>
          <w:i/>
          <w:sz w:val="17"/>
        </w:rPr>
        <w:t>provided, however</w:t>
      </w:r>
      <w:r>
        <w:rPr>
          <w:rFonts w:ascii="Times New Roman" w:hAnsi="Times New Roman"/>
          <w:b w:val="false"/>
          <w:sz w:val="17"/>
        </w:rPr>
        <w:t>, that the Indemnified Party shall be entitled (a) at its expense, to participate in the defense of such asserted liability and the negotiations of the settlement thereof and (b) if (i) the Indemnifying Party has failed to assume the defense and employ counsel or (ii) if the defendants in any such Action include both the Indemnified Party and the Indemnifying Party and counsel to the Indemnified Party shall have concluded</w:t>
      </w:r>
    </w:p>
    <w:p>
      <w:pPr>
        <w:pStyle w:val="TextBody"/>
        <w:spacing w:before="480" w:after="480"/>
        <w:ind w:left="0" w:right="0" w:hanging="0"/>
        <w:rPr>
          <w:rFonts w:ascii="Times New Roman" w:hAnsi="Times New Roman"/>
          <w:sz w:val="17"/>
        </w:rPr>
      </w:pPr>
      <w:r>
        <w:rPr>
          <w:rFonts w:ascii="Times New Roman" w:hAnsi="Times New Roman"/>
          <w:sz w:val="17"/>
        </w:rPr>
        <w:t>12</w:t>
      </w:r>
    </w:p>
    <w:p>
      <w:pPr>
        <w:pStyle w:val="TextBody"/>
        <w:spacing w:before="0" w:after="0"/>
        <w:rPr/>
      </w:pPr>
      <w:r>
        <w:rPr/>
      </w:r>
    </w:p>
    <w:p>
      <w:pPr>
        <w:pStyle w:val="HorizontalLine"/>
        <w:pBdr>
          <w:bottom w:val="single" w:sz="18" w:space="0" w:color="010101"/>
        </w:pBdr>
        <w:rPr/>
      </w:pPr>
      <w:r>
        <w:rPr/>
      </w:r>
      <w:r>
        <w:br w:type="page"/>
      </w:r>
    </w:p>
    <w:p>
      <w:pPr>
        <w:pStyle w:val="Heading2"/>
        <w:keepNext w:val="true"/>
        <w:spacing w:before="0" w:after="240"/>
        <w:ind w:left="0" w:right="0" w:hanging="0"/>
        <w:rPr>
          <w:rFonts w:ascii="Times New Roman" w:hAnsi="Times New Roman"/>
          <w:b w:val="false"/>
          <w:sz w:val="17"/>
        </w:rPr>
      </w:pPr>
      <w:r>
        <w:rPr>
          <w:rFonts w:ascii="Times New Roman" w:hAnsi="Times New Roman"/>
          <w:b w:val="false"/>
          <w:sz w:val="17"/>
        </w:rPr>
        <w:t>that there may be reasonable defenses available to the Indemnified Party that are different from or in addition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expenses and fees of such separate counsel and other expenses related to such participation to be reimbursed by the Indemnifying Party as incurred.  Notwithstanding any other provision of this Agreement, the Indemnifying Party shall not settle any indemnified claim without the consent of the Indemnified Party, unless the settlement thereof imposes no liability or obligation on, and includes a complete release from liability of, the Indemnified Party.</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6.4             </w:t>
      </w:r>
      <w:r>
        <w:rPr>
          <w:rFonts w:ascii="Times New Roman" w:hAnsi="Times New Roman"/>
          <w:b w:val="false"/>
          <w:sz w:val="17"/>
          <w:u w:val="single"/>
        </w:rPr>
        <w:t>Survival</w:t>
      </w:r>
      <w:r>
        <w:rPr>
          <w:rFonts w:ascii="Times New Roman" w:hAnsi="Times New Roman"/>
          <w:b w:val="false"/>
          <w:sz w:val="17"/>
        </w:rPr>
        <w:t>.  The Parties obligations under this Article VI shall only become operative following the Closing Date and shall not survive any termination of this Agreement pursuant to Section 5.2.</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ARTICLE VII.</w:t>
      </w:r>
      <w:bookmarkStart w:id="10" w:name="ArticleVii__155544"/>
      <w:bookmarkEnd w:id="10"/>
      <w:r>
        <w:rPr>
          <w:rFonts w:ascii="Times New Roman" w:hAnsi="Times New Roman"/>
          <w:b/>
          <w:sz w:val="17"/>
        </w:rPr>
        <w:br/>
        <w:t>MISCELLANEOUS</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7.1             </w:t>
      </w:r>
      <w:r>
        <w:rPr>
          <w:rFonts w:ascii="Times New Roman" w:hAnsi="Times New Roman"/>
          <w:b w:val="false"/>
          <w:sz w:val="17"/>
          <w:u w:val="single"/>
        </w:rPr>
        <w:t>Purchaser Lock-Up</w:t>
      </w:r>
      <w:r>
        <w:rPr>
          <w:rFonts w:ascii="Times New Roman" w:hAnsi="Times New Roman"/>
          <w:b w:val="false"/>
          <w:sz w:val="17"/>
        </w:rPr>
        <w:t xml:space="preserve">.  Except as provided in this Agreement, no Purchaser will offer, sell, contract to sell, pledge or otherwise dispose of (or enter into any transaction which is designed to, or might reasonably be expected to, result in the disposition (whether by actual disposition or effective economic disposition due to cash settlement or otherwise)),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Purchased Units, or publicly announce an intention to effect any such transaction in respect of any Purchased Units, for a period of 90 days after the Closing Date; </w:t>
      </w:r>
      <w:r>
        <w:rPr>
          <w:rFonts w:ascii="Times New Roman" w:hAnsi="Times New Roman"/>
          <w:b w:val="false"/>
          <w:i/>
          <w:sz w:val="17"/>
        </w:rPr>
        <w:t>provided</w:t>
      </w:r>
      <w:r>
        <w:rPr>
          <w:rFonts w:ascii="Times New Roman" w:hAnsi="Times New Roman"/>
          <w:b w:val="false"/>
          <w:sz w:val="17"/>
        </w:rPr>
        <w:t xml:space="preserve">, </w:t>
      </w:r>
      <w:r>
        <w:rPr>
          <w:rFonts w:ascii="Times New Roman" w:hAnsi="Times New Roman"/>
          <w:b w:val="false"/>
          <w:i/>
          <w:sz w:val="17"/>
        </w:rPr>
        <w:t>however</w:t>
      </w:r>
      <w:r>
        <w:rPr>
          <w:rFonts w:ascii="Times New Roman" w:hAnsi="Times New Roman"/>
          <w:b w:val="false"/>
          <w:sz w:val="17"/>
        </w:rPr>
        <w:t>, that any Purchaser may enter into a total return swap or similar transaction with respect to the Purchased Units purchased by such Purchaser so long as the swap counterparty agrees to be bound by the terms of this Section 7.1.</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7.2             </w:t>
      </w:r>
      <w:r>
        <w:rPr>
          <w:rFonts w:ascii="Times New Roman" w:hAnsi="Times New Roman"/>
          <w:b w:val="false"/>
          <w:sz w:val="17"/>
          <w:u w:val="single"/>
        </w:rPr>
        <w:t>Interpretation of Provisions</w:t>
      </w:r>
      <w:r>
        <w:rPr>
          <w:rFonts w:ascii="Times New Roman" w:hAnsi="Times New Roman"/>
          <w:b w:val="false"/>
          <w:sz w:val="17"/>
        </w:rPr>
        <w:t>.  Article, Section and Schedule references are to this Agreement, unless otherwise specified.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Whenever a Party has an obligation under this Agreement, the expense of complying with that obligation shall be an expense of such Party unless otherwise specified.  Whenever any determination, consent, or approval is to be made or given by a Party, such action shall be in such Partys sole discretion unless otherwise specified in this Agreement.  If any provision in this Agreement is held to be illegal, invalid, not binding, or unenforceable, such provision shall be fully severable and this Agreement shall be construed and enforced as if such illegal, invalid, not binding, or unenforceable provision had never comprised a part of this Agreement, and the remaining provisions shall remain in full force and effect.  This Agreement has been reviewed and</w:t>
      </w:r>
    </w:p>
    <w:p>
      <w:pPr>
        <w:pStyle w:val="TextBody"/>
        <w:spacing w:before="480" w:after="480"/>
        <w:ind w:left="0" w:right="0" w:hanging="0"/>
        <w:rPr>
          <w:rFonts w:ascii="Times New Roman" w:hAnsi="Times New Roman"/>
          <w:sz w:val="17"/>
        </w:rPr>
      </w:pPr>
      <w:r>
        <w:rPr>
          <w:rFonts w:ascii="Times New Roman" w:hAnsi="Times New Roman"/>
          <w:sz w:val="17"/>
        </w:rPr>
        <w:t>13</w:t>
      </w:r>
    </w:p>
    <w:p>
      <w:pPr>
        <w:pStyle w:val="TextBody"/>
        <w:spacing w:before="0" w:after="0"/>
        <w:rPr/>
      </w:pPr>
      <w:r>
        <w:rPr/>
      </w:r>
    </w:p>
    <w:p>
      <w:pPr>
        <w:pStyle w:val="HorizontalLine"/>
        <w:pBdr>
          <w:bottom w:val="single" w:sz="18" w:space="0" w:color="010101"/>
        </w:pBdr>
        <w:rPr/>
      </w:pPr>
      <w:r>
        <w:rPr/>
      </w:r>
      <w:r>
        <w:br w:type="page"/>
      </w:r>
    </w:p>
    <w:p>
      <w:pPr>
        <w:pStyle w:val="Heading2"/>
        <w:keepNext w:val="true"/>
        <w:spacing w:before="0" w:after="240"/>
        <w:ind w:left="0" w:right="0" w:hanging="0"/>
        <w:rPr>
          <w:rFonts w:ascii="Times New Roman" w:hAnsi="Times New Roman"/>
          <w:b w:val="false"/>
          <w:sz w:val="17"/>
        </w:rPr>
      </w:pPr>
      <w:r>
        <w:rPr>
          <w:rFonts w:ascii="Times New Roman" w:hAnsi="Times New Roman"/>
          <w:b w:val="false"/>
          <w:sz w:val="17"/>
        </w:rPr>
        <w:t>negotiated by sophisticated parties with access to legal counsel and shall not be construed against the drafter.</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7.3             </w:t>
      </w:r>
      <w:r>
        <w:rPr>
          <w:rFonts w:ascii="Times New Roman" w:hAnsi="Times New Roman"/>
          <w:b w:val="false"/>
          <w:sz w:val="17"/>
          <w:u w:val="single"/>
        </w:rPr>
        <w:t>Survival</w:t>
      </w:r>
      <w:r>
        <w:rPr>
          <w:rFonts w:ascii="Times New Roman" w:hAnsi="Times New Roman"/>
          <w:b w:val="false"/>
          <w:sz w:val="17"/>
        </w:rPr>
        <w:t>.  The representations and warranties set forth in Section 3.2, Section 3.3, Section 3.10, Section 3.11, Section 3.12, Section 4.5 and Section 4.6 hereunder shall survive indefinitely, and the other representations and warranties set forth herein shall survive for a period of twelve (12) months, in each case, following the Closing Date regardless of any investigation made by or on behalf of Seller or the Purchasers.  The covenants made in this Agreement shall survive the Closing of the transactions described herein and remain operative and in full force and effect regardless of acceptance of any of the Purchased Units and payment therefor.</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7.4             </w:t>
      </w:r>
      <w:r>
        <w:rPr>
          <w:rFonts w:ascii="Times New Roman" w:hAnsi="Times New Roman"/>
          <w:b w:val="false"/>
          <w:sz w:val="17"/>
          <w:u w:val="single"/>
        </w:rPr>
        <w:t>No Waiver; Modifications in Writing</w:t>
      </w:r>
      <w:r>
        <w:rPr>
          <w:rFonts w:ascii="Times New Roman" w:hAnsi="Times New Roman"/>
          <w:b w:val="false"/>
          <w:sz w:val="17"/>
        </w:rPr>
        <w:t>.</w:t>
      </w:r>
    </w:p>
    <w:p>
      <w:pPr>
        <w:pStyle w:val="Heading3"/>
        <w:keepNext w:val="true"/>
        <w:spacing w:before="0" w:after="240"/>
        <w:ind w:left="720" w:right="0" w:firstLine="720"/>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sz w:val="17"/>
          <w:u w:val="single"/>
        </w:rPr>
        <w:t>Delay</w:t>
      </w:r>
      <w:r>
        <w:rPr>
          <w:rFonts w:ascii="Times New Roman" w:hAnsi="Times New Roman"/>
          <w:b w:val="false"/>
          <w:sz w:val="17"/>
        </w:rPr>
        <w:t>.  No failure or delay on the part of any Party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a Party at law or in equity or otherwise.</w:t>
      </w:r>
    </w:p>
    <w:p>
      <w:pPr>
        <w:pStyle w:val="Heading3"/>
        <w:keepNext w:val="true"/>
        <w:spacing w:before="0" w:after="240"/>
        <w:ind w:left="720" w:right="0" w:firstLine="720"/>
        <w:rPr>
          <w:rFonts w:ascii="Times New Roman" w:hAnsi="Times New Roman"/>
          <w:b w:val="false"/>
          <w:sz w:val="17"/>
        </w:rPr>
      </w:pPr>
      <w:r>
        <w:rPr>
          <w:rFonts w:ascii="Times New Roman" w:hAnsi="Times New Roman"/>
          <w:b w:val="false"/>
          <w:sz w:val="17"/>
        </w:rPr>
        <w:t xml:space="preserve">(b)           </w:t>
      </w:r>
      <w:r>
        <w:rPr>
          <w:rFonts w:ascii="Times New Roman" w:hAnsi="Times New Roman"/>
          <w:b w:val="false"/>
          <w:sz w:val="17"/>
          <w:u w:val="single"/>
        </w:rPr>
        <w:t>Specific Waiver</w:t>
      </w:r>
      <w:r>
        <w:rPr>
          <w:rFonts w:ascii="Times New Roman" w:hAnsi="Times New Roman"/>
          <w:b w:val="false"/>
          <w:sz w:val="17"/>
        </w:rPr>
        <w:t>.  Except as otherwise provided herein, no amendment, waiver, consent, modification or termination of any provision of this Agreement shall be effective unless signed by each of the Parties hereto or thereto affected by such amendment, waiver, consent, modification or termination.  Any amendment, supplement or modification of or to any provision of this Agreement, any waiver of any provision of this Agreement, and any consent to any departure from the terms of any provision of this Agreement shall be effective only in the specific instance and for the specific purpose for which made or given.  Except where notice is specifically required by this Agreement, no notice to or demand on a Party in any case shall entitle such Party to any other or further notice or demand in similar or other circumstances.</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7.5             </w:t>
      </w:r>
      <w:r>
        <w:rPr>
          <w:rFonts w:ascii="Times New Roman" w:hAnsi="Times New Roman"/>
          <w:b w:val="false"/>
          <w:sz w:val="17"/>
          <w:u w:val="single"/>
        </w:rPr>
        <w:t>Binding Effect; Assignment</w:t>
      </w:r>
      <w:r>
        <w:rPr>
          <w:rFonts w:ascii="Times New Roman" w:hAnsi="Times New Roman"/>
          <w:b w:val="false"/>
          <w:sz w:val="17"/>
        </w:rPr>
        <w:t>.</w:t>
      </w:r>
    </w:p>
    <w:p>
      <w:pPr>
        <w:pStyle w:val="Heading3"/>
        <w:keepNext w:val="true"/>
        <w:spacing w:before="0" w:after="240"/>
        <w:ind w:left="720" w:right="0" w:firstLine="720"/>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sz w:val="17"/>
          <w:u w:val="single"/>
        </w:rPr>
        <w:t>Binding Effect</w:t>
      </w:r>
      <w:r>
        <w:rPr>
          <w:rFonts w:ascii="Times New Roman" w:hAnsi="Times New Roman"/>
          <w:b w:val="false"/>
          <w:sz w:val="17"/>
        </w:rPr>
        <w:t>.  This Agreement shall be binding upon Seller, the Purchasers and their respective successors and permitted assigns.  Except as expressly provided in this Agreement, this Agreement shall not be construed so as to confer any right or benefit upon any Person other than the Parties to this Agreement, and their respective successors and permitted assigns.</w:t>
      </w:r>
    </w:p>
    <w:p>
      <w:pPr>
        <w:pStyle w:val="Heading3"/>
        <w:keepNext w:val="true"/>
        <w:spacing w:before="0" w:after="240"/>
        <w:ind w:left="720" w:right="0" w:firstLine="720"/>
        <w:rPr>
          <w:rFonts w:ascii="Times New Roman" w:hAnsi="Times New Roman"/>
          <w:b w:val="false"/>
          <w:sz w:val="17"/>
        </w:rPr>
      </w:pPr>
      <w:r>
        <w:rPr>
          <w:rFonts w:ascii="Times New Roman" w:hAnsi="Times New Roman"/>
          <w:b w:val="false"/>
          <w:sz w:val="17"/>
        </w:rPr>
        <w:t xml:space="preserve">(b)           </w:t>
      </w:r>
      <w:r>
        <w:rPr>
          <w:rFonts w:ascii="Times New Roman" w:hAnsi="Times New Roman"/>
          <w:b w:val="false"/>
          <w:sz w:val="17"/>
          <w:u w:val="single"/>
        </w:rPr>
        <w:t>Assignment of Rights</w:t>
      </w:r>
      <w:r>
        <w:rPr>
          <w:rFonts w:ascii="Times New Roman" w:hAnsi="Times New Roman"/>
          <w:b w:val="false"/>
          <w:sz w:val="17"/>
        </w:rPr>
        <w:t>.  All or any portion of the rights and obligations of each Purchaser under this Agreement may not be transferred by such Purchaser without the written consent of Seller.</w:t>
      </w:r>
    </w:p>
    <w:p>
      <w:pPr>
        <w:pStyle w:val="Heading3"/>
        <w:keepNext w:val="true"/>
        <w:spacing w:before="0" w:after="240"/>
        <w:ind w:left="720" w:right="0" w:firstLine="720"/>
        <w:rPr>
          <w:rFonts w:ascii="Times New Roman" w:hAnsi="Times New Roman"/>
          <w:b w:val="false"/>
          <w:sz w:val="17"/>
        </w:rPr>
      </w:pPr>
      <w:r>
        <w:rPr>
          <w:rFonts w:ascii="Times New Roman" w:hAnsi="Times New Roman"/>
          <w:b w:val="false"/>
          <w:sz w:val="17"/>
        </w:rPr>
        <w:t xml:space="preserve">(c)           </w:t>
      </w:r>
      <w:r>
        <w:rPr>
          <w:rFonts w:ascii="Times New Roman" w:hAnsi="Times New Roman"/>
          <w:b w:val="false"/>
          <w:sz w:val="17"/>
          <w:u w:val="single"/>
        </w:rPr>
        <w:t>Total Return Swap</w:t>
      </w:r>
      <w:r>
        <w:rPr>
          <w:rFonts w:ascii="Times New Roman" w:hAnsi="Times New Roman"/>
          <w:b w:val="false"/>
          <w:sz w:val="17"/>
        </w:rPr>
        <w:t>.  Notwithstanding the foregoing, Seller agrees that any Purchaser may enter into total return swaps or similar transactions with respect to the Purchased Units purchased by such Purchaser.</w:t>
      </w:r>
    </w:p>
    <w:p>
      <w:pPr>
        <w:pStyle w:val="TextBody"/>
        <w:spacing w:before="480" w:after="480"/>
        <w:ind w:left="0" w:right="0" w:hanging="0"/>
        <w:rPr>
          <w:rFonts w:ascii="Times New Roman" w:hAnsi="Times New Roman"/>
          <w:sz w:val="17"/>
        </w:rPr>
      </w:pPr>
      <w:r>
        <w:rPr>
          <w:rFonts w:ascii="Times New Roman" w:hAnsi="Times New Roman"/>
          <w:sz w:val="17"/>
        </w:rPr>
        <w:t>14</w:t>
      </w:r>
    </w:p>
    <w:p>
      <w:pPr>
        <w:pStyle w:val="TextBody"/>
        <w:spacing w:before="0" w:after="0"/>
        <w:rPr/>
      </w:pPr>
      <w:r>
        <w:rPr/>
      </w:r>
    </w:p>
    <w:p>
      <w:pPr>
        <w:pStyle w:val="HorizontalLine"/>
        <w:pBdr>
          <w:bottom w:val="single" w:sz="18" w:space="0" w:color="010101"/>
        </w:pBdr>
        <w:rPr/>
      </w:pPr>
      <w:r>
        <w:rPr/>
      </w:r>
      <w:r>
        <w:br w:type="page"/>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7.6             </w:t>
      </w:r>
      <w:r>
        <w:rPr>
          <w:rFonts w:ascii="Times New Roman" w:hAnsi="Times New Roman"/>
          <w:b w:val="false"/>
          <w:sz w:val="17"/>
          <w:u w:val="single"/>
        </w:rPr>
        <w:t>Confidentiality</w:t>
      </w:r>
      <w:r>
        <w:rPr>
          <w:rFonts w:ascii="Times New Roman" w:hAnsi="Times New Roman"/>
          <w:b w:val="false"/>
          <w:sz w:val="17"/>
        </w:rPr>
        <w:t xml:space="preserve">.  Notwithstanding anything herein to the contrary, to the extent that any Purchaser has executed or is otherwise bound by a confidentiality agreement in favor of Seller, such Purchaser shall continue to be bound by such confidentiality agreement (notwithstanding any termination provision contained therein).  To the extent that any Purchaser has not executed or is not otherwise bound by a confidentiality agreement in favor of Seller, and has actually received Confidential Information from Seller, such Purchaser will refrain, and will cause its Representatives to refrain, from disclosing to any other Person any Confidential Information; </w:t>
      </w:r>
      <w:r>
        <w:rPr>
          <w:rFonts w:ascii="Times New Roman" w:hAnsi="Times New Roman"/>
          <w:b w:val="false"/>
          <w:i/>
          <w:sz w:val="17"/>
        </w:rPr>
        <w:t>provided, however</w:t>
      </w:r>
      <w:r>
        <w:rPr>
          <w:rFonts w:ascii="Times New Roman" w:hAnsi="Times New Roman"/>
          <w:b w:val="false"/>
          <w:sz w:val="17"/>
        </w:rPr>
        <w:t xml:space="preserve">, that with respect to any Purchaser who has not executed and is not otherwise bound by a confidentiality agreement in favor of Seller, Seller acknowledges that Seller has not provided such Purchaser any Confidential Information unless requested by such Purchaser.  Disclosure of Confidential Information will not be deemed to be a breach of this Section 7.6 if such disclosure is made with the consent of Seller or pursuant to a subpoena or order issued by a court of competent jurisdiction or by a judicial, administrative or legislative body or committee; </w:t>
      </w:r>
      <w:r>
        <w:rPr>
          <w:rFonts w:ascii="Times New Roman" w:hAnsi="Times New Roman"/>
          <w:b w:val="false"/>
          <w:i/>
          <w:sz w:val="17"/>
        </w:rPr>
        <w:t>provided, however</w:t>
      </w:r>
      <w:r>
        <w:rPr>
          <w:rFonts w:ascii="Times New Roman" w:hAnsi="Times New Roman"/>
          <w:b w:val="false"/>
          <w:sz w:val="17"/>
        </w:rPr>
        <w:t>, that upon receipt by any Purchaser of any subpoena or order covering Confidential Information of Seller, such Purchaser will to the extent reasonably practicable promptly notify Seller of such subpoena or order.</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7.7             </w:t>
      </w:r>
      <w:r>
        <w:rPr>
          <w:rFonts w:ascii="Times New Roman" w:hAnsi="Times New Roman"/>
          <w:b w:val="false"/>
          <w:sz w:val="17"/>
          <w:u w:val="single"/>
        </w:rPr>
        <w:t>Communications</w:t>
      </w:r>
      <w:r>
        <w:rPr>
          <w:rFonts w:ascii="Times New Roman" w:hAnsi="Times New Roman"/>
          <w:b w:val="false"/>
          <w:sz w:val="17"/>
        </w:rPr>
        <w:t>.  All notices and communications provided for hereunder shall be in writing and shall be given by registered or certified mail, return receipt requested, regular mail, telecopy, air courier guaranteeing overnight delivery or personal delivery to the following addresses:</w:t>
      </w:r>
    </w:p>
    <w:p>
      <w:pPr>
        <w:pStyle w:val="TextBody"/>
        <w:spacing w:before="480" w:after="480"/>
        <w:ind w:left="0" w:right="0" w:hanging="0"/>
        <w:rPr>
          <w:rFonts w:ascii="Times New Roman" w:hAnsi="Times New Roman"/>
          <w:sz w:val="17"/>
        </w:rPr>
      </w:pPr>
      <w:r>
        <w:rPr>
          <w:rFonts w:ascii="Times New Roman" w:hAnsi="Times New Roman"/>
          <w:sz w:val="17"/>
        </w:rPr>
        <w:t>15</w:t>
      </w:r>
    </w:p>
    <w:p>
      <w:pPr>
        <w:pStyle w:val="TextBody"/>
        <w:spacing w:before="0" w:after="0"/>
        <w:rPr/>
      </w:pPr>
      <w:r>
        <w:rPr/>
      </w:r>
    </w:p>
    <w:p>
      <w:pPr>
        <w:pStyle w:val="HorizontalLine"/>
        <w:pBdr>
          <w:bottom w:val="single" w:sz="18" w:space="0" w:color="010101"/>
        </w:pBdr>
        <w:rPr/>
      </w:pPr>
      <w:r>
        <w:rPr/>
      </w:r>
      <w:r>
        <w:br w:type="page"/>
      </w:r>
    </w:p>
    <w:p>
      <w:pPr>
        <w:pStyle w:val="Heading3"/>
        <w:keepNext w:val="true"/>
        <w:spacing w:before="0" w:after="240"/>
        <w:ind w:left="720" w:right="0" w:firstLine="720"/>
        <w:rPr>
          <w:rFonts w:ascii="Times New Roman" w:hAnsi="Times New Roman"/>
          <w:b w:val="false"/>
          <w:sz w:val="17"/>
        </w:rPr>
      </w:pPr>
      <w:r>
        <w:rPr>
          <w:rFonts w:ascii="Times New Roman" w:hAnsi="Times New Roman"/>
          <w:b w:val="false"/>
          <w:sz w:val="17"/>
        </w:rPr>
        <w:t>(a)           If to Purchasers, to the addresses listed on the signature pages hereto, with a copy to:</w:t>
      </w:r>
    </w:p>
    <w:p>
      <w:pPr>
        <w:pStyle w:val="TextBody"/>
        <w:keepNext w:val="true"/>
        <w:spacing w:before="0" w:after="240"/>
        <w:ind w:left="2347" w:right="0" w:hanging="0"/>
        <w:rPr>
          <w:rFonts w:ascii="Times New Roman" w:hAnsi="Times New Roman"/>
          <w:sz w:val="17"/>
        </w:rPr>
      </w:pPr>
      <w:r>
        <w:rPr>
          <w:rFonts w:ascii="Times New Roman" w:hAnsi="Times New Roman"/>
          <w:sz w:val="17"/>
        </w:rPr>
        <w:t>Baker Botts L.L.P.</w:t>
        <w:br/>
        <w:t>910 Louisiana Street, Suite 3200</w:t>
        <w:br/>
        <w:t>Houston, Texas 77002</w:t>
        <w:br/>
        <w:t>Attention:  Joshua Davidson</w:t>
        <w:br/>
        <w:t>Facsimile:  (713) 229-2727</w:t>
      </w:r>
    </w:p>
    <w:p>
      <w:pPr>
        <w:pStyle w:val="Heading3"/>
        <w:keepNext w:val="true"/>
        <w:spacing w:before="0" w:after="240"/>
        <w:ind w:left="720" w:right="0" w:firstLine="720"/>
        <w:rPr>
          <w:rFonts w:ascii="Times New Roman" w:hAnsi="Times New Roman"/>
          <w:b w:val="false"/>
          <w:sz w:val="17"/>
        </w:rPr>
      </w:pPr>
      <w:r>
        <w:rPr>
          <w:rFonts w:ascii="Times New Roman" w:hAnsi="Times New Roman"/>
          <w:b w:val="false"/>
          <w:sz w:val="17"/>
        </w:rPr>
        <w:t>(b)           If to Seller:</w:t>
      </w:r>
    </w:p>
    <w:p>
      <w:pPr>
        <w:pStyle w:val="TextBody"/>
        <w:keepNext w:val="true"/>
        <w:spacing w:before="0" w:after="240"/>
        <w:ind w:left="2347" w:right="0" w:hanging="0"/>
        <w:rPr>
          <w:rFonts w:ascii="Times New Roman" w:hAnsi="Times New Roman"/>
          <w:sz w:val="17"/>
        </w:rPr>
      </w:pPr>
      <w:r>
        <w:rPr>
          <w:rFonts w:ascii="Times New Roman" w:hAnsi="Times New Roman"/>
          <w:sz w:val="17"/>
        </w:rPr>
        <w:t>Plains All American Pipeline, L.P.</w:t>
        <w:br/>
        <w:t>333 Clay Street</w:t>
        <w:br/>
        <w:t>Houston, Texas  77002</w:t>
        <w:br/>
        <w:t>Attention:  Tim Moore</w:t>
        <w:br/>
        <w:t>Facsimile:  (713) 646-4313</w:t>
      </w:r>
    </w:p>
    <w:p>
      <w:pPr>
        <w:pStyle w:val="TextBody"/>
        <w:keepNext w:val="true"/>
        <w:spacing w:before="0" w:after="240"/>
        <w:ind w:left="0" w:right="0" w:firstLine="720"/>
        <w:rPr>
          <w:rFonts w:ascii="Times New Roman" w:hAnsi="Times New Roman"/>
          <w:sz w:val="17"/>
        </w:rPr>
      </w:pPr>
      <w:r>
        <w:rPr>
          <w:rFonts w:ascii="Times New Roman" w:hAnsi="Times New Roman"/>
          <w:sz w:val="17"/>
        </w:rPr>
        <w:t>with a copy to:</w:t>
      </w:r>
    </w:p>
    <w:p>
      <w:pPr>
        <w:pStyle w:val="TextBody"/>
        <w:keepNext w:val="true"/>
        <w:spacing w:before="0" w:after="240"/>
        <w:ind w:left="2347" w:right="0" w:hanging="0"/>
        <w:rPr>
          <w:rFonts w:ascii="Times New Roman" w:hAnsi="Times New Roman"/>
          <w:sz w:val="17"/>
        </w:rPr>
      </w:pPr>
      <w:r>
        <w:rPr>
          <w:rFonts w:ascii="Times New Roman" w:hAnsi="Times New Roman"/>
          <w:sz w:val="17"/>
        </w:rPr>
        <w:t>Vinson &amp; Elkins L.L.P.</w:t>
        <w:br/>
        <w:t>1001 Fannin Street</w:t>
        <w:br/>
        <w:t>Suite 2300</w:t>
        <w:br/>
        <w:t>Houston, Texas  77002</w:t>
        <w:br/>
        <w:t>Attention:  David P. Oelman</w:t>
        <w:br/>
        <w:t>Facsimile:  (713) 615-5861</w:t>
      </w:r>
    </w:p>
    <w:p>
      <w:pPr>
        <w:pStyle w:val="TextBody"/>
        <w:spacing w:before="0" w:after="240"/>
        <w:ind w:left="0" w:right="0" w:hanging="0"/>
        <w:rPr>
          <w:rFonts w:ascii="Times New Roman" w:hAnsi="Times New Roman"/>
          <w:sz w:val="17"/>
        </w:rPr>
      </w:pPr>
      <w:r>
        <w:rPr>
          <w:rFonts w:ascii="Times New Roman" w:hAnsi="Times New Roman"/>
          <w:sz w:val="17"/>
        </w:rPr>
        <w:t>or to such other address as Seller or any Purchaser may designate in writing.  All notices and communications shall be deemed to have been duly given: at the time delivered by hand, if personally delivered; upon actual receipt if sent by registered or certified mail, return receipt requested, or regular mail, if mailed; when receipt acknowledged, if sent via telecopy; and upon actual receipt when delivered to an air courier guaranteeing overnight delivery.</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7.8             </w:t>
      </w:r>
      <w:r>
        <w:rPr>
          <w:rFonts w:ascii="Times New Roman" w:hAnsi="Times New Roman"/>
          <w:b w:val="false"/>
          <w:sz w:val="17"/>
          <w:u w:val="single"/>
        </w:rPr>
        <w:t>Entire Agreement</w:t>
      </w:r>
      <w:r>
        <w:rPr>
          <w:rFonts w:ascii="Times New Roman" w:hAnsi="Times New Roman"/>
          <w:b w:val="false"/>
          <w:sz w:val="17"/>
        </w:rPr>
        <w:t>.  Except with respect to the Registration Rights Agreement and any confidentiality agreements executed pursuant to Section 7.6, 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rights granted by Seller or any of its Affiliates or Purchasers or any of their Affiliates set forth herein.  This Agreement supersedes all prior agreements and understandings between the Parties with respect to such subject matter, including any term sheets and commitment letters.</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7.9             </w:t>
      </w:r>
      <w:r>
        <w:rPr>
          <w:rFonts w:ascii="Times New Roman" w:hAnsi="Times New Roman"/>
          <w:b w:val="false"/>
          <w:sz w:val="17"/>
          <w:u w:val="single"/>
        </w:rPr>
        <w:t>Governing Law</w:t>
      </w:r>
      <w:r>
        <w:rPr>
          <w:rFonts w:ascii="Times New Roman" w:hAnsi="Times New Roman"/>
          <w:b w:val="false"/>
          <w:sz w:val="17"/>
        </w:rPr>
        <w:t>.  This Agreement will be construed in accordance with and governed by the laws of the State of Texas without regard to principles of conflicts of laws.</w:t>
      </w:r>
    </w:p>
    <w:p>
      <w:pPr>
        <w:pStyle w:val="TextBody"/>
        <w:spacing w:before="480" w:after="480"/>
        <w:ind w:left="0" w:right="0" w:hanging="0"/>
        <w:rPr>
          <w:rFonts w:ascii="Times New Roman" w:hAnsi="Times New Roman"/>
          <w:sz w:val="17"/>
        </w:rPr>
      </w:pPr>
      <w:r>
        <w:rPr>
          <w:rFonts w:ascii="Times New Roman" w:hAnsi="Times New Roman"/>
          <w:sz w:val="17"/>
        </w:rPr>
        <w:t>16</w:t>
      </w:r>
    </w:p>
    <w:p>
      <w:pPr>
        <w:pStyle w:val="TextBody"/>
        <w:spacing w:before="0" w:after="0"/>
        <w:rPr/>
      </w:pPr>
      <w:r>
        <w:rPr/>
      </w:r>
    </w:p>
    <w:p>
      <w:pPr>
        <w:pStyle w:val="HorizontalLine"/>
        <w:pBdr>
          <w:bottom w:val="single" w:sz="18" w:space="0" w:color="010101"/>
        </w:pBdr>
        <w:rPr/>
      </w:pPr>
      <w:r>
        <w:rPr/>
      </w:r>
      <w:r>
        <w:br w:type="page"/>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7.10           </w:t>
      </w:r>
      <w:r>
        <w:rPr>
          <w:rFonts w:ascii="Times New Roman" w:hAnsi="Times New Roman"/>
          <w:b w:val="false"/>
          <w:sz w:val="17"/>
          <w:u w:val="single"/>
        </w:rPr>
        <w:t>Execution in Counterparts</w:t>
      </w:r>
      <w:r>
        <w:rPr>
          <w:rFonts w:ascii="Times New Roman" w:hAnsi="Times New Roman"/>
          <w:b w:val="false"/>
          <w:sz w:val="17"/>
        </w:rPr>
        <w:t>.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7.11           </w:t>
      </w:r>
      <w:r>
        <w:rPr>
          <w:rFonts w:ascii="Times New Roman" w:hAnsi="Times New Roman"/>
          <w:b w:val="false"/>
          <w:sz w:val="17"/>
          <w:u w:val="single"/>
        </w:rPr>
        <w:t>Costs and Expenses</w:t>
      </w:r>
      <w:r>
        <w:rPr>
          <w:rFonts w:ascii="Times New Roman" w:hAnsi="Times New Roman"/>
          <w:b w:val="false"/>
          <w:sz w:val="17"/>
        </w:rPr>
        <w:t>.  Each Party shall be responsible for such Partys own expenses in connection with this Agreement and the transactions contemplated hereby, except that Seller will reimburse the Purchasers for up to $25,000 of legal fees incurred by Baker Botts L.L.P. (</w:t>
      </w:r>
      <w:r>
        <w:rPr>
          <w:rFonts w:ascii="Times New Roman" w:hAnsi="Times New Roman"/>
          <w:b w:val="false"/>
          <w:sz w:val="17"/>
          <w:u w:val="single"/>
        </w:rPr>
        <w:t>Baker Botts Legal Fees</w:t>
      </w:r>
      <w:r>
        <w:rPr>
          <w:rFonts w:ascii="Times New Roman" w:hAnsi="Times New Roman"/>
          <w:b w:val="false"/>
          <w:sz w:val="17"/>
        </w:rPr>
        <w:t>).  Any Baker Botts Legal Fees in excess of $25,000 shall be paid pro rata by the Purchasers in proportion to the aggregate number of Purchased Units set forth opposite the names of such Purchasers on Schedule 2.1.</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7.12           </w:t>
      </w:r>
      <w:r>
        <w:rPr>
          <w:rFonts w:ascii="Times New Roman" w:hAnsi="Times New Roman"/>
          <w:b w:val="false"/>
          <w:sz w:val="17"/>
          <w:u w:val="single"/>
        </w:rPr>
        <w:t>Unit Split or Unit Dividend Affecting the Purchased Units</w:t>
      </w:r>
      <w:r>
        <w:rPr>
          <w:rFonts w:ascii="Times New Roman" w:hAnsi="Times New Roman"/>
          <w:b w:val="false"/>
          <w:sz w:val="17"/>
        </w:rPr>
        <w:t>.  In the event that Seller declares a unit split or unit dividend (payable in Common Units) with respect to its Common Units and the record date for such unit split or unit dividend is after the date of this Agreement and prior to the Closing Date, the number of Purchased Units to be delivered to Purchasers hereunder and the Common Unit Price and the Purchase Price therefor shall be appropriately adjusted so that the Purchasers would be in the same relative economic position as they would be if such Purchased Units would have been issued and delivered to the Purchasers prior to the record date for any such unit split or unit dividend.</w:t>
      </w:r>
    </w:p>
    <w:p>
      <w:pPr>
        <w:pStyle w:val="Heading2"/>
        <w:keepNext w:val="true"/>
        <w:spacing w:before="0" w:after="240"/>
        <w:ind w:left="0" w:right="0" w:firstLine="720"/>
        <w:rPr>
          <w:rFonts w:ascii="Times New Roman" w:hAnsi="Times New Roman"/>
          <w:b w:val="false"/>
          <w:sz w:val="17"/>
        </w:rPr>
      </w:pPr>
      <w:r>
        <w:rPr>
          <w:rFonts w:ascii="Times New Roman" w:hAnsi="Times New Roman"/>
          <w:b w:val="false"/>
          <w:sz w:val="17"/>
        </w:rPr>
        <w:t xml:space="preserve">Section 7.13           </w:t>
      </w:r>
      <w:r>
        <w:rPr>
          <w:rFonts w:ascii="Times New Roman" w:hAnsi="Times New Roman"/>
          <w:b w:val="false"/>
          <w:sz w:val="17"/>
          <w:u w:val="single"/>
        </w:rPr>
        <w:t>Distributions</w:t>
      </w:r>
      <w:r>
        <w:rPr>
          <w:rFonts w:ascii="Times New Roman" w:hAnsi="Times New Roman"/>
          <w:b w:val="false"/>
          <w:sz w:val="17"/>
        </w:rPr>
        <w:t>.  If the Closing occurs on a date after the record date relating to a distribution in respect of Common Units with respect to any fiscal quarter to be made to holders of Common Units after the date of this Agreement, the Common Unit Price shall be reduced by the per Common Unit amount of such distribution and the applicable Purchase Price set forth on Schedule 2.1 hereto shall be reduced accordingly.</w:t>
      </w:r>
    </w:p>
    <w:p>
      <w:pPr>
        <w:pStyle w:val="TextBody"/>
        <w:spacing w:before="360" w:after="240"/>
        <w:ind w:left="0" w:right="0" w:firstLine="720"/>
        <w:jc w:val="center"/>
        <w:rPr>
          <w:rFonts w:ascii="Times New Roman" w:hAnsi="Times New Roman"/>
          <w:sz w:val="17"/>
        </w:rPr>
      </w:pPr>
      <w:r>
        <w:rPr>
          <w:rFonts w:ascii="Times New Roman" w:hAnsi="Times New Roman"/>
          <w:sz w:val="17"/>
        </w:rPr>
        <w:t>[The remainder of this page is intentionally left blank.]</w:t>
      </w:r>
    </w:p>
    <w:p>
      <w:pPr>
        <w:pStyle w:val="TextBody"/>
        <w:spacing w:before="0" w:after="24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17</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firstLine="720"/>
        <w:rPr/>
      </w:pPr>
      <w:r>
        <w:rPr/>
        <w:t> </w:t>
      </w:r>
    </w:p>
    <w:p>
      <w:pPr>
        <w:pStyle w:val="TextBody"/>
        <w:spacing w:before="0" w:after="240"/>
        <w:ind w:left="0" w:right="0" w:firstLine="720"/>
        <w:rPr>
          <w:rFonts w:ascii="Times New Roman" w:hAnsi="Times New Roman"/>
          <w:sz w:val="17"/>
        </w:rPr>
      </w:pPr>
      <w:r>
        <w:rPr>
          <w:rFonts w:ascii="Times New Roman" w:hAnsi="Times New Roman"/>
          <w:sz w:val="17"/>
        </w:rPr>
        <w:t>IN WITNESS WHEREOF, the parties hereto execute this Agreement, effective as of the date first above written.</w:t>
      </w:r>
    </w:p>
    <w:p>
      <w:pPr>
        <w:pStyle w:val="TextBody"/>
        <w:spacing w:before="0" w:after="240"/>
        <w:ind w:left="4320" w:right="0" w:hanging="0"/>
        <w:jc w:val="left"/>
        <w:rPr/>
      </w:pPr>
      <w:r>
        <w:rPr/>
        <w:t> </w:t>
      </w:r>
    </w:p>
    <w:tbl>
      <w:tblPr>
        <w:tblW w:w="5000" w:type="pct"/>
        <w:jc w:val="left"/>
        <w:tblInd w:w="0" w:type="dxa"/>
        <w:tblCellMar>
          <w:top w:w="0" w:type="dxa"/>
          <w:left w:w="0" w:type="dxa"/>
          <w:bottom w:w="0" w:type="dxa"/>
          <w:right w:w="0" w:type="dxa"/>
        </w:tblCellMar>
      </w:tblPr>
      <w:tblGrid>
        <w:gridCol w:w="5207"/>
        <w:gridCol w:w="623"/>
        <w:gridCol w:w="4375"/>
      </w:tblGrid>
      <w:tr>
        <w:trPr/>
        <w:tc>
          <w:tcPr>
            <w:tcW w:w="5207" w:type="dxa"/>
            <w:tcBorders/>
            <w:shd w:fill="auto" w:val="clear"/>
          </w:tcPr>
          <w:p>
            <w:pPr>
              <w:pStyle w:val="TableContents"/>
              <w:spacing w:before="0" w:after="283"/>
              <w:ind w:left="0" w:right="0" w:hanging="0"/>
              <w:rPr>
                <w:sz w:val="4"/>
                <w:szCs w:val="4"/>
              </w:rPr>
            </w:pPr>
            <w:r>
              <w:rPr>
                <w:sz w:val="4"/>
                <w:szCs w:val="4"/>
              </w:rPr>
            </w:r>
          </w:p>
        </w:tc>
        <w:tc>
          <w:tcPr>
            <w:tcW w:w="4998"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PURCHASERS:</w:t>
            </w:r>
          </w:p>
        </w:tc>
      </w:tr>
      <w:tr>
        <w:trPr/>
        <w:tc>
          <w:tcPr>
            <w:tcW w:w="5207" w:type="dxa"/>
            <w:tcBorders/>
            <w:shd w:fill="auto" w:val="clear"/>
          </w:tcPr>
          <w:p>
            <w:pPr>
              <w:pStyle w:val="TableContents"/>
              <w:spacing w:before="0" w:after="0"/>
              <w:ind w:left="0" w:right="0" w:hanging="0"/>
              <w:rPr/>
            </w:pPr>
            <w:r>
              <w:rPr/>
              <w:t> </w:t>
            </w:r>
          </w:p>
        </w:tc>
        <w:tc>
          <w:tcPr>
            <w:tcW w:w="4998" w:type="dxa"/>
            <w:gridSpan w:val="2"/>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4998"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ROYAL BANK OF CANADA</w:t>
            </w:r>
          </w:p>
        </w:tc>
      </w:tr>
      <w:tr>
        <w:trPr/>
        <w:tc>
          <w:tcPr>
            <w:tcW w:w="5207" w:type="dxa"/>
            <w:tcBorders/>
            <w:shd w:fill="auto" w:val="clear"/>
          </w:tcPr>
          <w:p>
            <w:pPr>
              <w:pStyle w:val="TableContents"/>
              <w:spacing w:before="0" w:after="0"/>
              <w:ind w:left="0" w:right="0" w:hanging="0"/>
              <w:rPr/>
            </w:pPr>
            <w:r>
              <w:rPr/>
              <w:t> </w:t>
            </w:r>
          </w:p>
        </w:tc>
        <w:tc>
          <w:tcPr>
            <w:tcW w:w="4998" w:type="dxa"/>
            <w:gridSpan w:val="2"/>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RBC CAPITAL MARKETS</w:t>
            </w:r>
          </w:p>
        </w:tc>
      </w:tr>
      <w:tr>
        <w:trPr/>
        <w:tc>
          <w:tcPr>
            <w:tcW w:w="5207" w:type="dxa"/>
            <w:tcBorders/>
            <w:shd w:fill="auto" w:val="clear"/>
          </w:tcPr>
          <w:p>
            <w:pPr>
              <w:pStyle w:val="TableContents"/>
              <w:spacing w:before="0" w:after="0"/>
              <w:ind w:left="0" w:right="0" w:hanging="0"/>
              <w:rPr/>
            </w:pPr>
            <w:r>
              <w:rPr/>
              <w:t> </w:t>
            </w:r>
          </w:p>
        </w:tc>
        <w:tc>
          <w:tcPr>
            <w:tcW w:w="623" w:type="dxa"/>
            <w:tcBorders/>
            <w:shd w:fill="auto" w:val="clear"/>
          </w:tcPr>
          <w:p>
            <w:pPr>
              <w:pStyle w:val="TableContents"/>
              <w:spacing w:before="0" w:after="0"/>
              <w:ind w:left="0" w:right="0" w:hanging="0"/>
              <w:rPr/>
            </w:pPr>
            <w:r>
              <w:rPr/>
              <w:t> </w:t>
            </w:r>
          </w:p>
        </w:tc>
        <w:tc>
          <w:tcPr>
            <w:tcW w:w="4375" w:type="dxa"/>
            <w:tcBorders/>
            <w:shd w:fill="auto" w:val="clear"/>
          </w:tcPr>
          <w:p>
            <w:pPr>
              <w:pStyle w:val="TableContents"/>
              <w:spacing w:before="0" w:after="0"/>
              <w:ind w:left="0" w:right="0" w:hanging="0"/>
              <w:rPr/>
            </w:pPr>
            <w:r>
              <w:rPr/>
              <w:t>     </w:t>
            </w:r>
            <w:r>
              <w:rPr>
                <w:rFonts w:ascii="Times New Roman" w:hAnsi="Times New Roman"/>
                <w:sz w:val="17"/>
              </w:rPr>
              <w:t>CORPORATION, its agent</w:t>
            </w:r>
          </w:p>
        </w:tc>
      </w:tr>
      <w:tr>
        <w:trPr/>
        <w:tc>
          <w:tcPr>
            <w:tcW w:w="5207" w:type="dxa"/>
            <w:tcBorders/>
            <w:shd w:fill="auto" w:val="clear"/>
          </w:tcPr>
          <w:p>
            <w:pPr>
              <w:pStyle w:val="TableContents"/>
              <w:spacing w:before="0" w:after="0"/>
              <w:ind w:left="0" w:right="0" w:hanging="0"/>
              <w:rPr/>
            </w:pPr>
            <w:r>
              <w:rPr/>
              <w:t> </w:t>
            </w:r>
          </w:p>
        </w:tc>
        <w:tc>
          <w:tcPr>
            <w:tcW w:w="623" w:type="dxa"/>
            <w:tcBorders/>
            <w:shd w:fill="auto" w:val="clear"/>
          </w:tcPr>
          <w:p>
            <w:pPr>
              <w:pStyle w:val="TableContents"/>
              <w:spacing w:before="0" w:after="0"/>
              <w:ind w:left="0" w:right="0" w:hanging="0"/>
              <w:rPr/>
            </w:pPr>
            <w:r>
              <w:rPr/>
              <w:t> </w:t>
            </w:r>
          </w:p>
        </w:tc>
        <w:tc>
          <w:tcPr>
            <w:tcW w:w="4375" w:type="dxa"/>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5"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JOSEF MUSKATEL</w:t>
            </w:r>
          </w:p>
        </w:tc>
      </w:tr>
      <w:tr>
        <w:trPr/>
        <w:tc>
          <w:tcPr>
            <w:tcW w:w="5207" w:type="dxa"/>
            <w:tcBorders/>
            <w:shd w:fill="auto" w:val="clear"/>
          </w:tcPr>
          <w:p>
            <w:pPr>
              <w:pStyle w:val="TableContents"/>
              <w:spacing w:before="0" w:after="0"/>
              <w:ind w:left="0" w:right="0" w:hanging="0"/>
              <w:rPr/>
            </w:pPr>
            <w:r>
              <w:rPr/>
              <w:t> </w:t>
            </w:r>
          </w:p>
        </w:tc>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Josef Muskatel</w:t>
            </w:r>
          </w:p>
        </w:tc>
      </w:tr>
      <w:tr>
        <w:trPr/>
        <w:tc>
          <w:tcPr>
            <w:tcW w:w="5207" w:type="dxa"/>
            <w:tcBorders/>
            <w:shd w:fill="auto" w:val="clear"/>
          </w:tcPr>
          <w:p>
            <w:pPr>
              <w:pStyle w:val="TableContents"/>
              <w:spacing w:before="0" w:after="0"/>
              <w:ind w:left="0" w:right="0" w:hanging="0"/>
              <w:rPr/>
            </w:pPr>
            <w:r>
              <w:rPr/>
              <w:t> </w:t>
            </w:r>
          </w:p>
        </w:tc>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and Senior Counsel</w:t>
            </w:r>
          </w:p>
        </w:tc>
      </w:tr>
      <w:tr>
        <w:trPr/>
        <w:tc>
          <w:tcPr>
            <w:tcW w:w="5207" w:type="dxa"/>
            <w:tcBorders/>
            <w:shd w:fill="auto" w:val="clear"/>
          </w:tcPr>
          <w:p>
            <w:pPr>
              <w:pStyle w:val="TableContents"/>
              <w:spacing w:before="0" w:after="0"/>
              <w:ind w:left="0" w:right="0" w:hanging="0"/>
              <w:rPr/>
            </w:pPr>
            <w:r>
              <w:rPr/>
              <w:t> </w:t>
            </w:r>
          </w:p>
        </w:tc>
        <w:tc>
          <w:tcPr>
            <w:tcW w:w="623" w:type="dxa"/>
            <w:tcBorders/>
            <w:shd w:fill="auto" w:val="clear"/>
          </w:tcPr>
          <w:p>
            <w:pPr>
              <w:pStyle w:val="TableContents"/>
              <w:spacing w:before="0" w:after="0"/>
              <w:ind w:left="0" w:right="0" w:hanging="0"/>
              <w:rPr/>
            </w:pPr>
            <w:r>
              <w:rPr/>
              <w:t> </w:t>
            </w:r>
          </w:p>
        </w:tc>
        <w:tc>
          <w:tcPr>
            <w:tcW w:w="4375" w:type="dxa"/>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5"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BRUCE RUNCIMAN</w:t>
            </w:r>
          </w:p>
        </w:tc>
      </w:tr>
      <w:tr>
        <w:trPr/>
        <w:tc>
          <w:tcPr>
            <w:tcW w:w="5207" w:type="dxa"/>
            <w:tcBorders/>
            <w:shd w:fill="auto" w:val="clear"/>
          </w:tcPr>
          <w:p>
            <w:pPr>
              <w:pStyle w:val="TableContents"/>
              <w:spacing w:before="0" w:after="0"/>
              <w:ind w:left="0" w:right="0" w:hanging="0"/>
              <w:rPr/>
            </w:pPr>
            <w:r>
              <w:rPr/>
              <w:t> </w:t>
            </w:r>
          </w:p>
        </w:tc>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Bruce Runciman</w:t>
            </w:r>
          </w:p>
        </w:tc>
      </w:tr>
      <w:tr>
        <w:trPr/>
        <w:tc>
          <w:tcPr>
            <w:tcW w:w="5207" w:type="dxa"/>
            <w:tcBorders/>
            <w:shd w:fill="auto" w:val="clear"/>
          </w:tcPr>
          <w:p>
            <w:pPr>
              <w:pStyle w:val="TableContents"/>
              <w:spacing w:before="0" w:after="0"/>
              <w:ind w:left="0" w:right="0" w:hanging="0"/>
              <w:rPr/>
            </w:pPr>
            <w:r>
              <w:rPr/>
              <w:t> </w:t>
            </w:r>
          </w:p>
        </w:tc>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Managing Director</w:t>
            </w:r>
          </w:p>
        </w:tc>
      </w:tr>
    </w:tbl>
    <w:p>
      <w:pPr>
        <w:pStyle w:val="TextBody"/>
        <w:spacing w:before="0" w:after="240"/>
        <w:ind w:left="4320" w:right="0" w:hanging="0"/>
        <w:jc w:val="left"/>
        <w:rPr/>
      </w:pPr>
      <w:r>
        <w:rPr/>
        <w:t> </w:t>
      </w:r>
    </w:p>
    <w:p>
      <w:pPr>
        <w:pStyle w:val="TextBody"/>
        <w:spacing w:before="0" w:after="240"/>
        <w:ind w:left="0" w:right="0" w:hanging="0"/>
        <w:jc w:val="center"/>
        <w:rPr>
          <w:rFonts w:ascii="Times New Roman" w:hAnsi="Times New Roman"/>
          <w:b/>
          <w:i/>
          <w:sz w:val="17"/>
        </w:rPr>
      </w:pPr>
      <w:r>
        <w:rPr>
          <w:rFonts w:ascii="Times New Roman" w:hAnsi="Times New Roman"/>
          <w:b/>
          <w:i/>
          <w:sz w:val="17"/>
        </w:rPr>
        <w:t>[Signature Page to Common Unit Purchase Agreement]</w:t>
      </w:r>
    </w:p>
    <w:p>
      <w:pPr>
        <w:pStyle w:val="TextBody"/>
        <w:spacing w:before="0" w:after="240"/>
        <w:ind w:left="4320" w:right="0" w:hanging="0"/>
        <w:jc w:val="left"/>
        <w:rPr/>
      </w:pPr>
      <w:r>
        <w:rPr/>
        <w: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4320" w:right="0" w:hanging="0"/>
        <w:jc w:val="left"/>
        <w:rPr/>
      </w:pPr>
      <w:r>
        <w:rPr/>
        <w:t> </w:t>
      </w:r>
    </w:p>
    <w:tbl>
      <w:tblPr>
        <w:tblW w:w="5000" w:type="pct"/>
        <w:jc w:val="left"/>
        <w:tblInd w:w="0" w:type="dxa"/>
        <w:tblCellMar>
          <w:top w:w="0" w:type="dxa"/>
          <w:left w:w="0" w:type="dxa"/>
          <w:bottom w:w="0" w:type="dxa"/>
          <w:right w:w="0" w:type="dxa"/>
        </w:tblCellMar>
      </w:tblPr>
      <w:tblGrid>
        <w:gridCol w:w="5206"/>
        <w:gridCol w:w="729"/>
        <w:gridCol w:w="4270"/>
      </w:tblGrid>
      <w:tr>
        <w:trPr/>
        <w:tc>
          <w:tcPr>
            <w:tcW w:w="5206" w:type="dxa"/>
            <w:tcBorders/>
            <w:shd w:fill="auto" w:val="clear"/>
          </w:tcPr>
          <w:p>
            <w:pPr>
              <w:pStyle w:val="TableContents"/>
              <w:spacing w:before="0" w:after="283"/>
              <w:ind w:left="0" w:right="0" w:hanging="0"/>
              <w:rPr>
                <w:sz w:val="4"/>
                <w:szCs w:val="4"/>
              </w:rPr>
            </w:pPr>
            <w:r>
              <w:rPr>
                <w:sz w:val="4"/>
                <w:szCs w:val="4"/>
              </w:rPr>
            </w:r>
          </w:p>
        </w:tc>
        <w:tc>
          <w:tcPr>
            <w:tcW w:w="4999"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VULCAN CAPITAL PRIVATE</w:t>
            </w:r>
          </w:p>
        </w:tc>
      </w:tr>
      <w:tr>
        <w:trPr/>
        <w:tc>
          <w:tcPr>
            <w:tcW w:w="5206" w:type="dxa"/>
            <w:tcBorders/>
            <w:shd w:fill="auto" w:val="clear"/>
          </w:tcPr>
          <w:p>
            <w:pPr>
              <w:pStyle w:val="TableContents"/>
              <w:spacing w:before="0" w:after="0"/>
              <w:ind w:left="0" w:right="0" w:hanging="0"/>
              <w:rPr/>
            </w:pPr>
            <w:r>
              <w:rPr/>
              <w:t> </w:t>
            </w:r>
          </w:p>
        </w:tc>
        <w:tc>
          <w:tcPr>
            <w:tcW w:w="4999"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EQUITY I LLC</w:t>
            </w:r>
          </w:p>
        </w:tc>
      </w:tr>
      <w:tr>
        <w:trPr/>
        <w:tc>
          <w:tcPr>
            <w:tcW w:w="5206" w:type="dxa"/>
            <w:tcBorders/>
            <w:shd w:fill="auto" w:val="clear"/>
          </w:tcPr>
          <w:p>
            <w:pPr>
              <w:pStyle w:val="TableContents"/>
              <w:spacing w:before="0" w:after="0"/>
              <w:ind w:left="0" w:right="0" w:hanging="0"/>
              <w:rPr/>
            </w:pPr>
            <w:r>
              <w:rPr/>
              <w:t> </w:t>
            </w:r>
          </w:p>
        </w:tc>
        <w:tc>
          <w:tcPr>
            <w:tcW w:w="729" w:type="dxa"/>
            <w:tcBorders/>
            <w:shd w:fill="auto" w:val="clear"/>
          </w:tcPr>
          <w:p>
            <w:pPr>
              <w:pStyle w:val="TableContents"/>
              <w:spacing w:before="0" w:after="0"/>
              <w:ind w:left="0" w:right="0" w:hanging="0"/>
              <w:rPr/>
            </w:pPr>
            <w:r>
              <w:rPr/>
              <w:t> </w:t>
            </w:r>
          </w:p>
        </w:tc>
        <w:tc>
          <w:tcPr>
            <w:tcW w:w="4270" w:type="dxa"/>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pPr>
            <w:r>
              <w:rPr/>
              <w:t> </w:t>
            </w:r>
          </w:p>
        </w:tc>
        <w:tc>
          <w:tcPr>
            <w:tcW w:w="7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Vulcan Capital Private Equity</w:t>
            </w:r>
          </w:p>
        </w:tc>
      </w:tr>
      <w:tr>
        <w:trPr/>
        <w:tc>
          <w:tcPr>
            <w:tcW w:w="5206" w:type="dxa"/>
            <w:tcBorders/>
            <w:shd w:fill="auto" w:val="clear"/>
          </w:tcPr>
          <w:p>
            <w:pPr>
              <w:pStyle w:val="TableContents"/>
              <w:spacing w:before="0" w:after="0"/>
              <w:ind w:left="0" w:right="0" w:hanging="0"/>
              <w:rPr/>
            </w:pPr>
            <w:r>
              <w:rPr/>
              <w:t> </w:t>
            </w:r>
          </w:p>
        </w:tc>
        <w:tc>
          <w:tcPr>
            <w:tcW w:w="729" w:type="dxa"/>
            <w:tcBorders/>
            <w:shd w:fill="auto" w:val="clear"/>
          </w:tcPr>
          <w:p>
            <w:pPr>
              <w:pStyle w:val="TableContents"/>
              <w:spacing w:before="0" w:after="0"/>
              <w:ind w:left="0" w:right="0" w:hanging="0"/>
              <w:rPr/>
            </w:pPr>
            <w:r>
              <w:rPr/>
              <w:t> </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Management I LLC, its Manager</w:t>
            </w:r>
          </w:p>
        </w:tc>
      </w:tr>
      <w:tr>
        <w:trPr/>
        <w:tc>
          <w:tcPr>
            <w:tcW w:w="5206" w:type="dxa"/>
            <w:tcBorders/>
            <w:shd w:fill="auto" w:val="clear"/>
          </w:tcPr>
          <w:p>
            <w:pPr>
              <w:pStyle w:val="TableContents"/>
              <w:spacing w:before="0" w:after="0"/>
              <w:ind w:left="0" w:right="0" w:hanging="0"/>
              <w:rPr/>
            </w:pPr>
            <w:r>
              <w:rPr/>
              <w:t> </w:t>
            </w:r>
          </w:p>
        </w:tc>
        <w:tc>
          <w:tcPr>
            <w:tcW w:w="729" w:type="dxa"/>
            <w:tcBorders/>
            <w:shd w:fill="auto" w:val="clear"/>
          </w:tcPr>
          <w:p>
            <w:pPr>
              <w:pStyle w:val="TableContents"/>
              <w:spacing w:before="0" w:after="0"/>
              <w:ind w:left="0" w:right="0" w:hanging="0"/>
              <w:rPr/>
            </w:pPr>
            <w:r>
              <w:rPr/>
              <w:t> </w:t>
            </w:r>
          </w:p>
        </w:tc>
        <w:tc>
          <w:tcPr>
            <w:tcW w:w="4270" w:type="dxa"/>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pPr>
            <w:r>
              <w:rPr/>
              <w:t> </w:t>
            </w:r>
          </w:p>
        </w:tc>
        <w:tc>
          <w:tcPr>
            <w:tcW w:w="7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Vulcan Capital Private Equity Inc.,</w:t>
            </w:r>
          </w:p>
        </w:tc>
      </w:tr>
      <w:tr>
        <w:trPr/>
        <w:tc>
          <w:tcPr>
            <w:tcW w:w="5206" w:type="dxa"/>
            <w:tcBorders/>
            <w:shd w:fill="auto" w:val="clear"/>
          </w:tcPr>
          <w:p>
            <w:pPr>
              <w:pStyle w:val="TableContents"/>
              <w:spacing w:before="0" w:after="0"/>
              <w:ind w:left="0" w:right="0" w:hanging="0"/>
              <w:rPr/>
            </w:pPr>
            <w:r>
              <w:rPr/>
              <w:t> </w:t>
            </w:r>
          </w:p>
        </w:tc>
        <w:tc>
          <w:tcPr>
            <w:tcW w:w="729" w:type="dxa"/>
            <w:tcBorders/>
            <w:shd w:fill="auto" w:val="clear"/>
          </w:tcPr>
          <w:p>
            <w:pPr>
              <w:pStyle w:val="TableContents"/>
              <w:spacing w:before="0" w:after="0"/>
              <w:ind w:left="0" w:right="0" w:hanging="0"/>
              <w:rPr/>
            </w:pPr>
            <w:r>
              <w:rPr/>
              <w:t> </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Managing Member</w:t>
            </w:r>
          </w:p>
        </w:tc>
      </w:tr>
      <w:tr>
        <w:trPr/>
        <w:tc>
          <w:tcPr>
            <w:tcW w:w="5206" w:type="dxa"/>
            <w:tcBorders/>
            <w:shd w:fill="auto" w:val="clear"/>
          </w:tcPr>
          <w:p>
            <w:pPr>
              <w:pStyle w:val="TableContents"/>
              <w:spacing w:before="0" w:after="0"/>
              <w:ind w:left="0" w:right="0" w:hanging="0"/>
              <w:rPr/>
            </w:pPr>
            <w:r>
              <w:rPr/>
              <w:t> </w:t>
            </w:r>
          </w:p>
        </w:tc>
        <w:tc>
          <w:tcPr>
            <w:tcW w:w="729" w:type="dxa"/>
            <w:tcBorders/>
            <w:shd w:fill="auto" w:val="clear"/>
          </w:tcPr>
          <w:p>
            <w:pPr>
              <w:pStyle w:val="TableContents"/>
              <w:spacing w:before="0" w:after="0"/>
              <w:ind w:left="0" w:right="0" w:hanging="0"/>
              <w:rPr/>
            </w:pPr>
            <w:r>
              <w:rPr/>
              <w:t> </w:t>
            </w:r>
          </w:p>
        </w:tc>
        <w:tc>
          <w:tcPr>
            <w:tcW w:w="4270" w:type="dxa"/>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pPr>
            <w:r>
              <w:rPr/>
              <w:t> </w:t>
            </w:r>
          </w:p>
        </w:tc>
        <w:tc>
          <w:tcPr>
            <w:tcW w:w="7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270"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W. LANCE CONN</w:t>
            </w:r>
          </w:p>
        </w:tc>
      </w:tr>
      <w:tr>
        <w:trPr/>
        <w:tc>
          <w:tcPr>
            <w:tcW w:w="5206" w:type="dxa"/>
            <w:tcBorders/>
            <w:shd w:fill="auto" w:val="clear"/>
          </w:tcPr>
          <w:p>
            <w:pPr>
              <w:pStyle w:val="TableContents"/>
              <w:spacing w:before="0" w:after="0"/>
              <w:ind w:left="0" w:right="0" w:hanging="0"/>
              <w:rPr/>
            </w:pPr>
            <w:r>
              <w:rPr/>
              <w:t> </w:t>
            </w:r>
          </w:p>
        </w:tc>
        <w:tc>
          <w:tcPr>
            <w:tcW w:w="7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 Lance Conn</w:t>
            </w:r>
          </w:p>
        </w:tc>
      </w:tr>
      <w:tr>
        <w:trPr/>
        <w:tc>
          <w:tcPr>
            <w:tcW w:w="5206" w:type="dxa"/>
            <w:tcBorders/>
            <w:shd w:fill="auto" w:val="clear"/>
          </w:tcPr>
          <w:p>
            <w:pPr>
              <w:pStyle w:val="TableContents"/>
              <w:spacing w:before="0" w:after="0"/>
              <w:ind w:left="0" w:right="0" w:hanging="0"/>
              <w:rPr/>
            </w:pPr>
            <w:r>
              <w:rPr/>
              <w:t> </w:t>
            </w:r>
          </w:p>
        </w:tc>
        <w:tc>
          <w:tcPr>
            <w:tcW w:w="7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bl>
    <w:p>
      <w:pPr>
        <w:pStyle w:val="TextBody"/>
        <w:spacing w:before="0" w:after="240"/>
        <w:ind w:left="4320" w:right="0" w:hanging="0"/>
        <w:jc w:val="left"/>
        <w:rPr/>
      </w:pPr>
      <w:r>
        <w:rPr/>
        <w: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4320" w:right="0" w:hanging="0"/>
        <w:jc w:val="left"/>
        <w:rPr/>
      </w:pPr>
      <w:r>
        <w:rPr/>
        <w:t> </w:t>
      </w:r>
    </w:p>
    <w:tbl>
      <w:tblPr>
        <w:tblW w:w="5000" w:type="pct"/>
        <w:jc w:val="left"/>
        <w:tblInd w:w="0" w:type="dxa"/>
        <w:tblCellMar>
          <w:top w:w="0" w:type="dxa"/>
          <w:left w:w="0" w:type="dxa"/>
          <w:bottom w:w="0" w:type="dxa"/>
          <w:right w:w="0" w:type="dxa"/>
        </w:tblCellMar>
      </w:tblPr>
      <w:tblGrid>
        <w:gridCol w:w="5206"/>
        <w:gridCol w:w="625"/>
        <w:gridCol w:w="4374"/>
      </w:tblGrid>
      <w:tr>
        <w:trPr/>
        <w:tc>
          <w:tcPr>
            <w:tcW w:w="5206" w:type="dxa"/>
            <w:tcBorders/>
            <w:shd w:fill="auto" w:val="clear"/>
          </w:tcPr>
          <w:p>
            <w:pPr>
              <w:pStyle w:val="TableContents"/>
              <w:spacing w:before="0" w:after="283"/>
              <w:ind w:left="0" w:right="0" w:hanging="0"/>
              <w:rPr>
                <w:sz w:val="4"/>
                <w:szCs w:val="4"/>
              </w:rPr>
            </w:pPr>
            <w:r>
              <w:rPr>
                <w:sz w:val="4"/>
                <w:szCs w:val="4"/>
              </w:rPr>
            </w:r>
          </w:p>
        </w:tc>
        <w:tc>
          <w:tcPr>
            <w:tcW w:w="4999"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TORTOISE ENERGY</w:t>
              <w:br/>
              <w:t>INFRASTRUCTURE CORPORATION</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374" w:type="dxa"/>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DAVID J. SCHULTE</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David J. Schulte</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Chief Executive Officer and President</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374" w:type="dxa"/>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pPr>
            <w:r>
              <w:rPr/>
              <w:t> </w:t>
            </w:r>
          </w:p>
        </w:tc>
        <w:tc>
          <w:tcPr>
            <w:tcW w:w="4999"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TORTOISE ENERGY CAPITAL</w:t>
              <w:br/>
              <w:t>CORPORATION</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374" w:type="dxa"/>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DAVID J. SCHULTE</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David J. Schulte</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Chief Executive Officer and President</w:t>
            </w:r>
          </w:p>
        </w:tc>
      </w:tr>
    </w:tbl>
    <w:p>
      <w:pPr>
        <w:pStyle w:val="TextBody"/>
        <w:spacing w:before="0" w:after="240"/>
        <w:ind w:left="4320" w:right="0" w:hanging="0"/>
        <w:jc w:val="left"/>
        <w:rPr/>
      </w:pPr>
      <w:r>
        <w:rPr/>
        <w: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4320" w:right="0" w:hanging="0"/>
        <w:jc w:val="left"/>
        <w:rPr/>
      </w:pPr>
      <w:r>
        <w:rPr/>
        <w:t> </w:t>
      </w:r>
    </w:p>
    <w:tbl>
      <w:tblPr>
        <w:tblW w:w="5000" w:type="pct"/>
        <w:jc w:val="left"/>
        <w:tblInd w:w="0" w:type="dxa"/>
        <w:tblCellMar>
          <w:top w:w="0" w:type="dxa"/>
          <w:left w:w="0" w:type="dxa"/>
          <w:bottom w:w="0" w:type="dxa"/>
          <w:right w:w="0" w:type="dxa"/>
        </w:tblCellMar>
      </w:tblPr>
      <w:tblGrid>
        <w:gridCol w:w="5207"/>
        <w:gridCol w:w="624"/>
        <w:gridCol w:w="4374"/>
      </w:tblGrid>
      <w:tr>
        <w:trPr/>
        <w:tc>
          <w:tcPr>
            <w:tcW w:w="5207" w:type="dxa"/>
            <w:tcBorders/>
            <w:shd w:fill="auto" w:val="clear"/>
          </w:tcPr>
          <w:p>
            <w:pPr>
              <w:pStyle w:val="TableContents"/>
              <w:spacing w:before="0" w:after="283"/>
              <w:ind w:left="0" w:right="0" w:hanging="0"/>
              <w:rPr>
                <w:sz w:val="4"/>
                <w:szCs w:val="4"/>
              </w:rPr>
            </w:pPr>
            <w:r>
              <w:rPr>
                <w:sz w:val="4"/>
                <w:szCs w:val="4"/>
              </w:rPr>
            </w:r>
          </w:p>
        </w:tc>
        <w:tc>
          <w:tcPr>
            <w:tcW w:w="4998" w:type="dxa"/>
            <w:gridSpan w:val="2"/>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17"/>
              </w:rPr>
              <w:t>KAYNE ANDERSON MLP</w:t>
              <w:br/>
            </w:r>
            <w:r>
              <w:rPr>
                <w:rFonts w:ascii="Times New Roman" w:hAnsi="Times New Roman"/>
                <w:b/>
                <w:sz w:val="20"/>
              </w:rPr>
              <w:t>INVESTMENT COMPANY</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374" w:type="dxa"/>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JAMES C. BAKER</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James C. Baker</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374" w:type="dxa"/>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4998"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KAYNE ANDERSON ENERGY TOTAL</w:t>
              <w:br/>
              <w:t>RETURN FUND, INC.</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374" w:type="dxa"/>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JAMES C. BAKER</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James C. Baker</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bl>
    <w:p>
      <w:pPr>
        <w:pStyle w:val="TextBody"/>
        <w:spacing w:before="0" w:after="240"/>
        <w:ind w:left="4320" w:right="0" w:hanging="0"/>
        <w:jc w:val="left"/>
        <w:rPr/>
      </w:pPr>
      <w:r>
        <w:rPr/>
        <w: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5040" w:right="0" w:hanging="0"/>
        <w:jc w:val="left"/>
        <w:rPr/>
      </w:pPr>
      <w:r>
        <w:rPr/>
        <w:t> </w:t>
      </w:r>
    </w:p>
    <w:tbl>
      <w:tblPr>
        <w:tblW w:w="5000" w:type="pct"/>
        <w:jc w:val="left"/>
        <w:tblInd w:w="0" w:type="dxa"/>
        <w:tblCellMar>
          <w:top w:w="0" w:type="dxa"/>
          <w:left w:w="0" w:type="dxa"/>
          <w:bottom w:w="0" w:type="dxa"/>
          <w:right w:w="0" w:type="dxa"/>
        </w:tblCellMar>
      </w:tblPr>
      <w:tblGrid>
        <w:gridCol w:w="5206"/>
        <w:gridCol w:w="625"/>
        <w:gridCol w:w="4374"/>
      </w:tblGrid>
      <w:tr>
        <w:trPr/>
        <w:tc>
          <w:tcPr>
            <w:tcW w:w="5206" w:type="dxa"/>
            <w:tcBorders/>
            <w:shd w:fill="auto" w:val="clear"/>
          </w:tcPr>
          <w:p>
            <w:pPr>
              <w:pStyle w:val="TableContents"/>
              <w:spacing w:before="0" w:after="283"/>
              <w:ind w:left="0" w:right="0" w:hanging="0"/>
              <w:rPr>
                <w:sz w:val="4"/>
                <w:szCs w:val="4"/>
              </w:rPr>
            </w:pPr>
            <w:r>
              <w:rPr>
                <w:sz w:val="4"/>
                <w:szCs w:val="4"/>
              </w:rPr>
            </w:r>
          </w:p>
        </w:tc>
        <w:tc>
          <w:tcPr>
            <w:tcW w:w="4999"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STADIUM PLAZA SHOPPING</w:t>
            </w:r>
          </w:p>
        </w:tc>
      </w:tr>
      <w:tr>
        <w:trPr/>
        <w:tc>
          <w:tcPr>
            <w:tcW w:w="5206" w:type="dxa"/>
            <w:tcBorders/>
            <w:shd w:fill="auto" w:val="clear"/>
          </w:tcPr>
          <w:p>
            <w:pPr>
              <w:pStyle w:val="TableContents"/>
              <w:spacing w:before="0" w:after="0"/>
              <w:ind w:left="0" w:right="0" w:hanging="0"/>
              <w:rPr/>
            </w:pPr>
            <w:r>
              <w:rPr/>
              <w:t> </w:t>
            </w:r>
          </w:p>
        </w:tc>
        <w:tc>
          <w:tcPr>
            <w:tcW w:w="4999" w:type="dxa"/>
            <w:gridSpan w:val="2"/>
            <w:tcBorders/>
            <w:shd w:fill="auto" w:val="clear"/>
          </w:tcPr>
          <w:p>
            <w:pPr>
              <w:pStyle w:val="TableContents"/>
              <w:spacing w:before="0" w:after="0"/>
              <w:ind w:left="0" w:right="0" w:hanging="0"/>
              <w:rPr/>
            </w:pPr>
            <w:r>
              <w:rPr/>
              <w:t>  </w:t>
            </w:r>
            <w:r>
              <w:rPr>
                <w:rFonts w:ascii="Times New Roman" w:hAnsi="Times New Roman"/>
                <w:b/>
                <w:sz w:val="17"/>
              </w:rPr>
              <w:t>CENTER LLC</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374" w:type="dxa"/>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ROLLAND J. WALTERS</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Rolland J. Walters</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Managing Member</w:t>
            </w:r>
          </w:p>
        </w:tc>
      </w:tr>
    </w:tbl>
    <w:p>
      <w:pPr>
        <w:pStyle w:val="TextBody"/>
        <w:spacing w:before="0" w:after="240"/>
        <w:ind w:left="5040" w:right="0" w:hanging="0"/>
        <w:jc w:val="left"/>
        <w:rPr/>
      </w:pPr>
      <w:r>
        <w:rPr/>
        <w: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5040" w:right="0" w:hanging="0"/>
        <w:jc w:val="left"/>
        <w:rPr/>
      </w:pPr>
      <w:r>
        <w:rPr/>
        <w:t> </w:t>
      </w:r>
    </w:p>
    <w:tbl>
      <w:tblPr>
        <w:tblW w:w="5000" w:type="pct"/>
        <w:jc w:val="left"/>
        <w:tblInd w:w="0" w:type="dxa"/>
        <w:tblCellMar>
          <w:top w:w="0" w:type="dxa"/>
          <w:left w:w="0" w:type="dxa"/>
          <w:bottom w:w="0" w:type="dxa"/>
          <w:right w:w="0" w:type="dxa"/>
        </w:tblCellMar>
      </w:tblPr>
      <w:tblGrid>
        <w:gridCol w:w="5207"/>
        <w:gridCol w:w="624"/>
        <w:gridCol w:w="4374"/>
      </w:tblGrid>
      <w:tr>
        <w:trPr/>
        <w:tc>
          <w:tcPr>
            <w:tcW w:w="5207" w:type="dxa"/>
            <w:tcBorders/>
            <w:shd w:fill="auto" w:val="clear"/>
          </w:tcPr>
          <w:p>
            <w:pPr>
              <w:pStyle w:val="TableContents"/>
              <w:spacing w:before="0" w:after="283"/>
              <w:ind w:left="0" w:right="0" w:hanging="0"/>
              <w:rPr>
                <w:sz w:val="4"/>
                <w:szCs w:val="4"/>
              </w:rPr>
            </w:pPr>
            <w:r>
              <w:rPr>
                <w:sz w:val="4"/>
                <w:szCs w:val="4"/>
              </w:rPr>
            </w:r>
          </w:p>
        </w:tc>
        <w:tc>
          <w:tcPr>
            <w:tcW w:w="4998"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STRUCTURED FINANCE</w:t>
              <w:br/>
              <w:t>  AMERICAS, LLC</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374" w:type="dxa"/>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ANDREA LEUNG</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Andrea Leung</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374" w:type="dxa"/>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JILL RATHJEN</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Jill Rathjen</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w:t>
            </w:r>
          </w:p>
        </w:tc>
      </w:tr>
    </w:tbl>
    <w:p>
      <w:pPr>
        <w:pStyle w:val="TextBody"/>
        <w:spacing w:before="0" w:after="240"/>
        <w:ind w:left="5040" w:right="0" w:hanging="0"/>
        <w:rPr/>
      </w:pPr>
      <w:r>
        <w:rPr/>
        <w: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5040" w:right="0" w:hanging="0"/>
        <w:jc w:val="left"/>
        <w:rPr/>
      </w:pPr>
      <w:r>
        <w:rPr/>
        <w:t> </w:t>
      </w:r>
    </w:p>
    <w:tbl>
      <w:tblPr>
        <w:tblW w:w="5000" w:type="pct"/>
        <w:jc w:val="left"/>
        <w:tblInd w:w="0" w:type="dxa"/>
        <w:tblCellMar>
          <w:top w:w="0" w:type="dxa"/>
          <w:left w:w="0" w:type="dxa"/>
          <w:bottom w:w="0" w:type="dxa"/>
          <w:right w:w="0" w:type="dxa"/>
        </w:tblCellMar>
      </w:tblPr>
      <w:tblGrid>
        <w:gridCol w:w="5102"/>
        <w:gridCol w:w="625"/>
        <w:gridCol w:w="4478"/>
      </w:tblGrid>
      <w:tr>
        <w:trPr/>
        <w:tc>
          <w:tcPr>
            <w:tcW w:w="5102" w:type="dxa"/>
            <w:tcBorders/>
            <w:shd w:fill="auto" w:val="clear"/>
          </w:tcPr>
          <w:p>
            <w:pPr>
              <w:pStyle w:val="TableContents"/>
              <w:spacing w:before="0" w:after="283"/>
              <w:ind w:left="0" w:right="0" w:hanging="0"/>
              <w:rPr>
                <w:sz w:val="4"/>
                <w:szCs w:val="4"/>
              </w:rPr>
            </w:pPr>
            <w:r>
              <w:rPr>
                <w:sz w:val="4"/>
                <w:szCs w:val="4"/>
              </w:rPr>
            </w:r>
          </w:p>
        </w:tc>
        <w:tc>
          <w:tcPr>
            <w:tcW w:w="5103"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RCH ENERGY OPPORTUNITY</w:t>
              <w:br/>
              <w:t>FUND I, L.P.</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RCH ENERGY OPPORTUNITY</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r>
              <w:rPr>
                <w:rFonts w:ascii="Times New Roman" w:hAnsi="Times New Roman"/>
                <w:sz w:val="17"/>
              </w:rPr>
              <w:t>FUND I GP, L.P., its general partner</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RR ADVISORS, LLC,</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r>
              <w:rPr>
                <w:rFonts w:ascii="Times New Roman" w:hAnsi="Times New Roman"/>
                <w:sz w:val="17"/>
              </w:rPr>
              <w:t>its general partner</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ROBERT RAYMOND</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Robert Raymond</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Sole Member</w:t>
            </w:r>
          </w:p>
        </w:tc>
      </w:tr>
    </w:tbl>
    <w:p>
      <w:pPr>
        <w:pStyle w:val="TextBody"/>
        <w:spacing w:before="0" w:after="240"/>
        <w:ind w:left="5040" w:right="0" w:hanging="0"/>
        <w:jc w:val="left"/>
        <w:rPr/>
      </w:pPr>
      <w:r>
        <w:rPr/>
        <w: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5040" w:right="0" w:hanging="0"/>
        <w:jc w:val="left"/>
        <w:rPr/>
      </w:pPr>
      <w:r>
        <w:rPr/>
        <w:t> </w:t>
      </w:r>
    </w:p>
    <w:tbl>
      <w:tblPr>
        <w:tblW w:w="5000" w:type="pct"/>
        <w:jc w:val="left"/>
        <w:tblInd w:w="0" w:type="dxa"/>
        <w:tblCellMar>
          <w:top w:w="0" w:type="dxa"/>
          <w:left w:w="0" w:type="dxa"/>
          <w:bottom w:w="0" w:type="dxa"/>
          <w:right w:w="0" w:type="dxa"/>
        </w:tblCellMar>
      </w:tblPr>
      <w:tblGrid>
        <w:gridCol w:w="5206"/>
        <w:gridCol w:w="625"/>
        <w:gridCol w:w="4374"/>
      </w:tblGrid>
      <w:tr>
        <w:trPr/>
        <w:tc>
          <w:tcPr>
            <w:tcW w:w="5206" w:type="dxa"/>
            <w:tcBorders/>
            <w:shd w:fill="auto" w:val="clear"/>
          </w:tcPr>
          <w:p>
            <w:pPr>
              <w:pStyle w:val="TableContents"/>
              <w:spacing w:before="0" w:after="283"/>
              <w:ind w:left="0" w:right="0" w:hanging="0"/>
              <w:rPr>
                <w:sz w:val="4"/>
                <w:szCs w:val="4"/>
              </w:rPr>
            </w:pPr>
            <w:r>
              <w:rPr>
                <w:sz w:val="4"/>
                <w:szCs w:val="4"/>
              </w:rPr>
            </w:r>
          </w:p>
        </w:tc>
        <w:tc>
          <w:tcPr>
            <w:tcW w:w="4999"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STROME MLP FUND, L.P.</w:t>
            </w:r>
          </w:p>
        </w:tc>
      </w:tr>
      <w:tr>
        <w:trPr/>
        <w:tc>
          <w:tcPr>
            <w:tcW w:w="5206" w:type="dxa"/>
            <w:tcBorders/>
            <w:shd w:fill="auto" w:val="clear"/>
          </w:tcPr>
          <w:p>
            <w:pPr>
              <w:pStyle w:val="TableContents"/>
              <w:spacing w:before="0" w:after="0"/>
              <w:ind w:left="0" w:right="0" w:hanging="0"/>
              <w:rPr/>
            </w:pPr>
            <w:r>
              <w:rPr/>
              <w:t> </w:t>
            </w:r>
          </w:p>
        </w:tc>
        <w:tc>
          <w:tcPr>
            <w:tcW w:w="4999" w:type="dxa"/>
            <w:gridSpan w:val="2"/>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STROME INVESTMENT</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374" w:type="dxa"/>
            <w:tcBorders/>
            <w:shd w:fill="auto" w:val="clear"/>
          </w:tcPr>
          <w:p>
            <w:pPr>
              <w:pStyle w:val="TableContents"/>
              <w:spacing w:before="0" w:after="0"/>
              <w:ind w:left="0" w:right="0" w:hanging="0"/>
              <w:rPr/>
            </w:pPr>
            <w:r>
              <w:rPr/>
              <w:t>  </w:t>
            </w:r>
            <w:r>
              <w:rPr>
                <w:rFonts w:ascii="Times New Roman" w:hAnsi="Times New Roman"/>
                <w:sz w:val="17"/>
              </w:rPr>
              <w:t>MANAGEMENT, L.P.,</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374" w:type="dxa"/>
            <w:tcBorders/>
            <w:shd w:fill="auto" w:val="clear"/>
          </w:tcPr>
          <w:p>
            <w:pPr>
              <w:pStyle w:val="TableContents"/>
              <w:spacing w:before="0" w:after="0"/>
              <w:ind w:left="0" w:right="0" w:hanging="0"/>
              <w:rPr/>
            </w:pPr>
            <w:r>
              <w:rPr/>
              <w:t>  </w:t>
            </w:r>
            <w:r>
              <w:rPr>
                <w:rFonts w:ascii="Times New Roman" w:hAnsi="Times New Roman"/>
                <w:sz w:val="17"/>
              </w:rPr>
              <w:t>its general partner</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374" w:type="dxa"/>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MARK STROME</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Mark Strome</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Chief Investment Officer</w:t>
            </w:r>
          </w:p>
        </w:tc>
      </w:tr>
    </w:tbl>
    <w:p>
      <w:pPr>
        <w:pStyle w:val="TextBody"/>
        <w:spacing w:before="0" w:after="240"/>
        <w:ind w:left="4320" w:right="0" w:firstLine="400"/>
        <w:rPr/>
      </w:pPr>
      <w:r>
        <w:rPr/>
        <w: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5040" w:right="0" w:hanging="0"/>
        <w:jc w:val="left"/>
        <w:rPr/>
      </w:pPr>
      <w:r>
        <w:rPr/>
        <w:t> </w:t>
      </w:r>
    </w:p>
    <w:tbl>
      <w:tblPr>
        <w:tblW w:w="5000" w:type="pct"/>
        <w:jc w:val="left"/>
        <w:tblInd w:w="0" w:type="dxa"/>
        <w:tblCellMar>
          <w:top w:w="0" w:type="dxa"/>
          <w:left w:w="0" w:type="dxa"/>
          <w:bottom w:w="0" w:type="dxa"/>
          <w:right w:w="0" w:type="dxa"/>
        </w:tblCellMar>
      </w:tblPr>
      <w:tblGrid>
        <w:gridCol w:w="5207"/>
        <w:gridCol w:w="624"/>
        <w:gridCol w:w="4374"/>
      </w:tblGrid>
      <w:tr>
        <w:trPr/>
        <w:tc>
          <w:tcPr>
            <w:tcW w:w="5207" w:type="dxa"/>
            <w:tcBorders/>
            <w:shd w:fill="auto" w:val="clear"/>
          </w:tcPr>
          <w:p>
            <w:pPr>
              <w:pStyle w:val="TableContents"/>
              <w:spacing w:before="0" w:after="283"/>
              <w:ind w:left="0" w:right="0" w:hanging="0"/>
              <w:rPr>
                <w:sz w:val="4"/>
                <w:szCs w:val="4"/>
              </w:rPr>
            </w:pPr>
            <w:r>
              <w:rPr>
                <w:sz w:val="4"/>
                <w:szCs w:val="4"/>
              </w:rPr>
            </w:r>
          </w:p>
        </w:tc>
        <w:tc>
          <w:tcPr>
            <w:tcW w:w="4998"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ALERIAN CAPITAL PARTNERS, LP</w:t>
            </w:r>
          </w:p>
        </w:tc>
      </w:tr>
      <w:tr>
        <w:trPr/>
        <w:tc>
          <w:tcPr>
            <w:tcW w:w="5207" w:type="dxa"/>
            <w:tcBorders/>
            <w:shd w:fill="auto" w:val="clear"/>
          </w:tcPr>
          <w:p>
            <w:pPr>
              <w:pStyle w:val="TableContents"/>
              <w:spacing w:before="0" w:after="0"/>
              <w:ind w:left="0" w:right="0" w:hanging="0"/>
              <w:rPr/>
            </w:pPr>
            <w:r>
              <w:rPr/>
              <w:t> </w:t>
            </w:r>
          </w:p>
        </w:tc>
        <w:tc>
          <w:tcPr>
            <w:tcW w:w="4998" w:type="dxa"/>
            <w:gridSpan w:val="2"/>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ALERIAN CAPITAL</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ADVISORS LLC, its general partner</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374" w:type="dxa"/>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GABRIEL HAMMOND</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Gabriel Hammond</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Managing Member</w:t>
            </w:r>
          </w:p>
        </w:tc>
      </w:tr>
    </w:tbl>
    <w:p>
      <w:pPr>
        <w:pStyle w:val="TextBody"/>
        <w:spacing w:before="0" w:after="240"/>
        <w:ind w:left="5040" w:right="0" w:hanging="0"/>
        <w:jc w:val="left"/>
        <w:rPr/>
      </w:pPr>
      <w:r>
        <w:rPr/>
        <w: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5040" w:right="0" w:hanging="0"/>
        <w:jc w:val="left"/>
        <w:rPr/>
      </w:pPr>
      <w:r>
        <w:rPr/>
        <w:t> </w:t>
      </w:r>
    </w:p>
    <w:tbl>
      <w:tblPr>
        <w:tblW w:w="5000" w:type="pct"/>
        <w:jc w:val="left"/>
        <w:tblInd w:w="0" w:type="dxa"/>
        <w:tblCellMar>
          <w:top w:w="0" w:type="dxa"/>
          <w:left w:w="0" w:type="dxa"/>
          <w:bottom w:w="0" w:type="dxa"/>
          <w:right w:w="0" w:type="dxa"/>
        </w:tblCellMar>
      </w:tblPr>
      <w:tblGrid>
        <w:gridCol w:w="5206"/>
        <w:gridCol w:w="625"/>
        <w:gridCol w:w="4374"/>
      </w:tblGrid>
      <w:tr>
        <w:trPr/>
        <w:tc>
          <w:tcPr>
            <w:tcW w:w="5206" w:type="dxa"/>
            <w:tcBorders/>
            <w:shd w:fill="auto" w:val="clear"/>
          </w:tcPr>
          <w:p>
            <w:pPr>
              <w:pStyle w:val="TableContents"/>
              <w:spacing w:before="0" w:after="283"/>
              <w:ind w:left="0" w:right="0" w:hanging="0"/>
              <w:rPr>
                <w:sz w:val="4"/>
                <w:szCs w:val="4"/>
              </w:rPr>
            </w:pPr>
            <w:r>
              <w:rPr>
                <w:sz w:val="4"/>
                <w:szCs w:val="4"/>
              </w:rPr>
            </w:r>
          </w:p>
        </w:tc>
        <w:tc>
          <w:tcPr>
            <w:tcW w:w="4999"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ZLP FUND, L.P.</w:t>
            </w:r>
          </w:p>
        </w:tc>
      </w:tr>
      <w:tr>
        <w:trPr/>
        <w:tc>
          <w:tcPr>
            <w:tcW w:w="5206" w:type="dxa"/>
            <w:tcBorders/>
            <w:shd w:fill="auto" w:val="clear"/>
          </w:tcPr>
          <w:p>
            <w:pPr>
              <w:pStyle w:val="TableContents"/>
              <w:spacing w:before="0" w:after="0"/>
              <w:ind w:left="0" w:right="0" w:hanging="0"/>
              <w:rPr/>
            </w:pPr>
            <w:r>
              <w:rPr/>
              <w:t> </w:t>
            </w:r>
          </w:p>
        </w:tc>
        <w:tc>
          <w:tcPr>
            <w:tcW w:w="4999" w:type="dxa"/>
            <w:gridSpan w:val="2"/>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STUART J. ZIMMER</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Stuart J. Zimmer</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Managing Member,</w:t>
            </w:r>
          </w:p>
        </w:tc>
      </w:tr>
      <w:tr>
        <w:trPr/>
        <w:tc>
          <w:tcPr>
            <w:tcW w:w="5206"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bl>
    <w:p>
      <w:pPr>
        <w:pStyle w:val="TextBody"/>
        <w:spacing w:before="0" w:after="240"/>
        <w:ind w:left="4320" w:right="0" w:hanging="0"/>
        <w:jc w:val="left"/>
        <w:rPr/>
      </w:pPr>
      <w:r>
        <w:rPr/>
        <w: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4320" w:right="0" w:hanging="0"/>
        <w:jc w:val="left"/>
        <w:rPr/>
      </w:pPr>
      <w:r>
        <w:rPr/>
        <w:t> </w:t>
      </w:r>
    </w:p>
    <w:tbl>
      <w:tblPr>
        <w:tblW w:w="5000" w:type="pct"/>
        <w:jc w:val="left"/>
        <w:tblInd w:w="0" w:type="dxa"/>
        <w:tblCellMar>
          <w:top w:w="0" w:type="dxa"/>
          <w:left w:w="0" w:type="dxa"/>
          <w:bottom w:w="0" w:type="dxa"/>
          <w:right w:w="0" w:type="dxa"/>
        </w:tblCellMar>
      </w:tblPr>
      <w:tblGrid>
        <w:gridCol w:w="5206"/>
        <w:gridCol w:w="624"/>
        <w:gridCol w:w="4375"/>
      </w:tblGrid>
      <w:tr>
        <w:trPr/>
        <w:tc>
          <w:tcPr>
            <w:tcW w:w="5206" w:type="dxa"/>
            <w:tcBorders/>
            <w:shd w:fill="auto" w:val="clear"/>
          </w:tcPr>
          <w:p>
            <w:pPr>
              <w:pStyle w:val="TableContents"/>
              <w:spacing w:before="0" w:after="283"/>
              <w:ind w:left="0" w:right="0" w:hanging="0"/>
              <w:rPr>
                <w:sz w:val="4"/>
                <w:szCs w:val="4"/>
              </w:rPr>
            </w:pPr>
            <w:r>
              <w:rPr>
                <w:sz w:val="4"/>
                <w:szCs w:val="4"/>
              </w:rPr>
            </w:r>
          </w:p>
        </w:tc>
        <w:tc>
          <w:tcPr>
            <w:tcW w:w="4999"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SELLER:</w:t>
            </w:r>
          </w:p>
        </w:tc>
      </w:tr>
      <w:tr>
        <w:trPr/>
        <w:tc>
          <w:tcPr>
            <w:tcW w:w="5206"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375" w:type="dxa"/>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pPr>
            <w:r>
              <w:rPr/>
              <w:t> </w:t>
            </w:r>
          </w:p>
        </w:tc>
        <w:tc>
          <w:tcPr>
            <w:tcW w:w="4999"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w:t>
            </w:r>
          </w:p>
        </w:tc>
      </w:tr>
      <w:tr>
        <w:trPr/>
        <w:tc>
          <w:tcPr>
            <w:tcW w:w="5206"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375" w:type="dxa"/>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general partner</w:t>
            </w:r>
          </w:p>
        </w:tc>
      </w:tr>
      <w:tr>
        <w:trPr/>
        <w:tc>
          <w:tcPr>
            <w:tcW w:w="5206"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375" w:type="dxa"/>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206"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3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206"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375" w:type="dxa"/>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5"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5206"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r>
      <w:tr>
        <w:trPr/>
        <w:tc>
          <w:tcPr>
            <w:tcW w:w="5206"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Chief Executive Officer</w:t>
            </w:r>
          </w:p>
        </w:tc>
      </w:tr>
    </w:tbl>
    <w:p>
      <w:pPr>
        <w:pStyle w:val="TextBody"/>
        <w:spacing w:before="0" w:after="240"/>
        <w:ind w:left="0" w:right="0" w:hanging="0"/>
        <w:rPr/>
      </w:pPr>
      <w:r>
        <w:rPr/>
        <w:t> </w:t>
      </w:r>
    </w:p>
    <w:p>
      <w:pPr>
        <w:pStyle w:val="TextBody"/>
        <w:spacing w:before="0" w:after="240"/>
        <w:ind w:left="0" w:right="0" w:hanging="0"/>
        <w:rPr/>
      </w:pPr>
      <w:r>
        <w:rPr/>
        <w:t> </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Schedule 2.1</w:t>
      </w:r>
    </w:p>
    <w:tbl>
      <w:tblPr>
        <w:tblW w:w="5000" w:type="pct"/>
        <w:jc w:val="left"/>
        <w:tblInd w:w="0" w:type="dxa"/>
        <w:tblCellMar>
          <w:top w:w="0" w:type="dxa"/>
          <w:left w:w="0" w:type="dxa"/>
          <w:bottom w:w="28" w:type="dxa"/>
          <w:right w:w="0" w:type="dxa"/>
        </w:tblCellMar>
      </w:tblPr>
      <w:tblGrid>
        <w:gridCol w:w="7177"/>
        <w:gridCol w:w="203"/>
        <w:gridCol w:w="111"/>
        <w:gridCol w:w="1099"/>
        <w:gridCol w:w="203"/>
        <w:gridCol w:w="1205"/>
        <w:gridCol w:w="207"/>
      </w:tblGrid>
      <w:tr>
        <w:trPr/>
        <w:tc>
          <w:tcPr>
            <w:tcW w:w="7177" w:type="dxa"/>
            <w:tcBorders>
              <w:bottom w:val="single" w:sz="8" w:space="0" w:color="000000"/>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Purchaser</w:t>
            </w:r>
          </w:p>
        </w:tc>
        <w:tc>
          <w:tcPr>
            <w:tcW w:w="203" w:type="dxa"/>
            <w:tcBorders/>
            <w:shd w:fill="auto" w:val="clear"/>
            <w:tcMar>
              <w:bottom w:w="0" w:type="dxa"/>
            </w:tcMar>
            <w:vAlign w:val="bottom"/>
          </w:tcPr>
          <w:p>
            <w:pPr>
              <w:pStyle w:val="TableContents"/>
              <w:spacing w:lineRule="atLeast" w:line="160" w:before="0" w:after="0"/>
              <w:ind w:left="0" w:right="0" w:hanging="0"/>
              <w:rPr/>
            </w:pPr>
            <w:r>
              <w:rPr/>
              <w:t> </w:t>
            </w:r>
          </w:p>
        </w:tc>
        <w:tc>
          <w:tcPr>
            <w:tcW w:w="1210" w:type="dxa"/>
            <w:gridSpan w:val="2"/>
            <w:tcBorders>
              <w:bottom w:val="single" w:sz="8" w:space="0" w:color="000000"/>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Purchase Price</w:t>
            </w:r>
          </w:p>
        </w:tc>
        <w:tc>
          <w:tcPr>
            <w:tcW w:w="203" w:type="dxa"/>
            <w:tcBorders/>
            <w:shd w:fill="auto" w:val="clear"/>
            <w:tcMar>
              <w:bottom w:w="0" w:type="dxa"/>
            </w:tcMar>
            <w:vAlign w:val="bottom"/>
          </w:tcPr>
          <w:p>
            <w:pPr>
              <w:pStyle w:val="TableContents"/>
              <w:spacing w:lineRule="atLeast" w:line="160" w:before="0" w:after="0"/>
              <w:ind w:left="0" w:right="0" w:hanging="0"/>
              <w:rPr/>
            </w:pPr>
            <w:r>
              <w:rPr/>
              <w:t> </w:t>
            </w:r>
          </w:p>
        </w:tc>
        <w:tc>
          <w:tcPr>
            <w:tcW w:w="1205" w:type="dxa"/>
            <w:tcBorders>
              <w:bottom w:val="single" w:sz="8" w:space="0" w:color="000000"/>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Purchased Units</w:t>
            </w:r>
          </w:p>
        </w:tc>
        <w:tc>
          <w:tcPr>
            <w:tcW w:w="207" w:type="dxa"/>
            <w:tcBorders/>
            <w:shd w:fill="auto" w:val="clear"/>
            <w:tcMar>
              <w:bottom w:w="0" w:type="dxa"/>
            </w:tcMar>
            <w:vAlign w:val="bottom"/>
          </w:tcPr>
          <w:p>
            <w:pPr>
              <w:pStyle w:val="TableContents"/>
              <w:spacing w:lineRule="atLeast" w:line="160" w:before="0" w:after="0"/>
              <w:ind w:left="0" w:right="0" w:hanging="0"/>
              <w:rPr/>
            </w:pPr>
            <w:r>
              <w:rPr/>
              <w:t> </w:t>
            </w:r>
          </w:p>
        </w:tc>
      </w:tr>
      <w:tr>
        <w:trPr/>
        <w:tc>
          <w:tcPr>
            <w:tcW w:w="71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Royal Bank of Canada</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11" w:type="dxa"/>
            <w:tcBorders/>
            <w:shd w:fill="CCEEFF" w:val="clear"/>
            <w:tcMar>
              <w:bottom w:w="0"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9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56,300,000</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20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1,309,302</w:t>
            </w:r>
          </w:p>
        </w:tc>
        <w:tc>
          <w:tcPr>
            <w:tcW w:w="207" w:type="dxa"/>
            <w:tcBorders/>
            <w:shd w:fill="CCEEFF" w:val="clear"/>
            <w:tcMar>
              <w:bottom w:w="0" w:type="dxa"/>
            </w:tcMar>
            <w:vAlign w:val="bottom"/>
          </w:tcPr>
          <w:p>
            <w:pPr>
              <w:pStyle w:val="TableContents"/>
              <w:spacing w:before="0" w:after="0"/>
              <w:ind w:left="0" w:right="0" w:hanging="0"/>
              <w:rPr/>
            </w:pPr>
            <w:r>
              <w:rPr/>
              <w:t> </w:t>
            </w:r>
          </w:p>
        </w:tc>
      </w:tr>
      <w:tr>
        <w:trPr/>
        <w:tc>
          <w:tcPr>
            <w:tcW w:w="71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Vulcan Capital Private Equity I LLC</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210" w:type="dxa"/>
            <w:gridSpan w:val="2"/>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30,000,000</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20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697,674</w:t>
            </w:r>
          </w:p>
        </w:tc>
        <w:tc>
          <w:tcPr>
            <w:tcW w:w="207" w:type="dxa"/>
            <w:tcBorders/>
            <w:shd w:fill="auto" w:val="clear"/>
            <w:tcMar>
              <w:bottom w:w="0" w:type="dxa"/>
            </w:tcMar>
            <w:vAlign w:val="bottom"/>
          </w:tcPr>
          <w:p>
            <w:pPr>
              <w:pStyle w:val="TableContents"/>
              <w:spacing w:before="0" w:after="0"/>
              <w:ind w:left="0" w:right="0" w:hanging="0"/>
              <w:rPr/>
            </w:pPr>
            <w:r>
              <w:rPr/>
              <w:t> </w:t>
            </w:r>
          </w:p>
        </w:tc>
      </w:tr>
      <w:tr>
        <w:trPr/>
        <w:tc>
          <w:tcPr>
            <w:tcW w:w="71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Tortoise Energy Infrastructure Corporation</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210" w:type="dxa"/>
            <w:gridSpan w:val="2"/>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12,000,000</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20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279,070</w:t>
            </w:r>
          </w:p>
        </w:tc>
        <w:tc>
          <w:tcPr>
            <w:tcW w:w="207" w:type="dxa"/>
            <w:tcBorders/>
            <w:shd w:fill="CCEEFF" w:val="clear"/>
            <w:tcMar>
              <w:bottom w:w="0" w:type="dxa"/>
            </w:tcMar>
            <w:vAlign w:val="bottom"/>
          </w:tcPr>
          <w:p>
            <w:pPr>
              <w:pStyle w:val="TableContents"/>
              <w:spacing w:before="0" w:after="0"/>
              <w:ind w:left="0" w:right="0" w:hanging="0"/>
              <w:rPr/>
            </w:pPr>
            <w:r>
              <w:rPr/>
              <w:t> </w:t>
            </w:r>
          </w:p>
        </w:tc>
      </w:tr>
      <w:tr>
        <w:trPr/>
        <w:tc>
          <w:tcPr>
            <w:tcW w:w="71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Kayne Anderson MLP Investment Company</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210" w:type="dxa"/>
            <w:gridSpan w:val="2"/>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10,000,000</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20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232,558</w:t>
            </w:r>
          </w:p>
        </w:tc>
        <w:tc>
          <w:tcPr>
            <w:tcW w:w="207" w:type="dxa"/>
            <w:tcBorders/>
            <w:shd w:fill="auto" w:val="clear"/>
            <w:tcMar>
              <w:bottom w:w="0" w:type="dxa"/>
            </w:tcMar>
            <w:vAlign w:val="bottom"/>
          </w:tcPr>
          <w:p>
            <w:pPr>
              <w:pStyle w:val="TableContents"/>
              <w:spacing w:before="0" w:after="0"/>
              <w:ind w:left="0" w:right="0" w:hanging="0"/>
              <w:rPr/>
            </w:pPr>
            <w:r>
              <w:rPr/>
              <w:t> </w:t>
            </w:r>
          </w:p>
        </w:tc>
      </w:tr>
      <w:tr>
        <w:trPr/>
        <w:tc>
          <w:tcPr>
            <w:tcW w:w="71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Kayne Anderson Energy Total Return Fund, Inc.</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210" w:type="dxa"/>
            <w:gridSpan w:val="2"/>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10,000,000</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20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232,558</w:t>
            </w:r>
          </w:p>
        </w:tc>
        <w:tc>
          <w:tcPr>
            <w:tcW w:w="207" w:type="dxa"/>
            <w:tcBorders/>
            <w:shd w:fill="CCEEFF" w:val="clear"/>
            <w:tcMar>
              <w:bottom w:w="0" w:type="dxa"/>
            </w:tcMar>
            <w:vAlign w:val="bottom"/>
          </w:tcPr>
          <w:p>
            <w:pPr>
              <w:pStyle w:val="TableContents"/>
              <w:spacing w:before="0" w:after="0"/>
              <w:ind w:left="0" w:right="0" w:hanging="0"/>
              <w:rPr/>
            </w:pPr>
            <w:r>
              <w:rPr/>
              <w:t> </w:t>
            </w:r>
          </w:p>
        </w:tc>
      </w:tr>
      <w:tr>
        <w:trPr/>
        <w:tc>
          <w:tcPr>
            <w:tcW w:w="71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Stadium Plaza Shopping Center LLC</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210" w:type="dxa"/>
            <w:gridSpan w:val="2"/>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10,000,000</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20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232,558</w:t>
            </w:r>
          </w:p>
        </w:tc>
        <w:tc>
          <w:tcPr>
            <w:tcW w:w="207" w:type="dxa"/>
            <w:tcBorders/>
            <w:shd w:fill="auto" w:val="clear"/>
            <w:tcMar>
              <w:bottom w:w="0" w:type="dxa"/>
            </w:tcMar>
            <w:vAlign w:val="bottom"/>
          </w:tcPr>
          <w:p>
            <w:pPr>
              <w:pStyle w:val="TableContents"/>
              <w:spacing w:before="0" w:after="0"/>
              <w:ind w:left="0" w:right="0" w:hanging="0"/>
              <w:rPr/>
            </w:pPr>
            <w:r>
              <w:rPr/>
              <w:t> </w:t>
            </w:r>
          </w:p>
        </w:tc>
      </w:tr>
      <w:tr>
        <w:trPr/>
        <w:tc>
          <w:tcPr>
            <w:tcW w:w="71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Structured Finance Americas, LLC</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210" w:type="dxa"/>
            <w:gridSpan w:val="2"/>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8,500,000</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20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197,674</w:t>
            </w:r>
          </w:p>
        </w:tc>
        <w:tc>
          <w:tcPr>
            <w:tcW w:w="207" w:type="dxa"/>
            <w:tcBorders/>
            <w:shd w:fill="CCEEFF" w:val="clear"/>
            <w:tcMar>
              <w:bottom w:w="0" w:type="dxa"/>
            </w:tcMar>
            <w:vAlign w:val="bottom"/>
          </w:tcPr>
          <w:p>
            <w:pPr>
              <w:pStyle w:val="TableContents"/>
              <w:spacing w:before="0" w:after="0"/>
              <w:ind w:left="0" w:right="0" w:hanging="0"/>
              <w:rPr/>
            </w:pPr>
            <w:r>
              <w:rPr/>
              <w:t> </w:t>
            </w:r>
          </w:p>
        </w:tc>
      </w:tr>
      <w:tr>
        <w:trPr/>
        <w:tc>
          <w:tcPr>
            <w:tcW w:w="71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Tortoise Energy Capital Corporation</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210" w:type="dxa"/>
            <w:gridSpan w:val="2"/>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8,000,000</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20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186,047</w:t>
            </w:r>
          </w:p>
        </w:tc>
        <w:tc>
          <w:tcPr>
            <w:tcW w:w="207" w:type="dxa"/>
            <w:tcBorders/>
            <w:shd w:fill="auto" w:val="clear"/>
            <w:tcMar>
              <w:bottom w:w="0" w:type="dxa"/>
            </w:tcMar>
            <w:vAlign w:val="bottom"/>
          </w:tcPr>
          <w:p>
            <w:pPr>
              <w:pStyle w:val="TableContents"/>
              <w:spacing w:before="0" w:after="0"/>
              <w:ind w:left="0" w:right="0" w:hanging="0"/>
              <w:rPr/>
            </w:pPr>
            <w:r>
              <w:rPr/>
              <w:t> </w:t>
            </w:r>
          </w:p>
        </w:tc>
      </w:tr>
      <w:tr>
        <w:trPr/>
        <w:tc>
          <w:tcPr>
            <w:tcW w:w="71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RCH Energy Opportunity Fund I, L.P.</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210" w:type="dxa"/>
            <w:gridSpan w:val="2"/>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5,000,000</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20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116,279</w:t>
            </w:r>
          </w:p>
        </w:tc>
        <w:tc>
          <w:tcPr>
            <w:tcW w:w="207" w:type="dxa"/>
            <w:tcBorders/>
            <w:shd w:fill="CCEEFF" w:val="clear"/>
            <w:tcMar>
              <w:bottom w:w="0" w:type="dxa"/>
            </w:tcMar>
            <w:vAlign w:val="bottom"/>
          </w:tcPr>
          <w:p>
            <w:pPr>
              <w:pStyle w:val="TableContents"/>
              <w:spacing w:before="0" w:after="0"/>
              <w:ind w:left="0" w:right="0" w:hanging="0"/>
              <w:rPr/>
            </w:pPr>
            <w:r>
              <w:rPr/>
              <w:t> </w:t>
            </w:r>
          </w:p>
        </w:tc>
      </w:tr>
      <w:tr>
        <w:trPr/>
        <w:tc>
          <w:tcPr>
            <w:tcW w:w="71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Strome MLP Fund, L.P.</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210" w:type="dxa"/>
            <w:gridSpan w:val="2"/>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5,000,000</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20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116,279</w:t>
            </w:r>
          </w:p>
        </w:tc>
        <w:tc>
          <w:tcPr>
            <w:tcW w:w="207" w:type="dxa"/>
            <w:tcBorders/>
            <w:shd w:fill="auto" w:val="clear"/>
            <w:tcMar>
              <w:bottom w:w="0" w:type="dxa"/>
            </w:tcMar>
            <w:vAlign w:val="bottom"/>
          </w:tcPr>
          <w:p>
            <w:pPr>
              <w:pStyle w:val="TableContents"/>
              <w:spacing w:before="0" w:after="0"/>
              <w:ind w:left="0" w:right="0" w:hanging="0"/>
              <w:rPr/>
            </w:pPr>
            <w:r>
              <w:rPr/>
              <w:t> </w:t>
            </w:r>
          </w:p>
        </w:tc>
      </w:tr>
      <w:tr>
        <w:trPr/>
        <w:tc>
          <w:tcPr>
            <w:tcW w:w="71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Alerian Capital Partners, LP</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210" w:type="dxa"/>
            <w:gridSpan w:val="2"/>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3,700,000</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20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86,047</w:t>
            </w:r>
          </w:p>
        </w:tc>
        <w:tc>
          <w:tcPr>
            <w:tcW w:w="207" w:type="dxa"/>
            <w:tcBorders/>
            <w:shd w:fill="CCEEFF" w:val="clear"/>
            <w:tcMar>
              <w:bottom w:w="0" w:type="dxa"/>
            </w:tcMar>
            <w:vAlign w:val="bottom"/>
          </w:tcPr>
          <w:p>
            <w:pPr>
              <w:pStyle w:val="TableContents"/>
              <w:spacing w:before="0" w:after="0"/>
              <w:ind w:left="0" w:right="0" w:hanging="0"/>
              <w:rPr/>
            </w:pPr>
            <w:r>
              <w:rPr/>
              <w:t> </w:t>
            </w:r>
          </w:p>
        </w:tc>
      </w:tr>
      <w:tr>
        <w:trPr/>
        <w:tc>
          <w:tcPr>
            <w:tcW w:w="71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ZLP Fund, L.P.</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210" w:type="dxa"/>
            <w:gridSpan w:val="2"/>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1,500,000</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20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34,884</w:t>
            </w:r>
          </w:p>
        </w:tc>
        <w:tc>
          <w:tcPr>
            <w:tcW w:w="207" w:type="dxa"/>
            <w:tcBorders/>
            <w:shd w:fill="auto" w:val="clear"/>
            <w:tcMar>
              <w:bottom w:w="0" w:type="dxa"/>
            </w:tcMar>
            <w:vAlign w:val="bottom"/>
          </w:tcPr>
          <w:p>
            <w:pPr>
              <w:pStyle w:val="TableContents"/>
              <w:spacing w:before="0" w:after="0"/>
              <w:ind w:left="0" w:right="0" w:hanging="0"/>
              <w:rPr/>
            </w:pPr>
            <w:r>
              <w:rPr/>
              <w:t> </w:t>
            </w:r>
          </w:p>
        </w:tc>
      </w:tr>
      <w:tr>
        <w:trPr/>
        <w:tc>
          <w:tcPr>
            <w:tcW w:w="7177" w:type="dxa"/>
            <w:tcBorders/>
            <w:shd w:fill="CCEEFF"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Total</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11" w:type="dxa"/>
            <w:tcBorders/>
            <w:shd w:fill="CCEEFF" w:val="clear"/>
            <w:tcMar>
              <w:bottom w:w="0" w:type="dxa"/>
            </w:tcMar>
            <w:vAlign w:val="bottom"/>
          </w:tcPr>
          <w:p>
            <w:pPr>
              <w:pStyle w:val="TableContents"/>
              <w:spacing w:before="0" w:after="0"/>
              <w:ind w:left="0" w:right="0" w:hanging="0"/>
              <w:jc w:val="left"/>
              <w:rPr>
                <w:rFonts w:ascii="Times New Roman" w:hAnsi="Times New Roman"/>
                <w:b/>
                <w:sz w:val="17"/>
              </w:rPr>
            </w:pPr>
            <w:r>
              <w:rPr>
                <w:rFonts w:ascii="Times New Roman" w:hAnsi="Times New Roman"/>
                <w:b/>
                <w:sz w:val="17"/>
              </w:rPr>
              <w:t>$</w:t>
            </w:r>
          </w:p>
        </w:tc>
        <w:tc>
          <w:tcPr>
            <w:tcW w:w="1099" w:type="dxa"/>
            <w:tcBorders/>
            <w:shd w:fill="CCEEFF" w:val="clear"/>
            <w:tcMar>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160,000,000</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205" w:type="dxa"/>
            <w:tcBorders/>
            <w:shd w:fill="CCEEFF" w:val="clear"/>
            <w:tcMar>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3,720,930</w:t>
            </w:r>
          </w:p>
        </w:tc>
        <w:tc>
          <w:tcPr>
            <w:tcW w:w="207"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i/>
          <w:sz w:val="17"/>
        </w:rPr>
      </w:pPr>
      <w:r>
        <w:rPr>
          <w:rFonts w:ascii="Times New Roman" w:hAnsi="Times New Roman"/>
          <w:i/>
          <w:sz w:val="17"/>
        </w:rPr>
        <w:t>Schedule 2.1</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jc w:val="right"/>
        <w:rPr>
          <w:rFonts w:ascii="Times New Roman" w:hAnsi="Times New Roman"/>
          <w:b/>
          <w:sz w:val="17"/>
        </w:rPr>
      </w:pPr>
      <w:bookmarkStart w:id="11" w:name="a06-16643_1ex5d1.htm"/>
      <w:bookmarkStart w:id="12" w:name="ksa0616643_1ex5d1"/>
      <w:bookmarkEnd w:id="11"/>
      <w:bookmarkEnd w:id="12"/>
      <w:r>
        <w:rPr>
          <w:rFonts w:ascii="Times New Roman" w:hAnsi="Times New Roman"/>
          <w:b/>
          <w:sz w:val="17"/>
        </w:rPr>
        <w:t>Exhibit 5.1</w:t>
      </w:r>
    </w:p>
    <w:p>
      <w:pPr>
        <w:pStyle w:val="TextBody"/>
        <w:spacing w:before="0" w:after="240"/>
        <w:ind w:left="0" w:right="0" w:hanging="0"/>
        <w:jc w:val="center"/>
        <w:rPr>
          <w:rFonts w:ascii="Times New Roman" w:hAnsi="Times New Roman"/>
          <w:sz w:val="17"/>
        </w:rPr>
      </w:pPr>
      <w:r>
        <w:rPr>
          <w:rFonts w:ascii="Times New Roman" w:hAnsi="Times New Roman"/>
          <w:sz w:val="17"/>
        </w:rPr>
        <w:t>Vinson &amp; Elkins L.L.P.</w:t>
        <w:br/>
        <w:t>1001 Fannin, Suite 2300</w:t>
        <w:br/>
        <w:t>Houston, Texas 77002-6760</w:t>
      </w:r>
    </w:p>
    <w:p>
      <w:pPr>
        <w:pStyle w:val="TextBody"/>
        <w:spacing w:before="0" w:after="240"/>
        <w:ind w:left="0" w:right="0" w:hanging="0"/>
        <w:rPr>
          <w:rFonts w:ascii="Times New Roman" w:hAnsi="Times New Roman"/>
          <w:sz w:val="17"/>
        </w:rPr>
      </w:pPr>
      <w:r>
        <w:rPr>
          <w:rFonts w:ascii="Times New Roman" w:hAnsi="Times New Roman"/>
          <w:sz w:val="17"/>
        </w:rPr>
        <w:t>July 25, 2006</w:t>
      </w:r>
    </w:p>
    <w:p>
      <w:pPr>
        <w:pStyle w:val="TextBody"/>
        <w:spacing w:before="0" w:after="240"/>
        <w:ind w:left="0" w:right="0" w:hanging="0"/>
        <w:rPr>
          <w:rFonts w:ascii="Times New Roman" w:hAnsi="Times New Roman"/>
          <w:sz w:val="17"/>
        </w:rPr>
      </w:pPr>
      <w:r>
        <w:rPr>
          <w:rFonts w:ascii="Times New Roman" w:hAnsi="Times New Roman"/>
          <w:sz w:val="17"/>
        </w:rPr>
        <w:t>Plains All American Pipeline, L.P.</w:t>
        <w:br/>
        <w:t>333 Clay Street, Suite 1600</w:t>
        <w:br/>
        <w:t>Houston, Texas 77002</w:t>
      </w:r>
    </w:p>
    <w:p>
      <w:pPr>
        <w:pStyle w:val="TextBody"/>
        <w:spacing w:before="0" w:after="240"/>
        <w:ind w:left="0" w:right="0" w:hanging="0"/>
        <w:rPr>
          <w:rFonts w:ascii="Times New Roman" w:hAnsi="Times New Roman"/>
          <w:sz w:val="17"/>
        </w:rPr>
      </w:pPr>
      <w:r>
        <w:rPr>
          <w:rFonts w:ascii="Times New Roman" w:hAnsi="Times New Roman"/>
          <w:sz w:val="17"/>
        </w:rPr>
        <w:t>Ladies and Gentlemen:</w:t>
      </w:r>
    </w:p>
    <w:p>
      <w:pPr>
        <w:pStyle w:val="TextBody"/>
        <w:spacing w:before="0" w:after="240"/>
        <w:ind w:left="0" w:right="0" w:firstLine="720"/>
        <w:rPr>
          <w:rFonts w:ascii="Times New Roman" w:hAnsi="Times New Roman"/>
          <w:sz w:val="17"/>
        </w:rPr>
      </w:pPr>
      <w:r>
        <w:rPr>
          <w:rFonts w:ascii="Times New Roman" w:hAnsi="Times New Roman"/>
          <w:sz w:val="17"/>
        </w:rPr>
        <w:t>We have acted as counsel for Plains All American Partners, L.P., a Delaware limited partnership (the Partnership), with respect to certain legal matters in connection with the registration by the Partnership under the Securities Act of 1933, as amended (the Securities Act), of the offer and sale by the Partnership of up to 3,720,930 units representing limited partner interests in the Partnership (the Units). We have participated in the preparation of the Partnerships registration statement on Form S-3 (Commission File no.: 333-126447) (the Registration Statement), including the prospectus therein (the Prospectus). A prospectus supplement (the Prospectus Supplement) has been filed pursuant to Rule 424(b) promulgated under the Securities Act describing the offer and sale of the Units, which shall constitute a part of the Prospectus. Capitalized terms not defined herein shall have the meanings ascribed to them in the Prospectus.</w:t>
      </w:r>
    </w:p>
    <w:p>
      <w:pPr>
        <w:pStyle w:val="TextBody"/>
        <w:spacing w:before="0" w:after="240"/>
        <w:ind w:left="0" w:right="0" w:firstLine="720"/>
        <w:rPr>
          <w:rFonts w:ascii="Times New Roman" w:hAnsi="Times New Roman"/>
          <w:sz w:val="17"/>
        </w:rPr>
      </w:pPr>
      <w:r>
        <w:rPr>
          <w:rFonts w:ascii="Times New Roman" w:hAnsi="Times New Roman"/>
          <w:sz w:val="17"/>
        </w:rPr>
        <w:t>In rendering the opinions set forth below, we have examined and relied upon (i) the Registration Statement, including the Prospectus; (ii) the Third Amended and Restated Agreement of Limited Partnership of the Partnership, dated as of June 27, 2001, as amended, (iii) a Common Unit Purchase Agreement, dated July 20, 2006 relating to the offering and sale of the Units (the Purchase Agreement) and (iv) such other certificates, statutes and other instruments and documents as we consider appropriate for purposes of the opinions hereafter expressed.</w:t>
      </w:r>
    </w:p>
    <w:p>
      <w:pPr>
        <w:pStyle w:val="TextBody"/>
        <w:spacing w:before="0" w:after="240"/>
        <w:ind w:left="0" w:right="0" w:firstLine="720"/>
        <w:rPr>
          <w:rFonts w:ascii="Times New Roman" w:hAnsi="Times New Roman"/>
          <w:sz w:val="17"/>
        </w:rPr>
      </w:pPr>
      <w:r>
        <w:rPr>
          <w:rFonts w:ascii="Times New Roman" w:hAnsi="Times New Roman"/>
          <w:sz w:val="17"/>
        </w:rPr>
        <w:t>In connection with this opinion, we have assumed that all Units will be issued and sold in compliance in the manner stated in the Prospectus and the Purchase Agreement.</w:t>
      </w:r>
    </w:p>
    <w:p>
      <w:pPr>
        <w:pStyle w:val="TextBody"/>
        <w:spacing w:before="0" w:after="240"/>
        <w:ind w:left="0" w:right="0" w:firstLine="720"/>
        <w:rPr>
          <w:rFonts w:ascii="Times New Roman" w:hAnsi="Times New Roman"/>
          <w:sz w:val="17"/>
        </w:rPr>
      </w:pPr>
      <w:r>
        <w:rPr>
          <w:rFonts w:ascii="Times New Roman" w:hAnsi="Times New Roman"/>
          <w:sz w:val="17"/>
        </w:rPr>
        <w:t>Based upon and subject to the foregoing, we are of the opinion that when the Units have been issued and delivered in accordance with terms of the Purchase Agreement, then the Units will be validly issued, fully paid and non-assessable, except as described in the Prospectus.</w:t>
      </w:r>
    </w:p>
    <w:p>
      <w:pPr>
        <w:pStyle w:val="TextBody"/>
        <w:spacing w:before="0" w:after="240"/>
        <w:ind w:left="0" w:right="0" w:firstLine="720"/>
        <w:rPr>
          <w:rFonts w:ascii="Times New Roman" w:hAnsi="Times New Roman"/>
          <w:sz w:val="17"/>
        </w:rPr>
      </w:pPr>
      <w:r>
        <w:rPr>
          <w:rFonts w:ascii="Times New Roman" w:hAnsi="Times New Roman"/>
          <w:sz w:val="17"/>
        </w:rPr>
        <w:t>The opinions expressed herein are qualified in the following respects:</w:t>
      </w:r>
    </w:p>
    <w:p>
      <w:pPr>
        <w:pStyle w:val="TextBody"/>
        <w:spacing w:before="0" w:after="240"/>
        <w:ind w:left="0" w:right="0" w:firstLine="700"/>
        <w:rPr>
          <w:rFonts w:ascii="Times New Roman" w:hAnsi="Times New Roman"/>
          <w:sz w:val="17"/>
        </w:rPr>
      </w:pPr>
      <w:r>
        <w:rPr>
          <w:rFonts w:ascii="Times New Roman" w:hAnsi="Times New Roman"/>
          <w:sz w:val="17"/>
        </w:rPr>
        <w:t>A.            We have assumed, without independent verification, that the certificates for the Units will conform to the specimens thereof examined by us and will have been duly countersigned by a transfer agent and duly registered by a registrar of the Units.</w:t>
      </w:r>
    </w:p>
    <w:p>
      <w:pPr>
        <w:pStyle w:val="TextBody"/>
        <w:spacing w:before="0" w:after="240"/>
        <w:ind w:left="0" w:right="0" w:firstLine="700"/>
        <w:rPr>
          <w:rFonts w:ascii="Times New Roman" w:hAnsi="Times New Roman"/>
          <w:sz w:val="17"/>
        </w:rPr>
      </w:pPr>
      <w:r>
        <w:rPr>
          <w:rFonts w:ascii="Times New Roman" w:hAnsi="Times New Roman"/>
          <w:sz w:val="17"/>
        </w:rPr>
        <w:t>B.             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w:t>
      </w:r>
    </w:p>
    <w:p>
      <w:pPr>
        <w:pStyle w:val="TextBody"/>
        <w:spacing w:before="0" w:after="240"/>
        <w:ind w:left="0" w:right="0" w:firstLine="700"/>
        <w:rPr>
          <w:rFonts w:ascii="Times New Roman" w:hAnsi="Times New Roman"/>
          <w:sz w:val="17"/>
        </w:rPr>
      </w:pPr>
      <w:r>
        <w:rPr>
          <w:rFonts w:ascii="Times New Roman" w:hAnsi="Times New Roman"/>
          <w:sz w:val="17"/>
        </w:rPr>
        <w:t>C.             This opinion is limited in all respects to federal laws, the Delaware Revised Uniform Limited Partnership Act and the Constitution of the State of Delaware, as interpreted by the courts of the State of Delaware and of the United States.</w:t>
      </w:r>
    </w:p>
    <w:p>
      <w:pPr>
        <w:pStyle w:val="TextBody"/>
        <w:spacing w:before="0" w:after="240"/>
        <w:ind w:left="0" w:right="0" w:firstLine="720"/>
        <w:rPr>
          <w:rFonts w:ascii="Times New Roman" w:hAnsi="Times New Roman"/>
          <w:sz w:val="17"/>
        </w:rPr>
      </w:pPr>
      <w:r>
        <w:rPr>
          <w:rFonts w:ascii="Times New Roman" w:hAnsi="Times New Roman"/>
          <w:sz w:val="17"/>
        </w:rPr>
        <w:t>We hereby consent to the references to this firm under the captions Tax Considerations and Legal Matters in the Prospectus and to the filing of this opinion as an Exhibit to the Registration Statements. By giving such consent, we do not admit that we are within the category of persons whose consent is required under Section 7 of the Securities Act or the rules and regulations of the Securities and Exchange Commission issued thereunder.</w:t>
      </w:r>
    </w:p>
    <w:p>
      <w:pPr>
        <w:pStyle w:val="TextBody"/>
        <w:spacing w:before="0" w:after="240"/>
        <w:ind w:left="0" w:right="0" w:hanging="0"/>
        <w:rPr/>
      </w:pPr>
      <w:r>
        <w:rPr/>
        <w:t> </w:t>
      </w:r>
    </w:p>
    <w:tbl>
      <w:tblPr>
        <w:tblW w:w="5000" w:type="pct"/>
        <w:jc w:val="left"/>
        <w:tblInd w:w="0" w:type="dxa"/>
        <w:tblCellMar>
          <w:top w:w="0" w:type="dxa"/>
          <w:left w:w="0" w:type="dxa"/>
          <w:bottom w:w="0" w:type="dxa"/>
          <w:right w:w="0" w:type="dxa"/>
        </w:tblCellMar>
      </w:tblPr>
      <w:tblGrid>
        <w:gridCol w:w="7731"/>
        <w:gridCol w:w="206"/>
        <w:gridCol w:w="2268"/>
      </w:tblGrid>
      <w:tr>
        <w:trPr/>
        <w:tc>
          <w:tcPr>
            <w:tcW w:w="7731" w:type="dxa"/>
            <w:tcBorders/>
            <w:shd w:fill="auto" w:val="clear"/>
          </w:tcPr>
          <w:p>
            <w:pPr>
              <w:pStyle w:val="TableContents"/>
              <w:spacing w:before="0" w:after="283"/>
              <w:ind w:left="0" w:right="0" w:hanging="0"/>
              <w:rPr>
                <w:sz w:val="4"/>
                <w:szCs w:val="4"/>
              </w:rPr>
            </w:pPr>
            <w:r>
              <w:rPr>
                <w:sz w:val="4"/>
                <w:szCs w:val="4"/>
              </w:rPr>
            </w:r>
          </w:p>
        </w:tc>
        <w:tc>
          <w:tcPr>
            <w:tcW w:w="206" w:type="dxa"/>
            <w:tcBorders/>
            <w:shd w:fill="auto" w:val="clear"/>
          </w:tcPr>
          <w:p>
            <w:pPr>
              <w:pStyle w:val="TableContents"/>
              <w:spacing w:before="0" w:after="0"/>
              <w:ind w:left="0" w:right="0" w:hanging="0"/>
              <w:rPr/>
            </w:pPr>
            <w:r>
              <w:rPr/>
              <w:t> </w:t>
            </w:r>
          </w:p>
        </w:tc>
        <w:tc>
          <w:tcPr>
            <w:tcW w:w="22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Very truly yours,</w:t>
            </w:r>
          </w:p>
        </w:tc>
      </w:tr>
      <w:tr>
        <w:trPr/>
        <w:tc>
          <w:tcPr>
            <w:tcW w:w="7731" w:type="dxa"/>
            <w:tcBorders/>
            <w:shd w:fill="auto" w:val="clear"/>
          </w:tcPr>
          <w:p>
            <w:pPr>
              <w:pStyle w:val="TableContents"/>
              <w:spacing w:before="0" w:after="0"/>
              <w:ind w:left="0" w:right="0" w:hanging="0"/>
              <w:rPr/>
            </w:pPr>
            <w:r>
              <w:rPr/>
              <w:t> </w:t>
            </w:r>
          </w:p>
        </w:tc>
        <w:tc>
          <w:tcPr>
            <w:tcW w:w="206" w:type="dxa"/>
            <w:tcBorders/>
            <w:shd w:fill="auto" w:val="clear"/>
          </w:tcPr>
          <w:p>
            <w:pPr>
              <w:pStyle w:val="TableContents"/>
              <w:spacing w:before="0" w:after="0"/>
              <w:ind w:left="0" w:right="0" w:hanging="0"/>
              <w:rPr/>
            </w:pPr>
            <w:r>
              <w:rPr/>
              <w:t> </w:t>
            </w:r>
          </w:p>
        </w:tc>
        <w:tc>
          <w:tcPr>
            <w:tcW w:w="2268" w:type="dxa"/>
            <w:tcBorders/>
            <w:shd w:fill="auto" w:val="clear"/>
          </w:tcPr>
          <w:p>
            <w:pPr>
              <w:pStyle w:val="TableContents"/>
              <w:spacing w:before="0" w:after="0"/>
              <w:ind w:left="0" w:right="0" w:hanging="0"/>
              <w:rPr/>
            </w:pPr>
            <w:r>
              <w:rPr/>
              <w:t> </w:t>
            </w:r>
          </w:p>
        </w:tc>
      </w:tr>
      <w:tr>
        <w:trPr/>
        <w:tc>
          <w:tcPr>
            <w:tcW w:w="7731" w:type="dxa"/>
            <w:tcBorders/>
            <w:shd w:fill="auto" w:val="clear"/>
          </w:tcPr>
          <w:p>
            <w:pPr>
              <w:pStyle w:val="TableContents"/>
              <w:spacing w:before="0" w:after="0"/>
              <w:ind w:left="0" w:right="0" w:hanging="0"/>
              <w:rPr/>
            </w:pPr>
            <w:r>
              <w:rPr/>
              <w:t> </w:t>
            </w:r>
          </w:p>
        </w:tc>
        <w:tc>
          <w:tcPr>
            <w:tcW w:w="206" w:type="dxa"/>
            <w:tcBorders/>
            <w:shd w:fill="auto" w:val="clear"/>
          </w:tcPr>
          <w:p>
            <w:pPr>
              <w:pStyle w:val="TableContents"/>
              <w:spacing w:before="0" w:after="0"/>
              <w:ind w:left="0" w:right="0" w:hanging="0"/>
              <w:rPr/>
            </w:pPr>
            <w:r>
              <w:rPr/>
              <w:t> </w:t>
            </w:r>
          </w:p>
        </w:tc>
        <w:tc>
          <w:tcPr>
            <w:tcW w:w="22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Vinson &amp; Elkins L.L.P.</w:t>
            </w:r>
          </w:p>
        </w:tc>
      </w:tr>
    </w:tbl>
    <w:p>
      <w:pPr>
        <w:pStyle w:val="TextBody"/>
        <w:spacing w:before="0" w:after="240"/>
        <w:ind w:left="0" w:right="0" w:hanging="0"/>
        <w:rPr/>
      </w:pPr>
      <w:r>
        <w:rPr/>
        <w: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jc w:val="right"/>
        <w:rPr>
          <w:rFonts w:ascii="Times New Roman" w:hAnsi="Times New Roman"/>
          <w:b/>
          <w:sz w:val="17"/>
        </w:rPr>
      </w:pPr>
      <w:bookmarkStart w:id="13" w:name="a06-16643_1ex8d1.htm"/>
      <w:bookmarkStart w:id="14" w:name="ksa0616643_1ex8d1"/>
      <w:bookmarkEnd w:id="13"/>
      <w:bookmarkEnd w:id="14"/>
      <w:r>
        <w:rPr>
          <w:rFonts w:ascii="Times New Roman" w:hAnsi="Times New Roman"/>
          <w:b/>
          <w:sz w:val="17"/>
        </w:rPr>
        <w:t>Exhibit 8.1</w:t>
      </w:r>
    </w:p>
    <w:p>
      <w:pPr>
        <w:pStyle w:val="TextBody"/>
        <w:spacing w:before="0" w:after="240"/>
        <w:ind w:left="0" w:right="0" w:hanging="0"/>
        <w:jc w:val="center"/>
        <w:rPr>
          <w:rFonts w:ascii="Times New Roman" w:hAnsi="Times New Roman"/>
          <w:sz w:val="17"/>
        </w:rPr>
      </w:pPr>
      <w:r>
        <w:rPr>
          <w:rFonts w:ascii="Times New Roman" w:hAnsi="Times New Roman"/>
          <w:sz w:val="17"/>
        </w:rPr>
        <w:t>Vinson &amp; Elkins L.L.P.</w:t>
        <w:br/>
        <w:t>1001 Fannin, Suite 2300</w:t>
        <w:br/>
        <w:t>Houston, Texas 77002-6760</w:t>
      </w:r>
    </w:p>
    <w:p>
      <w:pPr>
        <w:pStyle w:val="TextBody"/>
        <w:spacing w:before="0" w:after="240"/>
        <w:ind w:left="0" w:right="0" w:hanging="0"/>
        <w:rPr>
          <w:rFonts w:ascii="Times New Roman" w:hAnsi="Times New Roman"/>
          <w:sz w:val="17"/>
        </w:rPr>
      </w:pPr>
      <w:r>
        <w:rPr>
          <w:rFonts w:ascii="Times New Roman" w:hAnsi="Times New Roman"/>
          <w:sz w:val="17"/>
        </w:rPr>
        <w:t>July 25, 2006</w:t>
      </w:r>
    </w:p>
    <w:p>
      <w:pPr>
        <w:pStyle w:val="TextBody"/>
        <w:spacing w:before="0" w:after="240"/>
        <w:ind w:left="0" w:right="0" w:hanging="0"/>
        <w:rPr>
          <w:rFonts w:ascii="Times New Roman" w:hAnsi="Times New Roman"/>
          <w:sz w:val="17"/>
        </w:rPr>
      </w:pPr>
      <w:r>
        <w:rPr>
          <w:rFonts w:ascii="Times New Roman" w:hAnsi="Times New Roman"/>
          <w:sz w:val="17"/>
        </w:rPr>
        <w:t>Plains All American Pipeline, L.P.</w:t>
        <w:br/>
        <w:t>333 Clay Street, Suite 1600</w:t>
        <w:br/>
        <w:t>Houston, Texas 77002</w:t>
      </w:r>
    </w:p>
    <w:p>
      <w:pPr>
        <w:pStyle w:val="TextBody"/>
        <w:spacing w:before="0" w:after="240"/>
        <w:ind w:left="0" w:right="0" w:hanging="0"/>
        <w:rPr>
          <w:rFonts w:ascii="Times New Roman" w:hAnsi="Times New Roman"/>
          <w:sz w:val="17"/>
        </w:rPr>
      </w:pPr>
      <w:r>
        <w:rPr>
          <w:rFonts w:ascii="Times New Roman" w:hAnsi="Times New Roman"/>
          <w:sz w:val="17"/>
        </w:rPr>
        <w:t>RE:   PLAINS ALL AMERICAN PIPELINE, L.P. REGISTRATION STATEMENT ON FORM S-3</w:t>
      </w:r>
    </w:p>
    <w:p>
      <w:pPr>
        <w:pStyle w:val="TextBody"/>
        <w:spacing w:before="0" w:after="240"/>
        <w:ind w:left="0" w:right="0" w:hanging="0"/>
        <w:rPr>
          <w:rFonts w:ascii="Times New Roman" w:hAnsi="Times New Roman"/>
          <w:sz w:val="17"/>
        </w:rPr>
      </w:pPr>
      <w:r>
        <w:rPr>
          <w:rFonts w:ascii="Times New Roman" w:hAnsi="Times New Roman"/>
          <w:sz w:val="17"/>
        </w:rPr>
        <w:t>Ladies and Gentlemen:</w:t>
      </w:r>
    </w:p>
    <w:p>
      <w:pPr>
        <w:pStyle w:val="TextBody"/>
        <w:spacing w:before="0" w:after="240"/>
        <w:ind w:left="0" w:right="0" w:hanging="0"/>
        <w:rPr/>
      </w:pPr>
      <w:r>
        <w:rPr/>
        <w:t>        </w:t>
      </w:r>
      <w:r>
        <w:rPr>
          <w:rFonts w:ascii="Times New Roman" w:hAnsi="Times New Roman"/>
          <w:sz w:val="17"/>
        </w:rPr>
        <w:t>We have acted as counsel for Plains All American Pipeline, L.P., a Delaware limited partnership (the Partnership), with respect to certain legal matters in connection with the offer and sale by the Partnership of units representing limited partner interests in the Partnership. We have also participated in the preparation of a Prospectus Supplement dated July 21, 2006 and the base prospectus (the Prospectus) forming part of the Registration Statement on Form S-3 (the Registration Statement) to which this opinion is an exhibit.</w:t>
      </w:r>
    </w:p>
    <w:p>
      <w:pPr>
        <w:pStyle w:val="TextBody"/>
        <w:spacing w:before="0" w:after="240"/>
        <w:ind w:left="0" w:right="0" w:hanging="0"/>
        <w:rPr/>
      </w:pPr>
      <w:r>
        <w:rPr/>
        <w:t>        </w:t>
      </w:r>
      <w:r>
        <w:rPr>
          <w:rFonts w:ascii="Times New Roman" w:hAnsi="Times New Roman"/>
          <w:sz w:val="17"/>
        </w:rPr>
        <w:t>In connection therewith, we prepared the discussion set forth under the caption Tax Considerations in the Prospectus (the Discussion). Capitalized terms not defined herein shall have the meanings ascribed to them in the Prospectus.</w:t>
      </w:r>
    </w:p>
    <w:p>
      <w:pPr>
        <w:pStyle w:val="TextBody"/>
        <w:spacing w:before="0" w:after="240"/>
        <w:ind w:left="0" w:right="0" w:hanging="0"/>
        <w:rPr/>
      </w:pPr>
      <w:r>
        <w:rPr/>
        <w:t>        </w:t>
      </w:r>
      <w:r>
        <w:rPr>
          <w:rFonts w:ascii="Times New Roman" w:hAnsi="Times New Roman"/>
          <w:sz w:val="17"/>
        </w:rPr>
        <w:t>All statements of legal conclusions contained in the Discussion, unless otherwise noted, are our opinion with respect to the matters set forth therein as of the effective date of the Prospectus in respect of the discussion set forth under the caption Tax Considerations, as qualified by the limitations contained in the Discussion. In addition, we are of the opinion that the Discussion with respect to those matters as to which no legal conclusions are provided is an accurate discussion of such federal income tax matters (except for the representations and statements of fact of the Partnership and its general partner, included in the Discussion, as to which we express no opinion).</w:t>
      </w:r>
    </w:p>
    <w:p>
      <w:pPr>
        <w:pStyle w:val="TextBody"/>
        <w:spacing w:before="0" w:after="240"/>
        <w:ind w:left="0" w:right="0" w:hanging="0"/>
        <w:rPr/>
      </w:pPr>
      <w:r>
        <w:rPr/>
        <w:t>        </w:t>
      </w:r>
      <w:r>
        <w:rPr>
          <w:rFonts w:ascii="Times New Roman" w:hAnsi="Times New Roman"/>
          <w:sz w:val="17"/>
        </w:rPr>
        <w:t>We hereby consent to the filing of this opinion as an exhibit to the Registration Statement and to the use of our name in the Registration Statement. This consent does not constitute an admission that we are experts within the meaning of such term as used in the Securities Act of 1933, as amended, or the rules and regulations of the Securities and Exchange Commission issued thereunder.</w:t>
      </w:r>
    </w:p>
    <w:p>
      <w:pPr>
        <w:pStyle w:val="TextBody"/>
        <w:spacing w:before="0" w:after="240"/>
        <w:ind w:left="0" w:right="0" w:hanging="0"/>
        <w:rPr/>
      </w:pPr>
      <w:r>
        <w:rPr/>
        <w:t> </w:t>
      </w:r>
    </w:p>
    <w:tbl>
      <w:tblPr>
        <w:tblW w:w="5000" w:type="pct"/>
        <w:jc w:val="left"/>
        <w:tblInd w:w="0" w:type="dxa"/>
        <w:tblCellMar>
          <w:top w:w="0" w:type="dxa"/>
          <w:left w:w="0" w:type="dxa"/>
          <w:bottom w:w="0" w:type="dxa"/>
          <w:right w:w="0" w:type="dxa"/>
        </w:tblCellMar>
      </w:tblPr>
      <w:tblGrid>
        <w:gridCol w:w="7319"/>
        <w:gridCol w:w="205"/>
        <w:gridCol w:w="2681"/>
      </w:tblGrid>
      <w:tr>
        <w:trPr/>
        <w:tc>
          <w:tcPr>
            <w:tcW w:w="7319" w:type="dxa"/>
            <w:tcBorders/>
            <w:shd w:fill="auto" w:val="clear"/>
          </w:tcPr>
          <w:p>
            <w:pPr>
              <w:pStyle w:val="TableContents"/>
              <w:spacing w:before="0" w:after="283"/>
              <w:ind w:left="0" w:right="0" w:hanging="0"/>
              <w:rPr>
                <w:sz w:val="4"/>
                <w:szCs w:val="4"/>
              </w:rPr>
            </w:pPr>
            <w:r>
              <w:rPr>
                <w:sz w:val="4"/>
                <w:szCs w:val="4"/>
              </w:rPr>
            </w:r>
          </w:p>
        </w:tc>
        <w:tc>
          <w:tcPr>
            <w:tcW w:w="205" w:type="dxa"/>
            <w:tcBorders/>
            <w:shd w:fill="auto" w:val="clear"/>
          </w:tcPr>
          <w:p>
            <w:pPr>
              <w:pStyle w:val="TableContents"/>
              <w:spacing w:before="0" w:after="0"/>
              <w:ind w:left="0" w:right="0" w:hanging="0"/>
              <w:rPr/>
            </w:pPr>
            <w:r>
              <w:rPr/>
              <w:t> </w:t>
            </w:r>
          </w:p>
        </w:tc>
        <w:tc>
          <w:tcPr>
            <w:tcW w:w="26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Very truly yours,</w:t>
            </w:r>
          </w:p>
        </w:tc>
      </w:tr>
      <w:tr>
        <w:trPr/>
        <w:tc>
          <w:tcPr>
            <w:tcW w:w="7319" w:type="dxa"/>
            <w:tcBorders/>
            <w:shd w:fill="auto" w:val="clear"/>
          </w:tcPr>
          <w:p>
            <w:pPr>
              <w:pStyle w:val="TableContents"/>
              <w:spacing w:before="0" w:after="0"/>
              <w:ind w:left="0" w:right="0" w:hanging="0"/>
              <w:rPr/>
            </w:pPr>
            <w:r>
              <w:rPr/>
              <w:t> </w:t>
            </w:r>
          </w:p>
        </w:tc>
        <w:tc>
          <w:tcPr>
            <w:tcW w:w="205" w:type="dxa"/>
            <w:tcBorders/>
            <w:shd w:fill="auto" w:val="clear"/>
          </w:tcPr>
          <w:p>
            <w:pPr>
              <w:pStyle w:val="TableContents"/>
              <w:spacing w:before="0" w:after="0"/>
              <w:ind w:left="0" w:right="0" w:hanging="0"/>
              <w:rPr/>
            </w:pPr>
            <w:r>
              <w:rPr/>
              <w:t> </w:t>
            </w:r>
          </w:p>
        </w:tc>
        <w:tc>
          <w:tcPr>
            <w:tcW w:w="2681" w:type="dxa"/>
            <w:tcBorders/>
            <w:shd w:fill="auto" w:val="clear"/>
          </w:tcPr>
          <w:p>
            <w:pPr>
              <w:pStyle w:val="TableContents"/>
              <w:spacing w:before="0" w:after="0"/>
              <w:ind w:left="0" w:right="0" w:hanging="0"/>
              <w:rPr/>
            </w:pPr>
            <w:r>
              <w:rPr/>
              <w:t> </w:t>
            </w:r>
          </w:p>
        </w:tc>
      </w:tr>
      <w:tr>
        <w:trPr/>
        <w:tc>
          <w:tcPr>
            <w:tcW w:w="7319" w:type="dxa"/>
            <w:tcBorders/>
            <w:shd w:fill="auto" w:val="clear"/>
          </w:tcPr>
          <w:p>
            <w:pPr>
              <w:pStyle w:val="TableContents"/>
              <w:spacing w:before="0" w:after="0"/>
              <w:ind w:left="0" w:right="0" w:hanging="0"/>
              <w:rPr/>
            </w:pPr>
            <w:r>
              <w:rPr/>
              <w:t> </w:t>
            </w:r>
          </w:p>
        </w:tc>
        <w:tc>
          <w:tcPr>
            <w:tcW w:w="205" w:type="dxa"/>
            <w:tcBorders/>
            <w:shd w:fill="auto" w:val="clear"/>
          </w:tcPr>
          <w:p>
            <w:pPr>
              <w:pStyle w:val="TableContents"/>
              <w:spacing w:before="0" w:after="0"/>
              <w:ind w:left="0" w:right="0" w:hanging="0"/>
              <w:rPr/>
            </w:pPr>
            <w:r>
              <w:rPr/>
              <w:t> </w:t>
            </w:r>
          </w:p>
        </w:tc>
        <w:tc>
          <w:tcPr>
            <w:tcW w:w="26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VINSON &amp; ELKINS L.L.P.</w:t>
            </w:r>
          </w:p>
        </w:tc>
      </w:tr>
    </w:tbl>
    <w:p>
      <w:pPr>
        <w:pStyle w:val="TextBody"/>
        <w:spacing w:before="0" w:after="240"/>
        <w:ind w:left="0" w:right="0" w:hanging="0"/>
        <w:rPr/>
      </w:pPr>
      <w:r>
        <w:rPr/>
        <w:t> </w:t>
      </w:r>
    </w:p>
    <w:p>
      <w:pPr>
        <w:pStyle w:val="TextBody"/>
        <w:spacing w:before="0" w:after="240"/>
        <w:ind w:left="0" w:right="0" w:hanging="0"/>
        <w:rPr/>
      </w:pPr>
      <w:r>
        <w:rPr/>
        <w: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jc w:val="right"/>
        <w:rPr>
          <w:rFonts w:ascii="Times New Roman" w:hAnsi="Times New Roman"/>
          <w:b/>
          <w:sz w:val="17"/>
        </w:rPr>
      </w:pPr>
      <w:bookmarkStart w:id="15" w:name="a06-16643_1ex99d1.htm"/>
      <w:bookmarkStart w:id="16" w:name="ksa0616643_1ex99d1"/>
      <w:bookmarkEnd w:id="15"/>
      <w:bookmarkEnd w:id="16"/>
      <w:r>
        <w:rPr>
          <w:rFonts w:ascii="Times New Roman" w:hAnsi="Times New Roman"/>
          <w:b/>
          <w:sz w:val="17"/>
        </w:rPr>
        <w:t>Exhibit 99.1</w:t>
      </w:r>
    </w:p>
    <w:p>
      <w:pPr>
        <w:pStyle w:val="TextBody"/>
        <w:spacing w:before="0" w:after="240"/>
        <w:ind w:left="0" w:right="0" w:hanging="0"/>
        <w:rPr>
          <w:rFonts w:ascii="Times New Roman" w:hAnsi="Times New Roman"/>
          <w:b/>
          <w:sz w:val="17"/>
        </w:rPr>
      </w:pPr>
      <w:r>
        <w:rPr>
          <w:rFonts w:ascii="Times New Roman" w:hAnsi="Times New Roman"/>
          <w:b/>
          <w:sz w:val="17"/>
        </w:rPr>
        <w:t>Press Release</w:t>
      </w:r>
    </w:p>
    <w:p>
      <w:pPr>
        <w:pStyle w:val="TextBody"/>
        <w:keepNext w:val="true"/>
        <w:spacing w:before="0" w:after="240"/>
        <w:ind w:left="0" w:right="0" w:hanging="0"/>
        <w:jc w:val="center"/>
        <w:rPr>
          <w:rFonts w:ascii="Times New Roman" w:hAnsi="Times New Roman"/>
          <w:b/>
          <w:sz w:val="17"/>
          <w:u w:val="single"/>
        </w:rPr>
      </w:pPr>
      <w:r>
        <w:rPr>
          <w:rFonts w:ascii="Times New Roman" w:hAnsi="Times New Roman"/>
          <w:b/>
          <w:sz w:val="17"/>
          <w:u w:val="single"/>
        </w:rPr>
        <w:t>Plains All American Announces Receipt of Equity Commitments</w:t>
      </w:r>
      <w:bookmarkStart w:id="17" w:name="PlainsAllAmericanAnnouncesReceipt_125933"/>
      <w:bookmarkEnd w:id="17"/>
    </w:p>
    <w:p>
      <w:pPr>
        <w:pStyle w:val="TextBody"/>
        <w:spacing w:before="0" w:after="240"/>
        <w:ind w:left="0" w:right="0" w:hanging="0"/>
        <w:rPr>
          <w:rFonts w:ascii="Times New Roman" w:hAnsi="Times New Roman"/>
          <w:sz w:val="17"/>
        </w:rPr>
      </w:pPr>
      <w:r>
        <w:rPr>
          <w:rFonts w:ascii="Times New Roman" w:hAnsi="Times New Roman"/>
          <w:sz w:val="17"/>
        </w:rPr>
        <w:t>(Houston  July 20, 2006) Plains All American Pipeline, L.P. (NYSE: PAA) announced today that it has received equity commitments from a group of entities affiliated with nine institutional and private investors led by Vulcan Capital, Kayne Anderson Capital Advisors and Tortoise Capital Advisors. The commitments provide for the sale by PAA of 3.7 million common units, which will generate aggregate net proceeds of approximately $163 million, including the general partners proportionate capital contribution and estimated expenses associated with the issuance.</w:t>
      </w:r>
    </w:p>
    <w:p>
      <w:pPr>
        <w:pStyle w:val="TextBody"/>
        <w:spacing w:before="0" w:after="240"/>
        <w:ind w:left="0" w:right="0" w:hanging="0"/>
        <w:rPr>
          <w:rFonts w:ascii="Times New Roman" w:hAnsi="Times New Roman"/>
          <w:sz w:val="17"/>
        </w:rPr>
      </w:pPr>
      <w:r>
        <w:rPr>
          <w:rFonts w:ascii="Times New Roman" w:hAnsi="Times New Roman"/>
          <w:sz w:val="17"/>
        </w:rPr>
        <w:t>The price for the common units, which will be issued under the Partnerships existing shelf registration statement, was $43.00 per unit, which represents a 4% discount to the closing price of the Common Units on July 18, 2006, and a 3.1% discount to the average closing price for the trailing ten trading day period through July 18, 2006. The Partnership intends to complete the issuance near the end of July.</w:t>
      </w:r>
    </w:p>
    <w:p>
      <w:pPr>
        <w:pStyle w:val="TextBody"/>
        <w:spacing w:before="0" w:after="240"/>
        <w:ind w:left="0" w:right="0" w:hanging="0"/>
        <w:rPr>
          <w:rFonts w:ascii="Times New Roman" w:hAnsi="Times New Roman"/>
          <w:sz w:val="17"/>
        </w:rPr>
      </w:pPr>
      <w:r>
        <w:rPr>
          <w:rFonts w:ascii="Times New Roman" w:hAnsi="Times New Roman"/>
          <w:sz w:val="17"/>
        </w:rPr>
        <w:t>The Partnership intends to use the net proceeds from the issuance to fund a portion of two pending acquisitions, repay indebtedness under its credit facilities and for general partnership purposes. Through mid-May of 2006, the Partnership had completed five acquisitions totaling $360 million. In addition, on May 24, 2006, the Partnership announced that it had entered into a definitive agreement with BP Oil Pipeline Company (BP) to acquire certain Gulf Coast pipeline assets for approximately $134 million. On July 20, 2006, the Partnership announced that it has entered into a definitive agreement to acquire three refined product pipeline systems in Texas from Chevron Pipe Line Company (Chevron) for approximately $65 million. The Partnership closed on a portion of the BP assets in early July. The remaining portion of the BP transaction as well as the Chevron transaction are expected to close during the third quarter and are subject to regulatory approvals, customary closing conditions and existing preferential rights on a portion of the assets.</w:t>
      </w:r>
    </w:p>
    <w:p>
      <w:pPr>
        <w:pStyle w:val="TextBody"/>
        <w:spacing w:before="0" w:after="240"/>
        <w:ind w:left="0" w:right="0" w:hanging="0"/>
        <w:rPr>
          <w:rFonts w:ascii="Times New Roman" w:hAnsi="Times New Roman"/>
          <w:sz w:val="17"/>
        </w:rPr>
      </w:pPr>
      <w:r>
        <w:rPr>
          <w:rFonts w:ascii="Times New Roman" w:hAnsi="Times New Roman"/>
          <w:sz w:val="17"/>
        </w:rPr>
        <w:t>Despite a year of significant acquisition activity, PAAs disciplined, methodical and timely approach to funding its acquisition and expansion activities has enabled us to maintain a strong capital structure and significant liquidity, said Phil Kramer, Executive Vice President and Chief Financial Officer of Plains All American. As a result, PAA is well-positioned to be able to continue to capitalize on future growth opportunities.</w:t>
      </w:r>
    </w:p>
    <w:p>
      <w:pPr>
        <w:pStyle w:val="TextBody"/>
        <w:spacing w:before="0" w:after="240"/>
        <w:ind w:left="0" w:right="0" w:hanging="0"/>
        <w:rPr>
          <w:rFonts w:ascii="Times New Roman" w:hAnsi="Times New Roman"/>
          <w:sz w:val="17"/>
        </w:rPr>
      </w:pPr>
      <w:r>
        <w:rPr>
          <w:rFonts w:ascii="Times New Roman" w:hAnsi="Times New Roman"/>
          <w:sz w:val="17"/>
        </w:rPr>
        <w:t>Kramer noted that, including PAAs $250 million expansion capital program for 2006, aggregate acquisition and expansion capital expenditures for this year are expected to total approximately $809 million. Such amounts exclude the pending</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rPr>
          <w:rFonts w:ascii="Times New Roman" w:hAnsi="Times New Roman"/>
          <w:sz w:val="17"/>
        </w:rPr>
      </w:pPr>
      <w:r>
        <w:rPr>
          <w:rFonts w:ascii="Times New Roman" w:hAnsi="Times New Roman"/>
          <w:sz w:val="17"/>
        </w:rPr>
        <w:t>transaction with Pacific Energy Partners, L.P., which is expected to close near the end of 2006, and any additional acquisitions announced after the date hereof.</w:t>
      </w:r>
    </w:p>
    <w:p>
      <w:pPr>
        <w:pStyle w:val="TextBody"/>
        <w:spacing w:before="0" w:after="240"/>
        <w:ind w:left="0" w:right="0" w:hanging="0"/>
        <w:rPr>
          <w:rFonts w:ascii="Times New Roman" w:hAnsi="Times New Roman"/>
          <w:sz w:val="17"/>
        </w:rPr>
      </w:pPr>
      <w:r>
        <w:rPr>
          <w:rFonts w:ascii="Times New Roman" w:hAnsi="Times New Roman"/>
          <w:sz w:val="17"/>
        </w:rPr>
        <w:t>In the aggregate, the proceeds generated by our two equity private placements in 2006, the excess equity proceeds carried over from 2005 and the approximately $125 million of projected 2006 operating cash flow in excess of partnership distributions are expected to total approximately $535 million and accomplish our objective of funding at least 50% of aggregate acquisitions and expansion capital projects with equity and excess cash flow, said Kramer. The approximately $130 million of excess proceeds above our 50% financing target on the aforementioned acquisition and expansion capital activities will be used to fund a portion of the equity financing component of the Partnerships pending transaction with Pacific Energy Partners, L.P., applied to expansion capital expenditures in 2007 or to temporarily reduce debt pending investment of the proceeds.</w:t>
      </w:r>
    </w:p>
    <w:p>
      <w:pPr>
        <w:pStyle w:val="TextBody"/>
        <w:spacing w:before="0" w:after="240"/>
        <w:ind w:left="0" w:right="0" w:hanging="0"/>
        <w:rPr>
          <w:rFonts w:ascii="Times New Roman" w:hAnsi="Times New Roman"/>
          <w:sz w:val="17"/>
        </w:rPr>
      </w:pPr>
      <w:r>
        <w:rPr>
          <w:rFonts w:ascii="Times New Roman" w:hAnsi="Times New Roman"/>
          <w:sz w:val="17"/>
        </w:rPr>
        <w:t>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Through its 50% ownership in PAA/Vulcan Gas Storage LLC, the Partnership is also engaged in the development and operation of natural gas storage facilities. The Partnerships common units are traded on the New York Stock Exchange under the symbol PAA. The Partnership is headquartered in Houston, Texas.</w:t>
      </w:r>
    </w:p>
    <w:p>
      <w:pPr>
        <w:pStyle w:val="TextBody"/>
        <w:spacing w:before="0" w:after="240"/>
        <w:ind w:left="0" w:right="0" w:hanging="0"/>
        <w:rPr>
          <w:rFonts w:ascii="Times New Roman" w:hAnsi="Times New Roman"/>
          <w:sz w:val="17"/>
        </w:rPr>
      </w:pPr>
      <w:r>
        <w:rPr>
          <w:rFonts w:ascii="Times New Roman" w:hAnsi="Times New Roman"/>
          <w:sz w:val="17"/>
        </w:rPr>
        <w:t>This news release does not constitute an offer to sell or a solicitation of an offer to buy the securities described herein, nor shall there be any sale of these securities in any state or jurisdiction in which such an offer, solicitation or sale would be unlawful prior to registration or qualification under the securities laws of any such jurisdiction. The offering may be made only by means of a prospectus and related prospectus supplement.</w:t>
      </w:r>
    </w:p>
    <w:p>
      <w:pPr>
        <w:pStyle w:val="TextBody"/>
        <w:spacing w:before="0" w:after="240"/>
        <w:ind w:left="0" w:right="0" w:hanging="0"/>
        <w:rPr/>
      </w:pPr>
      <w:r>
        <w:rPr>
          <w:rStyle w:val="Emphasis"/>
          <w:rFonts w:ascii="Times New Roman" w:hAnsi="Times New Roman"/>
          <w:b/>
          <w:i/>
          <w:sz w:val="17"/>
        </w:rPr>
        <w:t>Forward Looking Statements</w:t>
      </w:r>
      <w:r>
        <w:rPr>
          <w:rFonts w:ascii="Times New Roman" w:hAnsi="Times New Roman"/>
          <w:sz w:val="17"/>
        </w:rPr>
        <w:br/>
        <w:t>Certain statements made herein are forward-looking statements under the Private Securities Litigation Reform Act of 1995. They include statements regarding pending and potential future acquisitions, capital expenditures and the sale of common units to help finance such acquisition and expansion capital activities. These statements are based on managements current expectations and estimates. Actual results may differ materially due to certain risks and uncertainties, including the consummation of pending and future acquisitions, the closing of the direct placement of units, the stability of the capital markets, and other risks and uncertainties as identified and discussed in the Partnerships Annual Report on Form 10-K for the year ended December 31, 2005, and Registration Statement on Form S-4 (File No. 333-135712) as filed with the Securities and Exchange Commission.</w:t>
      </w:r>
    </w:p>
    <w:p>
      <w:pPr>
        <w:pStyle w:val="TextBody"/>
        <w:spacing w:before="0" w:after="240"/>
        <w:ind w:left="0" w:right="0" w:hanging="0"/>
        <w:rPr/>
      </w:pPr>
      <w:r>
        <w:rPr/>
        <w:t> </w:t>
      </w:r>
    </w:p>
    <w:p>
      <w:pPr>
        <w:pStyle w:val="TextBody"/>
        <w:spacing w:before="0" w:after="0"/>
        <w:rPr/>
      </w:pPr>
      <w:r>
        <w:rPr/>
      </w:r>
    </w:p>
    <w:p>
      <w:pPr>
        <w:pStyle w:val="HorizontalLine"/>
        <w:pBdr>
          <w:bottom w:val="single" w:sz="18" w:space="0" w:color="010101"/>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DejaVu Sans" w:cs="DejaVu Sans"/>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DejaVu Sans" w:cs="DejaVu Sans"/>
      <w:b/>
      <w:bCs/>
      <w:sz w:val="28"/>
      <w:szCs w:val="28"/>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37</Pages>
  <Words>10797</Words>
  <CharactersWithSpaces>68172</CharactersWithSpaces>
  <Paragraphs>760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