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7,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100"/>
          </w:cols>
          <w:pgMar w:left="240" w:top="544" w:right="199" w:bottom="144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60"/>
          </w:cols>
          <w:pgMar w:left="240" w:top="544" w:right="199" w:bottom="1440"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00" w:type="dxa"/>
            <w:vAlign w:val="bottom"/>
            <w:gridSpan w:val="2"/>
          </w:tcPr>
          <w:p>
            <w:pPr>
              <w:ind w:left="1420"/>
              <w:spacing w:after="0"/>
              <w:rPr>
                <w:sz w:val="20"/>
                <w:szCs w:val="20"/>
                <w:color w:val="auto"/>
              </w:rPr>
            </w:pPr>
            <w:r>
              <w:rPr>
                <w:rFonts w:ascii="Arial" w:cs="Arial" w:eastAsia="Arial" w:hAnsi="Arial"/>
                <w:sz w:val="14"/>
                <w:szCs w:val="14"/>
                <w:b w:val="1"/>
                <w:bCs w:val="1"/>
                <w:color w:val="auto"/>
              </w:rPr>
              <w:t>Title of each class</w:t>
            </w:r>
          </w:p>
        </w:tc>
        <w:tc>
          <w:tcPr>
            <w:tcW w:w="3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Trading Symbol(s)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392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Class A Shares</w:t>
            </w:r>
          </w:p>
        </w:tc>
        <w:tc>
          <w:tcPr>
            <w:tcW w:w="28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18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40" w:type="dxa"/>
            <w:vAlign w:val="bottom"/>
          </w:tcPr>
          <w:p>
            <w:pPr>
              <w:spacing w:after="0"/>
              <w:rPr>
                <w:sz w:val="19"/>
                <w:szCs w:val="19"/>
                <w:color w:val="auto"/>
              </w:rPr>
            </w:pPr>
          </w:p>
        </w:tc>
      </w:tr>
      <w:tr>
        <w:trPr>
          <w:trHeight w:val="202"/>
        </w:trPr>
        <w:tc>
          <w:tcPr>
            <w:tcW w:w="3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9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9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May 7, 2019, the Registrant issued a press release reporting its first-quarter 2019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tabs>
          <w:tab w:leader="none" w:pos="1860" w:val="left"/>
          <w:tab w:leader="none" w:pos="218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color w:val="auto"/>
        </w:rPr>
        <w:t>—</w:t>
      </w:r>
      <w:r>
        <w:rPr>
          <w:sz w:val="20"/>
          <w:szCs w:val="20"/>
          <w:color w:val="auto"/>
        </w:rPr>
        <w:tab/>
      </w:r>
      <w:hyperlink r:id="rId12">
        <w:r>
          <w:rPr>
            <w:rFonts w:ascii="Arial" w:cs="Arial" w:eastAsia="Arial" w:hAnsi="Arial"/>
            <w:sz w:val="15"/>
            <w:szCs w:val="15"/>
            <w:u w:val="single" w:color="auto"/>
            <w:color w:val="0000EE"/>
          </w:rPr>
          <w:t>Press Release dated May 7, 2019</w:t>
        </w:r>
      </w:hyperlink>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3"/>
          </w:tcPr>
          <w:p>
            <w:pPr>
              <w:ind w:left="2140"/>
              <w:spacing w:after="0"/>
              <w:rPr>
                <w:sz w:val="20"/>
                <w:szCs w:val="20"/>
                <w:color w:val="auto"/>
              </w:rPr>
            </w:pPr>
            <w:r>
              <w:rPr>
                <w:rFonts w:ascii="Arial" w:cs="Arial" w:eastAsia="Arial" w:hAnsi="Arial"/>
                <w:sz w:val="18"/>
                <w:szCs w:val="18"/>
                <w:color w:val="auto"/>
              </w:rPr>
              <w:t>PLAINS GP HOLDINGS, L.P.</w:t>
            </w:r>
          </w:p>
        </w:tc>
        <w:tc>
          <w:tcPr>
            <w:tcW w:w="40" w:type="dxa"/>
            <w:vAlign w:val="bottom"/>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7940" w:type="dxa"/>
            <w:vAlign w:val="bottom"/>
            <w:gridSpan w:val="3"/>
          </w:tcPr>
          <w:p>
            <w:pPr>
              <w:ind w:left="2140"/>
              <w:spacing w:after="0"/>
              <w:rPr>
                <w:sz w:val="20"/>
                <w:szCs w:val="20"/>
                <w:color w:val="auto"/>
              </w:rPr>
            </w:pPr>
            <w:r>
              <w:rPr>
                <w:rFonts w:ascii="Arial" w:cs="Arial" w:eastAsia="Arial" w:hAnsi="Arial"/>
                <w:sz w:val="18"/>
                <w:szCs w:val="18"/>
                <w:color w:val="auto"/>
              </w:rPr>
              <w:t>By:  PAA GP Holdings LLC, its general partner</w:t>
            </w:r>
          </w:p>
        </w:tc>
        <w:tc>
          <w:tcPr>
            <w:tcW w:w="40" w:type="dxa"/>
            <w:vAlign w:val="bottom"/>
          </w:tcPr>
          <w:p>
            <w:pPr>
              <w:spacing w:after="0"/>
              <w:rPr>
                <w:sz w:val="24"/>
                <w:szCs w:val="24"/>
                <w:color w:val="auto"/>
              </w:rPr>
            </w:pP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7, 2019</w:t>
            </w:r>
          </w:p>
        </w:tc>
        <w:tc>
          <w:tcPr>
            <w:tcW w:w="7940" w:type="dxa"/>
            <w:vAlign w:val="bottom"/>
            <w:gridSpan w:val="3"/>
          </w:tcPr>
          <w:p>
            <w:pPr>
              <w:ind w:left="2140"/>
              <w:spacing w:after="0"/>
              <w:rPr>
                <w:sz w:val="20"/>
                <w:szCs w:val="20"/>
                <w:color w:val="auto"/>
              </w:rPr>
            </w:pPr>
            <w:r>
              <w:rPr>
                <w:rFonts w:ascii="Arial" w:cs="Arial" w:eastAsia="Arial" w:hAnsi="Arial"/>
                <w:sz w:val="18"/>
                <w:szCs w:val="18"/>
                <w:color w:val="auto"/>
              </w:rPr>
              <w:t>By:  /s/ Al Swanson</w:t>
            </w:r>
          </w:p>
        </w:tc>
        <w:tc>
          <w:tcPr>
            <w:tcW w:w="40" w:type="dxa"/>
            <w:vAlign w:val="bottom"/>
          </w:tcPr>
          <w:p>
            <w:pPr>
              <w:spacing w:after="0"/>
              <w:rPr>
                <w:sz w:val="24"/>
                <w:szCs w:val="24"/>
                <w:color w:val="auto"/>
              </w:rPr>
            </w:pPr>
          </w:p>
        </w:tc>
      </w:tr>
      <w:tr>
        <w:trPr>
          <w:trHeight w:val="195"/>
        </w:trPr>
        <w:tc>
          <w:tcPr>
            <w:tcW w:w="3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Al Swanson</w:t>
            </w:r>
          </w:p>
        </w:tc>
        <w:tc>
          <w:tcPr>
            <w:tcW w:w="40" w:type="dxa"/>
            <w:vAlign w:val="bottom"/>
          </w:tcPr>
          <w:p>
            <w:pPr>
              <w:spacing w:after="0"/>
              <w:rPr>
                <w:sz w:val="16"/>
                <w:szCs w:val="16"/>
                <w:color w:val="auto"/>
              </w:rPr>
            </w:pPr>
          </w:p>
        </w:tc>
      </w:tr>
      <w:tr>
        <w:trPr>
          <w:trHeight w:val="230"/>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40" w:type="dxa"/>
            <w:vAlign w:val="bottom"/>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260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48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154940</wp:posOffset>
            </wp:positionV>
            <wp:extent cx="6174740" cy="814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617474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2019 Results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(Houston — May 7, 2019) Plains All American Pipeline, L.P. (NYSE: PAA) and Plains GP Holdings (NYSE: PAGP) today reported first-quarter 2019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First-Quarter Highlights</w:t>
      </w:r>
    </w:p>
    <w:p>
      <w:pPr>
        <w:spacing w:after="0" w:line="229" w:lineRule="exact"/>
        <w:rPr>
          <w:sz w:val="20"/>
          <w:szCs w:val="20"/>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Delivered 1Q19 financial and operating results ahead of expectations</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Completed August 2017 deleveraging plan; updated financial policy and targeted metrics; increased annual distribution</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Increased 2019 Adjusted EBITDA guidance</w:t>
      </w:r>
    </w:p>
    <w:p>
      <w:pPr>
        <w:spacing w:after="0" w:line="225" w:lineRule="exact"/>
        <w:rPr>
          <w:rFonts w:ascii="Arial" w:cs="Arial" w:eastAsia="Arial" w:hAnsi="Arial"/>
          <w:sz w:val="14"/>
          <w:szCs w:val="14"/>
          <w:color w:val="auto"/>
        </w:rPr>
      </w:pPr>
    </w:p>
    <w:p>
      <w:pPr>
        <w:ind w:left="1280" w:hanging="300"/>
        <w:spacing w:after="0"/>
        <w:tabs>
          <w:tab w:leader="none" w:pos="1280" w:val="left"/>
        </w:tabs>
        <w:numPr>
          <w:ilvl w:val="0"/>
          <w:numId w:val="2"/>
        </w:numPr>
        <w:rPr>
          <w:rFonts w:ascii="Arial" w:cs="Arial" w:eastAsia="Arial" w:hAnsi="Arial"/>
          <w:sz w:val="14"/>
          <w:szCs w:val="14"/>
          <w:color w:val="auto"/>
        </w:rPr>
      </w:pPr>
      <w:r>
        <w:rPr>
          <w:rFonts w:ascii="Arial" w:cs="Arial" w:eastAsia="Arial" w:hAnsi="Arial"/>
          <w:sz w:val="18"/>
          <w:szCs w:val="18"/>
          <w:color w:val="auto"/>
        </w:rPr>
        <w:t>Executing Permian-focused capital program, sanctioning new growth projects, and advancing new commercial opportunities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“Our first-quarter results and increased 2019 guidance reflect continued solid execution of our business plan,” stated Willie Chiang, Chief Executive Officer of Plains All American Pipeline. “We have meaningfully improved our financial positioning, and we remain focused on executing 2019 goals and advancing a number of initiatives that position us for continued fee-based growth with attractive returns in 2020 and beyond.”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GAAP Results</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Diluted net income per common unit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Diluted weighted average common units outstanding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7280" w:type="dxa"/>
            <w:vAlign w:val="bottom"/>
            <w:gridSpan w:val="2"/>
          </w:tcPr>
          <w:p>
            <w:pPr>
              <w:spacing w:after="0"/>
              <w:rPr>
                <w:sz w:val="20"/>
                <w:szCs w:val="20"/>
                <w:color w:val="auto"/>
              </w:rPr>
            </w:pPr>
            <w:r>
              <w:rPr>
                <w:rFonts w:ascii="Arial" w:cs="Arial" w:eastAsia="Arial" w:hAnsi="Arial"/>
                <w:sz w:val="18"/>
                <w:szCs w:val="18"/>
                <w:color w:val="auto"/>
              </w:rPr>
              <w:t>Distribution per common unit declared for the period</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00" w:hanging="332"/>
        <w:spacing w:after="0" w:line="234"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2019, includes all potentially dilutive securities outstanding (our Series A preferred units and equity-indexed compensation awards) during the period. See the “Computation of Basic and Diluted Net Income Per Common Unit” table attached hereto for additional information.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xml:space="preserve">Non-GAAP Results </w:t>
            </w:r>
            <w:r>
              <w:rPr>
                <w:rFonts w:ascii="Arial" w:cs="Arial" w:eastAsia="Arial" w:hAnsi="Arial"/>
                <w:sz w:val="16"/>
                <w:szCs w:val="16"/>
                <w:b w:val="1"/>
                <w:bCs w:val="1"/>
                <w:color w:val="auto"/>
                <w:vertAlign w:val="superscript"/>
              </w:rPr>
              <w:t>(1)</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0.69</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Implied DCF per common unit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0.90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0.61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340" w:right="180" w:hanging="332"/>
        <w:spacing w:after="0" w:line="238"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Implied DCF) and their reconciliation to the most directly comparable measures as reported in accordance with GAAP.</w:t>
      </w:r>
    </w:p>
    <w:p>
      <w:pPr>
        <w:ind w:left="340" w:right="160" w:hanging="332"/>
        <w:spacing w:after="0" w:line="229" w:lineRule="auto"/>
        <w:tabs>
          <w:tab w:leader="none" w:pos="32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2018, we began classifying net gains and losses on asset sales and asset impairments as a selected item impacting comparability in the calculation of adjusted net income. Prior period amounts have been recast to reflect this change. See the “Selected Items Impacting Comparability” table attached hereto for additional information.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first quarter of 2019 and 2018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Segment Adjusted EBITDA</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0"/>
                <w:szCs w:val="10"/>
                <w:color w:val="auto"/>
              </w:rPr>
            </w:pPr>
          </w:p>
        </w:tc>
        <w:tc>
          <w:tcPr>
            <w:tcW w:w="1140" w:type="dxa"/>
            <w:vAlign w:val="bottom"/>
          </w:tcPr>
          <w:p>
            <w:pPr>
              <w:jc w:val="right"/>
              <w:ind w:right="237"/>
              <w:spacing w:after="0" w:line="119" w:lineRule="exact"/>
              <w:rPr>
                <w:sz w:val="20"/>
                <w:szCs w:val="20"/>
                <w:color w:val="auto"/>
              </w:rPr>
            </w:pPr>
            <w:r>
              <w:rPr>
                <w:rFonts w:ascii="Arial" w:cs="Arial" w:eastAsia="Arial" w:hAnsi="Arial"/>
                <w:sz w:val="13"/>
                <w:szCs w:val="13"/>
                <w:b w:val="1"/>
                <w:bCs w:val="1"/>
                <w:color w:val="auto"/>
              </w:rPr>
              <w:t>Supply and</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March 31,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Three Months Ended March 31, 2018</w:t>
            </w: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335</w:t>
            </w:r>
          </w:p>
        </w:tc>
        <w:tc>
          <w:tcPr>
            <w:tcW w:w="2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2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i w:val="1"/>
                <w:iCs w:val="1"/>
                <w:color w:val="auto"/>
              </w:rPr>
              <w:t>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b w:val="1"/>
                <w:bCs w:val="1"/>
                <w:i w:val="1"/>
                <w:iCs w:val="1"/>
                <w:color w:val="auto"/>
              </w:rPr>
              <w:t>(1)%</w:t>
            </w: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i w:val="1"/>
                <w:iCs w:val="1"/>
                <w:color w:val="auto"/>
              </w:rPr>
              <w:t>286%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b w:val="1"/>
                <w:bCs w:val="1"/>
                <w:i w:val="1"/>
                <w:iCs w:val="1"/>
                <w:color w:val="auto"/>
              </w:rPr>
              <w:t>Percentage change in Segment Adjusted EBITDA versus 2018 period further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i w:val="1"/>
                <w:iCs w:val="1"/>
                <w:color w:val="auto"/>
              </w:rPr>
              <w:t>1%</w:t>
            </w:r>
          </w:p>
        </w:tc>
        <w:tc>
          <w:tcPr>
            <w:tcW w:w="220" w:type="dxa"/>
            <w:vAlign w:val="bottom"/>
          </w:tcPr>
          <w:p>
            <w:pPr>
              <w:spacing w:after="0"/>
              <w:rPr>
                <w:sz w:val="13"/>
                <w:szCs w:val="13"/>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i w:val="1"/>
                <w:iCs w:val="1"/>
                <w:color w:val="auto"/>
              </w:rPr>
              <w:t>N/A</w:t>
            </w:r>
          </w:p>
        </w:tc>
        <w:tc>
          <w:tcPr>
            <w:tcW w:w="0" w:type="dxa"/>
            <w:vAlign w:val="bottom"/>
          </w:tcPr>
          <w:p>
            <w:pPr>
              <w:spacing w:after="0"/>
              <w:rPr>
                <w:sz w:val="1"/>
                <w:szCs w:val="1"/>
                <w:color w:val="auto"/>
              </w:rPr>
            </w:pPr>
          </w:p>
        </w:tc>
      </w:tr>
      <w:tr>
        <w:trPr>
          <w:trHeight w:val="217"/>
        </w:trPr>
        <w:tc>
          <w:tcPr>
            <w:tcW w:w="664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adjusted for impact of divested assets</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First-quarter 2019 Transportation Segment Adjusted EBITDA increased by 19% over comparable 2018 results. This increase was primarily driven by increased volume on our Permian Basin systems, including the start-up of our Sunrise II pipeline in the fourth quarter of 2018. First-quarter 2019 results also benefited from increased volumes on certain of our pipelines in the Central region and increased volumes into our Eagle Ford JV system, which receives volumes from our Cactus pipeline. These favorable results were partially offset by our sale of an interest in the BridgeTex pipeline and asset sales in the Rocky Mountain region.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First-quarter 2019 Facilities Segment Adjusted EBITDA was in line with comparable 2018 results.</w:t>
      </w:r>
    </w:p>
    <w:p>
      <w:pPr>
        <w:spacing w:after="0" w:line="22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First-quarter 2019 Supply and Logistics Segment Adjusted EBITDA increased versus comparable 2018 results due to favorable crude oil differentials and improved NGL margins.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our full-year 2019 financial and operating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volumes, per unit and per barrel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Twelve Months Ended December 31,</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 (G)</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right"/>
              <w:ind w:right="471"/>
              <w:spacing w:after="0" w:line="142" w:lineRule="exact"/>
              <w:rPr>
                <w:sz w:val="20"/>
                <w:szCs w:val="20"/>
                <w:color w:val="auto"/>
              </w:rPr>
            </w:pPr>
            <w:r>
              <w:rPr>
                <w:rFonts w:ascii="Arial" w:cs="Arial" w:eastAsia="Arial" w:hAnsi="Arial"/>
                <w:sz w:val="14"/>
                <w:szCs w:val="14"/>
                <w:b w:val="1"/>
                <w:bCs w:val="1"/>
                <w:color w:val="auto"/>
              </w:rPr>
              <w:t>+ / -</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Adjusted EBITDA</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Transportation</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18"/>
                <w:szCs w:val="18"/>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1,508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Fee-Based</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2,219</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Supply and Logistics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Adjusted other income/(expense), net</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3"/>
                <w:szCs w:val="23"/>
                <w:b w:val="1"/>
                <w:bCs w:val="1"/>
                <w:color w:val="auto"/>
                <w:vertAlign w:val="superscript"/>
              </w:rPr>
              <w:t>(1)</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160"/>
              <w:spacing w:after="0" w:line="23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(483)</w:t>
            </w:r>
          </w:p>
        </w:tc>
        <w:tc>
          <w:tcPr>
            <w:tcW w:w="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(419)</w:t>
            </w:r>
          </w:p>
        </w:tc>
        <w:tc>
          <w:tcPr>
            <w:tcW w:w="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(400)</w:t>
            </w:r>
          </w:p>
        </w:tc>
        <w:tc>
          <w:tcPr>
            <w:tcW w:w="1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Maintenance capital</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Current income tax expense</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3"/>
                <w:szCs w:val="23"/>
                <w:b w:val="1"/>
                <w:bCs w:val="1"/>
                <w:color w:val="auto"/>
                <w:vertAlign w:val="superscript"/>
              </w:rPr>
              <w:t>(1)</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1,948</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2,170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(3)</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Implied DCF Available to Common Unitholders</w:t>
            </w:r>
          </w:p>
        </w:tc>
        <w:tc>
          <w:tcPr>
            <w:tcW w:w="17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1,307</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1,787</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1,970</w:t>
            </w:r>
          </w:p>
        </w:tc>
        <w:tc>
          <w:tcPr>
            <w:tcW w:w="1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w:t>
            </w:r>
            <w:r>
              <w:rPr>
                <w:rFonts w:ascii="Arial" w:cs="Arial" w:eastAsia="Arial" w:hAnsi="Arial"/>
                <w:sz w:val="23"/>
                <w:szCs w:val="23"/>
                <w:b w:val="1"/>
                <w:bCs w:val="1"/>
                <w:color w:val="auto"/>
                <w:vertAlign w:val="superscript"/>
              </w:rPr>
              <w:t>(1)</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Implied DCF per Common Unit and Common Equivalent Unit </w:t>
            </w:r>
            <w:r>
              <w:rPr>
                <w:rFonts w:ascii="Arial" w:cs="Arial" w:eastAsia="Arial" w:hAnsi="Arial"/>
                <w:sz w:val="23"/>
                <w:szCs w:val="23"/>
                <w:b w:val="1"/>
                <w:bCs w:val="1"/>
                <w:color w:val="auto"/>
                <w:vertAlign w:val="superscript"/>
              </w:rPr>
              <w:t>(1)</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Distributions per Common Unit </w:t>
            </w:r>
            <w:r>
              <w:rPr>
                <w:rFonts w:ascii="Arial" w:cs="Arial" w:eastAsia="Arial" w:hAnsi="Arial"/>
                <w:sz w:val="23"/>
                <w:szCs w:val="23"/>
                <w:b w:val="1"/>
                <w:bCs w:val="1"/>
                <w:color w:val="auto"/>
                <w:vertAlign w:val="superscript"/>
              </w:rPr>
              <w:t>(4)</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Common Unit Distribution Coverage Ratio</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0.94x</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2.05x</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1.96x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line="216" w:lineRule="exact"/>
              <w:rPr>
                <w:sz w:val="20"/>
                <w:szCs w:val="20"/>
                <w:color w:val="auto"/>
              </w:rPr>
            </w:pPr>
            <w:r>
              <w:rPr>
                <w:rFonts w:ascii="Arial" w:cs="Arial" w:eastAsia="Arial" w:hAnsi="Arial"/>
                <w:sz w:val="18"/>
                <w:szCs w:val="18"/>
                <w:b w:val="1"/>
                <w:bCs w:val="1"/>
                <w:color w:val="auto"/>
              </w:rPr>
              <w:t xml:space="preserve">Diluted Adjusted Net Income per Common Unit </w:t>
            </w:r>
            <w:r>
              <w:rPr>
                <w:rFonts w:ascii="Arial" w:cs="Arial" w:eastAsia="Arial" w:hAnsi="Arial"/>
                <w:sz w:val="23"/>
                <w:szCs w:val="23"/>
                <w:b w:val="1"/>
                <w:bCs w:val="1"/>
                <w:color w:val="auto"/>
                <w:vertAlign w:val="superscript"/>
              </w:rPr>
              <w:t>(1)</w:t>
            </w:r>
          </w:p>
        </w:tc>
        <w:tc>
          <w:tcPr>
            <w:tcW w:w="17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Operating Data</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Transportation</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5,889</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0.68</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Facilities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Average capacity (MMBbls/Mo)</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Supply and Logistics</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Average daily volumes (MBbls/d)</w:t>
            </w: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Segment Adjusted EBITDA per barrel</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Expansion Capital</w:t>
            </w:r>
          </w:p>
        </w:tc>
        <w:tc>
          <w:tcPr>
            <w:tcW w:w="1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1,888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Second-Quarter Adjusted EBITDA as Percentage of Full Year</w:t>
            </w:r>
          </w:p>
        </w:tc>
        <w:tc>
          <w:tcPr>
            <w:tcW w:w="1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60" w:type="dxa"/>
            <w:vAlign w:val="bottom"/>
          </w:tcPr>
          <w:p>
            <w:pPr>
              <w:ind w:left="620"/>
              <w:spacing w:after="0"/>
              <w:rPr>
                <w:sz w:val="20"/>
                <w:szCs w:val="20"/>
                <w:color w:val="auto"/>
              </w:rPr>
            </w:pPr>
            <w:r>
              <w:rPr>
                <w:rFonts w:ascii="Arial" w:cs="Arial" w:eastAsia="Arial" w:hAnsi="Arial"/>
                <w:sz w:val="18"/>
                <w:szCs w:val="18"/>
                <w:color w:val="auto"/>
              </w:rPr>
              <w:t>- more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760" w:type="dxa"/>
            <w:vAlign w:val="bottom"/>
          </w:tcPr>
          <w:p>
            <w:pPr>
              <w:ind w:left="20"/>
              <w:spacing w:after="0"/>
              <w:rPr>
                <w:sz w:val="20"/>
                <w:szCs w:val="20"/>
                <w:color w:val="auto"/>
              </w:rPr>
            </w:pPr>
            <w:r>
              <w:rPr>
                <w:rFonts w:ascii="Arial" w:cs="Arial" w:eastAsia="Arial" w:hAnsi="Arial"/>
                <w:sz w:val="18"/>
                <w:szCs w:val="18"/>
                <w:b w:val="1"/>
                <w:bCs w:val="1"/>
                <w:color w:val="auto"/>
                <w:w w:val="90"/>
              </w:rPr>
              <w:t>Houston, Texas 77002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5"/>
          </w:tcPr>
          <w:p>
            <w:pPr>
              <w:jc w:val="right"/>
              <w:ind w:right="391"/>
              <w:spacing w:after="0"/>
              <w:rPr>
                <w:sz w:val="20"/>
                <w:szCs w:val="20"/>
                <w:color w:val="auto"/>
              </w:rPr>
            </w:pPr>
            <w:r>
              <w:rPr>
                <w:rFonts w:ascii="Arial" w:cs="Arial" w:eastAsia="Arial" w:hAnsi="Arial"/>
                <w:sz w:val="18"/>
                <w:szCs w:val="18"/>
                <w:b w:val="1"/>
                <w:bCs w:val="1"/>
                <w:color w:val="auto"/>
                <w:w w:val="95"/>
              </w:rPr>
              <w:t>713-646-4100 / 866-809-1291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 2019 Guidance forecasts are intended to be + / - amounts.</w:t>
      </w:r>
    </w:p>
    <w:p>
      <w:pPr>
        <w:spacing w:after="0" w:line="23" w:lineRule="exact"/>
        <w:rPr>
          <w:sz w:val="20"/>
          <w:szCs w:val="20"/>
          <w:color w:val="auto"/>
        </w:rPr>
      </w:pPr>
    </w:p>
    <w:p>
      <w:pPr>
        <w:ind w:left="340" w:right="40" w:hanging="332"/>
        <w:spacing w:after="0" w:line="254" w:lineRule="auto"/>
        <w:tabs>
          <w:tab w:leader="none" w:pos="32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See the section of this release entitled “Non-GAAP Financial Measures and Selected Items Impacting Comparability” and the Non-GAAP Reconciliation tables attached hereto for information regarding non-GAAP financial measures and, for the historical 2017 and 2018 periods, their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spacing w:after="0" w:line="3" w:lineRule="exact"/>
        <w:rPr>
          <w:rFonts w:ascii="Arial" w:cs="Arial" w:eastAsia="Arial" w:hAnsi="Arial"/>
          <w:sz w:val="22"/>
          <w:szCs w:val="22"/>
          <w:color w:val="auto"/>
          <w:vertAlign w:val="superscript"/>
        </w:rPr>
      </w:pPr>
    </w:p>
    <w:p>
      <w:pPr>
        <w:ind w:left="320" w:hanging="312"/>
        <w:spacing w:after="0" w:line="205" w:lineRule="auto"/>
        <w:tabs>
          <w:tab w:leader="none" w:pos="320"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jc w:val="both"/>
        <w:ind w:left="340" w:right="160" w:hanging="332"/>
        <w:spacing w:after="0" w:line="246" w:lineRule="auto"/>
        <w:tabs>
          <w:tab w:leader="none" w:pos="328"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the year presented. The distribution requirement of our Series A preferred units was paid-in-kind for all 2017 quarterly distributions and for the February 2018 quarterly distribution. Distributions on our Series A preferred units were paid in cash beginning with the May 2018 quarterly distribution. The distribution requirement of our Series B preferred units is payable semi-annually in arrears on May 15 and November 15. A pro-rated initial distribution on the Series B preferred units was paid on November 15, 2017.</w:t>
      </w:r>
    </w:p>
    <w:p>
      <w:pPr>
        <w:spacing w:after="0" w:line="2" w:lineRule="exact"/>
        <w:rPr>
          <w:rFonts w:ascii="Arial" w:cs="Arial" w:eastAsia="Arial" w:hAnsi="Arial"/>
          <w:sz w:val="22"/>
          <w:szCs w:val="22"/>
          <w:color w:val="auto"/>
          <w:vertAlign w:val="superscript"/>
        </w:rPr>
      </w:pPr>
    </w:p>
    <w:p>
      <w:pPr>
        <w:ind w:left="340" w:right="640" w:hanging="332"/>
        <w:spacing w:after="0" w:line="219"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Cash distributions per common unit paid during 2017 and 2018. 2019 (G) reflects the cash distribution per common unit paid in February and the increased annualized distribution rate of $1.44 per common unit for the remainder of the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Q1 2019</w:t>
            </w: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Q4 2018</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Q1 2018</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Q1 2019 distribution percentage change from prior periods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0"/>
        </w:trPr>
        <w:tc>
          <w:tcPr>
            <w:tcW w:w="6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Tuesday, May 7, 2019 to discuss the following items:</w:t>
      </w:r>
    </w:p>
    <w:p>
      <w:pPr>
        <w:spacing w:after="0" w:line="225"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PAA’s first-quarter 2019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and operating guidance for the full year of 2019;</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https://event.webcasts.com/starthere.jsp?ei=1237216&amp;tp_key=17fd1f999f</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Alternatively, the webcast can be accessed at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 A transcript will also be available after the call at the above referenced website.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gains and losses on asset sales and asset impairments and gains on investments in unconsolidated entities, adjusted for certain selected items impacting comparability (“Adjusted EBITDA”) and implied distributable cash flow (“DCF”).</w:t>
      </w:r>
    </w:p>
    <w:p>
      <w:pPr>
        <w:spacing w:after="0" w:line="17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38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expansion projects and numerous other factors. These types of variations may not be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including the effects of capacity overbuild in areas where we operate; market distortions caused by over-commitments to infrastructure projects, which impacts volumes, margins, returns and overall earnings; unanticipated changes in crude oil and NGL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NGL and natural gas and resulting changes in pricing conditions or transportation throughput requirements; maintenance of our credit rating and ability to receive open credit from our suppliers and trade counterparties; the occurrence of a natural disaster, catastrophe, terrorist attack (including eco-terrorist attacks) or other event, including cyber or other attacks on our electronic and computer systems; failure to implement or capitalize, or delays in implementing or capitalizing, on expansion projects, whether due to permitting delays, permitting withdrawals or other factors; shortages or cost increases of supplies, materials or labor; the impact of current and future laws, rulings, governmental regulations, accounting standards and statements, and related interpretations;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effectiveness of our risk management activities; fluctuations in the debt and equity markets, including the price of our units at the time of vesting under our long-term incentive plans; risks related to the development and operation of our assets, including our ability to satisfy our contractual obligations to our customers;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as well as in the storage of natural gas and the processing, transportation, fractionation, storage and marketing of natural gas liquids as discussed in the Partnerships’ filings with the Securities and Exchange Commission.</w:t>
      </w:r>
    </w:p>
    <w:p>
      <w:pPr>
        <w:spacing w:after="0" w:line="3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and natural gas. PAA owns an extensive network of pipeline transportation, terminalling, storage and gathering assets in key crude oil and NGL producing basins and transportation corridors and at major market hubs in the United States and Canada. On average, PAA handles more than 6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7,119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Arial" w:cs="Arial" w:eastAsia="Arial" w:hAnsi="Arial"/>
                <w:sz w:val="18"/>
                <w:szCs w:val="18"/>
                <w:color w:val="auto"/>
              </w:rPr>
              <w:t xml:space="preserve">(Gains)/losses on asset sales and asset impairments, net </w:t>
            </w:r>
            <w:r>
              <w:rPr>
                <w:rFonts w:ascii="Arial" w:cs="Arial" w:eastAsia="Arial" w:hAnsi="Arial"/>
                <w:sz w:val="23"/>
                <w:szCs w:val="23"/>
                <w:color w:val="auto"/>
                <w:vertAlign w:val="superscript"/>
              </w:rPr>
              <w:t>(1)</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20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in unconsolidated entities</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92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Basic</w:t>
            </w:r>
          </w:p>
        </w:tc>
        <w:tc>
          <w:tcPr>
            <w:tcW w:w="29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weighted average common units outstanding</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Basic net income per common unit</w:t>
            </w:r>
          </w:p>
        </w:tc>
        <w:tc>
          <w:tcPr>
            <w:tcW w:w="29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Net income allocated to common unitholders — Diluted</w:t>
            </w:r>
          </w:p>
        </w:tc>
        <w:tc>
          <w:tcPr>
            <w:tcW w:w="29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957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weighted average common units outstanding</w:t>
            </w:r>
          </w:p>
        </w:tc>
        <w:tc>
          <w:tcPr>
            <w:tcW w:w="2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Diluted net income per common unit</w:t>
            </w:r>
          </w:p>
        </w:tc>
        <w:tc>
          <w:tcPr>
            <w:tcW w:w="2920" w:type="dxa"/>
            <w:vAlign w:val="bottom"/>
            <w:gridSpan w:val="2"/>
          </w:tcPr>
          <w:p>
            <w:pPr>
              <w:jc w:val="right"/>
              <w:ind w:right="719"/>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60" w:hanging="332"/>
        <w:spacing w:after="0" w:line="267"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Effective for the fourth quarter of 2018, we reclassified amounts related to gains and losses on asset sales and asset impairments from “Depreciation and amortization” to “(Gains)/losses on asset sales and asset impairments, net” on our Condensed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2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ind w:left="820"/>
              <w:spacing w:after="0"/>
              <w:rPr>
                <w:sz w:val="20"/>
                <w:szCs w:val="20"/>
                <w:color w:val="auto"/>
              </w:rPr>
            </w:pPr>
            <w:r>
              <w:rPr>
                <w:rFonts w:ascii="Arial" w:cs="Arial" w:eastAsia="Arial" w:hAnsi="Arial"/>
                <w:sz w:val="18"/>
                <w:szCs w:val="18"/>
                <w:color w:val="auto"/>
              </w:rPr>
              <w:t>- more -</w:t>
            </w: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ind w:left="228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2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w w:val="99"/>
              </w:rPr>
              <w:t>713-646-4100 / 866-809-1291</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98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4,247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14,889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2,529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2,521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Linefill and base gas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right-of-use assets,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198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27,386</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9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8,943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8,941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14,624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12,762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9,177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9,177</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9,143</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12,762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340"/>
              <w:spacing w:after="0"/>
              <w:rPr>
                <w:sz w:val="20"/>
                <w:szCs w:val="20"/>
                <w:color w:val="auto"/>
              </w:rPr>
            </w:pPr>
            <w:r>
              <w:rPr>
                <w:rFonts w:ascii="Arial" w:cs="Arial" w:eastAsia="Arial" w:hAnsi="Arial"/>
                <w:sz w:val="18"/>
                <w:szCs w:val="18"/>
                <w:color w:val="auto"/>
              </w:rPr>
              <w:t>Total book capitalization, including short-term debt</w:t>
            </w:r>
          </w:p>
        </w:tc>
        <w:tc>
          <w:tcPr>
            <w:tcW w:w="1980" w:type="dxa"/>
            <w:vAlign w:val="bottom"/>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Borders>
              <w:bottom w:val="single" w:sz="8" w:color="CCEEFF"/>
            </w:tcBorders>
            <w:gridSpan w:val="2"/>
            <w:vMerge w:val="continue"/>
          </w:tcPr>
          <w:p>
            <w:pPr>
              <w:spacing w:after="0"/>
              <w:rPr>
                <w:sz w:val="20"/>
                <w:szCs w:val="20"/>
                <w:color w:val="auto"/>
              </w:rPr>
            </w:pPr>
          </w:p>
        </w:tc>
        <w:tc>
          <w:tcPr>
            <w:tcW w:w="198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22,088</w:t>
            </w:r>
          </w:p>
        </w:tc>
        <w:tc>
          <w:tcPr>
            <w:tcW w:w="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21,211</w:t>
            </w:r>
          </w:p>
        </w:tc>
        <w:tc>
          <w:tcPr>
            <w:tcW w:w="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 more -</w:t>
            </w: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gridSpan w:val="2"/>
          </w:tcPr>
          <w:p>
            <w:pPr>
              <w:ind w:left="228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290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w w:val="99"/>
              </w:rPr>
              <w:t>713-646-4100 / 866-809-1291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allocated to common unitholders</w:t>
            </w:r>
          </w:p>
        </w:tc>
        <w:tc>
          <w:tcPr>
            <w:tcW w:w="22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3180" w:type="dxa"/>
            <w:vAlign w:val="bottom"/>
            <w:gridSpan w:val="2"/>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8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allocated to common unitholders</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(2)</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(3)</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3180" w:type="dxa"/>
            <w:vAlign w:val="bottom"/>
            <w:gridSpan w:val="2"/>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ind w:left="340" w:right="260" w:hanging="332"/>
        <w:spacing w:after="0" w:line="219"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months ended March 31, 2018 as the effect was antidilutive.</w:t>
      </w:r>
    </w:p>
    <w:p>
      <w:pPr>
        <w:spacing w:after="0" w:line="1" w:lineRule="exact"/>
        <w:rPr>
          <w:rFonts w:ascii="Arial" w:cs="Arial" w:eastAsia="Arial" w:hAnsi="Arial"/>
          <w:sz w:val="23"/>
          <w:szCs w:val="23"/>
          <w:color w:val="auto"/>
          <w:vertAlign w:val="superscript"/>
        </w:rPr>
      </w:pPr>
    </w:p>
    <w:p>
      <w:pPr>
        <w:ind w:left="340" w:right="260" w:hanging="332"/>
        <w:spacing w:after="0" w:line="249" w:lineRule="auto"/>
        <w:tabs>
          <w:tab w:leader="none" w:pos="32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or earned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68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w:t>
            </w:r>
            <w:r>
              <w:rPr>
                <w:rFonts w:ascii="Arial" w:cs="Arial" w:eastAsia="Arial" w:hAnsi="Arial"/>
                <w:sz w:val="22"/>
                <w:szCs w:val="22"/>
                <w:b w:val="1"/>
                <w:bCs w:val="1"/>
                <w:color w:val="auto"/>
                <w:vertAlign w:val="superscript"/>
              </w:rPr>
              <w:t>(1)</w:t>
            </w:r>
          </w:p>
        </w:tc>
        <w:tc>
          <w:tcPr>
            <w:tcW w:w="1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line="216"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3"/>
                <w:szCs w:val="23"/>
                <w:color w:val="auto"/>
                <w:vertAlign w:val="superscript"/>
              </w:rPr>
              <w:t>(2)</w:t>
            </w:r>
          </w:p>
        </w:tc>
        <w:tc>
          <w:tcPr>
            <w:tcW w:w="2460" w:type="dxa"/>
            <w:vAlign w:val="bottom"/>
            <w:gridSpan w:val="2"/>
          </w:tcPr>
          <w:p>
            <w:pPr>
              <w:jc w:val="right"/>
              <w:ind w:right="796"/>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line="216"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(4)</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820" w:type="dxa"/>
            <w:vAlign w:val="bottom"/>
          </w:tcPr>
          <w:p>
            <w:pPr>
              <w:spacing w:after="0" w:line="216" w:lineRule="exact"/>
              <w:rPr>
                <w:sz w:val="20"/>
                <w:szCs w:val="20"/>
                <w:color w:val="auto"/>
              </w:rPr>
            </w:pPr>
            <w:r>
              <w:rPr>
                <w:rFonts w:ascii="Arial" w:cs="Arial" w:eastAsia="Arial" w:hAnsi="Arial"/>
                <w:sz w:val="18"/>
                <w:szCs w:val="18"/>
                <w:color w:val="auto"/>
              </w:rPr>
              <w:t xml:space="preserve">Net loss on foreign currency revaluation </w:t>
            </w:r>
            <w:r>
              <w:rPr>
                <w:rFonts w:ascii="Arial" w:cs="Arial" w:eastAsia="Arial" w:hAnsi="Arial"/>
                <w:sz w:val="23"/>
                <w:szCs w:val="23"/>
                <w:color w:val="auto"/>
                <w:vertAlign w:val="superscript"/>
              </w:rPr>
              <w:t>(6)</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210"/>
        </w:trPr>
        <w:tc>
          <w:tcPr>
            <w:tcW w:w="6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Selected items impacting comparability - Adjusted EBITDA</w:t>
            </w:r>
          </w:p>
        </w:tc>
        <w:tc>
          <w:tcPr>
            <w:tcW w:w="14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line="216" w:lineRule="exact"/>
              <w:rPr>
                <w:sz w:val="20"/>
                <w:szCs w:val="20"/>
                <w:color w:val="auto"/>
              </w:rPr>
            </w:pPr>
            <w:r>
              <w:rPr>
                <w:rFonts w:ascii="Arial" w:cs="Arial" w:eastAsia="Arial" w:hAnsi="Arial"/>
                <w:sz w:val="18"/>
                <w:szCs w:val="18"/>
                <w:color w:val="auto"/>
              </w:rPr>
              <w:t xml:space="preserve">Gains from derivative activities </w:t>
            </w:r>
            <w:r>
              <w:rPr>
                <w:rFonts w:ascii="Arial" w:cs="Arial" w:eastAsia="Arial" w:hAnsi="Arial"/>
                <w:sz w:val="23"/>
                <w:szCs w:val="23"/>
                <w:color w:val="auto"/>
                <w:vertAlign w:val="superscript"/>
              </w:rPr>
              <w:t>(2)</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Gain on investment in unconsolidated entities </w:t>
            </w:r>
            <w:r>
              <w:rPr>
                <w:rFonts w:ascii="Arial" w:cs="Arial" w:eastAsia="Arial" w:hAnsi="Arial"/>
                <w:sz w:val="23"/>
                <w:szCs w:val="23"/>
                <w:color w:val="auto"/>
                <w:vertAlign w:val="superscript"/>
              </w:rPr>
              <w:t>(7)</w:t>
            </w: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Gains/(losses) on asset sales and asset impairments, net</w:t>
            </w:r>
          </w:p>
        </w:tc>
        <w:tc>
          <w:tcPr>
            <w:tcW w:w="1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6820" w:type="dxa"/>
            <w:vAlign w:val="bottom"/>
          </w:tcPr>
          <w:p>
            <w:pPr>
              <w:ind w:left="180"/>
              <w:spacing w:after="0"/>
              <w:rPr>
                <w:sz w:val="20"/>
                <w:szCs w:val="20"/>
                <w:color w:val="auto"/>
              </w:rPr>
            </w:pPr>
            <w:r>
              <w:rPr>
                <w:rFonts w:ascii="Arial" w:cs="Arial" w:eastAsia="Arial" w:hAnsi="Arial"/>
                <w:sz w:val="18"/>
                <w:szCs w:val="18"/>
                <w:color w:val="auto"/>
              </w:rPr>
              <w:t>Selected items impacting comparability - Adjusted net income</w:t>
            </w:r>
          </w:p>
        </w:tc>
        <w:tc>
          <w:tcPr>
            <w:tcW w:w="1480" w:type="dxa"/>
            <w:vAlign w:val="bottom"/>
          </w:tcPr>
          <w:p>
            <w:pPr>
              <w:spacing w:after="0"/>
              <w:rPr>
                <w:sz w:val="19"/>
                <w:szCs w:val="19"/>
                <w:color w:val="auto"/>
              </w:rPr>
            </w:pPr>
          </w:p>
        </w:tc>
        <w:tc>
          <w:tcPr>
            <w:tcW w:w="98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hanging="332"/>
        <w:spacing w:after="0" w:line="254"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22"/>
          <w:szCs w:val="22"/>
          <w:color w:val="auto"/>
          <w:vertAlign w:val="superscript"/>
        </w:rPr>
      </w:pPr>
    </w:p>
    <w:p>
      <w:pPr>
        <w:ind w:left="340" w:right="180" w:hanging="332"/>
        <w:spacing w:after="0" w:line="265"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1" w:lineRule="exact"/>
        <w:rPr>
          <w:rFonts w:ascii="Arial" w:cs="Arial" w:eastAsia="Arial" w:hAnsi="Arial"/>
          <w:sz w:val="21"/>
          <w:szCs w:val="21"/>
          <w:color w:val="auto"/>
          <w:vertAlign w:val="superscript"/>
        </w:rPr>
      </w:pPr>
    </w:p>
    <w:p>
      <w:pPr>
        <w:ind w:left="340" w:right="20" w:hanging="332"/>
        <w:spacing w:after="0" w:line="273"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 w:lineRule="exact"/>
        <w:rPr>
          <w:rFonts w:ascii="Arial" w:cs="Arial" w:eastAsia="Arial" w:hAnsi="Arial"/>
          <w:sz w:val="21"/>
          <w:szCs w:val="21"/>
          <w:color w:val="auto"/>
          <w:vertAlign w:val="superscript"/>
        </w:rPr>
      </w:pPr>
    </w:p>
    <w:p>
      <w:pPr>
        <w:ind w:left="340" w:right="140" w:hanging="332"/>
        <w:spacing w:after="0" w:line="239"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 w:lineRule="exact"/>
        <w:rPr>
          <w:rFonts w:ascii="Arial" w:cs="Arial" w:eastAsia="Arial" w:hAnsi="Arial"/>
          <w:sz w:val="23"/>
          <w:szCs w:val="23"/>
          <w:color w:val="auto"/>
          <w:vertAlign w:val="superscript"/>
        </w:rPr>
      </w:pPr>
    </w:p>
    <w:p>
      <w:pPr>
        <w:ind w:left="340" w:right="380" w:hanging="332"/>
        <w:spacing w:after="0" w:line="231" w:lineRule="auto"/>
        <w:tabs>
          <w:tab w:leader="none" w:pos="328"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ind w:left="340" w:hanging="332"/>
        <w:spacing w:after="0" w:line="234"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 January 2019, the owners of the Capline pipeline system contributed their undivided joint interests in the Capline pipeline system for equity interests in Capline Pipeline Company LLC (“Capline LLC”). This transaction resulted in a loss of control of our undivided joint interest, which was derecognized and contributed to Capline LLC. This loss of control required us to measure our equity interest in Capline LLC at fair value. The resulting gain was classified as a selected item impacting comparability.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0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1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income</w:t>
            </w:r>
          </w:p>
        </w:tc>
        <w:tc>
          <w:tcPr>
            <w:tcW w:w="2660" w:type="dxa"/>
            <w:vAlign w:val="bottom"/>
            <w:gridSpan w:val="2"/>
          </w:tcPr>
          <w:p>
            <w:pPr>
              <w:jc w:val="right"/>
              <w:ind w:right="75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net income </w:t>
            </w:r>
            <w:r>
              <w:rPr>
                <w:rFonts w:ascii="Arial" w:cs="Arial" w:eastAsia="Arial" w:hAnsi="Arial"/>
                <w:sz w:val="23"/>
                <w:szCs w:val="23"/>
                <w:color w:val="auto"/>
                <w:vertAlign w:val="superscript"/>
              </w:rPr>
              <w:t>(2)</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Adjusted net income</w:t>
            </w:r>
          </w:p>
        </w:tc>
        <w:tc>
          <w:tcPr>
            <w:tcW w:w="1720" w:type="dxa"/>
            <w:vAlign w:val="bottom"/>
          </w:tcPr>
          <w:p>
            <w:pPr>
              <w:spacing w:after="0"/>
              <w:rPr>
                <w:sz w:val="18"/>
                <w:szCs w:val="18"/>
                <w:color w:val="auto"/>
              </w:rPr>
            </w:pPr>
          </w:p>
        </w:tc>
        <w:tc>
          <w:tcPr>
            <w:tcW w:w="940" w:type="dxa"/>
            <w:vAlign w:val="bottom"/>
            <w:tcBorders>
              <w:top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7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2660" w:type="dxa"/>
            <w:vAlign w:val="bottom"/>
            <w:gridSpan w:val="2"/>
          </w:tcPr>
          <w:p>
            <w:pPr>
              <w:jc w:val="right"/>
              <w:ind w:right="75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60" w:type="dxa"/>
            <w:vAlign w:val="bottom"/>
            <w:gridSpan w:val="2"/>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net income </w:t>
            </w:r>
            <w:r>
              <w:rPr>
                <w:rFonts w:ascii="Arial" w:cs="Arial" w:eastAsia="Arial" w:hAnsi="Arial"/>
                <w:sz w:val="23"/>
                <w:szCs w:val="23"/>
                <w:color w:val="auto"/>
                <w:vertAlign w:val="superscript"/>
              </w:rPr>
              <w:t>(2)</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Distributions to Series A preferred unitholders</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Series B preferred unitholders</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Other</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allocated to common unitholders</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3"/>
                <w:szCs w:val="23"/>
                <w:color w:val="auto"/>
                <w:vertAlign w:val="superscript"/>
              </w:rPr>
              <w:t>(3)</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Equity-indexed compensation plan awards </w:t>
            </w:r>
            <w:r>
              <w:rPr>
                <w:rFonts w:ascii="Arial" w:cs="Arial" w:eastAsia="Arial" w:hAnsi="Arial"/>
                <w:sz w:val="23"/>
                <w:szCs w:val="23"/>
                <w:color w:val="auto"/>
                <w:vertAlign w:val="superscript"/>
              </w:rPr>
              <w:t>(4)</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660" w:type="dxa"/>
            <w:vAlign w:val="bottom"/>
            <w:gridSpan w:val="2"/>
            <w:shd w:val="clear" w:color="auto" w:fill="CCEEFF"/>
          </w:tcPr>
          <w:p>
            <w:pPr>
              <w:jc w:val="right"/>
              <w:ind w:right="754"/>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8"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ind w:left="320" w:hanging="312"/>
        <w:spacing w:after="0" w:line="196"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months ended March 31, 2018 as the effect was antidilutive.</w:t>
      </w:r>
    </w:p>
    <w:p>
      <w:pPr>
        <w:ind w:left="340" w:right="260" w:hanging="332"/>
        <w:spacing w:after="0" w:line="249" w:lineRule="auto"/>
        <w:tabs>
          <w:tab w:leader="none" w:pos="32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or earned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Adjusted Net Income Per Common Unit Reconciliations: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20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adjusted net income per common unit</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2920" w:type="dxa"/>
            <w:vAlign w:val="bottom"/>
            <w:gridSpan w:val="2"/>
            <w:shd w:val="clear" w:color="auto" w:fill="CCEEFF"/>
          </w:tcPr>
          <w:p>
            <w:pPr>
              <w:jc w:val="right"/>
              <w:ind w:right="734"/>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line="216"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(0.51)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80" w:hanging="332"/>
        <w:spacing w:after="0" w:line="227"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19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Twelve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2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Selected items impacting comparability per common unit</w:t>
            </w: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120" w:type="dxa"/>
            <w:vAlign w:val="bottom"/>
            <w:vMerge w:val="restart"/>
          </w:tcPr>
          <w:p>
            <w:pPr>
              <w:ind w:left="820"/>
              <w:spacing w:after="0"/>
              <w:rPr>
                <w:sz w:val="20"/>
                <w:szCs w:val="20"/>
                <w:color w:val="auto"/>
              </w:rPr>
            </w:pPr>
            <w:r>
              <w:rPr>
                <w:rFonts w:ascii="Arial" w:cs="Arial" w:eastAsia="Arial" w:hAnsi="Arial"/>
                <w:sz w:val="18"/>
                <w:szCs w:val="18"/>
                <w:color w:val="auto"/>
              </w:rPr>
              <w:t>- more -</w:t>
            </w:r>
          </w:p>
        </w:tc>
        <w:tc>
          <w:tcPr>
            <w:tcW w:w="1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0" w:type="dxa"/>
            <w:vAlign w:val="bottom"/>
          </w:tcPr>
          <w:p>
            <w:pPr>
              <w:ind w:left="2300"/>
              <w:spacing w:after="0"/>
              <w:rPr>
                <w:sz w:val="20"/>
                <w:szCs w:val="20"/>
                <w:color w:val="auto"/>
              </w:rPr>
            </w:pPr>
            <w:r>
              <w:rPr>
                <w:rFonts w:ascii="Arial" w:cs="Arial" w:eastAsia="Arial" w:hAnsi="Arial"/>
                <w:sz w:val="18"/>
                <w:szCs w:val="18"/>
                <w:b w:val="1"/>
                <w:bCs w:val="1"/>
                <w:color w:val="auto"/>
                <w:w w:val="99"/>
              </w:rPr>
              <w:t>333 Clay Street, Suite 1600</w:t>
            </w:r>
          </w:p>
        </w:tc>
        <w:tc>
          <w:tcPr>
            <w:tcW w:w="2120" w:type="dxa"/>
            <w:vAlign w:val="bottom"/>
          </w:tcPr>
          <w:p>
            <w:pPr>
              <w:ind w:left="220"/>
              <w:spacing w:after="0"/>
              <w:rPr>
                <w:sz w:val="20"/>
                <w:szCs w:val="20"/>
                <w:color w:val="auto"/>
              </w:rPr>
            </w:pPr>
            <w:r>
              <w:rPr>
                <w:rFonts w:ascii="Arial" w:cs="Arial" w:eastAsia="Arial" w:hAnsi="Arial"/>
                <w:sz w:val="18"/>
                <w:szCs w:val="18"/>
                <w:b w:val="1"/>
                <w:bCs w:val="1"/>
                <w:color w:val="auto"/>
                <w:w w:val="99"/>
              </w:rPr>
              <w:t>Houston, Texas 77002</w:t>
            </w:r>
          </w:p>
        </w:tc>
        <w:tc>
          <w:tcPr>
            <w:tcW w:w="2500" w:type="dxa"/>
            <w:vAlign w:val="bottom"/>
            <w:gridSpan w:val="2"/>
          </w:tcPr>
          <w:p>
            <w:pPr>
              <w:jc w:val="right"/>
              <w:ind w:right="16"/>
              <w:spacing w:after="0"/>
              <w:rPr>
                <w:sz w:val="20"/>
                <w:szCs w:val="20"/>
                <w:color w:val="auto"/>
              </w:rPr>
            </w:pPr>
            <w:r>
              <w:rPr>
                <w:rFonts w:ascii="Arial" w:cs="Arial" w:eastAsia="Arial" w:hAnsi="Arial"/>
                <w:sz w:val="18"/>
                <w:szCs w:val="18"/>
                <w:b w:val="1"/>
                <w:bCs w:val="1"/>
                <w:color w:val="auto"/>
                <w:w w:val="99"/>
              </w:rPr>
              <w:t>713-646-4100 / 866-809-1291</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46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investment in unconsolidated entities</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Adjusted EBITDA</w:t>
            </w:r>
          </w:p>
        </w:tc>
        <w:tc>
          <w:tcPr>
            <w:tcW w:w="1400" w:type="dxa"/>
            <w:vAlign w:val="bottom"/>
          </w:tcPr>
          <w:p>
            <w:pPr>
              <w:spacing w:after="0"/>
              <w:rPr>
                <w:sz w:val="18"/>
                <w:szCs w:val="18"/>
                <w:color w:val="auto"/>
              </w:rPr>
            </w:pPr>
          </w:p>
        </w:tc>
        <w:tc>
          <w:tcPr>
            <w:tcW w:w="90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(3)</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(4)</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w:t>
            </w:r>
          </w:p>
        </w:tc>
        <w:tc>
          <w:tcPr>
            <w:tcW w:w="1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(5)</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Available to Common Unitholders</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0.90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per Common Unit</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(8)</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Common Unit Distribution Coverage Ratio</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3.00x</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Implied DCF Excess / (Shortage)</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100" w:hanging="332"/>
        <w:spacing w:after="0" w:line="227"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and losses on significant asset sales by unconsolidated entities.</w:t>
      </w: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20" w:hanging="312"/>
        <w:spacing w:after="0" w:line="203" w:lineRule="auto"/>
        <w:tabs>
          <w:tab w:leader="none" w:pos="32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 w:lineRule="exact"/>
        <w:rPr>
          <w:rFonts w:ascii="Arial" w:cs="Arial" w:eastAsia="Arial" w:hAnsi="Arial"/>
          <w:sz w:val="22"/>
          <w:szCs w:val="22"/>
          <w:color w:val="auto"/>
          <w:vertAlign w:val="superscript"/>
        </w:rPr>
      </w:pPr>
    </w:p>
    <w:p>
      <w:pPr>
        <w:ind w:left="340" w:right="20" w:hanging="332"/>
        <w:spacing w:after="0" w:line="219"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ind w:left="340" w:right="140" w:hanging="332"/>
        <w:spacing w:after="0" w:line="247" w:lineRule="auto"/>
        <w:tabs>
          <w:tab w:leader="none" w:pos="32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were paid in cash beginning with the May 2018 quarterly distribution. The current $61.25 per unit annual distribution requirement of our Series B preferred units is payable semi-annually in arrears on May 15 and November 15.</w:t>
      </w: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1" w:lineRule="exact"/>
        <w:rPr>
          <w:rFonts w:ascii="Arial" w:cs="Arial" w:eastAsia="Arial" w:hAnsi="Arial"/>
          <w:sz w:val="23"/>
          <w:szCs w:val="23"/>
          <w:color w:val="auto"/>
          <w:vertAlign w:val="superscript"/>
        </w:rPr>
      </w:pPr>
    </w:p>
    <w:p>
      <w:pPr>
        <w:ind w:left="340" w:right="340" w:hanging="332"/>
        <w:spacing w:after="0" w:line="233" w:lineRule="auto"/>
        <w:tabs>
          <w:tab w:leader="none" w:pos="3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periods. Our Series A preferred units are convertible into common units, generally on a one-for-one basis and subject to customary anti-dilution adjustments, in whole or in part, subject to certain minimum conversion amounts.</w:t>
      </w:r>
    </w:p>
    <w:p>
      <w:pPr>
        <w:spacing w:after="0" w:line="3"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Twelve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to Adjusted EBITDA and Implied DCF Reconciliation</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(Gains)/losses on asset sales and asset impairments, net</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Gain on investment in unconsolidated entities</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Selected items impacting comparability - Adjusted EBITDA</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14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ind w:left="160"/>
              <w:spacing w:after="0" w:line="197" w:lineRule="exact"/>
              <w:rPr>
                <w:sz w:val="20"/>
                <w:szCs w:val="20"/>
                <w:color w:val="auto"/>
              </w:rPr>
            </w:pPr>
            <w:r>
              <w:rPr>
                <w:rFonts w:ascii="Arial" w:cs="Arial" w:eastAsia="Arial" w:hAnsi="Arial"/>
                <w:sz w:val="17"/>
                <w:szCs w:val="17"/>
                <w:color w:val="auto"/>
              </w:rPr>
              <w:t xml:space="preserve">Interest expense, net </w:t>
            </w:r>
            <w:r>
              <w:rPr>
                <w:rFonts w:ascii="Arial" w:cs="Arial" w:eastAsia="Arial" w:hAnsi="Arial"/>
                <w:sz w:val="22"/>
                <w:szCs w:val="22"/>
                <w:color w:val="auto"/>
                <w:vertAlign w:val="superscript"/>
              </w:rPr>
              <w:t>(2)</w:t>
            </w: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(419)</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Maintenance capital</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income tax expense</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3"/>
                <w:szCs w:val="23"/>
                <w:color w:val="auto"/>
                <w:vertAlign w:val="superscript"/>
              </w:rPr>
              <w:t>(3)</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(4)</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Implied DCF</w:t>
            </w:r>
          </w:p>
        </w:tc>
        <w:tc>
          <w:tcPr>
            <w:tcW w:w="1400" w:type="dxa"/>
            <w:vAlign w:val="bottom"/>
          </w:tcPr>
          <w:p>
            <w:pPr>
              <w:spacing w:after="0"/>
              <w:rPr>
                <w:sz w:val="18"/>
                <w:szCs w:val="18"/>
                <w:color w:val="auto"/>
              </w:rPr>
            </w:pPr>
          </w:p>
        </w:tc>
        <w:tc>
          <w:tcPr>
            <w:tcW w:w="90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Preferred unit distributions paid </w:t>
            </w:r>
            <w:r>
              <w:rPr>
                <w:rFonts w:ascii="Arial" w:cs="Arial" w:eastAsia="Arial" w:hAnsi="Arial"/>
                <w:sz w:val="23"/>
                <w:szCs w:val="23"/>
                <w:color w:val="auto"/>
                <w:vertAlign w:val="superscript"/>
              </w:rPr>
              <w:t>(5)</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Implied DCF Available to Common Unitholders</w:t>
            </w:r>
          </w:p>
        </w:tc>
        <w:tc>
          <w:tcPr>
            <w:tcW w:w="14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Weighted Average Common Units Outstanding</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726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and Common Equivalent Units</w:t>
            </w: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line="216" w:lineRule="exact"/>
              <w:rPr>
                <w:sz w:val="20"/>
                <w:szCs w:val="20"/>
                <w:color w:val="auto"/>
              </w:rPr>
            </w:pPr>
            <w:r>
              <w:rPr>
                <w:rFonts w:ascii="Arial" w:cs="Arial" w:eastAsia="Arial" w:hAnsi="Arial"/>
                <w:sz w:val="18"/>
                <w:szCs w:val="18"/>
                <w:color w:val="auto"/>
              </w:rPr>
              <w:t xml:space="preserve">Implied DCF per Common Unit and Common Equivalent Unit </w:t>
            </w:r>
            <w:r>
              <w:rPr>
                <w:rFonts w:ascii="Arial" w:cs="Arial" w:eastAsia="Arial" w:hAnsi="Arial"/>
                <w:sz w:val="23"/>
                <w:szCs w:val="23"/>
                <w:color w:val="auto"/>
                <w:vertAlign w:val="superscript"/>
              </w:rPr>
              <w:t>(7)</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Distribution Paid per Common Unit</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(4)</w:t>
            </w:r>
          </w:p>
        </w:tc>
        <w:tc>
          <w:tcPr>
            <w:tcW w:w="2300" w:type="dxa"/>
            <w:vAlign w:val="bottom"/>
            <w:gridSpan w:val="2"/>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Common Unit Distribution Coverage Ratio</w:t>
            </w: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2.05x</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0.94x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Implied DCF Excess / (Shortage)</w:t>
            </w:r>
          </w:p>
        </w:tc>
        <w:tc>
          <w:tcPr>
            <w:tcW w:w="2300" w:type="dxa"/>
            <w:vAlign w:val="bottom"/>
            <w:gridSpan w:val="2"/>
          </w:tcPr>
          <w:p>
            <w:pPr>
              <w:jc w:val="right"/>
              <w:ind w:right="714"/>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196850</wp:posOffset>
            </wp:positionV>
            <wp:extent cx="17754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97" w:lineRule="exact"/>
        <w:rPr>
          <w:sz w:val="20"/>
          <w:szCs w:val="20"/>
          <w:color w:val="auto"/>
        </w:rPr>
      </w:pPr>
    </w:p>
    <w:p>
      <w:pPr>
        <w:ind w:left="340" w:right="1100" w:hanging="332"/>
        <w:spacing w:after="0" w:line="227"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Adjustment to add back our proportionate share of depreciation and amortization expense and gains and losses on significant asset sales by unconsolidated entities.</w:t>
      </w:r>
    </w:p>
    <w:p>
      <w:pPr>
        <w:ind w:left="320" w:hanging="312"/>
        <w:spacing w:after="0" w:line="205" w:lineRule="auto"/>
        <w:tabs>
          <w:tab w:leader="none" w:pos="32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40" w:right="20" w:hanging="332"/>
        <w:spacing w:after="0" w:line="219"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 and gains and losses on significant asset sales).</w:t>
      </w: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1" w:lineRule="exact"/>
        <w:rPr>
          <w:rFonts w:ascii="Arial" w:cs="Arial" w:eastAsia="Arial" w:hAnsi="Arial"/>
          <w:sz w:val="23"/>
          <w:szCs w:val="23"/>
          <w:color w:val="auto"/>
          <w:vertAlign w:val="superscript"/>
        </w:rPr>
      </w:pPr>
    </w:p>
    <w:p>
      <w:pPr>
        <w:ind w:left="340" w:right="40" w:hanging="332"/>
        <w:spacing w:after="0" w:line="236"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period presented. The $0.5250 quarterly ($2.10 annualized) per unit distribution requirement of our Series A preferred units was paid-in-kind for each quarterly distribution through February 2018. Distributions on our Series A preferred units were paid in cash beginning with the May 2018 quarterly distribution. The $61.25 per unit annual distribution requirement of our Series B preferred units is payable semi-annually in arrears on May 15 and November 15. A pro-rated initial distribution on the Series B preferred units was paid on November 15, 2017.</w:t>
      </w:r>
    </w:p>
    <w:p>
      <w:pPr>
        <w:spacing w:after="0" w:line="4"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divided by the weighted average common units outstanding for the period.</w:t>
      </w:r>
    </w:p>
    <w:p>
      <w:pPr>
        <w:spacing w:after="0" w:line="1" w:lineRule="exact"/>
        <w:rPr>
          <w:rFonts w:ascii="Arial" w:cs="Arial" w:eastAsia="Arial" w:hAnsi="Arial"/>
          <w:sz w:val="23"/>
          <w:szCs w:val="23"/>
          <w:color w:val="auto"/>
          <w:vertAlign w:val="superscript"/>
        </w:rPr>
      </w:pPr>
    </w:p>
    <w:p>
      <w:pPr>
        <w:ind w:left="340" w:right="380" w:hanging="332"/>
        <w:spacing w:after="0" w:line="233" w:lineRule="auto"/>
        <w:tabs>
          <w:tab w:leader="none" w:pos="32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Implied DCF Available to Common Unitholders for the period, adjusted for Series A preferred unit cash distributions paid (if any), divided by the weighted average common units and common equivalent units outstanding for the period. Our Series A preferred units are convertible into common units, generally on a one-for-one basis and subject to customary anti-dilution adjustments in whole or in part, subject to certain minimum conversion amounts.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Common Unit to Implied DCF Per Common Unit and Common Equivalent Unit Reconciliations: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(3)</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(4)</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unit</w:t>
            </w:r>
          </w:p>
        </w:tc>
        <w:tc>
          <w:tcPr>
            <w:tcW w:w="1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line="216" w:lineRule="exact"/>
              <w:rPr>
                <w:sz w:val="20"/>
                <w:szCs w:val="20"/>
                <w:color w:val="auto"/>
              </w:rPr>
            </w:pPr>
            <w:r>
              <w:rPr>
                <w:rFonts w:ascii="Arial" w:cs="Arial" w:eastAsia="Arial" w:hAnsi="Arial"/>
                <w:sz w:val="18"/>
                <w:szCs w:val="18"/>
                <w:color w:val="auto"/>
              </w:rPr>
              <w:t xml:space="preserve">Reconciling items per common unit and common equivalent unit </w:t>
            </w:r>
            <w:r>
              <w:rPr>
                <w:rFonts w:ascii="Arial" w:cs="Arial" w:eastAsia="Arial" w:hAnsi="Arial"/>
                <w:sz w:val="23"/>
                <w:szCs w:val="23"/>
                <w:color w:val="auto"/>
                <w:vertAlign w:val="superscript"/>
              </w:rPr>
              <w:t>(1) (5)</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DCF per common unit and common equivalent unit</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60" w:hanging="332"/>
        <w:spacing w:after="0" w:line="227"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 to Adjusted EBITDA and Implied DCF Reconciliation” table for additional information.</w:t>
      </w: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727 million and 725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and 71 million, respectively.</w:t>
      </w:r>
    </w:p>
    <w:p>
      <w:pPr>
        <w:ind w:left="320" w:hanging="312"/>
        <w:spacing w:after="0" w:line="196"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of 726 million and 717 million, respectively.</w:t>
      </w:r>
    </w:p>
    <w:p>
      <w:pPr>
        <w:spacing w:after="0" w:line="1" w:lineRule="exact"/>
        <w:rPr>
          <w:rFonts w:ascii="Arial" w:cs="Arial" w:eastAsia="Arial" w:hAnsi="Arial"/>
          <w:sz w:val="23"/>
          <w:szCs w:val="23"/>
          <w:color w:val="auto"/>
          <w:vertAlign w:val="superscript"/>
        </w:rPr>
      </w:pPr>
    </w:p>
    <w:p>
      <w:pPr>
        <w:ind w:left="340" w:right="200" w:hanging="332"/>
        <w:spacing w:after="0" w:line="219" w:lineRule="auto"/>
        <w:tabs>
          <w:tab w:leader="none" w:pos="32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for the period of approximately 71 million and 67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6"/>
              </w:rPr>
              <w:t>March 31, 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8"/>
              </w:rPr>
              <w:t>March 31, 2018</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140" w:type="dxa"/>
            <w:vAlign w:val="bottom"/>
          </w:tcPr>
          <w:p>
            <w:pPr>
              <w:spacing w:after="0"/>
              <w:rPr>
                <w:sz w:val="10"/>
                <w:szCs w:val="10"/>
                <w:color w:val="auto"/>
              </w:rPr>
            </w:pPr>
          </w:p>
        </w:tc>
        <w:tc>
          <w:tcPr>
            <w:tcW w:w="9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Logistics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(7,562)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line="162" w:lineRule="exact"/>
              <w:rPr>
                <w:sz w:val="20"/>
                <w:szCs w:val="20"/>
                <w:color w:val="auto"/>
              </w:rPr>
            </w:pPr>
            <w:r>
              <w:rPr>
                <w:rFonts w:ascii="Arial" w:cs="Arial" w:eastAsia="Arial" w:hAnsi="Arial"/>
                <w:sz w:val="18"/>
                <w:szCs w:val="18"/>
                <w:color w:val="auto"/>
                <w:w w:val="90"/>
              </w:rPr>
              <w:t>Segment general and administrative expenses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4"/>
                <w:szCs w:val="14"/>
                <w:color w:val="auto"/>
              </w:rPr>
            </w:pP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3400" w:type="dxa"/>
            <w:vAlign w:val="bottom"/>
            <w:gridSpan w:val="2"/>
          </w:tcPr>
          <w:p>
            <w:pPr>
              <w:ind w:left="180"/>
              <w:spacing w:after="0"/>
              <w:rPr>
                <w:sz w:val="20"/>
                <w:szCs w:val="20"/>
                <w:color w:val="auto"/>
              </w:rPr>
            </w:pPr>
            <w:r>
              <w:rPr>
                <w:rFonts w:ascii="Arial" w:cs="Arial" w:eastAsia="Arial" w:hAnsi="Arial"/>
                <w:sz w:val="12"/>
                <w:szCs w:val="12"/>
                <w:color w:val="auto"/>
              </w:rPr>
              <w:t>(2) (3)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right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ind w:left="160"/>
              <w:spacing w:after="0" w:line="201" w:lineRule="exact"/>
              <w:rPr>
                <w:sz w:val="20"/>
                <w:szCs w:val="20"/>
                <w:color w:val="auto"/>
              </w:rPr>
            </w:pPr>
            <w:r>
              <w:rPr>
                <w:rFonts w:ascii="Arial" w:cs="Arial" w:eastAsia="Arial" w:hAnsi="Arial"/>
                <w:sz w:val="18"/>
                <w:szCs w:val="18"/>
                <w:color w:val="auto"/>
              </w:rPr>
              <w:t>Depreciation and amortization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340"/>
              <w:spacing w:after="0"/>
              <w:rPr>
                <w:sz w:val="20"/>
                <w:szCs w:val="20"/>
                <w:color w:val="auto"/>
              </w:rPr>
            </w:pPr>
            <w:r>
              <w:rPr>
                <w:rFonts w:ascii="Arial" w:cs="Arial" w:eastAsia="Arial" w:hAnsi="Arial"/>
                <w:sz w:val="18"/>
                <w:szCs w:val="18"/>
                <w:color w:val="auto"/>
              </w:rPr>
              <w:t>unconsolidated entities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Gains from derivative activities, net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 valuation adjustments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w w:val="98"/>
              </w:rPr>
              <w:t>Long-term inventory costing adjustments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Deficiencies under minimum volume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net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Equity-indexed compensation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on foreign currency revaluation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Adjusted EBITDA</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Borders>
              <w:bottom w:val="single" w:sz="8" w:color="CCEEFF"/>
              <w:right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Maintenance capital</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include equity-indexed compensation expense.</w:t>
      </w:r>
    </w:p>
    <w:p>
      <w:pPr>
        <w:spacing w:after="0" w:line="2"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40" w:right="380" w:hanging="332"/>
        <w:spacing w:after="0" w:line="22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Chief Operating Decision Maker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line="163"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gridSpan w:val="2"/>
          </w:tcPr>
          <w:p>
            <w:pPr>
              <w:spacing w:after="0"/>
              <w:rPr>
                <w:sz w:val="12"/>
                <w:szCs w:val="12"/>
                <w:color w:val="auto"/>
              </w:rPr>
            </w:pPr>
          </w:p>
        </w:tc>
        <w:tc>
          <w:tcPr>
            <w:tcW w:w="9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Tariff activities volumes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4,268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509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Gulf Coast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302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Western</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60"/>
              <w:spacing w:after="0"/>
              <w:rPr>
                <w:sz w:val="20"/>
                <w:szCs w:val="20"/>
                <w:color w:val="auto"/>
              </w:rPr>
            </w:pPr>
            <w:r>
              <w:rPr>
                <w:rFonts w:ascii="Arial" w:cs="Arial" w:eastAsia="Arial" w:hAnsi="Arial"/>
                <w:sz w:val="18"/>
                <w:szCs w:val="18"/>
                <w:color w:val="auto"/>
              </w:rPr>
              <w:t>Canada</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pipelines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6,201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rPr>
              <w:t>NGL pipelines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 volumes</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6,411</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rPr>
              <w:t>Trucking volumes</w:t>
            </w: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segment total volumes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rPr>
              <w:t>Liquids storage (average monthly capacity in millions of barrels)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Natural gas storage (average monthly working capacity in billions of cubic feet)</w:t>
            </w:r>
          </w:p>
        </w:tc>
        <w:tc>
          <w:tcPr>
            <w:tcW w:w="90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18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 xml:space="preserve">Facilities segment total volumes (average monthly volumes in millions of barrels) </w:t>
            </w:r>
            <w:r>
              <w:rPr>
                <w:rFonts w:ascii="Arial" w:cs="Arial" w:eastAsia="Arial" w:hAnsi="Arial"/>
                <w:sz w:val="22"/>
                <w:szCs w:val="22"/>
                <w:color w:val="auto"/>
                <w:vertAlign w:val="superscript"/>
              </w:rPr>
              <w:t>(3)</w:t>
            </w:r>
          </w:p>
        </w:tc>
        <w:tc>
          <w:tcPr>
            <w:tcW w:w="9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80"/>
              <w:spacing w:after="0"/>
              <w:rPr>
                <w:sz w:val="20"/>
                <w:szCs w:val="20"/>
                <w:color w:val="auto"/>
              </w:rPr>
            </w:pPr>
            <w:r>
              <w:rPr>
                <w:rFonts w:ascii="Arial" w:cs="Arial" w:eastAsia="Arial" w:hAnsi="Arial"/>
                <w:sz w:val="18"/>
                <w:szCs w:val="18"/>
                <w:color w:val="auto"/>
              </w:rPr>
              <w:t>Crude oil lease gathering purchases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1,128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Supply and Logistics segment total volumes</w:t>
            </w: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1,456</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Average volumes are calculated as the total volumes (attributable to our interest) for the period divided by the number of days or months in the period.</w:t>
      </w:r>
    </w:p>
    <w:p>
      <w:pPr>
        <w:spacing w:after="0" w:line="1" w:lineRule="exact"/>
        <w:rPr>
          <w:rFonts w:ascii="Arial" w:cs="Arial" w:eastAsia="Arial" w:hAnsi="Arial"/>
          <w:sz w:val="21"/>
          <w:szCs w:val="21"/>
          <w:color w:val="auto"/>
          <w:vertAlign w:val="superscript"/>
        </w:rPr>
      </w:pPr>
    </w:p>
    <w:p>
      <w:pPr>
        <w:ind w:left="320" w:hanging="312"/>
        <w:spacing w:after="0" w:line="194"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 w:lineRule="exact"/>
        <w:rPr>
          <w:rFonts w:ascii="Arial" w:cs="Arial" w:eastAsia="Arial" w:hAnsi="Arial"/>
          <w:sz w:val="23"/>
          <w:szCs w:val="23"/>
          <w:color w:val="auto"/>
          <w:vertAlign w:val="superscript"/>
        </w:rPr>
      </w:pPr>
    </w:p>
    <w:p>
      <w:pPr>
        <w:ind w:left="340" w:right="100" w:hanging="332"/>
        <w:spacing w:after="0" w:line="241" w:lineRule="auto"/>
        <w:tabs>
          <w:tab w:leader="none" w:pos="32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Fee-based Segment Adjusted EBITDA to Adjusted EBITDA Reconciliations:</w:t>
      </w:r>
    </w:p>
    <w:p>
      <w:pPr>
        <w:spacing w:after="0" w:line="22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3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Fee-based Segment Adjusted EBITDA</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278</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Adjusted other income/(expense), net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2"/>
        </w:trPr>
        <w:tc>
          <w:tcPr>
            <w:tcW w:w="8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Twelve Months Ended</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1"/>
        </w:trPr>
        <w:tc>
          <w:tcPr>
            <w:tcW w:w="8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w w:val="83"/>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Adjusted EBITDA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Facilities Segment Adjusted EBITDA</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Fee-based Segment Adjusted EBITDA</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Supply and Logistics Segment Adjusted EBITDA</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5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Adjusted other income/(expense), net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line="21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40" w:hanging="332"/>
        <w:spacing w:after="0" w:line="234"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income/(expense), net” as reported on our Condensed Consolidated Statements of Operations, adjusted for selected items impacting comparability of $(24) million and $2 million for the three months ended March 31, 2019 and 2018, respectively. See the “Selected Items Impacting Comparability” table for additional information.</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See the “Net Income to Adjusted EBITDA and Implied DCF Reconciliation” table for reconciliation to Net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6"/>
              </w:rPr>
              <w:t>March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7"/>
              </w:rPr>
              <w:t>Transportation</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4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line="216" w:lineRule="exact"/>
              <w:rPr>
                <w:sz w:val="20"/>
                <w:szCs w:val="20"/>
                <w:color w:val="auto"/>
              </w:rPr>
            </w:pPr>
            <w:r>
              <w:rPr>
                <w:rFonts w:ascii="Arial" w:cs="Arial" w:eastAsia="Arial" w:hAnsi="Arial"/>
                <w:sz w:val="18"/>
                <w:szCs w:val="18"/>
                <w:color w:val="auto"/>
              </w:rPr>
              <w:t xml:space="preserve">Impact of divested assets </w:t>
            </w:r>
            <w:r>
              <w:rPr>
                <w:rFonts w:ascii="Arial" w:cs="Arial" w:eastAsia="Arial" w:hAnsi="Arial"/>
                <w:sz w:val="23"/>
                <w:szCs w:val="23"/>
                <w:color w:val="auto"/>
                <w:vertAlign w:val="superscript"/>
              </w:rPr>
              <w:t>(1)</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Segment Adjusted EBITDA further</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40" w:type="dxa"/>
            <w:vAlign w:val="bottom"/>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399</w:t>
            </w:r>
          </w:p>
        </w:tc>
        <w:tc>
          <w:tcPr>
            <w:tcW w:w="32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316</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for impact of divested assets</w:t>
            </w:r>
          </w:p>
        </w:tc>
        <w:tc>
          <w:tcPr>
            <w:tcW w:w="12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40" w:type="dxa"/>
            <w:vAlign w:val="bottom"/>
            <w:tcBorders>
              <w:right w:val="single" w:sz="8" w:color="auto"/>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234"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2018, assuming an effective date of January 1, 2018. Divested assets primarily included a 30% interest in BridgeTex Pipeline Company, LLC and certain pipelines in the Rocky Mountain region that were previously reported in our Transportation segment, as well as a natural gas processing facility that was previously reported in our Facilities segment.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March 31, 2019</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2018</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00" w:type="dxa"/>
            <w:vAlign w:val="bottom"/>
          </w:tcPr>
          <w:p>
            <w:pPr>
              <w:spacing w:after="0"/>
              <w:rPr>
                <w:sz w:val="10"/>
                <w:szCs w:val="10"/>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00" w:type="dxa"/>
            <w:vAlign w:val="bottom"/>
          </w:tcPr>
          <w:p>
            <w:pPr>
              <w:spacing w:after="0"/>
              <w:rPr>
                <w:sz w:val="10"/>
                <w:szCs w:val="10"/>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(1)</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7,119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(Gains)/losses on asset sales and asset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impairments, net</w:t>
            </w:r>
          </w:p>
        </w:tc>
        <w:tc>
          <w:tcPr>
            <w:tcW w:w="2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9"/>
              </w:rPr>
              <w:t>Gain on investment in unconsolidated entities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(823)</w:t>
            </w: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4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gridSpan w:val="2"/>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60" w:type="dxa"/>
            <w:vAlign w:val="bottom"/>
            <w:tcBorders>
              <w:right w:val="single" w:sz="8" w:color="CCEEFF"/>
            </w:tcBorders>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0.92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 CLASS A 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WEIGHTED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AVERAGE CLASS A SHARES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2019</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2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20" w:type="dxa"/>
            <w:vAlign w:val="bottom"/>
          </w:tcPr>
          <w:p>
            <w:pPr>
              <w:spacing w:after="0"/>
              <w:rPr>
                <w:sz w:val="10"/>
                <w:szCs w:val="10"/>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PAGP</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300"/>
              <w:spacing w:after="0" w:line="172" w:lineRule="exact"/>
              <w:rPr>
                <w:sz w:val="20"/>
                <w:szCs w:val="20"/>
                <w:color w:val="auto"/>
              </w:rPr>
            </w:pPr>
            <w:r>
              <w:rPr>
                <w:rFonts w:ascii="Arial" w:cs="Arial" w:eastAsia="Arial" w:hAnsi="Arial"/>
                <w:sz w:val="14"/>
                <w:szCs w:val="14"/>
                <w:b w:val="1"/>
                <w:bCs w:val="1"/>
                <w:color w:val="auto"/>
                <w:w w:val="91"/>
              </w:rPr>
              <w:t xml:space="preserve">Adjustments </w:t>
            </w:r>
            <w:r>
              <w:rPr>
                <w:rFonts w:ascii="Arial" w:cs="Arial" w:eastAsia="Arial" w:hAnsi="Arial"/>
                <w:sz w:val="17"/>
                <w:szCs w:val="17"/>
                <w:b w:val="1"/>
                <w:bCs w:val="1"/>
                <w:color w:val="auto"/>
                <w:w w:val="91"/>
                <w:vertAlign w:val="superscript"/>
              </w:rPr>
              <w:t>(1)</w:t>
            </w: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4,247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4,250</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3,533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14,889</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2,529</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2,529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tcPr>
          <w:p>
            <w:pPr>
              <w:spacing w:after="0" w:line="201" w:lineRule="exact"/>
              <w:rPr>
                <w:sz w:val="20"/>
                <w:szCs w:val="20"/>
                <w:color w:val="auto"/>
              </w:rPr>
            </w:pPr>
            <w:r>
              <w:rPr>
                <w:rFonts w:ascii="Arial" w:cs="Arial" w:eastAsia="Arial" w:hAnsi="Arial"/>
                <w:sz w:val="18"/>
                <w:szCs w:val="18"/>
                <w:color w:val="auto"/>
                <w:w w:val="96"/>
              </w:rPr>
              <w:t>Long-term operating lease right-of-use assets,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477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28,648</w:t>
            </w:r>
          </w:p>
        </w:tc>
        <w:tc>
          <w:tcPr>
            <w:tcW w:w="2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4,184</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3,456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8,943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long-term debt, net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7"/>
              </w:rPr>
              <w:t>Other long-term liabilities and deferred credits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882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12,762</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(10,807)</w:t>
            </w:r>
          </w:p>
        </w:tc>
        <w:tc>
          <w:tcPr>
            <w:tcW w:w="22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1,955</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(10,156)</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12,067</w:t>
            </w:r>
          </w:p>
        </w:tc>
        <w:tc>
          <w:tcPr>
            <w:tcW w:w="22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12,067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28,648</w:t>
            </w:r>
          </w:p>
        </w:tc>
        <w:tc>
          <w:tcPr>
            <w:tcW w:w="2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57"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196"/>
        </w:trPr>
        <w:tc>
          <w:tcPr>
            <w:tcW w:w="65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Basic and Diluted Net Income per Class A Share </w:t>
            </w:r>
            <w:r>
              <w:rPr>
                <w:rFonts w:ascii="Arial" w:cs="Arial" w:eastAsia="Arial" w:hAnsi="Arial"/>
                <w:sz w:val="22"/>
                <w:szCs w:val="22"/>
                <w:b w:val="1"/>
                <w:bCs w:val="1"/>
                <w:color w:val="auto"/>
                <w:vertAlign w:val="superscript"/>
              </w:rPr>
              <w:t>(1)</w:t>
            </w:r>
          </w:p>
        </w:tc>
        <w:tc>
          <w:tcPr>
            <w:tcW w:w="1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20" w:type="dxa"/>
            <w:vAlign w:val="bottom"/>
          </w:tcPr>
          <w:p>
            <w:pPr>
              <w:ind w:left="200"/>
              <w:spacing w:after="0"/>
              <w:rPr>
                <w:sz w:val="20"/>
                <w:szCs w:val="20"/>
                <w:color w:val="auto"/>
              </w:rPr>
            </w:pPr>
            <w:r>
              <w:rPr>
                <w:rFonts w:ascii="Arial" w:cs="Arial" w:eastAsia="Arial" w:hAnsi="Arial"/>
                <w:sz w:val="18"/>
                <w:szCs w:val="18"/>
                <w:color w:val="auto"/>
              </w:rPr>
              <w:t>Net income attributable to PAGP</w:t>
            </w:r>
          </w:p>
        </w:tc>
        <w:tc>
          <w:tcPr>
            <w:tcW w:w="27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weighted average Class A shares outstanding</w:t>
            </w:r>
          </w:p>
        </w:tc>
        <w:tc>
          <w:tcPr>
            <w:tcW w:w="1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6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net income per Class A share</w:t>
            </w:r>
          </w:p>
        </w:tc>
        <w:tc>
          <w:tcPr>
            <w:tcW w:w="27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For the three months ended March 31, 2019 and 2018, the possible exchange of any AAP units and certain AAP Management Units would not have had a dilutive effect on basic net income per Class A share.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3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600" w:type="dxa"/>
            <w:vAlign w:val="bottom"/>
            <w:gridSpan w:val="2"/>
          </w:tcPr>
          <w:p>
            <w:pPr>
              <w:spacing w:after="0"/>
              <w:rPr>
                <w:sz w:val="20"/>
                <w:szCs w:val="20"/>
                <w:color w:val="auto"/>
              </w:rPr>
            </w:pPr>
            <w:r>
              <w:rPr>
                <w:rFonts w:ascii="Arial" w:cs="Arial" w:eastAsia="Arial" w:hAnsi="Arial"/>
                <w:sz w:val="18"/>
                <w:szCs w:val="18"/>
                <w:color w:val="auto"/>
              </w:rPr>
              <w:t>Roy Lamoreaux</w:t>
            </w:r>
          </w:p>
        </w:tc>
        <w:tc>
          <w:tcPr>
            <w:tcW w:w="2300" w:type="dxa"/>
            <w:vAlign w:val="bottom"/>
          </w:tcPr>
          <w:p>
            <w:pPr>
              <w:ind w:left="1120"/>
              <w:spacing w:after="0"/>
              <w:rPr>
                <w:sz w:val="20"/>
                <w:szCs w:val="20"/>
                <w:color w:val="auto"/>
              </w:rPr>
            </w:pPr>
            <w:r>
              <w:rPr>
                <w:rFonts w:ascii="Arial" w:cs="Arial" w:eastAsia="Arial" w:hAnsi="Arial"/>
                <w:sz w:val="18"/>
                <w:szCs w:val="18"/>
                <w:color w:val="auto"/>
              </w:rPr>
              <w:t>Brett Magill</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Vice President, Investor Relations &amp; Communications</w:t>
            </w: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Director, Investor Relations</w:t>
            </w:r>
          </w:p>
        </w:tc>
        <w:tc>
          <w:tcPr>
            <w:tcW w:w="40" w:type="dxa"/>
            <w:vAlign w:val="bottom"/>
          </w:tcPr>
          <w:p>
            <w:pPr>
              <w:spacing w:after="0"/>
              <w:rPr>
                <w:sz w:val="18"/>
                <w:szCs w:val="18"/>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2300" w:type="dxa"/>
            <w:vAlign w:val="bottom"/>
          </w:tcPr>
          <w:p>
            <w:pPr>
              <w:ind w:left="1120"/>
              <w:spacing w:after="0"/>
              <w:rPr>
                <w:sz w:val="20"/>
                <w:szCs w:val="20"/>
                <w:color w:val="auto"/>
              </w:rPr>
            </w:pPr>
            <w:r>
              <w:rPr>
                <w:rFonts w:ascii="Arial" w:cs="Arial" w:eastAsia="Arial" w:hAnsi="Arial"/>
                <w:sz w:val="18"/>
                <w:szCs w:val="18"/>
                <w:color w:val="auto"/>
                <w:w w:val="94"/>
              </w:rPr>
              <w:t>(866) 809-1291</w:t>
            </w:r>
          </w:p>
        </w:tc>
        <w:tc>
          <w:tcPr>
            <w:tcW w:w="4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4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20" w:type="dxa"/>
            <w:vAlign w:val="bottom"/>
          </w:tcPr>
          <w:p>
            <w:pPr>
              <w:jc w:val="right"/>
              <w:ind w:right="2210"/>
              <w:spacing w:after="0"/>
              <w:rPr>
                <w:sz w:val="20"/>
                <w:szCs w:val="20"/>
                <w:color w:val="auto"/>
              </w:rPr>
            </w:pPr>
            <w:r>
              <w:rPr>
                <w:rFonts w:ascii="Arial" w:cs="Arial" w:eastAsia="Arial" w:hAnsi="Arial"/>
                <w:sz w:val="18"/>
                <w:szCs w:val="18"/>
                <w:b w:val="1"/>
                <w:bCs w:val="1"/>
                <w:color w:val="auto"/>
                <w:w w:val="91"/>
              </w:rPr>
              <w:t>713-646-4100 / 866-809-1291</w:t>
            </w:r>
          </w:p>
        </w:tc>
        <w:tc>
          <w:tcPr>
            <w:tcW w:w="40" w:type="dxa"/>
            <w:vAlign w:val="bottom"/>
          </w:tcPr>
          <w:p>
            <w:pPr>
              <w:spacing w:after="0"/>
              <w:rPr>
                <w:sz w:val="20"/>
                <w:szCs w:val="20"/>
                <w:color w:val="auto"/>
              </w:rPr>
            </w:pPr>
          </w:p>
        </w:tc>
      </w:tr>
      <w:tr>
        <w:trPr>
          <w:trHeight w:val="330"/>
        </w:trPr>
        <w:tc>
          <w:tcPr>
            <w:tcW w:w="64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4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12" Type="http://schemas.openxmlformats.org/officeDocument/2006/relationships/hyperlink" Target="file:///data/convert/a19-9510_1ex99d1.htm#Exhibit99_1_0919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2019-12-02T22:58:36Z</dcterms:created>
  <dcterms:modified xsi:type="dcterms:W3CDTF">2019-12-02T22:58:36Z</dcterms:modified>
</cp:coreProperties>
</file>