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PEFANIS HARRY 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333 CLAY STREET, # 1600</w:t>
      </w:r>
    </w:p>
    <w:p>
      <w:pPr>
        <w:spacing w:after="0" w:line="20" w:lineRule="exact"/>
        <w:rPr>
          <w:sz w:val="24"/>
          <w:szCs w:val="24"/>
          <w:color w:val="auto"/>
        </w:rPr>
      </w:pPr>
      <w:r>
        <w:rPr>
          <w:sz w:val="24"/>
          <w:szCs w:val="24"/>
          <w:color w:val="auto"/>
        </w:rPr>
        <w:br w:type="column"/>
      </w:r>
    </w:p>
    <w:p>
      <w:pPr>
        <w:ind w:left="7"/>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ind w:left="7"/>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PLAINS ALL AMERICAN PIPELINE LP</w:t>
        </w:r>
      </w:hyperlink>
    </w:p>
    <w:p>
      <w:pPr>
        <w:spacing w:after="0" w:line="2" w:lineRule="exact"/>
        <w:rPr>
          <w:sz w:val="24"/>
          <w:szCs w:val="24"/>
          <w:color w:val="auto"/>
        </w:rPr>
      </w:pPr>
    </w:p>
    <w:p>
      <w:pPr>
        <w:ind w:left="127" w:hanging="127"/>
        <w:spacing w:after="0"/>
        <w:tabs>
          <w:tab w:leader="none" w:pos="127" w:val="left"/>
        </w:tabs>
        <w:numPr>
          <w:ilvl w:val="0"/>
          <w:numId w:val="1"/>
        </w:numPr>
        <w:rPr>
          <w:rFonts w:ascii="Arial" w:cs="Arial" w:eastAsia="Arial" w:hAnsi="Arial"/>
          <w:sz w:val="22"/>
          <w:szCs w:val="22"/>
          <w:color w:val="auto"/>
        </w:rPr>
      </w:pPr>
      <w:r>
        <w:rPr>
          <w:rFonts w:ascii="Arial" w:cs="Arial" w:eastAsia="Arial" w:hAnsi="Arial"/>
          <w:sz w:val="18"/>
          <w:szCs w:val="18"/>
          <w:color w:val="0000FF"/>
        </w:rPr>
        <w:t xml:space="preserve">PAA </w:t>
      </w:r>
      <w:r>
        <w:rPr>
          <w:rFonts w:ascii="Arial" w:cs="Arial" w:eastAsia="Arial" w:hAnsi="Arial"/>
          <w:sz w:val="21"/>
          <w:szCs w:val="21"/>
          <w:color w:val="000000"/>
        </w:rPr>
        <w:t>]</w:t>
      </w:r>
    </w:p>
    <w:p>
      <w:pPr>
        <w:spacing w:after="0" w:line="230" w:lineRule="exact"/>
        <w:rPr>
          <w:sz w:val="24"/>
          <w:szCs w:val="24"/>
          <w:color w:val="auto"/>
        </w:rPr>
      </w:pPr>
    </w:p>
    <w:p>
      <w:pPr>
        <w:ind w:left="7"/>
        <w:spacing w:after="0"/>
        <w:rPr>
          <w:sz w:val="20"/>
          <w:szCs w:val="20"/>
          <w:color w:val="auto"/>
        </w:rPr>
      </w:pPr>
      <w:r>
        <w:rPr>
          <w:rFonts w:ascii="Arial" w:cs="Arial" w:eastAsia="Arial" w:hAnsi="Arial"/>
          <w:sz w:val="14"/>
          <w:szCs w:val="14"/>
          <w:color w:val="auto"/>
        </w:rPr>
        <w:t>3. Date of Earliest Transaction (Month/Day/Year)</w:t>
      </w:r>
    </w:p>
    <w:p>
      <w:pPr>
        <w:ind w:left="7"/>
        <w:spacing w:after="0"/>
        <w:rPr>
          <w:sz w:val="20"/>
          <w:szCs w:val="20"/>
          <w:color w:val="auto"/>
        </w:rPr>
      </w:pPr>
      <w:r>
        <w:rPr>
          <w:rFonts w:ascii="Arial" w:cs="Arial" w:eastAsia="Arial" w:hAnsi="Arial"/>
          <w:sz w:val="18"/>
          <w:szCs w:val="18"/>
          <w:color w:val="0000FF"/>
        </w:rPr>
        <w:t>02/26/2020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3"/>
        <w:spacing w:after="0"/>
        <w:rPr>
          <w:sz w:val="20"/>
          <w:szCs w:val="20"/>
          <w:color w:val="auto"/>
        </w:rPr>
      </w:pPr>
      <w:r>
        <w:rPr>
          <w:rFonts w:ascii="Arial" w:cs="Arial" w:eastAsia="Arial" w:hAnsi="Arial"/>
          <w:sz w:val="18"/>
          <w:szCs w:val="18"/>
          <w:color w:val="0000FF"/>
        </w:rPr>
        <w:t>President &amp; CCO</w:t>
      </w:r>
    </w:p>
    <w:p>
      <w:pPr>
        <w:spacing w:after="0" w:line="281" w:lineRule="exact"/>
        <w:rPr>
          <w:sz w:val="24"/>
          <w:szCs w:val="24"/>
          <w:color w:val="auto"/>
        </w:rPr>
      </w:pPr>
    </w:p>
    <w:p>
      <w:pPr>
        <w:sectPr>
          <w:pgSz w:w="11900" w:h="16838" w:orient="portrait"/>
          <w:cols w:equalWidth="0" w:num="3">
            <w:col w:w="3353" w:space="720"/>
            <w:col w:w="3727" w:space="257"/>
            <w:col w:w="3363"/>
          </w:cols>
          <w:pgMar w:left="240" w:top="226" w:right="239" w:bottom="1440" w:gutter="0" w:footer="0" w:header="0"/>
          <w:type w:val="continuous"/>
        </w:sectPr>
      </w:pP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280" w:type="dxa"/>
            <w:vAlign w:val="bottom"/>
            <w:shd w:val="clear" w:color="auto" w:fill="9A9A9A"/>
          </w:tcPr>
          <w:p>
            <w:pPr>
              <w:spacing w:after="0"/>
              <w:rPr>
                <w:sz w:val="2"/>
                <w:szCs w:val="2"/>
                <w:color w:val="auto"/>
              </w:rPr>
            </w:pPr>
          </w:p>
        </w:tc>
        <w:tc>
          <w:tcPr>
            <w:tcW w:w="1020" w:type="dxa"/>
            <w:vAlign w:val="bottom"/>
            <w:shd w:val="clear" w:color="auto" w:fill="9A9A9A"/>
          </w:tcPr>
          <w:p>
            <w:pPr>
              <w:spacing w:after="0"/>
              <w:rPr>
                <w:sz w:val="2"/>
                <w:szCs w:val="2"/>
                <w:color w:val="auto"/>
              </w:rPr>
            </w:pPr>
          </w:p>
        </w:tc>
        <w:tc>
          <w:tcPr>
            <w:tcW w:w="1260" w:type="dxa"/>
            <w:vAlign w:val="bottom"/>
            <w:tcBorders>
              <w:right w:val="single" w:sz="8" w:color="9A9A9A"/>
            </w:tcBorders>
            <w:shd w:val="clear" w:color="auto" w:fill="9A9A9A"/>
          </w:tcPr>
          <w:p>
            <w:pPr>
              <w:spacing w:after="0"/>
              <w:rPr>
                <w:sz w:val="2"/>
                <w:szCs w:val="2"/>
                <w:color w:val="auto"/>
              </w:rPr>
            </w:pPr>
          </w:p>
        </w:tc>
        <w:tc>
          <w:tcPr>
            <w:tcW w:w="3620" w:type="dxa"/>
            <w:vAlign w:val="bottom"/>
            <w:gridSpan w:val="6"/>
            <w:vMerge w:val="restart"/>
          </w:tcPr>
          <w:p>
            <w:pPr>
              <w:ind w:left="160"/>
              <w:spacing w:after="0"/>
              <w:rPr>
                <w:sz w:val="20"/>
                <w:szCs w:val="20"/>
                <w:color w:val="auto"/>
              </w:rPr>
            </w:pPr>
            <w:r>
              <w:rPr>
                <w:rFonts w:ascii="Arial" w:cs="Arial" w:eastAsia="Arial" w:hAnsi="Arial"/>
                <w:sz w:val="14"/>
                <w:szCs w:val="14"/>
                <w:color w:val="auto"/>
                <w:w w:val="96"/>
              </w:rPr>
              <w:t>4. If Amendment, Date of Original Filed (Month/Day/Year)</w:t>
            </w:r>
          </w:p>
        </w:tc>
        <w:tc>
          <w:tcPr>
            <w:tcW w:w="3880" w:type="dxa"/>
            <w:vAlign w:val="bottom"/>
            <w:gridSpan w:val="8"/>
            <w:vMerge w:val="restart"/>
          </w:tcPr>
          <w:p>
            <w:pPr>
              <w:ind w:left="52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20" w:type="dxa"/>
            <w:vAlign w:val="bottom"/>
            <w:gridSpan w:val="6"/>
            <w:vMerge w:val="continue"/>
          </w:tcPr>
          <w:p>
            <w:pPr>
              <w:spacing w:after="0"/>
              <w:rPr>
                <w:sz w:val="11"/>
                <w:szCs w:val="11"/>
                <w:color w:val="auto"/>
              </w:rPr>
            </w:pPr>
          </w:p>
        </w:tc>
        <w:tc>
          <w:tcPr>
            <w:tcW w:w="388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gridSpan w:val="3"/>
          </w:tcPr>
          <w:p>
            <w:pPr>
              <w:ind w:left="520"/>
              <w:spacing w:after="0" w:line="155" w:lineRule="exact"/>
              <w:rPr>
                <w:sz w:val="20"/>
                <w:szCs w:val="20"/>
                <w:color w:val="auto"/>
              </w:rPr>
            </w:pPr>
            <w:r>
              <w:rPr>
                <w:rFonts w:ascii="Arial" w:cs="Arial" w:eastAsia="Arial" w:hAnsi="Arial"/>
                <w:sz w:val="14"/>
                <w:szCs w:val="14"/>
                <w:color w:val="auto"/>
              </w:rPr>
              <w:t>Line)</w:t>
            </w: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HOUSTON</w:t>
            </w:r>
          </w:p>
        </w:tc>
        <w:tc>
          <w:tcPr>
            <w:tcW w:w="280" w:type="dxa"/>
            <w:vAlign w:val="bottom"/>
          </w:tcPr>
          <w:p>
            <w:pPr>
              <w:ind w:left="40"/>
              <w:spacing w:after="0"/>
              <w:rPr>
                <w:sz w:val="20"/>
                <w:szCs w:val="20"/>
                <w:color w:val="auto"/>
              </w:rPr>
            </w:pPr>
            <w:r>
              <w:rPr>
                <w:rFonts w:ascii="Arial" w:cs="Arial" w:eastAsia="Arial" w:hAnsi="Arial"/>
                <w:sz w:val="18"/>
                <w:szCs w:val="18"/>
                <w:color w:val="0000FF"/>
                <w:w w:val="95"/>
              </w:rPr>
              <w:t>TX</w:t>
            </w:r>
          </w:p>
        </w:tc>
        <w:tc>
          <w:tcPr>
            <w:tcW w:w="102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77002</w:t>
            </w: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28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94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Person</w:t>
            </w: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Pr>
          <w:p>
            <w:pPr>
              <w:spacing w:after="0"/>
              <w:rPr>
                <w:sz w:val="8"/>
                <w:szCs w:val="8"/>
                <w:color w:val="auto"/>
              </w:rPr>
            </w:pP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4240" w:type="dxa"/>
            <w:vAlign w:val="bottom"/>
            <w:tcBorders>
              <w:bottom w:val="single" w:sz="8" w:color="2C2C2C"/>
            </w:tcBorders>
            <w:gridSpan w:val="7"/>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80" w:type="dxa"/>
            <w:vAlign w:val="bottom"/>
            <w:tcBorders>
              <w:top w:val="single" w:sz="8" w:color="2C2C2C"/>
            </w:tcBorders>
            <w:gridSpan w:val="13"/>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20" w:type="dxa"/>
            <w:vAlign w:val="bottom"/>
            <w:gridSpan w:val="2"/>
          </w:tcPr>
          <w:p>
            <w:pPr>
              <w:ind w:left="5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Units</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640"/>
              <w:spacing w:after="0"/>
              <w:rPr>
                <w:sz w:val="20"/>
                <w:szCs w:val="20"/>
                <w:color w:val="auto"/>
              </w:rPr>
            </w:pPr>
            <w:r>
              <w:rPr>
                <w:rFonts w:ascii="Arial" w:cs="Arial" w:eastAsia="Arial" w:hAnsi="Arial"/>
                <w:sz w:val="18"/>
                <w:szCs w:val="18"/>
                <w:color w:val="0000FF"/>
              </w:rPr>
              <w:t>02/26/2020</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P</w:t>
            </w:r>
          </w:p>
        </w:tc>
        <w:tc>
          <w:tcPr>
            <w:tcW w:w="78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rPr>
              <w:t>30,000</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A</w:t>
            </w:r>
          </w:p>
        </w:tc>
        <w:tc>
          <w:tcPr>
            <w:tcW w:w="94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14.1604</w:t>
            </w:r>
            <w:r>
              <w:rPr>
                <w:rFonts w:ascii="Arial" w:cs="Arial" w:eastAsia="Arial" w:hAnsi="Arial"/>
                <w:sz w:val="22"/>
                <w:szCs w:val="22"/>
                <w:color w:val="008000"/>
                <w:w w:val="90"/>
                <w:vertAlign w:val="superscript"/>
              </w:rPr>
              <w:t>(1)</w:t>
            </w: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630,194</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2"/>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40" w:type="dxa"/>
            <w:vAlign w:val="bottom"/>
            <w:gridSpan w:val="9"/>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36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20" w:firstLine="9"/>
        <w:spacing w:after="0" w:line="298" w:lineRule="auto"/>
        <w:tabs>
          <w:tab w:leader="none" w:pos="175"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 price in column 4 reflects the weighted average price for the common units. The units were purchased in multiple transactions at prices ranging from $14.14 to $14.17. The reporting person will provide upon request by the SEC staff, the issuer or any security holder of the issuer full information regarding the number of common units purchased at each separate price.</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Harry N. Pefanis</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02/26/2020</w:t>
            </w:r>
          </w:p>
        </w:tc>
      </w:tr>
      <w:tr>
        <w:trPr>
          <w:trHeight w:val="20"/>
        </w:trPr>
        <w:tc>
          <w:tcPr>
            <w:tcW w:w="14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17250" TargetMode="External"/><Relationship Id="rId13" Type="http://schemas.openxmlformats.org/officeDocument/2006/relationships/hyperlink" Target="http://www.sec.gov/cgi-bin/browse-edgar?action=getcompany&amp;CIK=00010704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2020-02-27T18:04:45Z</dcterms:created>
  <dcterms:modified xsi:type="dcterms:W3CDTF">2020-02-27T18:04:45Z</dcterms:modified>
</cp:coreProperties>
</file>