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94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4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DeSanctis Ellen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PAGP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80" w:space="64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08/14/2025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7,650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08/14/2026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Phantom Class A shares granted under Long-Term Incentive Plan (includes associated dividend equivalent rights payable in cash).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One Class A share is deliverable for each Phantom Class A share that vests.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3. Upon termination of service as director, other than because of death, disability or retirement.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Ellen DeSanctis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-3051810</wp:posOffset>
            </wp:positionV>
            <wp:extent cx="29210" cy="22542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54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5607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2025-08-18T16:02:14Z</dcterms:created>
  <dcterms:modified xsi:type="dcterms:W3CDTF">2025-08-18T16:02:14Z</dcterms:modified>
</cp:coreProperties>
</file>