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5387340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4050030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14605</wp:posOffset>
            </wp:positionV>
            <wp:extent cx="7279640" cy="9401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640" cy="94018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580"/>
            <w:col w:w="8700"/>
          </w:cols>
          <w:pgMar w:left="240" w:top="220"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KAFU HOLDINGS, L.P.</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59" w:lineRule="exact"/>
        <w:rPr>
          <w:sz w:val="24"/>
          <w:szCs w:val="24"/>
          <w:color w:val="auto"/>
        </w:rPr>
      </w:pPr>
    </w:p>
    <w:p>
      <w:pPr>
        <w:ind w:left="120" w:right="1020"/>
        <w:spacing w:after="0" w:line="333" w:lineRule="auto"/>
        <w:rPr>
          <w:sz w:val="20"/>
          <w:szCs w:val="20"/>
          <w:color w:val="auto"/>
        </w:rPr>
      </w:pPr>
      <w:r>
        <w:rPr>
          <w:rFonts w:ascii="Arial" w:cs="Arial" w:eastAsia="Arial" w:hAnsi="Arial"/>
          <w:sz w:val="17"/>
          <w:szCs w:val="17"/>
          <w:color w:val="0000FF"/>
        </w:rPr>
        <w:t>1800 AVENUE OF THE STARS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43"/>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11/25/2013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3" w:right="780" w:firstLine="3"/>
        <w:spacing w:after="0" w:line="23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7"/>
        <w:spacing w:after="0"/>
        <w:tabs>
          <w:tab w:leader="none" w:pos="536" w:val="left"/>
          <w:tab w:leader="none" w:pos="215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1"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57"/>
        <w:spacing w:after="0"/>
        <w:tabs>
          <w:tab w:leader="none" w:pos="215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6" w:lineRule="exact"/>
        <w:rPr>
          <w:sz w:val="24"/>
          <w:szCs w:val="24"/>
          <w:color w:val="auto"/>
        </w:rPr>
      </w:pPr>
    </w:p>
    <w:p>
      <w:pPr>
        <w:sectPr>
          <w:pgSz w:w="11900" w:h="16838" w:orient="portrait"/>
          <w:cols w:equalWidth="0" w:num="3">
            <w:col w:w="3340" w:space="720"/>
            <w:col w:w="3263" w:space="720"/>
            <w:col w:w="3477"/>
          </w:cols>
          <w:pgMar w:left="240" w:top="220" w:right="139" w:bottom="0" w:gutter="0" w:footer="0" w:header="0"/>
          <w:type w:val="continuous"/>
        </w:sectPr>
      </w:pPr>
    </w:p>
    <w:tbl>
      <w:tblPr>
        <w:tblLayout w:type="fixed"/>
        <w:tblInd w:w="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3800" w:type="dxa"/>
            <w:vAlign w:val="bottom"/>
            <w:tcBorders>
              <w:top w:val="single" w:sz="8" w:color="9A9A9A"/>
            </w:tcBorders>
          </w:tcPr>
          <w:p>
            <w:pPr>
              <w:spacing w:after="0"/>
              <w:rPr>
                <w:sz w:val="11"/>
                <w:szCs w:val="11"/>
                <w:color w:val="auto"/>
              </w:rPr>
            </w:pPr>
          </w:p>
        </w:tc>
        <w:tc>
          <w:tcPr>
            <w:tcW w:w="3780" w:type="dxa"/>
            <w:vAlign w:val="bottom"/>
          </w:tcPr>
          <w:p>
            <w:pPr>
              <w:ind w:left="160"/>
              <w:spacing w:after="0" w:line="128" w:lineRule="exact"/>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tcPr>
          <w:p>
            <w:pPr>
              <w:ind w:left="360"/>
              <w:spacing w:after="0" w:line="128" w:lineRule="exact"/>
              <w:rPr>
                <w:sz w:val="20"/>
                <w:szCs w:val="20"/>
                <w:color w:val="auto"/>
              </w:rPr>
            </w:pPr>
            <w:r>
              <w:rPr>
                <w:rFonts w:ascii="Arial" w:cs="Arial" w:eastAsia="Arial" w:hAnsi="Arial"/>
                <w:sz w:val="13"/>
                <w:szCs w:val="13"/>
                <w:color w:val="auto"/>
                <w:w w:val="97"/>
              </w:rPr>
              <w:t>6. Individual or Joint/Group Filing (Check Applicable Line)</w:t>
            </w:r>
          </w:p>
        </w:tc>
        <w:tc>
          <w:tcPr>
            <w:tcW w:w="0" w:type="dxa"/>
            <w:vAlign w:val="bottom"/>
          </w:tcPr>
          <w:p>
            <w:pPr>
              <w:spacing w:after="0"/>
              <w:rPr>
                <w:sz w:val="1"/>
                <w:szCs w:val="1"/>
                <w:color w:val="auto"/>
              </w:rPr>
            </w:pPr>
          </w:p>
        </w:tc>
      </w:tr>
      <w:tr>
        <w:trPr>
          <w:trHeight w:val="154"/>
        </w:trPr>
        <w:tc>
          <w:tcPr>
            <w:tcW w:w="760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20" w:type="dxa"/>
            <w:vAlign w:val="bottom"/>
            <w:vMerge w:val="restart"/>
          </w:tcPr>
          <w:p>
            <w:pPr>
              <w:ind w:left="9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340" w:type="dxa"/>
            <w:vAlign w:val="bottom"/>
          </w:tcPr>
          <w:p>
            <w:pPr>
              <w:ind w:left="20"/>
              <w:spacing w:after="0"/>
              <w:rPr>
                <w:sz w:val="20"/>
                <w:szCs w:val="20"/>
                <w:color w:val="auto"/>
              </w:rPr>
            </w:pPr>
            <w:r>
              <w:rPr>
                <w:rFonts w:ascii="Arial" w:cs="Arial" w:eastAsia="Arial" w:hAnsi="Arial"/>
                <w:sz w:val="17"/>
                <w:szCs w:val="17"/>
                <w:color w:val="0000FF"/>
              </w:rPr>
              <w:t>CA</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77002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7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gridSpan w:val="2"/>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80" w:type="dxa"/>
            <w:vAlign w:val="bottom"/>
            <w:gridSpan w:val="2"/>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020" w:type="dxa"/>
            <w:vAlign w:val="bottom"/>
            <w:tcBorders>
              <w:top w:val="single" w:sz="8" w:color="2C2C2C"/>
            </w:tcBorders>
            <w:gridSpan w:val="17"/>
          </w:tcPr>
          <w:p>
            <w:pPr>
              <w:jc w:val="right"/>
              <w:ind w:right="28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gridSpan w:val="7"/>
          </w:tcPr>
          <w:p>
            <w:pPr>
              <w:ind w:left="9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gridSpan w:val="2"/>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8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20" w:type="dxa"/>
            <w:vAlign w:val="bottom"/>
            <w:gridSpan w:val="7"/>
          </w:tcPr>
          <w:p>
            <w:pPr>
              <w:ind w:left="90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tcPr>
          <w:p>
            <w:pPr>
              <w:ind w:left="38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282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6"/>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78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3. Transaction</w:t>
            </w: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Date</w:t>
            </w: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5"/>
          </w:tcPr>
          <w:p>
            <w:pPr>
              <w:ind w:left="2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 (Instr.</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w w:val="99"/>
              </w:rPr>
              <w:t>Price of</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3 and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0000FF"/>
              </w:rPr>
              <w:t>Plains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vMerge w:val="restart"/>
          </w:tcPr>
          <w:p>
            <w:pPr>
              <w:ind w:left="20"/>
              <w:spacing w:after="0" w:line="264"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(3)</w:t>
            </w:r>
          </w:p>
        </w:tc>
        <w:tc>
          <w:tcPr>
            <w:tcW w:w="9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580" w:type="dxa"/>
            <w:vAlign w:val="bottom"/>
          </w:tcPr>
          <w:p>
            <w:pPr>
              <w:ind w:left="200"/>
              <w:spacing w:after="0" w:line="141" w:lineRule="exact"/>
              <w:rPr>
                <w:sz w:val="20"/>
                <w:szCs w:val="20"/>
                <w:color w:val="auto"/>
              </w:rPr>
            </w:pPr>
            <w:r>
              <w:rPr>
                <w:rFonts w:ascii="Arial" w:cs="Arial" w:eastAsia="Arial" w:hAnsi="Arial"/>
                <w:sz w:val="13"/>
                <w:szCs w:val="13"/>
                <w:color w:val="0000FF"/>
              </w:rPr>
              <w:t>GP</w:t>
            </w:r>
          </w:p>
        </w:tc>
        <w:tc>
          <w:tcPr>
            <w:tcW w:w="900" w:type="dxa"/>
            <w:vAlign w:val="bottom"/>
            <w:gridSpan w:val="2"/>
            <w:vMerge w:val="restart"/>
          </w:tcPr>
          <w:p>
            <w:pPr>
              <w:ind w:left="60"/>
              <w:spacing w:after="0"/>
              <w:rPr>
                <w:sz w:val="20"/>
                <w:szCs w:val="20"/>
                <w:color w:val="auto"/>
              </w:rPr>
            </w:pPr>
            <w:r>
              <w:rPr>
                <w:rFonts w:ascii="Arial" w:cs="Arial" w:eastAsia="Arial" w:hAnsi="Arial"/>
                <w:sz w:val="17"/>
                <w:szCs w:val="17"/>
                <w:color w:val="0000FF"/>
                <w:w w:val="85"/>
              </w:rPr>
              <w:t>492,791</w:t>
            </w:r>
            <w:r>
              <w:rPr>
                <w:rFonts w:ascii="Arial" w:cs="Arial" w:eastAsia="Arial" w:hAnsi="Arial"/>
                <w:sz w:val="21"/>
                <w:szCs w:val="21"/>
                <w:color w:val="008000"/>
                <w:w w:val="85"/>
                <w:vertAlign w:val="superscript"/>
              </w:rPr>
              <w:t>(1)(2)</w:t>
            </w:r>
          </w:p>
        </w:tc>
        <w:tc>
          <w:tcPr>
            <w:tcW w:w="760" w:type="dxa"/>
            <w:vAlign w:val="bottom"/>
            <w:gridSpan w:val="2"/>
            <w:vMerge w:val="restart"/>
          </w:tcPr>
          <w:p>
            <w:pPr>
              <w:jc w:val="right"/>
              <w:ind w:right="283"/>
              <w:spacing w:after="0"/>
              <w:rPr>
                <w:sz w:val="20"/>
                <w:szCs w:val="20"/>
                <w:color w:val="auto"/>
              </w:rPr>
            </w:pPr>
            <w:r>
              <w:rPr>
                <w:rFonts w:ascii="Arial" w:cs="Arial" w:eastAsia="Arial" w:hAnsi="Arial"/>
                <w:sz w:val="11"/>
                <w:szCs w:val="11"/>
                <w:color w:val="008000"/>
              </w:rPr>
              <w:t>(3)</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restart"/>
          </w:tcPr>
          <w:p>
            <w:pPr>
              <w:ind w:left="200"/>
              <w:spacing w:after="0" w:line="264"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(1)(2)</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gridSpan w:val="3"/>
            <w:vMerge w:val="restart"/>
          </w:tcPr>
          <w:p>
            <w:pPr>
              <w:jc w:val="right"/>
              <w:ind w:right="97"/>
              <w:spacing w:after="0" w:line="124" w:lineRule="exact"/>
              <w:rPr>
                <w:sz w:val="20"/>
                <w:szCs w:val="20"/>
                <w:color w:val="auto"/>
              </w:rPr>
            </w:pPr>
            <w:r>
              <w:rPr>
                <w:rFonts w:ascii="Arial" w:cs="Arial" w:eastAsia="Arial" w:hAnsi="Arial"/>
                <w:sz w:val="13"/>
                <w:szCs w:val="13"/>
                <w:color w:val="0000FF"/>
              </w:rPr>
              <w:t>11/25/2013</w:t>
            </w: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4"/>
            <w:vMerge w:val="continue"/>
          </w:tcPr>
          <w:p>
            <w:pPr>
              <w:spacing w:after="0"/>
              <w:rPr>
                <w:sz w:val="4"/>
                <w:szCs w:val="4"/>
                <w:color w:val="auto"/>
              </w:rPr>
            </w:pPr>
          </w:p>
        </w:tc>
        <w:tc>
          <w:tcPr>
            <w:tcW w:w="920" w:type="dxa"/>
            <w:vAlign w:val="bottom"/>
            <w:vMerge w:val="restart"/>
          </w:tcPr>
          <w:p>
            <w:pPr>
              <w:ind w:left="400"/>
              <w:spacing w:after="0" w:line="124" w:lineRule="exact"/>
              <w:rPr>
                <w:sz w:val="20"/>
                <w:szCs w:val="20"/>
                <w:color w:val="auto"/>
              </w:rPr>
            </w:pPr>
            <w:r>
              <w:rPr>
                <w:rFonts w:ascii="Arial" w:cs="Arial" w:eastAsia="Arial" w:hAnsi="Arial"/>
                <w:sz w:val="13"/>
                <w:szCs w:val="13"/>
                <w:color w:val="0000FF"/>
              </w:rPr>
              <w:t>492,791</w:t>
            </w: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80" w:type="dxa"/>
            <w:vAlign w:val="bottom"/>
            <w:vMerge w:val="restart"/>
          </w:tcPr>
          <w:p>
            <w:pPr>
              <w:ind w:left="40"/>
              <w:spacing w:after="0" w:line="124" w:lineRule="exact"/>
              <w:rPr>
                <w:sz w:val="20"/>
                <w:szCs w:val="20"/>
                <w:color w:val="auto"/>
              </w:rPr>
            </w:pPr>
            <w:r>
              <w:rPr>
                <w:rFonts w:ascii="Arial" w:cs="Arial" w:eastAsia="Arial" w:hAnsi="Arial"/>
                <w:sz w:val="13"/>
                <w:szCs w:val="13"/>
                <w:color w:val="0000FF"/>
              </w:rPr>
              <w:t>Holdings</w:t>
            </w:r>
          </w:p>
        </w:tc>
        <w:tc>
          <w:tcPr>
            <w:tcW w:w="90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60" w:type="dxa"/>
            <w:vAlign w:val="bottom"/>
            <w:gridSpan w:val="2"/>
            <w:vMerge w:val="restart"/>
          </w:tcPr>
          <w:p>
            <w:pPr>
              <w:ind w:left="80"/>
              <w:spacing w:after="0" w:line="124" w:lineRule="exact"/>
              <w:rPr>
                <w:sz w:val="20"/>
                <w:szCs w:val="20"/>
                <w:color w:val="auto"/>
              </w:rPr>
            </w:pPr>
            <w:r>
              <w:rPr>
                <w:rFonts w:ascii="Arial" w:cs="Arial" w:eastAsia="Arial" w:hAnsi="Arial"/>
                <w:sz w:val="13"/>
                <w:szCs w:val="13"/>
                <w:color w:val="0000FF"/>
              </w:rPr>
              <w:t>104,161,328</w:t>
            </w: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900" w:type="dxa"/>
            <w:vAlign w:val="bottom"/>
            <w:gridSpan w:val="4"/>
          </w:tcPr>
          <w:p>
            <w:pPr>
              <w:jc w:val="right"/>
              <w:ind w:right="1"/>
              <w:spacing w:after="0" w:line="78" w:lineRule="exact"/>
              <w:rPr>
                <w:sz w:val="20"/>
                <w:szCs w:val="20"/>
                <w:color w:val="auto"/>
              </w:rPr>
            </w:pPr>
            <w:r>
              <w:rPr>
                <w:rFonts w:ascii="Arial" w:cs="Arial" w:eastAsia="Arial" w:hAnsi="Arial"/>
                <w:sz w:val="7"/>
                <w:szCs w:val="7"/>
                <w:color w:val="008000"/>
              </w:rPr>
              <w:t>(1)(2)</w:t>
            </w: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Footnotes</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w w:val="99"/>
              </w:rPr>
              <w:t>LP Class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w w:val="97"/>
              </w:rPr>
              <w:t>A Shares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6"/>
          </w:tcPr>
          <w:p>
            <w:pPr>
              <w:spacing w:after="0" w:line="212" w:lineRule="exact"/>
              <w:rPr>
                <w:rFonts w:ascii="Arial" w:cs="Arial" w:eastAsia="Arial" w:hAnsi="Arial"/>
                <w:sz w:val="20"/>
                <w:szCs w:val="20"/>
                <w:color w:val="0000EE"/>
              </w:rPr>
            </w:pPr>
            <w:hyperlink r:id="rId12">
              <w:r>
                <w:rPr>
                  <w:rFonts w:ascii="Arial" w:cs="Arial" w:eastAsia="Arial" w:hAnsi="Arial"/>
                  <w:sz w:val="20"/>
                  <w:szCs w:val="20"/>
                  <w:color w:val="0000EE"/>
                </w:rPr>
                <w:t>KAFU HOLDINGS, L.P.</w:t>
              </w:r>
            </w:hyperlink>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24"/>
                <w:szCs w:val="24"/>
                <w:color w:val="auto"/>
              </w:rPr>
            </w:pPr>
          </w:p>
        </w:tc>
        <w:tc>
          <w:tcPr>
            <w:tcW w:w="12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18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8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77002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gridSpan w:val="2"/>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2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18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6"/>
          </w:tcPr>
          <w:p>
            <w:pPr>
              <w:spacing w:after="0" w:line="212" w:lineRule="exact"/>
              <w:rPr>
                <w:rFonts w:ascii="Arial" w:cs="Arial" w:eastAsia="Arial" w:hAnsi="Arial"/>
                <w:sz w:val="20"/>
                <w:szCs w:val="20"/>
                <w:color w:val="0000EE"/>
              </w:rPr>
            </w:pPr>
            <w:hyperlink r:id="rId14">
              <w:r>
                <w:rPr>
                  <w:rFonts w:ascii="Arial" w:cs="Arial" w:eastAsia="Arial" w:hAnsi="Arial"/>
                  <w:sz w:val="20"/>
                  <w:szCs w:val="20"/>
                  <w:color w:val="0000EE"/>
                </w:rPr>
                <w:t>KAFU Holdings II, L.P.</w:t>
              </w:r>
            </w:hyperlink>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24"/>
                <w:szCs w:val="24"/>
                <w:color w:val="auto"/>
              </w:rPr>
            </w:pPr>
          </w:p>
        </w:tc>
        <w:tc>
          <w:tcPr>
            <w:tcW w:w="12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18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8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gridSpan w:val="2"/>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2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18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13"/>
          </w:tcPr>
          <w:p>
            <w:pPr>
              <w:spacing w:after="0" w:line="212" w:lineRule="exact"/>
              <w:rPr>
                <w:rFonts w:ascii="Arial" w:cs="Arial" w:eastAsia="Arial" w:hAnsi="Arial"/>
                <w:sz w:val="20"/>
                <w:szCs w:val="20"/>
                <w:color w:val="0000EE"/>
              </w:rPr>
            </w:pPr>
            <w:hyperlink r:id="rId15">
              <w:r>
                <w:rPr>
                  <w:rFonts w:ascii="Arial" w:cs="Arial" w:eastAsia="Arial" w:hAnsi="Arial"/>
                  <w:sz w:val="20"/>
                  <w:szCs w:val="20"/>
                  <w:color w:val="0000EE"/>
                </w:rPr>
                <w:t>KAYNE ANDERSON CAPITAL ADVISORS LP</w:t>
              </w:r>
            </w:hyperlink>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24"/>
                <w:szCs w:val="24"/>
                <w:color w:val="auto"/>
              </w:rPr>
            </w:pPr>
          </w:p>
        </w:tc>
        <w:tc>
          <w:tcPr>
            <w:tcW w:w="12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18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-5895975</wp:posOffset>
            </wp:positionV>
            <wp:extent cx="24130" cy="1864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86499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1800 AVENUE OF THE STARS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3RD FLOOR</w:t>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0" w:right="139" w:bottom="0" w:gutter="0" w:footer="0" w:header="0"/>
          <w:type w:val="continuous"/>
        </w:sectPr>
      </w:pPr>
    </w:p>
    <w:p>
      <w:pPr>
        <w:spacing w:after="0" w:line="21"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LOS ANGELES</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90067</w:t>
      </w:r>
    </w:p>
    <w:p>
      <w:pPr>
        <w:sectPr>
          <w:pgSz w:w="11900" w:h="16838" w:orient="portrait"/>
          <w:cols w:equalWidth="0" w:num="1">
            <w:col w:w="11520"/>
          </w:cols>
          <w:pgMar w:left="240" w:top="220" w:right="1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2927350" cy="199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7350" cy="19939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spacing w:after="0" w:line="233"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KAFU Holdings, L.P. and KAFU Holdings II, L.P. (collectively "KAFU")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will have the right at any time (without expiration) to immediately exchange (the "Exchange Righ") its Class A units in AAP together with a like number of Class B shares and the GP units, for a like number of Class A shares of the Issuer.</w:t>
      </w:r>
    </w:p>
    <w:p>
      <w:pPr>
        <w:spacing w:after="0" w:line="32" w:lineRule="exact"/>
        <w:rPr>
          <w:rFonts w:ascii="Arial" w:cs="Arial" w:eastAsia="Arial" w:hAnsi="Arial"/>
          <w:sz w:val="13"/>
          <w:szCs w:val="13"/>
          <w:color w:val="008000"/>
        </w:rPr>
      </w:pPr>
    </w:p>
    <w:p>
      <w:pPr>
        <w:ind w:right="40"/>
        <w:spacing w:after="0" w:line="285"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4" w:lineRule="exact"/>
        <w:rPr>
          <w:rFonts w:ascii="Arial" w:cs="Arial" w:eastAsia="Arial" w:hAnsi="Arial"/>
          <w:sz w:val="12"/>
          <w:szCs w:val="12"/>
          <w:color w:val="008000"/>
        </w:rPr>
      </w:pP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is an in-kind distribution to a KAFU Holdings, L.P. limited partner for the sole purpose of affecting a charitable gift.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008000"/>
        </w:rPr>
        <w:t>Robert V. Sinnott is the Chief Executive Officer of KACALP and the portfolio manager of KAFU. Mr. Sinnott also serves as the representative of KAFU on the board of directors of the general partner of the Issuer. As a result, KAFU and KACALP may each be deemed a director of the Issuer by deputization.</w:t>
      </w:r>
    </w:p>
    <w:p>
      <w:pPr>
        <w:spacing w:after="0" w:line="3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Arial" w:cs="Arial" w:eastAsia="Arial" w:hAnsi="Arial"/>
                <w:sz w:val="17"/>
                <w:szCs w:val="17"/>
                <w:color w:val="0000FF"/>
                <w:w w:val="90"/>
              </w:rPr>
              <w:t>David Shladovsky</w:t>
            </w:r>
          </w:p>
        </w:tc>
        <w:tc>
          <w:tcPr>
            <w:tcW w:w="84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0000FF"/>
                <w:w w:val="84"/>
              </w:rPr>
              <w:t>11/26/2013</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880"/>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7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87" TargetMode="External"/><Relationship Id="rId15"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2019-12-18T20:03:57Z</dcterms:created>
  <dcterms:modified xsi:type="dcterms:W3CDTF">2019-12-18T20:03:57Z</dcterms:modified>
</cp:coreProperties>
</file>