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h84202e8vk.htm"/>
      <w:bookmarkStart w:id="1" w:name="ksh84202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w:t>
        <w:br/>
        <w:t>of 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Date of report (Date of earliest event reported): August 11, 2011</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br/>
              <w:t>(Commission</w:t>
              <w:br/>
              <w:t xml:space="preserve">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76-0582150</w:t>
            </w:r>
            <w:r>
              <w:rPr/>
              <w:br/>
              <w:t>(IRS Employer</w:t>
              <w:br/>
              <w:t>Identification No.)</w:t>
            </w:r>
          </w:p>
        </w:tc>
      </w:tr>
    </w:tbl>
    <w:tbl>
      <w:tblPr>
        <w:tblW w:w="5000" w:type="pct"/>
        <w:jc w:val="center"/>
        <w:tblInd w:w="0" w:type="dxa"/>
        <w:tblCellMar>
          <w:top w:w="0" w:type="dxa"/>
          <w:left w:w="0" w:type="dxa"/>
          <w:bottom w:w="0" w:type="dxa"/>
          <w:right w:w="0" w:type="dxa"/>
        </w:tblCellMar>
      </w:tblPr>
      <w:tblGrid>
        <w:gridCol w:w="4846"/>
        <w:gridCol w:w="512"/>
        <w:gridCol w:w="4847"/>
      </w:tblGrid>
      <w:tr>
        <w:trPr/>
        <w:tc>
          <w:tcPr>
            <w:tcW w:w="4846"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4847" w:type="dxa"/>
            <w:tcBorders/>
            <w:shd w:fill="auto" w:val="clear"/>
            <w:vAlign w:val="bottom"/>
          </w:tcPr>
          <w:p>
            <w:pPr>
              <w:pStyle w:val="TableContents"/>
              <w:spacing w:before="0" w:after="283"/>
              <w:rPr/>
            </w:pPr>
            <w:r>
              <w:rPr/>
              <w:t> </w:t>
            </w:r>
          </w:p>
        </w:tc>
      </w:tr>
      <w:tr>
        <w:trPr/>
        <w:tc>
          <w:tcPr>
            <w:tcW w:w="4846" w:type="dxa"/>
            <w:tcBorders/>
            <w:shd w:fill="auto" w:val="clear"/>
          </w:tcPr>
          <w:p>
            <w:pPr>
              <w:pStyle w:val="TableContents"/>
              <w:spacing w:before="0" w:after="283"/>
              <w:jc w:val="center"/>
              <w:rPr/>
            </w:pPr>
            <w:r>
              <w:rPr>
                <w:b/>
              </w:rPr>
              <w:t>333 Clay Street, Suite 1600</w:t>
              <w:br/>
              <w:t>Houston, Texas</w:t>
            </w:r>
            <w:r>
              <w:rPr/>
              <w:br/>
              <w:t xml:space="preserve">(Address of principal </w:t>
              <w:br/>
              <w:t xml:space="preserve">executive offices)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center"/>
              <w:rPr/>
            </w:pPr>
            <w:r>
              <w:rPr/>
              <w:br/>
            </w:r>
            <w:r>
              <w:rPr>
                <w:b/>
              </w:rPr>
              <w:t>77002</w:t>
            </w:r>
            <w:r>
              <w:rPr/>
              <w:br/>
              <w:t>(Zip Code)</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 (713) 646-4100</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Not applicable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Check the appropriate box below if the Form 8-K filing is intended to simultaneously satisfy the filing obligation of the registrant under any of the following provisions (see General Instruction A.2. below):</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Written communications pursuant to Rule 425 under the Securities Act (17 CFR 230.425)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Soliciting material pursuant to Rule 14a-12 under the Exchange Act (17 CFR 240.14a-12)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14d-2(b) under the Exchange Act (17 CFR 240.14d-2(b))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13e-4(c) under the Exchange Act (17 CFR 240.13e-4(c)) </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b/>
          <w:sz w:val="17"/>
        </w:rPr>
      </w:pPr>
      <w:r>
        <w:rPr>
          <w:rFonts w:ascii="Times New Roman;Times;serif" w:hAnsi="Times New Roman;Times;serif"/>
          <w:b/>
          <w:sz w:val="17"/>
        </w:rPr>
        <w:t>ITEM 1.01 Entry Into a Material Definitive Agreement.</w:t>
      </w:r>
    </w:p>
    <w:p>
      <w:pPr>
        <w:pStyle w:val="TextBody"/>
        <w:spacing w:before="120" w:after="283"/>
        <w:jc w:val="left"/>
        <w:rPr/>
      </w:pPr>
      <w:r>
        <w:rPr/>
        <w:t>     </w:t>
      </w:r>
      <w:r>
        <w:rPr>
          <w:rFonts w:ascii="Times New Roman;Times;serif" w:hAnsi="Times New Roman;Times;serif"/>
          <w:sz w:val="17"/>
        </w:rPr>
        <w:t xml:space="preserve">On August 11, 2011, Plains All American Pipeline, L.P. (the Partnership) entered into an Underwriting Agreement (the Underwriting Agreement) with Vulcan Energy Corporation (the Selling Unitholder) and Citigroup Global Markets Inc., Barclays Capital Inc., Merrill Lynch, Pierce, Fenner &amp; Smith Incorporated, J.P. Morgan Securities LLC and UBS Securities LLC, as representatives of the several underwriters named therein (the Underwriters), that provides for the sale by the Selling Unitholder, and purchase by the Underwriters, of 7,500,000 common units representing limited partner interests in the Partnership (the Common Units). The Underwriters were also granted an over allotment option for a period of 30 days to purchase up to an additional 1,125,000 common units. The material terms of the offering of the Common Units are described in the prospectus supplement, dated August 12, 2011, as filed by the Partnership with the Securities and Exchange Commission (the Commission). The offer and sale of the Common Units is registered with the Commission pursuant to a Registration Statement on Form S-3 (Registration No. 333-155673) filed by the Partnership on November 25, 2008. Closing with respect to the Common Units is expected to occur on August 17, 2011. </w:t>
      </w:r>
    </w:p>
    <w:p>
      <w:pPr>
        <w:pStyle w:val="TextBody"/>
        <w:spacing w:before="120" w:after="283"/>
        <w:jc w:val="left"/>
        <w:rPr/>
      </w:pPr>
      <w:r>
        <w:rPr/>
        <w:t>     </w:t>
      </w:r>
      <w:r>
        <w:rPr>
          <w:rFonts w:ascii="Times New Roman;Times;serif" w:hAnsi="Times New Roman;Times;serif"/>
          <w:sz w:val="17"/>
        </w:rPr>
        <w:t xml:space="preserve">The Underwriting Agreement contains customary representations, warranties and agreements of the Partnership and certain affiliates and the Selling Unitholder, and customary conditions to closing, indemnification rights, obligations of the parties and termination provisions. </w:t>
      </w:r>
    </w:p>
    <w:p>
      <w:pPr>
        <w:pStyle w:val="TextBody"/>
        <w:spacing w:before="120" w:after="283"/>
        <w:jc w:val="left"/>
        <w:rPr/>
      </w:pPr>
      <w:r>
        <w:rPr/>
        <w:t>     </w:t>
      </w:r>
      <w:r>
        <w:rPr>
          <w:rFonts w:ascii="Times New Roman;Times;serif" w:hAnsi="Times New Roman;Times;serif"/>
          <w:sz w:val="17"/>
        </w:rPr>
        <w:t xml:space="preserve">Certain of the Underwriters and their respective affiliates have performed investment and commercial banking and advisory services for the Partnership and its affiliates and for the Selling Unitholder and its affiliates from time to time for which they have received customary fees and expenses. The Underwriters and their affiliates may, from time to time, engage in transactions with and perform services for the Partnership, the Selling Unitholder or the Partnership and Selling Unitholders respective affiliates in the ordinary course of their business. In particular, affiliates of certain of the Underwriters are lenders under the Partnerships credit facilities. </w:t>
      </w:r>
    </w:p>
    <w:p>
      <w:pPr>
        <w:pStyle w:val="TextBody"/>
        <w:spacing w:before="120" w:after="283"/>
        <w:jc w:val="left"/>
        <w:rPr/>
      </w:pPr>
      <w:r>
        <w:rPr/>
        <w:t>     </w:t>
      </w:r>
      <w:r>
        <w:rPr>
          <w:rFonts w:ascii="Times New Roman;Times;serif" w:hAnsi="Times New Roman;Times;serif"/>
          <w:sz w:val="17"/>
        </w:rPr>
        <w:t xml:space="preserve">The foregoing description of the Underwriting Agreement is qualified in its entirety by reference to such Underwriting Agreement, a copy of which is filed herewith as Exhibit 1.1 and is incorporated herein by reference.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(d) Exhibits.</w:t>
      </w:r>
    </w:p>
    <w:tbl>
      <w:tblPr>
        <w:tblW w:w="5000" w:type="pct"/>
        <w:jc w:val="center"/>
        <w:tblInd w:w="0" w:type="dxa"/>
        <w:tblCellMar>
          <w:top w:w="0" w:type="dxa"/>
          <w:left w:w="0" w:type="dxa"/>
          <w:bottom w:w="0" w:type="dxa"/>
          <w:right w:w="0" w:type="dxa"/>
        </w:tblCellMar>
      </w:tblPr>
      <w:tblGrid>
        <w:gridCol w:w="276"/>
        <w:gridCol w:w="591"/>
        <w:gridCol w:w="280"/>
        <w:gridCol w:w="328"/>
        <w:gridCol w:w="8730"/>
      </w:tblGrid>
      <w:tr>
        <w:trPr/>
        <w:tc>
          <w:tcPr>
            <w:tcW w:w="276"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730" w:type="dxa"/>
            <w:tcBorders/>
            <w:shd w:fill="auto" w:val="clear"/>
            <w:vAlign w:val="bottom"/>
          </w:tcPr>
          <w:p>
            <w:pPr>
              <w:pStyle w:val="TableContents"/>
              <w:spacing w:before="0" w:after="283"/>
              <w:rPr/>
            </w:pPr>
            <w:r>
              <w:rPr/>
              <w:t> </w:t>
            </w:r>
          </w:p>
        </w:tc>
      </w:tr>
      <w:tr>
        <w:trPr/>
        <w:tc>
          <w:tcPr>
            <w:tcW w:w="1147" w:type="dxa"/>
            <w:gridSpan w:val="3"/>
            <w:tcBorders/>
            <w:shd w:fill="auto" w:val="clear"/>
            <w:vAlign w:val="bottom"/>
          </w:tcPr>
          <w:p>
            <w:pPr>
              <w:pStyle w:val="TableContents"/>
              <w:spacing w:before="0" w:after="283"/>
              <w:jc w:val="center"/>
              <w:rPr/>
            </w:pPr>
            <w:r>
              <w:rPr/>
              <w:t>Exhibit</w:t>
            </w:r>
          </w:p>
        </w:tc>
        <w:tc>
          <w:tcPr>
            <w:tcW w:w="328" w:type="dxa"/>
            <w:tcBorders/>
            <w:shd w:fill="auto" w:val="clear"/>
            <w:vAlign w:val="bottom"/>
          </w:tcPr>
          <w:p>
            <w:pPr>
              <w:pStyle w:val="TableContents"/>
              <w:spacing w:before="0" w:after="283"/>
              <w:rPr/>
            </w:pPr>
            <w:r>
              <w:rPr/>
              <w:t> </w:t>
            </w:r>
          </w:p>
        </w:tc>
        <w:tc>
          <w:tcPr>
            <w:tcW w:w="8730" w:type="dxa"/>
            <w:tcBorders/>
            <w:shd w:fill="auto" w:val="clear"/>
            <w:vAlign w:val="bottom"/>
          </w:tcPr>
          <w:p>
            <w:pPr>
              <w:pStyle w:val="TableContents"/>
              <w:spacing w:before="0" w:after="283"/>
              <w:jc w:val="left"/>
              <w:rPr/>
            </w:pPr>
            <w:r>
              <w:rPr/>
              <w:t> </w:t>
            </w:r>
          </w:p>
        </w:tc>
      </w:tr>
      <w:tr>
        <w:trPr/>
        <w:tc>
          <w:tcPr>
            <w:tcW w:w="1147" w:type="dxa"/>
            <w:gridSpan w:val="3"/>
            <w:tcBorders>
              <w:bottom w:val="single" w:sz="2" w:space="0" w:color="000000"/>
            </w:tcBorders>
            <w:shd w:fill="auto" w:val="clear"/>
            <w:tcMar>
              <w:bottom w:w="28" w:type="dxa"/>
            </w:tcMar>
            <w:vAlign w:val="bottom"/>
          </w:tcPr>
          <w:p>
            <w:pPr>
              <w:pStyle w:val="TableContents"/>
              <w:spacing w:before="0" w:after="283"/>
              <w:jc w:val="center"/>
              <w:rPr/>
            </w:pPr>
            <w:r>
              <w:rPr/>
              <w:t>Number</w:t>
            </w:r>
          </w:p>
        </w:tc>
        <w:tc>
          <w:tcPr>
            <w:tcW w:w="328" w:type="dxa"/>
            <w:tcBorders/>
            <w:shd w:fill="auto" w:val="clear"/>
            <w:vAlign w:val="bottom"/>
          </w:tcPr>
          <w:p>
            <w:pPr>
              <w:pStyle w:val="TableContents"/>
              <w:spacing w:before="0" w:after="283"/>
              <w:rPr/>
            </w:pPr>
            <w:r>
              <w:rPr/>
              <w:t> </w:t>
            </w:r>
          </w:p>
        </w:tc>
        <w:tc>
          <w:tcPr>
            <w:tcW w:w="8730"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r>
      <w:tr>
        <w:trPr/>
        <w:tc>
          <w:tcPr>
            <w:tcW w:w="276" w:type="dxa"/>
            <w:tcBorders/>
            <w:shd w:fill="auto" w:val="clear"/>
          </w:tcPr>
          <w:p>
            <w:pPr>
              <w:pStyle w:val="TableContents"/>
              <w:spacing w:before="0" w:after="283"/>
              <w:jc w:val="right"/>
              <w:rPr/>
            </w:pPr>
            <w:r>
              <w:rPr/>
              <w:t> </w:t>
            </w:r>
          </w:p>
        </w:tc>
        <w:tc>
          <w:tcPr>
            <w:tcW w:w="591" w:type="dxa"/>
            <w:tcBorders/>
            <w:shd w:fill="auto" w:val="clear"/>
          </w:tcPr>
          <w:p>
            <w:pPr>
              <w:pStyle w:val="TableContents"/>
              <w:spacing w:before="0" w:after="283"/>
              <w:jc w:val="right"/>
              <w:rPr/>
            </w:pPr>
            <w:r>
              <w:rPr/>
              <w:t>1.1</w:t>
            </w:r>
          </w:p>
        </w:tc>
        <w:tc>
          <w:tcPr>
            <w:tcW w:w="280" w:type="dxa"/>
            <w:tcBorders/>
            <w:shd w:fill="auto" w:val="clear"/>
          </w:tcPr>
          <w:p>
            <w:pPr>
              <w:pStyle w:val="TableContents"/>
              <w:spacing w:before="0" w:after="283"/>
              <w:rPr/>
            </w:pPr>
            <w:r>
              <w:rPr/>
              <w:t> </w:t>
            </w:r>
          </w:p>
        </w:tc>
        <w:tc>
          <w:tcPr>
            <w:tcW w:w="328" w:type="dxa"/>
            <w:tcBorders/>
            <w:shd w:fill="auto" w:val="clear"/>
          </w:tcPr>
          <w:p>
            <w:pPr>
              <w:pStyle w:val="TableContents"/>
              <w:spacing w:before="0" w:after="283"/>
              <w:rPr/>
            </w:pPr>
            <w:r>
              <w:rPr/>
              <w:t> </w:t>
            </w:r>
          </w:p>
        </w:tc>
        <w:tc>
          <w:tcPr>
            <w:tcW w:w="8730" w:type="dxa"/>
            <w:tcBorders/>
            <w:shd w:fill="auto" w:val="clear"/>
          </w:tcPr>
          <w:p>
            <w:pPr>
              <w:pStyle w:val="TableContents"/>
              <w:spacing w:before="0" w:after="0"/>
              <w:ind w:left="0" w:right="0" w:hanging="0"/>
              <w:rPr>
                <w:sz w:val="17"/>
              </w:rPr>
            </w:pPr>
            <w:r>
              <w:rPr>
                <w:sz w:val="17"/>
              </w:rPr>
              <w:t>Underwriting Agreement, dated August 11, 2011, by and among Plains All American Pipeline, L.P., Vulcan Energy Corporation and Citigroup Global Markets Inc., Barclays Capital Inc., Merrill Lynch, Pierce, Fenner &amp; Smith Incorporated, J.P. Morgan Securities LLC and UBS Securities LLC, as representatives of the several underwriters named therein.</w:t>
            </w:r>
          </w:p>
        </w:tc>
      </w:tr>
      <w:tr>
        <w:trPr/>
        <w:tc>
          <w:tcPr>
            <w:tcW w:w="276" w:type="dxa"/>
            <w:tcBorders/>
            <w:shd w:fill="auto" w:val="clear"/>
          </w:tcPr>
          <w:p>
            <w:pPr>
              <w:pStyle w:val="TableContents"/>
              <w:spacing w:before="0" w:after="283"/>
              <w:jc w:val="right"/>
              <w:rPr/>
            </w:pPr>
            <w:r>
              <w:rPr/>
              <w:t> </w:t>
            </w:r>
          </w:p>
        </w:tc>
        <w:tc>
          <w:tcPr>
            <w:tcW w:w="591" w:type="dxa"/>
            <w:tcBorders/>
            <w:shd w:fill="auto" w:val="clear"/>
          </w:tcPr>
          <w:p>
            <w:pPr>
              <w:pStyle w:val="TableContents"/>
              <w:spacing w:before="0" w:after="283"/>
              <w:jc w:val="right"/>
              <w:rPr/>
            </w:pPr>
            <w:r>
              <w:rPr/>
              <w:t>5.1</w:t>
            </w:r>
          </w:p>
        </w:tc>
        <w:tc>
          <w:tcPr>
            <w:tcW w:w="280" w:type="dxa"/>
            <w:tcBorders/>
            <w:shd w:fill="auto" w:val="clear"/>
          </w:tcPr>
          <w:p>
            <w:pPr>
              <w:pStyle w:val="TableContents"/>
              <w:spacing w:before="0" w:after="283"/>
              <w:rPr/>
            </w:pPr>
            <w:r>
              <w:rPr/>
              <w:t> </w:t>
            </w:r>
          </w:p>
        </w:tc>
        <w:tc>
          <w:tcPr>
            <w:tcW w:w="328" w:type="dxa"/>
            <w:tcBorders/>
            <w:shd w:fill="auto" w:val="clear"/>
          </w:tcPr>
          <w:p>
            <w:pPr>
              <w:pStyle w:val="TableContents"/>
              <w:spacing w:before="0" w:after="283"/>
              <w:rPr/>
            </w:pPr>
            <w:r>
              <w:rPr/>
              <w:t> </w:t>
            </w:r>
          </w:p>
        </w:tc>
        <w:tc>
          <w:tcPr>
            <w:tcW w:w="8730" w:type="dxa"/>
            <w:tcBorders/>
            <w:shd w:fill="auto" w:val="clear"/>
          </w:tcPr>
          <w:p>
            <w:pPr>
              <w:pStyle w:val="TableContents"/>
              <w:spacing w:before="0" w:after="0"/>
              <w:ind w:left="0" w:right="0" w:hanging="0"/>
              <w:rPr>
                <w:sz w:val="17"/>
              </w:rPr>
            </w:pPr>
            <w:r>
              <w:rPr>
                <w:sz w:val="17"/>
              </w:rPr>
              <w:t>Opinion of Vinson &amp; Elkins L.L.P.</w:t>
            </w:r>
          </w:p>
        </w:tc>
      </w:tr>
      <w:tr>
        <w:trPr/>
        <w:tc>
          <w:tcPr>
            <w:tcW w:w="276" w:type="dxa"/>
            <w:tcBorders/>
            <w:shd w:fill="auto" w:val="clear"/>
          </w:tcPr>
          <w:p>
            <w:pPr>
              <w:pStyle w:val="TableContents"/>
              <w:spacing w:before="0" w:after="283"/>
              <w:jc w:val="right"/>
              <w:rPr/>
            </w:pPr>
            <w:r>
              <w:rPr/>
              <w:t> </w:t>
            </w:r>
          </w:p>
        </w:tc>
        <w:tc>
          <w:tcPr>
            <w:tcW w:w="591" w:type="dxa"/>
            <w:tcBorders/>
            <w:shd w:fill="auto" w:val="clear"/>
          </w:tcPr>
          <w:p>
            <w:pPr>
              <w:pStyle w:val="TableContents"/>
              <w:spacing w:before="0" w:after="283"/>
              <w:jc w:val="right"/>
              <w:rPr/>
            </w:pPr>
            <w:r>
              <w:rPr/>
              <w:t>8.1</w:t>
            </w:r>
          </w:p>
        </w:tc>
        <w:tc>
          <w:tcPr>
            <w:tcW w:w="280" w:type="dxa"/>
            <w:tcBorders/>
            <w:shd w:fill="auto" w:val="clear"/>
          </w:tcPr>
          <w:p>
            <w:pPr>
              <w:pStyle w:val="TableContents"/>
              <w:spacing w:before="0" w:after="283"/>
              <w:rPr/>
            </w:pPr>
            <w:r>
              <w:rPr/>
              <w:t> </w:t>
            </w:r>
          </w:p>
        </w:tc>
        <w:tc>
          <w:tcPr>
            <w:tcW w:w="328" w:type="dxa"/>
            <w:tcBorders/>
            <w:shd w:fill="auto" w:val="clear"/>
          </w:tcPr>
          <w:p>
            <w:pPr>
              <w:pStyle w:val="TableContents"/>
              <w:spacing w:before="0" w:after="283"/>
              <w:rPr/>
            </w:pPr>
            <w:r>
              <w:rPr/>
              <w:t> </w:t>
            </w:r>
          </w:p>
        </w:tc>
        <w:tc>
          <w:tcPr>
            <w:tcW w:w="8730" w:type="dxa"/>
            <w:tcBorders/>
            <w:shd w:fill="auto" w:val="clear"/>
          </w:tcPr>
          <w:p>
            <w:pPr>
              <w:pStyle w:val="TableContents"/>
              <w:spacing w:before="0" w:after="0"/>
              <w:ind w:left="0" w:right="0" w:hanging="0"/>
              <w:rPr>
                <w:sz w:val="17"/>
              </w:rPr>
            </w:pPr>
            <w:r>
              <w:rPr>
                <w:sz w:val="17"/>
              </w:rPr>
              <w:t>Opinion of Vinson &amp; Elkins L.L.P. as to certain tax matters.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PLAINS ALL AMERICAN PIPELINE, L.P.</w:t>
              <w:br/>
              <w:br/>
              <w:t>By: PAA GP LLC, its general partner</w:t>
              <w:br/>
              <w:br/>
              <w:t>By: PLAINS AAP, L.P., its sole member</w:t>
              <w:br/>
              <w:br/>
              <w:t>By: PLAINS ALL AMERICAN GP LLC,</w:t>
              <w:br/>
              <w:t>       its general partner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Date: August 17, 2011</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76"/>
        <w:gridCol w:w="591"/>
        <w:gridCol w:w="280"/>
        <w:gridCol w:w="328"/>
        <w:gridCol w:w="8730"/>
      </w:tblGrid>
      <w:tr>
        <w:trPr/>
        <w:tc>
          <w:tcPr>
            <w:tcW w:w="276"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8730" w:type="dxa"/>
            <w:tcBorders/>
            <w:shd w:fill="auto" w:val="clear"/>
            <w:vAlign w:val="bottom"/>
          </w:tcPr>
          <w:p>
            <w:pPr>
              <w:pStyle w:val="TableContents"/>
              <w:spacing w:before="0" w:after="283"/>
              <w:rPr/>
            </w:pPr>
            <w:r>
              <w:rPr/>
              <w:t> </w:t>
            </w:r>
          </w:p>
        </w:tc>
      </w:tr>
      <w:tr>
        <w:trPr/>
        <w:tc>
          <w:tcPr>
            <w:tcW w:w="1147" w:type="dxa"/>
            <w:gridSpan w:val="3"/>
            <w:tcBorders/>
            <w:shd w:fill="auto" w:val="clear"/>
            <w:vAlign w:val="bottom"/>
          </w:tcPr>
          <w:p>
            <w:pPr>
              <w:pStyle w:val="TableContents"/>
              <w:spacing w:before="0" w:after="283"/>
              <w:jc w:val="center"/>
              <w:rPr/>
            </w:pPr>
            <w:r>
              <w:rPr/>
              <w:t>Exhibit</w:t>
            </w:r>
          </w:p>
        </w:tc>
        <w:tc>
          <w:tcPr>
            <w:tcW w:w="328" w:type="dxa"/>
            <w:tcBorders/>
            <w:shd w:fill="auto" w:val="clear"/>
            <w:vAlign w:val="bottom"/>
          </w:tcPr>
          <w:p>
            <w:pPr>
              <w:pStyle w:val="TableContents"/>
              <w:spacing w:before="0" w:after="283"/>
              <w:rPr/>
            </w:pPr>
            <w:r>
              <w:rPr/>
              <w:t> </w:t>
            </w:r>
          </w:p>
        </w:tc>
        <w:tc>
          <w:tcPr>
            <w:tcW w:w="8730" w:type="dxa"/>
            <w:tcBorders/>
            <w:shd w:fill="auto" w:val="clear"/>
            <w:vAlign w:val="bottom"/>
          </w:tcPr>
          <w:p>
            <w:pPr>
              <w:pStyle w:val="TableContents"/>
              <w:spacing w:before="0" w:after="283"/>
              <w:jc w:val="left"/>
              <w:rPr/>
            </w:pPr>
            <w:r>
              <w:rPr/>
              <w:t> </w:t>
            </w:r>
          </w:p>
        </w:tc>
      </w:tr>
      <w:tr>
        <w:trPr/>
        <w:tc>
          <w:tcPr>
            <w:tcW w:w="1147" w:type="dxa"/>
            <w:gridSpan w:val="3"/>
            <w:tcBorders>
              <w:bottom w:val="single" w:sz="2" w:space="0" w:color="000000"/>
            </w:tcBorders>
            <w:shd w:fill="auto" w:val="clear"/>
            <w:tcMar>
              <w:bottom w:w="28" w:type="dxa"/>
            </w:tcMar>
            <w:vAlign w:val="bottom"/>
          </w:tcPr>
          <w:p>
            <w:pPr>
              <w:pStyle w:val="TableContents"/>
              <w:spacing w:before="0" w:after="283"/>
              <w:jc w:val="center"/>
              <w:rPr/>
            </w:pPr>
            <w:r>
              <w:rPr/>
              <w:t>Number</w:t>
            </w:r>
          </w:p>
        </w:tc>
        <w:tc>
          <w:tcPr>
            <w:tcW w:w="328" w:type="dxa"/>
            <w:tcBorders/>
            <w:shd w:fill="auto" w:val="clear"/>
            <w:vAlign w:val="bottom"/>
          </w:tcPr>
          <w:p>
            <w:pPr>
              <w:pStyle w:val="TableContents"/>
              <w:spacing w:before="0" w:after="283"/>
              <w:rPr/>
            </w:pPr>
            <w:r>
              <w:rPr/>
              <w:t> </w:t>
            </w:r>
          </w:p>
        </w:tc>
        <w:tc>
          <w:tcPr>
            <w:tcW w:w="8730"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r>
      <w:tr>
        <w:trPr/>
        <w:tc>
          <w:tcPr>
            <w:tcW w:w="276" w:type="dxa"/>
            <w:tcBorders/>
            <w:shd w:fill="auto" w:val="clear"/>
          </w:tcPr>
          <w:p>
            <w:pPr>
              <w:pStyle w:val="TableContents"/>
              <w:spacing w:before="0" w:after="283"/>
              <w:jc w:val="right"/>
              <w:rPr/>
            </w:pPr>
            <w:r>
              <w:rPr/>
              <w:t> </w:t>
            </w:r>
          </w:p>
        </w:tc>
        <w:tc>
          <w:tcPr>
            <w:tcW w:w="591" w:type="dxa"/>
            <w:tcBorders/>
            <w:shd w:fill="auto" w:val="clear"/>
          </w:tcPr>
          <w:p>
            <w:pPr>
              <w:pStyle w:val="TableContents"/>
              <w:spacing w:before="0" w:after="283"/>
              <w:jc w:val="right"/>
              <w:rPr/>
            </w:pPr>
            <w:r>
              <w:rPr/>
              <w:t>1.1</w:t>
            </w:r>
          </w:p>
        </w:tc>
        <w:tc>
          <w:tcPr>
            <w:tcW w:w="280" w:type="dxa"/>
            <w:tcBorders/>
            <w:shd w:fill="auto" w:val="clear"/>
          </w:tcPr>
          <w:p>
            <w:pPr>
              <w:pStyle w:val="TableContents"/>
              <w:spacing w:before="0" w:after="283"/>
              <w:rPr/>
            </w:pPr>
            <w:r>
              <w:rPr/>
              <w:t> </w:t>
            </w:r>
          </w:p>
        </w:tc>
        <w:tc>
          <w:tcPr>
            <w:tcW w:w="328" w:type="dxa"/>
            <w:tcBorders/>
            <w:shd w:fill="auto" w:val="clear"/>
          </w:tcPr>
          <w:p>
            <w:pPr>
              <w:pStyle w:val="TableContents"/>
              <w:spacing w:before="0" w:after="283"/>
              <w:rPr/>
            </w:pPr>
            <w:r>
              <w:rPr/>
              <w:t> </w:t>
            </w:r>
          </w:p>
        </w:tc>
        <w:tc>
          <w:tcPr>
            <w:tcW w:w="8730" w:type="dxa"/>
            <w:tcBorders/>
            <w:shd w:fill="auto" w:val="clear"/>
          </w:tcPr>
          <w:p>
            <w:pPr>
              <w:pStyle w:val="TableContents"/>
              <w:spacing w:before="0" w:after="0"/>
              <w:ind w:left="0" w:right="0" w:hanging="0"/>
              <w:rPr>
                <w:sz w:val="17"/>
              </w:rPr>
            </w:pPr>
            <w:r>
              <w:rPr>
                <w:sz w:val="17"/>
              </w:rPr>
              <w:t>Underwriting Agreement, dated August 11, 2011, by and among Plains All American Pipeline, L.P., Vulcan Energy Corporation and Citigroup Global Markets Inc., Barclays Capital Inc., Merrill Lynch, Pierce, Fenner &amp; Smith Incorporated, J.P. Morgan Securities LLC and UBS Securities LLC, as representatives of the several underwriters named therein.</w:t>
            </w:r>
          </w:p>
        </w:tc>
      </w:tr>
      <w:tr>
        <w:trPr/>
        <w:tc>
          <w:tcPr>
            <w:tcW w:w="276" w:type="dxa"/>
            <w:tcBorders/>
            <w:shd w:fill="auto" w:val="clear"/>
          </w:tcPr>
          <w:p>
            <w:pPr>
              <w:pStyle w:val="TableContents"/>
              <w:spacing w:before="0" w:after="283"/>
              <w:jc w:val="right"/>
              <w:rPr/>
            </w:pPr>
            <w:r>
              <w:rPr/>
              <w:t> </w:t>
            </w:r>
          </w:p>
        </w:tc>
        <w:tc>
          <w:tcPr>
            <w:tcW w:w="591" w:type="dxa"/>
            <w:tcBorders/>
            <w:shd w:fill="auto" w:val="clear"/>
          </w:tcPr>
          <w:p>
            <w:pPr>
              <w:pStyle w:val="TableContents"/>
              <w:spacing w:before="0" w:after="283"/>
              <w:jc w:val="right"/>
              <w:rPr/>
            </w:pPr>
            <w:r>
              <w:rPr/>
              <w:t>5.1</w:t>
            </w:r>
          </w:p>
        </w:tc>
        <w:tc>
          <w:tcPr>
            <w:tcW w:w="280" w:type="dxa"/>
            <w:tcBorders/>
            <w:shd w:fill="auto" w:val="clear"/>
          </w:tcPr>
          <w:p>
            <w:pPr>
              <w:pStyle w:val="TableContents"/>
              <w:spacing w:before="0" w:after="283"/>
              <w:rPr/>
            </w:pPr>
            <w:r>
              <w:rPr/>
              <w:t> </w:t>
            </w:r>
          </w:p>
        </w:tc>
        <w:tc>
          <w:tcPr>
            <w:tcW w:w="328" w:type="dxa"/>
            <w:tcBorders/>
            <w:shd w:fill="auto" w:val="clear"/>
          </w:tcPr>
          <w:p>
            <w:pPr>
              <w:pStyle w:val="TableContents"/>
              <w:spacing w:before="0" w:after="283"/>
              <w:rPr/>
            </w:pPr>
            <w:r>
              <w:rPr/>
              <w:t> </w:t>
            </w:r>
          </w:p>
        </w:tc>
        <w:tc>
          <w:tcPr>
            <w:tcW w:w="8730" w:type="dxa"/>
            <w:tcBorders/>
            <w:shd w:fill="auto" w:val="clear"/>
          </w:tcPr>
          <w:p>
            <w:pPr>
              <w:pStyle w:val="TableContents"/>
              <w:spacing w:before="0" w:after="0"/>
              <w:ind w:left="0" w:right="0" w:hanging="0"/>
              <w:rPr>
                <w:sz w:val="17"/>
              </w:rPr>
            </w:pPr>
            <w:r>
              <w:rPr>
                <w:sz w:val="17"/>
              </w:rPr>
              <w:t>Opinion of Vinson &amp; Elkins L.L.P.</w:t>
            </w:r>
          </w:p>
        </w:tc>
      </w:tr>
      <w:tr>
        <w:trPr/>
        <w:tc>
          <w:tcPr>
            <w:tcW w:w="276" w:type="dxa"/>
            <w:tcBorders/>
            <w:shd w:fill="auto" w:val="clear"/>
          </w:tcPr>
          <w:p>
            <w:pPr>
              <w:pStyle w:val="TableContents"/>
              <w:spacing w:before="0" w:after="283"/>
              <w:jc w:val="right"/>
              <w:rPr/>
            </w:pPr>
            <w:r>
              <w:rPr/>
              <w:t> </w:t>
            </w:r>
          </w:p>
        </w:tc>
        <w:tc>
          <w:tcPr>
            <w:tcW w:w="591" w:type="dxa"/>
            <w:tcBorders/>
            <w:shd w:fill="auto" w:val="clear"/>
          </w:tcPr>
          <w:p>
            <w:pPr>
              <w:pStyle w:val="TableContents"/>
              <w:spacing w:before="0" w:after="283"/>
              <w:jc w:val="right"/>
              <w:rPr/>
            </w:pPr>
            <w:r>
              <w:rPr/>
              <w:t>8.1</w:t>
            </w:r>
          </w:p>
        </w:tc>
        <w:tc>
          <w:tcPr>
            <w:tcW w:w="280" w:type="dxa"/>
            <w:tcBorders/>
            <w:shd w:fill="auto" w:val="clear"/>
          </w:tcPr>
          <w:p>
            <w:pPr>
              <w:pStyle w:val="TableContents"/>
              <w:spacing w:before="0" w:after="283"/>
              <w:rPr/>
            </w:pPr>
            <w:r>
              <w:rPr/>
              <w:t> </w:t>
            </w:r>
          </w:p>
        </w:tc>
        <w:tc>
          <w:tcPr>
            <w:tcW w:w="328" w:type="dxa"/>
            <w:tcBorders/>
            <w:shd w:fill="auto" w:val="clear"/>
          </w:tcPr>
          <w:p>
            <w:pPr>
              <w:pStyle w:val="TableContents"/>
              <w:spacing w:before="0" w:after="283"/>
              <w:rPr/>
            </w:pPr>
            <w:r>
              <w:rPr/>
              <w:t> </w:t>
            </w:r>
          </w:p>
        </w:tc>
        <w:tc>
          <w:tcPr>
            <w:tcW w:w="8730" w:type="dxa"/>
            <w:tcBorders/>
            <w:shd w:fill="auto" w:val="clear"/>
          </w:tcPr>
          <w:p>
            <w:pPr>
              <w:pStyle w:val="TableContents"/>
              <w:spacing w:before="0" w:after="0"/>
              <w:ind w:left="0" w:right="0" w:hanging="0"/>
              <w:rPr>
                <w:sz w:val="17"/>
              </w:rPr>
            </w:pPr>
            <w:r>
              <w:rPr>
                <w:sz w:val="17"/>
              </w:rPr>
              <w:t>Opinion of Vinson &amp; Elkins L.L.P. as to certain tax matters.</w:t>
            </w:r>
          </w:p>
        </w:tc>
      </w:tr>
    </w:tbl>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2" w:name="h84202exv1w1.htm"/>
      <w:bookmarkStart w:id="3" w:name="ksh84202exv1w1"/>
      <w:bookmarkEnd w:id="2"/>
      <w:bookmarkEnd w:id="3"/>
      <w:r>
        <w:rPr>
          <w:rFonts w:ascii="Times New Roman;Times;serif" w:hAnsi="Times New Roman;Times;serif"/>
          <w:b/>
          <w:sz w:val="17"/>
        </w:rPr>
        <w:t>Exhibit 1.1</w:t>
      </w:r>
      <w:r>
        <w:rPr>
          <w:rFonts w:ascii="Times New Roman;Times;serif" w:hAnsi="Times New Roman;Times;serif"/>
          <w:sz w:val="17"/>
        </w:rPr>
        <w:br/>
        <w:br/>
      </w:r>
      <w:r>
        <w:rPr>
          <w:rFonts w:ascii="Times New Roman;Times;serif" w:hAnsi="Times New Roman;Times;serif"/>
          <w:b/>
          <w:i/>
          <w:sz w:val="17"/>
        </w:rPr>
        <w:t>Execution Version</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7,500,000 Common Units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Representing Limited Partner Interests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UNDERWRITING AGREEMENT</w:t>
      </w:r>
      <w:r>
        <w:rPr>
          <w:rFonts w:ascii="Times New Roman;Times;serif" w:hAnsi="Times New Roman;Times;serif"/>
          <w:sz w:val="17"/>
        </w:rPr>
        <w:t xml:space="preserve"> </w:t>
      </w:r>
    </w:p>
    <w:p>
      <w:pPr>
        <w:pStyle w:val="TextBody"/>
        <w:spacing w:before="240" w:after="283"/>
        <w:jc w:val="right"/>
        <w:rPr>
          <w:rFonts w:ascii="Times New Roman;Times;serif" w:hAnsi="Times New Roman;Times;serif"/>
          <w:sz w:val="17"/>
        </w:rPr>
      </w:pPr>
      <w:r>
        <w:rPr>
          <w:rFonts w:ascii="Times New Roman;Times;serif" w:hAnsi="Times New Roman;Times;serif"/>
          <w:sz w:val="17"/>
        </w:rPr>
        <w:t>New York, New York</w:t>
        <w:br/>
        <w:t xml:space="preserve">August 11,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Barclays Capital Inc.</w:t>
        <w:br/>
        <w:t>Merrill Lynch, Pierce, Fenner &amp; Smith</w:t>
        <w:br/>
        <w:t>           Incorporated</w:t>
        <w:br/>
        <w:t xml:space="preserve">J.P. Morgan Securities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UBS Securities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Representatives of the several Underwriters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c/o Citigroup Global Markets Inc.</w:t>
        <w:br/>
        <w:t>388 Greenwich St., 34th Floor</w:t>
        <w:br/>
        <w:t xml:space="preserve">New York, New York 10013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Vulcan Energy Corporation, a Delaware corporation (the </w:t>
      </w:r>
      <w:r>
        <w:rPr>
          <w:rFonts w:ascii="Times New Roman;Times;serif" w:hAnsi="Times New Roman;Times;serif"/>
          <w:b/>
          <w:sz w:val="17"/>
        </w:rPr>
        <w:t>Selling Unitholder</w:t>
      </w:r>
      <w:r>
        <w:rPr>
          <w:rFonts w:ascii="Times New Roman;Times;serif" w:hAnsi="Times New Roman;Times;serif"/>
          <w:sz w:val="17"/>
        </w:rPr>
        <w:t>), proposes to sell 7,500,000 common units (the </w:t>
      </w:r>
      <w:r>
        <w:rPr>
          <w:rFonts w:ascii="Times New Roman;Times;serif" w:hAnsi="Times New Roman;Times;serif"/>
          <w:b/>
          <w:sz w:val="17"/>
        </w:rPr>
        <w:t>Firm Units</w:t>
      </w:r>
      <w:r>
        <w:rPr>
          <w:rFonts w:ascii="Times New Roman;Times;serif" w:hAnsi="Times New Roman;Times;serif"/>
          <w:sz w:val="17"/>
        </w:rPr>
        <w:t>) representing limited partner interests (</w:t>
      </w:r>
      <w:r>
        <w:rPr>
          <w:rFonts w:ascii="Times New Roman;Times;serif" w:hAnsi="Times New Roman;Times;serif"/>
          <w:b/>
          <w:sz w:val="17"/>
        </w:rPr>
        <w:t>Common Units</w:t>
      </w:r>
      <w:r>
        <w:rPr>
          <w:rFonts w:ascii="Times New Roman;Times;serif" w:hAnsi="Times New Roman;Times;serif"/>
          <w:sz w:val="17"/>
        </w:rPr>
        <w:t>) in Plains All American Pipeline, L.P., a Delaware limited partnership (the </w:t>
      </w:r>
      <w:r>
        <w:rPr>
          <w:rFonts w:ascii="Times New Roman;Times;serif" w:hAnsi="Times New Roman;Times;serif"/>
          <w:b/>
          <w:sz w:val="17"/>
        </w:rPr>
        <w:t>Partnership</w:t>
      </w:r>
      <w:r>
        <w:rPr>
          <w:rFonts w:ascii="Times New Roman;Times;serif" w:hAnsi="Times New Roman;Times;serif"/>
          <w:sz w:val="17"/>
        </w:rPr>
        <w:t xml:space="preserve">), to the several underwriters named in </w:t>
      </w:r>
      <w:r>
        <w:rPr>
          <w:rFonts w:ascii="Times New Roman;Times;serif" w:hAnsi="Times New Roman;Times;serif"/>
          <w:sz w:val="17"/>
          <w:u w:val="single"/>
        </w:rPr>
        <w:t>Schedule I</w:t>
      </w:r>
      <w:r>
        <w:rPr>
          <w:rFonts w:ascii="Times New Roman;Times;serif" w:hAnsi="Times New Roman;Times;serif"/>
          <w:sz w:val="17"/>
        </w:rPr>
        <w:t xml:space="preserve"> hereto (the </w:t>
      </w:r>
      <w:r>
        <w:rPr>
          <w:rFonts w:ascii="Times New Roman;Times;serif" w:hAnsi="Times New Roman;Times;serif"/>
          <w:b/>
          <w:sz w:val="17"/>
        </w:rPr>
        <w:t>Underwriters</w:t>
      </w:r>
      <w:r>
        <w:rPr>
          <w:rFonts w:ascii="Times New Roman;Times;serif" w:hAnsi="Times New Roman;Times;serif"/>
          <w:sz w:val="17"/>
        </w:rPr>
        <w:t>), for whom Citigroup Global Markets Inc., Barclays Capital Inc., Merrill Lynch, Pierce, Fenner &amp; Smith Incorporated, J.P. Morgan Securities LLC and UBS Securities LLC are acting as representatives (the "</w:t>
      </w:r>
      <w:r>
        <w:rPr>
          <w:rFonts w:ascii="Times New Roman;Times;serif" w:hAnsi="Times New Roman;Times;serif"/>
          <w:b/>
          <w:sz w:val="17"/>
        </w:rPr>
        <w:t>Representatives</w:t>
      </w:r>
      <w:r>
        <w:rPr>
          <w:rFonts w:ascii="Times New Roman;Times;serif" w:hAnsi="Times New Roman;Times;serif"/>
          <w:sz w:val="17"/>
        </w:rPr>
        <w:t>), upon the terms and conditions set forth in Section 3 hereof. The Selling Unitholder also proposes to grant to the Underwriters, upon the terms and conditions set forth in Section 3 hereof, an option to purchase up to an additional 1,125,000 Common Units (the </w:t>
      </w:r>
      <w:r>
        <w:rPr>
          <w:rFonts w:ascii="Times New Roman;Times;serif" w:hAnsi="Times New Roman;Times;serif"/>
          <w:b/>
          <w:sz w:val="17"/>
        </w:rPr>
        <w:t>Option Units</w:t>
      </w:r>
      <w:r>
        <w:rPr>
          <w:rFonts w:ascii="Times New Roman;Times;serif" w:hAnsi="Times New Roman;Times;serif"/>
          <w:sz w:val="17"/>
        </w:rPr>
        <w:t>). The Firm Units and the Option Units, if purchased, are hereinafter collectively called the </w:t>
      </w:r>
      <w:r>
        <w:rPr>
          <w:rFonts w:ascii="Times New Roman;Times;serif" w:hAnsi="Times New Roman;Times;serif"/>
          <w:b/>
          <w:sz w:val="17"/>
        </w:rPr>
        <w:t>Units</w:t>
      </w:r>
      <w:r>
        <w:rPr>
          <w:rFonts w:ascii="Times New Roman;Times;serif" w:hAnsi="Times New Roman;Times;serif"/>
          <w:sz w:val="17"/>
        </w:rPr>
        <w:t>.</w:t>
      </w:r>
    </w:p>
    <w:p>
      <w:pPr>
        <w:pStyle w:val="TextBody"/>
        <w:spacing w:before="120" w:after="283"/>
        <w:jc w:val="left"/>
        <w:rPr/>
      </w:pPr>
      <w:r>
        <w:rPr/>
        <w:t>          </w:t>
      </w:r>
      <w:r>
        <w:rPr>
          <w:rFonts w:ascii="Times New Roman;Times;serif" w:hAnsi="Times New Roman;Times;serif"/>
          <w:sz w:val="17"/>
        </w:rPr>
        <w:t>PAA GP LLC, a Delaware limited liability company (the </w:t>
      </w:r>
      <w:r>
        <w:rPr>
          <w:rFonts w:ascii="Times New Roman;Times;serif" w:hAnsi="Times New Roman;Times;serif"/>
          <w:b/>
          <w:sz w:val="17"/>
        </w:rPr>
        <w:t>General Partner</w:t>
      </w:r>
      <w:r>
        <w:rPr>
          <w:rFonts w:ascii="Times New Roman;Times;serif" w:hAnsi="Times New Roman;Times;serif"/>
          <w:sz w:val="17"/>
        </w:rPr>
        <w:t>), is the general partner of the Partnership. Plains AAP, L.P., a Delaware limited partnership (</w:t>
      </w:r>
      <w:r>
        <w:rPr>
          <w:rFonts w:ascii="Times New Roman;Times;serif" w:hAnsi="Times New Roman;Times;serif"/>
          <w:b/>
          <w:sz w:val="17"/>
        </w:rPr>
        <w:t>Plains AAP</w:t>
      </w:r>
      <w:r>
        <w:rPr>
          <w:rFonts w:ascii="Times New Roman;Times;serif" w:hAnsi="Times New Roman;Times;serif"/>
          <w:sz w:val="17"/>
        </w:rPr>
        <w:t>), owns a 100% membership interest in the General Partner. Plains All American GP LLC, a Delaware limited liability company (</w:t>
      </w:r>
      <w:r>
        <w:rPr>
          <w:rFonts w:ascii="Times New Roman;Times;serif" w:hAnsi="Times New Roman;Times;serif"/>
          <w:b/>
          <w:sz w:val="17"/>
        </w:rPr>
        <w:t>GP LLC</w:t>
      </w:r>
      <w:r>
        <w:rPr>
          <w:rFonts w:ascii="Times New Roman;Times;serif" w:hAnsi="Times New Roman;Times;serif"/>
          <w:sz w:val="17"/>
        </w:rPr>
        <w:t> and, collectively with the General Partner and Plains AAP, the </w:t>
      </w:r>
      <w:r>
        <w:rPr>
          <w:rFonts w:ascii="Times New Roman;Times;serif" w:hAnsi="Times New Roman;Times;serif"/>
          <w:b/>
          <w:sz w:val="17"/>
        </w:rPr>
        <w:t>GP Entities</w:t>
      </w:r>
      <w:r>
        <w:rPr>
          <w:rFonts w:ascii="Times New Roman;Times;serif" w:hAnsi="Times New Roman;Times;serif"/>
          <w:sz w:val="17"/>
        </w:rPr>
        <w:t>), is the general partner of Plains AAP.</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The subsidiaries of the Partnership listed on </w:t>
      </w:r>
      <w:r>
        <w:rPr>
          <w:rFonts w:ascii="Times New Roman;Times;serif" w:hAnsi="Times New Roman;Times;serif"/>
          <w:sz w:val="17"/>
          <w:u w:val="single"/>
        </w:rPr>
        <w:t>Schedule III</w:t>
      </w:r>
      <w:r>
        <w:rPr>
          <w:rFonts w:ascii="Times New Roman;Times;serif" w:hAnsi="Times New Roman;Times;serif"/>
          <w:sz w:val="17"/>
        </w:rPr>
        <w:t xml:space="preserve"> attached hereto are referred to herein as the </w:t>
      </w:r>
      <w:r>
        <w:rPr>
          <w:rFonts w:ascii="Times New Roman;Times;serif" w:hAnsi="Times New Roman;Times;serif"/>
          <w:b/>
          <w:sz w:val="17"/>
        </w:rPr>
        <w:t>Material Subsidiaries</w:t>
      </w:r>
      <w:r>
        <w:rPr>
          <w:rFonts w:ascii="Times New Roman;Times;serif" w:hAnsi="Times New Roman;Times;serif"/>
          <w:sz w:val="17"/>
        </w:rPr>
        <w:t xml:space="preserve"> and the Material Subsidiaries listed on </w:t>
      </w:r>
      <w:r>
        <w:rPr>
          <w:rFonts w:ascii="Times New Roman;Times;serif" w:hAnsi="Times New Roman;Times;serif"/>
          <w:sz w:val="17"/>
          <w:u w:val="single"/>
        </w:rPr>
        <w:t>Schedule IV</w:t>
      </w:r>
      <w:r>
        <w:rPr>
          <w:rFonts w:ascii="Times New Roman;Times;serif" w:hAnsi="Times New Roman;Times;serif"/>
          <w:sz w:val="17"/>
        </w:rPr>
        <w:t xml:space="preserve"> attached hereto are referred to herein as the </w:t>
      </w:r>
      <w:r>
        <w:rPr>
          <w:rFonts w:ascii="Times New Roman;Times;serif" w:hAnsi="Times New Roman;Times;serif"/>
          <w:b/>
          <w:sz w:val="17"/>
        </w:rPr>
        <w:t>Domestic Subsidiaries</w:t>
      </w:r>
      <w:r>
        <w:rPr>
          <w:rFonts w:ascii="Times New Roman;Times;serif" w:hAnsi="Times New Roman;Times;serif"/>
          <w:sz w:val="17"/>
        </w:rPr>
        <w:t>.</w:t>
      </w:r>
    </w:p>
    <w:p>
      <w:pPr>
        <w:pStyle w:val="TextBody"/>
        <w:spacing w:before="120" w:after="283"/>
        <w:jc w:val="left"/>
        <w:rPr/>
      </w:pPr>
      <w:r>
        <w:rPr/>
        <w:t>          </w:t>
      </w:r>
      <w:r>
        <w:rPr>
          <w:rFonts w:ascii="Times New Roman;Times;serif" w:hAnsi="Times New Roman;Times;serif"/>
          <w:sz w:val="17"/>
        </w:rPr>
        <w:t>This is to confirm the agreement among the Partnership, the Selling Unitholder and the Underwriters concerning the several purchases of the Units by the Underwriters.</w:t>
      </w:r>
    </w:p>
    <w:p>
      <w:pPr>
        <w:pStyle w:val="TextBody"/>
        <w:spacing w:before="120" w:after="283"/>
        <w:jc w:val="left"/>
        <w:rPr/>
      </w:pPr>
      <w:r>
        <w:rPr/>
        <w:t>          </w:t>
      </w:r>
      <w:r>
        <w:rPr>
          <w:rFonts w:ascii="Times New Roman;Times;serif" w:hAnsi="Times New Roman;Times;serif"/>
          <w:sz w:val="17"/>
        </w:rPr>
        <w:t xml:space="preserve">1. </w:t>
      </w:r>
      <w:r>
        <w:rPr>
          <w:rFonts w:ascii="Times New Roman;Times;serif" w:hAnsi="Times New Roman;Times;serif"/>
          <w:sz w:val="17"/>
          <w:u w:val="single"/>
        </w:rPr>
        <w:t>Representations and Warranties of the Partnership</w:t>
      </w:r>
      <w:r>
        <w:rPr>
          <w:rFonts w:ascii="Times New Roman;Times;serif" w:hAnsi="Times New Roman;Times;serif"/>
          <w:sz w:val="17"/>
        </w:rPr>
        <w:t>. The Partnership represents and warrants to the Underwriters that:</w:t>
      </w:r>
    </w:p>
    <w:p>
      <w:pPr>
        <w:pStyle w:val="TextBody"/>
        <w:spacing w:before="120" w:after="283"/>
        <w:jc w:val="left"/>
        <w:rPr/>
      </w:pPr>
      <w:r>
        <w:rPr/>
        <w:t>          </w:t>
      </w:r>
      <w:r>
        <w:rPr>
          <w:rFonts w:ascii="Times New Roman;Times;serif" w:hAnsi="Times New Roman;Times;serif"/>
          <w:sz w:val="17"/>
        </w:rPr>
        <w:t>(a) </w:t>
      </w:r>
      <w:r>
        <w:rPr>
          <w:rFonts w:ascii="Times New Roman;Times;serif" w:hAnsi="Times New Roman;Times;serif"/>
          <w:i/>
          <w:sz w:val="17"/>
        </w:rPr>
        <w:t xml:space="preserve">Registration. </w:t>
      </w:r>
      <w:r>
        <w:rPr>
          <w:rFonts w:ascii="Times New Roman;Times;serif" w:hAnsi="Times New Roman;Times;serif"/>
          <w:sz w:val="17"/>
        </w:rPr>
        <w:t>A registration statement on Form S-3 relating to the Units (File No. 333-155673) (i) has been prepared by the Partnership in conformity with the requirements of the Securities Act of 1933, as amended (the </w:t>
      </w:r>
      <w:r>
        <w:rPr>
          <w:rFonts w:ascii="Times New Roman;Times;serif" w:hAnsi="Times New Roman;Times;serif"/>
          <w:b/>
          <w:sz w:val="17"/>
        </w:rPr>
        <w:t>Securities Act</w:t>
      </w:r>
      <w:r>
        <w:rPr>
          <w:rFonts w:ascii="Times New Roman;Times;serif" w:hAnsi="Times New Roman;Times;serif"/>
          <w:sz w:val="17"/>
        </w:rPr>
        <w:t>), and the rules and regulations (the </w:t>
      </w:r>
      <w:r>
        <w:rPr>
          <w:rFonts w:ascii="Times New Roman;Times;serif" w:hAnsi="Times New Roman;Times;serif"/>
          <w:b/>
          <w:sz w:val="17"/>
        </w:rPr>
        <w:t>Rules and Regulations</w:t>
      </w:r>
      <w:r>
        <w:rPr>
          <w:rFonts w:ascii="Times New Roman;Times;serif" w:hAnsi="Times New Roman;Times;serif"/>
          <w:sz w:val="17"/>
        </w:rPr>
        <w:t>) of the Securities and Exchange Commission (the </w:t>
      </w:r>
      <w:r>
        <w:rPr>
          <w:rFonts w:ascii="Times New Roman;Times;serif" w:hAnsi="Times New Roman;Times;serif"/>
          <w:b/>
          <w:sz w:val="17"/>
        </w:rPr>
        <w:t>Commission</w:t>
      </w:r>
      <w:r>
        <w:rPr>
          <w:rFonts w:ascii="Times New Roman;Times;serif" w:hAnsi="Times New Roman;Times;serif"/>
          <w:sz w:val="17"/>
        </w:rPr>
        <w:t>) thereunder; (ii) has been filed with the Commission under the Securities Act; and (iii) is effective under the Securities Act. Copies of such registration statement and any amendment thereto have been delivered by the Partnership to the Representatives. As used in this Agreement:</w:t>
      </w:r>
    </w:p>
    <w:p>
      <w:pPr>
        <w:pStyle w:val="TextBody"/>
        <w:spacing w:before="120" w:after="283"/>
        <w:jc w:val="left"/>
        <w:rPr/>
      </w:pPr>
      <w:r>
        <w:rPr/>
        <w:t>     </w:t>
      </w:r>
      <w:r>
        <w:rPr>
          <w:rFonts w:ascii="Times New Roman;Times;serif" w:hAnsi="Times New Roman;Times;serif"/>
          <w:sz w:val="17"/>
        </w:rPr>
        <w:t>(i) </w:t>
      </w:r>
      <w:r>
        <w:rPr>
          <w:rFonts w:ascii="Times New Roman;Times;serif" w:hAnsi="Times New Roman;Times;serif"/>
          <w:b/>
          <w:sz w:val="17"/>
        </w:rPr>
        <w:t>Applicable Time</w:t>
      </w:r>
      <w:r>
        <w:rPr>
          <w:rFonts w:ascii="Times New Roman;Times;serif" w:hAnsi="Times New Roman;Times;serif"/>
          <w:sz w:val="17"/>
        </w:rPr>
        <w:t xml:space="preserve"> means 6:10 p.m., New York City time, on August 11, 2011, which the Underwriters have informed the Partnership and its counsel is a time prior to the first sale of the Units; </w:t>
      </w:r>
    </w:p>
    <w:p>
      <w:pPr>
        <w:pStyle w:val="TextBody"/>
        <w:spacing w:before="120" w:after="283"/>
        <w:jc w:val="left"/>
        <w:rPr/>
      </w:pPr>
      <w:r>
        <w:rPr/>
        <w:t>     </w:t>
      </w:r>
      <w:r>
        <w:rPr>
          <w:rFonts w:ascii="Times New Roman;Times;serif" w:hAnsi="Times New Roman;Times;serif"/>
          <w:sz w:val="17"/>
        </w:rPr>
        <w:t>(ii) </w:t>
      </w:r>
      <w:r>
        <w:rPr>
          <w:rFonts w:ascii="Times New Roman;Times;serif" w:hAnsi="Times New Roman;Times;serif"/>
          <w:b/>
          <w:sz w:val="17"/>
        </w:rPr>
        <w:t>Base Prospectus</w:t>
      </w:r>
      <w:r>
        <w:rPr>
          <w:rFonts w:ascii="Times New Roman;Times;serif" w:hAnsi="Times New Roman;Times;serif"/>
          <w:sz w:val="17"/>
        </w:rPr>
        <w:t xml:space="preserve"> means the base prospectus included in the Registration Statement at the Applicable Time. </w:t>
      </w:r>
    </w:p>
    <w:p>
      <w:pPr>
        <w:pStyle w:val="TextBody"/>
        <w:spacing w:before="120" w:after="283"/>
        <w:jc w:val="left"/>
        <w:rPr/>
      </w:pPr>
      <w:r>
        <w:rPr/>
        <w:t>     </w:t>
      </w:r>
      <w:r>
        <w:rPr>
          <w:rFonts w:ascii="Times New Roman;Times;serif" w:hAnsi="Times New Roman;Times;serif"/>
          <w:sz w:val="17"/>
        </w:rPr>
        <w:t>(iii) </w:t>
      </w:r>
      <w:r>
        <w:rPr>
          <w:rFonts w:ascii="Times New Roman;Times;serif" w:hAnsi="Times New Roman;Times;serif"/>
          <w:b/>
          <w:sz w:val="17"/>
        </w:rPr>
        <w:t>Effective Date</w:t>
      </w:r>
      <w:r>
        <w:rPr>
          <w:rFonts w:ascii="Times New Roman;Times;serif" w:hAnsi="Times New Roman;Times;serif"/>
          <w:sz w:val="17"/>
        </w:rPr>
        <w:t xml:space="preserve"> means any date as of which any part of such registration statement relating to the Units became, or is deemed to have become, effective under the Securities Act in accordance with the Rules and Regulations; </w:t>
      </w:r>
    </w:p>
    <w:p>
      <w:pPr>
        <w:pStyle w:val="TextBody"/>
        <w:spacing w:before="120" w:after="283"/>
        <w:jc w:val="left"/>
        <w:rPr/>
      </w:pPr>
      <w:r>
        <w:rPr/>
        <w:t>     </w:t>
      </w:r>
      <w:r>
        <w:rPr>
          <w:rFonts w:ascii="Times New Roman;Times;serif" w:hAnsi="Times New Roman;Times;serif"/>
          <w:sz w:val="17"/>
        </w:rPr>
        <w:t>(iv) </w:t>
      </w:r>
      <w:r>
        <w:rPr>
          <w:rFonts w:ascii="Times New Roman;Times;serif" w:hAnsi="Times New Roman;Times;serif"/>
          <w:b/>
          <w:sz w:val="17"/>
        </w:rPr>
        <w:t>Issuer Free Writing Prospectus</w:t>
      </w:r>
      <w:r>
        <w:rPr>
          <w:rFonts w:ascii="Times New Roman;Times;serif" w:hAnsi="Times New Roman;Times;serif"/>
          <w:sz w:val="17"/>
        </w:rPr>
        <w:t xml:space="preserve">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Units; </w:t>
      </w:r>
    </w:p>
    <w:p>
      <w:pPr>
        <w:pStyle w:val="TextBody"/>
        <w:spacing w:before="120" w:after="283"/>
        <w:jc w:val="left"/>
        <w:rPr/>
      </w:pPr>
      <w:r>
        <w:rPr/>
        <w:t>     </w:t>
      </w:r>
      <w:r>
        <w:rPr>
          <w:rFonts w:ascii="Times New Roman;Times;serif" w:hAnsi="Times New Roman;Times;serif"/>
          <w:sz w:val="17"/>
        </w:rPr>
        <w:t>(v) </w:t>
      </w:r>
      <w:r>
        <w:rPr>
          <w:rFonts w:ascii="Times New Roman;Times;serif" w:hAnsi="Times New Roman;Times;serif"/>
          <w:b/>
          <w:sz w:val="17"/>
        </w:rPr>
        <w:t>Preliminary Prospectus</w:t>
      </w:r>
      <w:r>
        <w:rPr>
          <w:rFonts w:ascii="Times New Roman;Times;serif" w:hAnsi="Times New Roman;Times;serif"/>
          <w:sz w:val="17"/>
        </w:rPr>
        <w:t xml:space="preserve"> means any preliminary prospectus relating to the Units included in such registration statement or filed with the Commission pursuant to Rule 424(b) of the Rules and Regulations, including the Base Prospectus and any preliminary prospectus supplement thereto relating to the Units; </w:t>
      </w:r>
    </w:p>
    <w:p>
      <w:pPr>
        <w:pStyle w:val="TextBody"/>
        <w:spacing w:before="120" w:after="283"/>
        <w:jc w:val="left"/>
        <w:rPr/>
      </w:pPr>
      <w:r>
        <w:rPr/>
        <w:t>     </w:t>
      </w:r>
      <w:r>
        <w:rPr>
          <w:rFonts w:ascii="Times New Roman;Times;serif" w:hAnsi="Times New Roman;Times;serif"/>
          <w:sz w:val="17"/>
        </w:rPr>
        <w:t>(vi) </w:t>
      </w:r>
      <w:r>
        <w:rPr>
          <w:rFonts w:ascii="Times New Roman;Times;serif" w:hAnsi="Times New Roman;Times;serif"/>
          <w:b/>
          <w:sz w:val="17"/>
        </w:rPr>
        <w:t>Pricing Disclosure Package</w:t>
      </w:r>
      <w:r>
        <w:rPr>
          <w:rFonts w:ascii="Times New Roman;Times;serif" w:hAnsi="Times New Roman;Times;serif"/>
          <w:sz w:val="17"/>
        </w:rPr>
        <w:t xml:space="preserve"> means, as of the Applicable Time, the most recent Preliminary Prospectus together with (A) the pricing information identified in </w:t>
      </w:r>
      <w:r>
        <w:rPr>
          <w:rFonts w:ascii="Times New Roman;Times;serif" w:hAnsi="Times New Roman;Times;serif"/>
          <w:sz w:val="17"/>
          <w:u w:val="single"/>
        </w:rPr>
        <w:t>Schedule II</w:t>
      </w:r>
      <w:r>
        <w:rPr>
          <w:rFonts w:ascii="Times New Roman;Times;serif" w:hAnsi="Times New Roman;Times;serif"/>
          <w:sz w:val="17"/>
        </w:rPr>
        <w:t xml:space="preserve"> hereto and (B) each Issuer Free Writing Prospectus filed or used by the Partnership on or before the Applicable Time, other than a road show that is an Issuer Free Writing Prospectus under Rule 433 of the Rules and Regulations;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(vii) </w:t>
      </w:r>
      <w:r>
        <w:rPr>
          <w:rFonts w:ascii="Times New Roman;Times;serif" w:hAnsi="Times New Roman;Times;serif"/>
          <w:b/>
          <w:sz w:val="17"/>
        </w:rPr>
        <w:t>Prospectus</w:t>
      </w:r>
      <w:r>
        <w:rPr>
          <w:rFonts w:ascii="Times New Roman;Times;serif" w:hAnsi="Times New Roman;Times;serif"/>
          <w:sz w:val="17"/>
        </w:rPr>
        <w:t xml:space="preserve"> means the final prospectus relating to the Units, including the Base Prospectus and any prospectus supplement thereto relating to the Units, as filed with the Commission pursuant to Rule 424(b) of the Rules and Regulations; and </w:t>
      </w:r>
    </w:p>
    <w:p>
      <w:pPr>
        <w:pStyle w:val="TextBody"/>
        <w:spacing w:before="120" w:after="283"/>
        <w:jc w:val="left"/>
        <w:rPr/>
      </w:pPr>
      <w:r>
        <w:rPr/>
        <w:t>     </w:t>
      </w:r>
      <w:r>
        <w:rPr>
          <w:rFonts w:ascii="Times New Roman;Times;serif" w:hAnsi="Times New Roman;Times;serif"/>
          <w:sz w:val="17"/>
        </w:rPr>
        <w:t>(viii) </w:t>
      </w:r>
      <w:r>
        <w:rPr>
          <w:rFonts w:ascii="Times New Roman;Times;serif" w:hAnsi="Times New Roman;Times;serif"/>
          <w:b/>
          <w:sz w:val="17"/>
        </w:rPr>
        <w:t>Registration Statement</w:t>
      </w:r>
      <w:r>
        <w:rPr>
          <w:rFonts w:ascii="Times New Roman;Times;serif" w:hAnsi="Times New Roman;Times;serif"/>
          <w:sz w:val="17"/>
        </w:rPr>
        <w:t xml:space="preserve"> means the registration statement on Form S-3 (File No. 333-155673), as amended as of the Effective Date, including any Preliminary Prospectus or the Prospectus and all exhibits to such registration statement. </w:t>
      </w:r>
    </w:p>
    <w:p>
      <w:pPr>
        <w:pStyle w:val="TextBody"/>
        <w:spacing w:before="120" w:after="283"/>
        <w:jc w:val="left"/>
        <w:rPr/>
      </w:pPr>
      <w:r>
        <w:rPr/>
        <w:t>     </w:t>
      </w:r>
      <w:r>
        <w:rPr>
          <w:rFonts w:ascii="Times New Roman;Times;serif" w:hAnsi="Times New Roman;Times;serif"/>
          <w:sz w:val="17"/>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Times New Roman;Times;serif" w:hAnsi="Times New Roman;Times;serif"/>
          <w:b/>
          <w:sz w:val="17"/>
        </w:rPr>
        <w:t>most recent Preliminary Prospectus</w:t>
      </w:r>
      <w:r>
        <w:rPr>
          <w:rFonts w:ascii="Times New Roman;Times;serif" w:hAnsi="Times New Roman;Times;serif"/>
          <w:sz w:val="17"/>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Times;serif" w:hAnsi="Times New Roman;Times;serif"/>
          <w:b/>
          <w:sz w:val="17"/>
        </w:rPr>
        <w:t>Exchange Act</w:t>
      </w:r>
      <w:r>
        <w:rPr>
          <w:rFonts w:ascii="Times New Roman;Times;serif" w:hAnsi="Times New Roman;Times;serif"/>
          <w:sz w:val="17"/>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Times New Roman;Times;serif" w:hAnsi="Times New Roman;Times;serif"/>
          <w:b/>
          <w:sz w:val="17"/>
        </w:rPr>
        <w:t>Incorporated Documents</w:t>
      </w:r>
      <w:r>
        <w:rPr>
          <w:rFonts w:ascii="Times New Roman;Times;serif" w:hAnsi="Times New Roman;Times;serif"/>
          <w:sz w:val="17"/>
        </w:rPr>
        <w:t xml:space="preserve">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Partnerships knowledge, threatened by the Commission. The Commission has not notified the Partnership of any objection to the use of the form of the Registration Statement. </w:t>
      </w:r>
    </w:p>
    <w:p>
      <w:pPr>
        <w:pStyle w:val="TextBody"/>
        <w:spacing w:before="120" w:after="283"/>
        <w:jc w:val="left"/>
        <w:rPr/>
      </w:pPr>
      <w:r>
        <w:rPr/>
        <w:t>          </w:t>
      </w:r>
      <w:r>
        <w:rPr>
          <w:rFonts w:ascii="Times New Roman;Times;serif" w:hAnsi="Times New Roman;Times;serif"/>
          <w:sz w:val="17"/>
        </w:rPr>
        <w:t>(b) </w:t>
      </w:r>
      <w:r>
        <w:rPr>
          <w:rFonts w:ascii="Times New Roman;Times;serif" w:hAnsi="Times New Roman;Times;serif"/>
          <w:i/>
          <w:sz w:val="17"/>
        </w:rPr>
        <w:t>Form of Documents</w:t>
      </w:r>
      <w:r>
        <w:rPr>
          <w:rFonts w:ascii="Times New Roman;Times;serif" w:hAnsi="Times New Roman;Times;serif"/>
          <w:sz w:val="17"/>
        </w:rPr>
        <w:t>. The Registration Statement conformed in all material respects on the Effective Date and on each applicable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and on each applicable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(c) </w:t>
      </w:r>
      <w:r>
        <w:rPr>
          <w:rFonts w:ascii="Times New Roman;Times;serif" w:hAnsi="Times New Roman;Times;serif"/>
          <w:i/>
          <w:sz w:val="17"/>
        </w:rPr>
        <w:t>No Material Misstatements or Omissions in Registration Statement</w:t>
      </w:r>
      <w:r>
        <w:rPr>
          <w:rFonts w:ascii="Times New Roman;Times;serif" w:hAnsi="Times New Roman;Times;serif"/>
          <w:sz w:val="17"/>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Times;serif" w:hAnsi="Times New Roman;Times;serif"/>
          <w:sz w:val="17"/>
          <w:u w:val="single"/>
        </w:rPr>
        <w:t>provided</w:t>
      </w:r>
      <w:r>
        <w:rPr>
          <w:rFonts w:ascii="Times New Roman;Times;serif" w:hAnsi="Times New Roman;Times;serif"/>
          <w:sz w:val="17"/>
        </w:rPr>
        <w:t xml:space="preserve"> that no representation or warranty is made as to information contained in or omitted from the Registration Statement in reliance upon and in conformity with written information furnished to the Partnership through the Representatives by or on behalf of any Underwriter specifically for inclusion therein, which information is specified in Section 14.</w:t>
      </w:r>
    </w:p>
    <w:p>
      <w:pPr>
        <w:pStyle w:val="TextBody"/>
        <w:spacing w:before="120" w:after="283"/>
        <w:jc w:val="left"/>
        <w:rPr/>
      </w:pPr>
      <w:r>
        <w:rPr/>
        <w:t>          </w:t>
      </w:r>
      <w:r>
        <w:rPr>
          <w:rFonts w:ascii="Times New Roman;Times;serif" w:hAnsi="Times New Roman;Times;serif"/>
          <w:sz w:val="17"/>
        </w:rPr>
        <w:t>(d) </w:t>
      </w:r>
      <w:r>
        <w:rPr>
          <w:rFonts w:ascii="Times New Roman;Times;serif" w:hAnsi="Times New Roman;Times;serif"/>
          <w:i/>
          <w:sz w:val="17"/>
        </w:rPr>
        <w:t>No Material Misstatements or Omissions in Prospectus</w:t>
      </w:r>
      <w:r>
        <w:rPr>
          <w:rFonts w:ascii="Times New Roman;Times;serif" w:hAnsi="Times New Roman;Times;serif"/>
          <w:sz w:val="17"/>
        </w:rPr>
        <w:t xml:space="preserve">. The Prospectus will not, as of its date and on the applicable Delivery Date,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sz w:val="17"/>
          <w:u w:val="single"/>
        </w:rPr>
        <w:t>provided</w:t>
      </w:r>
      <w:r>
        <w:rPr>
          <w:rFonts w:ascii="Times New Roman;Times;serif" w:hAnsi="Times New Roman;Times;serif"/>
          <w:sz w:val="17"/>
        </w:rPr>
        <w:t xml:space="preserve"> that no representation or warranty is made as to information contained in or omitted from the Prospectus in reliance upon and in conformity with written information furnished to the Partnership through the Representatives by or on behalf of any Underwriter specifically for inclusion therein, which information is specified in Section 14.</w:t>
      </w:r>
    </w:p>
    <w:p>
      <w:pPr>
        <w:pStyle w:val="TextBody"/>
        <w:spacing w:before="120" w:after="283"/>
        <w:jc w:val="left"/>
        <w:rPr/>
      </w:pPr>
      <w:r>
        <w:rPr/>
        <w:t>          </w:t>
      </w:r>
      <w:r>
        <w:rPr>
          <w:rFonts w:ascii="Times New Roman;Times;serif" w:hAnsi="Times New Roman;Times;serif"/>
          <w:sz w:val="17"/>
        </w:rPr>
        <w:t>(e) </w:t>
      </w:r>
      <w:r>
        <w:rPr>
          <w:rFonts w:ascii="Times New Roman;Times;serif" w:hAnsi="Times New Roman;Times;serif"/>
          <w:i/>
          <w:sz w:val="17"/>
        </w:rPr>
        <w:t>No Material Misstatements or Omissions in Documents Incorporated by Reference</w:t>
      </w:r>
      <w:r>
        <w:rPr>
          <w:rFonts w:ascii="Times New Roman;Times;serif" w:hAnsi="Times New Roman;Times;serif"/>
          <w:sz w:val="17"/>
        </w:rPr>
        <w:t>.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w:t>
      </w:r>
    </w:p>
    <w:p>
      <w:pPr>
        <w:pStyle w:val="TextBody"/>
        <w:spacing w:before="120" w:after="283"/>
        <w:jc w:val="left"/>
        <w:rPr/>
      </w:pPr>
      <w:r>
        <w:rPr/>
        <w:t>          </w:t>
      </w:r>
      <w:r>
        <w:rPr>
          <w:rFonts w:ascii="Times New Roman;Times;serif" w:hAnsi="Times New Roman;Times;serif"/>
          <w:sz w:val="17"/>
        </w:rPr>
        <w:t>(f) </w:t>
      </w:r>
      <w:r>
        <w:rPr>
          <w:rFonts w:ascii="Times New Roman;Times;serif" w:hAnsi="Times New Roman;Times;serif"/>
          <w:i/>
          <w:sz w:val="17"/>
        </w:rPr>
        <w:t>No Material Misstatements or Omissions in Pricing Disclosure Package</w:t>
      </w:r>
      <w:r>
        <w:rPr>
          <w:rFonts w:ascii="Times New Roman;Times;serif" w:hAnsi="Times New Roman;Times;serif"/>
          <w:sz w:val="17"/>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sz w:val="17"/>
          <w:u w:val="single"/>
        </w:rPr>
        <w:t>provided</w:t>
      </w:r>
      <w:r>
        <w:rPr>
          <w:rFonts w:ascii="Times New Roman;Times;serif" w:hAnsi="Times New Roman;Times;serif"/>
          <w:sz w:val="17"/>
        </w:rPr>
        <w:t xml:space="preserve"> that no representation or warranty is made as to information contained in or omitted from the Pricing Disclosure Package in reliance upon and in conformity with written information furnished to the Partnership through the Representatives by or on behalf of any Underwriter specifically for inclusion therein, which information is specified in Section 14.</w:t>
      </w:r>
    </w:p>
    <w:p>
      <w:pPr>
        <w:pStyle w:val="TextBody"/>
        <w:spacing w:before="120" w:after="283"/>
        <w:jc w:val="left"/>
        <w:rPr/>
      </w:pPr>
      <w:r>
        <w:rPr/>
        <w:t>          </w:t>
      </w:r>
      <w:r>
        <w:rPr>
          <w:rFonts w:ascii="Times New Roman;Times;serif" w:hAnsi="Times New Roman;Times;serif"/>
          <w:sz w:val="17"/>
        </w:rPr>
        <w:t>(g) </w:t>
      </w:r>
      <w:r>
        <w:rPr>
          <w:rFonts w:ascii="Times New Roman;Times;serif" w:hAnsi="Times New Roman;Times;serif"/>
          <w:i/>
          <w:sz w:val="17"/>
        </w:rPr>
        <w:t>No Material Misstatements or Omissions in Issuer Free Writing Prospectus and Pricing Disclosure Package</w:t>
      </w:r>
      <w:r>
        <w:rPr>
          <w:rFonts w:ascii="Times New Roman;Times;serif" w:hAnsi="Times New Roman;Times;serif"/>
          <w:sz w:val="17"/>
        </w:rPr>
        <w:t xml:space="preserve">. Each Issuer Free Writing 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sz w:val="17"/>
          <w:u w:val="single"/>
        </w:rPr>
        <w:t>provided,</w:t>
      </w:r>
      <w:r>
        <w:rPr>
          <w:rFonts w:ascii="Times New Roman;Times;serif" w:hAnsi="Times New Roman;Times;serif"/>
          <w:sz w:val="17"/>
        </w:rPr>
        <w:t xml:space="preserve"> that no representation or warranty is made as to information contained in or omitted from such Issuer Free Writing Prospectus in reliance upon and in conformity with written information furnished to the Partnership through the Representatives by or on behalf of any Underwriter specifically for inclusion therein, which information is specified in Section 14.</w:t>
      </w:r>
    </w:p>
    <w:p>
      <w:pPr>
        <w:pStyle w:val="TextBody"/>
        <w:spacing w:before="120" w:after="283"/>
        <w:jc w:val="left"/>
        <w:rPr/>
      </w:pPr>
      <w:r>
        <w:rPr/>
        <w:t>          </w:t>
      </w:r>
      <w:r>
        <w:rPr>
          <w:rFonts w:ascii="Times New Roman;Times;serif" w:hAnsi="Times New Roman;Times;serif"/>
          <w:sz w:val="17"/>
        </w:rPr>
        <w:t>(h) </w:t>
      </w:r>
      <w:r>
        <w:rPr>
          <w:rFonts w:ascii="Times New Roman;Times;serif" w:hAnsi="Times New Roman;Times;serif"/>
          <w:i/>
          <w:sz w:val="17"/>
        </w:rPr>
        <w:t>Issuer Free Writing Prospectus Conform to the Requirements of the Securities Act</w:t>
      </w:r>
      <w:r>
        <w:rPr>
          <w:rFonts w:ascii="Times New Roman;Times;serif" w:hAnsi="Times New Roman;Times;serif"/>
          <w:sz w:val="17"/>
        </w:rPr>
        <w:t>. Each Issuer Free Writing Prospectus conformed or will conform in all material</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Units that would constitute an Issuer Free Writing Prospectus without the prior written consent of the Representatives.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Units will not be required to be filed pursuant to the Rules and Regulations. </w:t>
      </w:r>
    </w:p>
    <w:p>
      <w:pPr>
        <w:pStyle w:val="TextBody"/>
        <w:spacing w:before="120" w:after="283"/>
        <w:jc w:val="left"/>
        <w:rPr/>
      </w:pPr>
      <w:r>
        <w:rPr/>
        <w:t>          </w:t>
      </w:r>
      <w:r>
        <w:rPr>
          <w:rFonts w:ascii="Times New Roman;Times;serif" w:hAnsi="Times New Roman;Times;serif"/>
          <w:sz w:val="17"/>
        </w:rPr>
        <w:t>(i) </w:t>
      </w:r>
      <w:r>
        <w:rPr>
          <w:rFonts w:ascii="Times New Roman;Times;serif" w:hAnsi="Times New Roman;Times;serif"/>
          <w:i/>
          <w:sz w:val="17"/>
        </w:rPr>
        <w:t>Formation and Qualification of Certain Entities</w:t>
      </w:r>
      <w:r>
        <w:rPr>
          <w:rFonts w:ascii="Times New Roman;Times;serif" w:hAnsi="Times New Roman;Times;serif"/>
          <w:sz w:val="17"/>
        </w:rPr>
        <w:t xml:space="preserve">. Each of the Partnership, the GP Entities and the Material Subsidiaries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Partnership,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Times;serif" w:hAnsi="Times New Roman;Times;serif"/>
          <w:sz w:val="17"/>
          <w:u w:val="single"/>
        </w:rPr>
        <w:t>Exhibit A</w:t>
      </w:r>
      <w:r>
        <w:rPr>
          <w:rFonts w:ascii="Times New Roman;Times;serif" w:hAnsi="Times New Roman;Times;serif"/>
          <w:sz w:val="17"/>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or indirect majority owned subsidiaries (collectively, the "</w:t>
      </w:r>
      <w:r>
        <w:rPr>
          <w:rFonts w:ascii="Times New Roman;Times;serif" w:hAnsi="Times New Roman;Times;serif"/>
          <w:b/>
          <w:sz w:val="17"/>
        </w:rPr>
        <w:t>Subsidiaries</w:t>
      </w:r>
      <w:r>
        <w:rPr>
          <w:rFonts w:ascii="Times New Roman;Times;serif" w:hAnsi="Times New Roman;Times;serif"/>
          <w:sz w:val="17"/>
        </w:rPr>
        <w:t>) and the Partnership (collectively, the </w:t>
      </w:r>
      <w:r>
        <w:rPr>
          <w:rFonts w:ascii="Times New Roman;Times;serif" w:hAnsi="Times New Roman;Times;serif"/>
          <w:b/>
          <w:sz w:val="17"/>
        </w:rPr>
        <w:t>Plains Entities</w:t>
      </w:r>
      <w:r>
        <w:rPr>
          <w:rFonts w:ascii="Times New Roman;Times;serif" w:hAnsi="Times New Roman;Times;serif"/>
          <w:sz w:val="17"/>
        </w:rPr>
        <w:t>), taken as a whole (a "</w:t>
      </w:r>
      <w:r>
        <w:rPr>
          <w:rFonts w:ascii="Times New Roman;Times;serif" w:hAnsi="Times New Roman;Times;serif"/>
          <w:b/>
          <w:sz w:val="17"/>
        </w:rPr>
        <w:t>Material Adverse Effect</w:t>
      </w:r>
      <w:r>
        <w:rPr>
          <w:rFonts w:ascii="Times New Roman;Times;serif" w:hAnsi="Times New Roman;Times;serif"/>
          <w:sz w:val="17"/>
        </w:rPr>
        <w:t>), or (ii) subject the limited partners of the Partnership to any material liability or disability.</w:t>
      </w:r>
    </w:p>
    <w:p>
      <w:pPr>
        <w:pStyle w:val="TextBody"/>
        <w:spacing w:before="120" w:after="283"/>
        <w:jc w:val="left"/>
        <w:rPr/>
      </w:pPr>
      <w:r>
        <w:rPr/>
        <w:t>          </w:t>
      </w:r>
      <w:r>
        <w:rPr>
          <w:rFonts w:ascii="Times New Roman;Times;serif" w:hAnsi="Times New Roman;Times;serif"/>
          <w:sz w:val="17"/>
        </w:rPr>
        <w:t>(j) </w:t>
      </w:r>
      <w:r>
        <w:rPr>
          <w:rFonts w:ascii="Times New Roman;Times;serif" w:hAnsi="Times New Roman;Times;serif"/>
          <w:i/>
          <w:sz w:val="17"/>
        </w:rPr>
        <w:t>General Partners</w:t>
      </w:r>
      <w:r>
        <w:rPr>
          <w:rFonts w:ascii="Times New Roman;Times;serif" w:hAnsi="Times New Roman;Times;serif"/>
          <w:sz w:val="17"/>
        </w:rPr>
        <w:t>.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Pricing Disclosure Package and the Prospectus.</w:t>
      </w:r>
    </w:p>
    <w:p>
      <w:pPr>
        <w:pStyle w:val="TextBody"/>
        <w:spacing w:before="120" w:after="283"/>
        <w:jc w:val="left"/>
        <w:rPr/>
      </w:pPr>
      <w:r>
        <w:rPr/>
        <w:t>          </w:t>
      </w:r>
      <w:r>
        <w:rPr>
          <w:rFonts w:ascii="Times New Roman;Times;serif" w:hAnsi="Times New Roman;Times;serif"/>
          <w:sz w:val="17"/>
        </w:rPr>
        <w:t>(k) </w:t>
      </w:r>
      <w:r>
        <w:rPr>
          <w:rFonts w:ascii="Times New Roman;Times;serif" w:hAnsi="Times New Roman;Times;serif"/>
          <w:i/>
          <w:sz w:val="17"/>
        </w:rPr>
        <w:t>Ownership of Interests in the Partnership, the General Partner and Plains AAP</w:t>
      </w:r>
      <w:r>
        <w:rPr>
          <w:rFonts w:ascii="Times New Roman;Times;serif" w:hAnsi="Times New Roman;Times;serif"/>
          <w:sz w:val="17"/>
        </w:rPr>
        <w:t>.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Delivery Date, such agreement being referred to herein as the </w:t>
      </w:r>
      <w:r>
        <w:rPr>
          <w:rFonts w:ascii="Times New Roman;Times;serif" w:hAnsi="Times New Roman;Times;serif"/>
          <w:b/>
          <w:sz w:val="17"/>
        </w:rPr>
        <w:t>General Partner LLC Agreement</w:t>
      </w:r>
      <w:r>
        <w:rPr>
          <w:rFonts w:ascii="Times New Roman;Times;serif" w:hAnsi="Times New Roman;Times;serif"/>
          <w:sz w:val="17"/>
        </w:rPr>
        <w:t>)) and nonassessable (except as such nonassessability may be affected by Sections 18-607 and 18-804 of the Delaware Limited Liability Company Act (the </w:t>
      </w:r>
      <w:r>
        <w:rPr>
          <w:rFonts w:ascii="Times New Roman;Times;serif" w:hAnsi="Times New Roman;Times;serif"/>
          <w:b/>
          <w:sz w:val="17"/>
        </w:rPr>
        <w:t>Delaware LLC Act</w:t>
      </w:r>
      <w:r>
        <w:rPr>
          <w:rFonts w:ascii="Times New Roman;Times;serif" w:hAnsi="Times New Roman;Times;serif"/>
          <w:sz w:val="17"/>
        </w:rPr>
        <w:t>)); and such general partner and membership interests held by the GP Entities are owned free and clear of all liens, encumbrances, security interests, equities, charges or claims (</w:t>
      </w:r>
      <w:r>
        <w:rPr>
          <w:rFonts w:ascii="Times New Roman;Times;serif" w:hAnsi="Times New Roman;Times;serif"/>
          <w:b/>
          <w:sz w:val="17"/>
        </w:rPr>
        <w:t>Liens</w:t>
      </w:r>
      <w:r>
        <w:rPr>
          <w:rFonts w:ascii="Times New Roman;Times;serif" w:hAnsi="Times New Roman;Times;serif"/>
          <w:sz w:val="17"/>
        </w:rPr>
        <w:t>), except (i) as disclosed in the Pricing Disclosure</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 </w:t>
      </w:r>
    </w:p>
    <w:p>
      <w:pPr>
        <w:pStyle w:val="TextBody"/>
        <w:spacing w:before="120" w:after="283"/>
        <w:jc w:val="left"/>
        <w:rPr/>
      </w:pPr>
      <w:r>
        <w:rPr/>
        <w:t>          </w:t>
      </w:r>
      <w:r>
        <w:rPr>
          <w:rFonts w:ascii="Times New Roman;Times;serif" w:hAnsi="Times New Roman;Times;serif"/>
          <w:sz w:val="17"/>
        </w:rPr>
        <w:t>(l) </w:t>
      </w:r>
      <w:r>
        <w:rPr>
          <w:rFonts w:ascii="Times New Roman;Times;serif" w:hAnsi="Times New Roman;Times;serif"/>
          <w:i/>
          <w:sz w:val="17"/>
        </w:rPr>
        <w:t>Ownership of the Material Subsidiaries</w:t>
      </w:r>
      <w:r>
        <w:rPr>
          <w:rFonts w:ascii="Times New Roman;Times;serif" w:hAnsi="Times New Roman;Times;serif"/>
          <w:sz w:val="17"/>
        </w:rPr>
        <w:t>. 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Times New Roman;Times;serif" w:hAnsi="Times New Roman;Times;serif"/>
          <w:b/>
          <w:sz w:val="17"/>
        </w:rPr>
        <w:t>Organizational Documents</w:t>
      </w:r>
      <w:r>
        <w:rPr>
          <w:rFonts w:ascii="Times New Roman;Times;serif" w:hAnsi="Times New Roman;Times;serif"/>
          <w:sz w:val="17"/>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Times;serif" w:hAnsi="Times New Roman;Times;serif"/>
          <w:b/>
          <w:sz w:val="17"/>
        </w:rPr>
        <w:t>Delaware LP Act</w:t>
      </w:r>
      <w:r>
        <w:rPr>
          <w:rFonts w:ascii="Times New Roman;Times;serif" w:hAnsi="Times New Roman;Times;serif"/>
          <w:sz w:val="17"/>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the portion of the limited partner interest in PAA Natural Gas Storage, L.P. (</w:t>
      </w:r>
      <w:r>
        <w:rPr>
          <w:rFonts w:ascii="Times New Roman;Times;serif" w:hAnsi="Times New Roman;Times;serif"/>
          <w:b/>
          <w:sz w:val="17"/>
        </w:rPr>
        <w:t>PNG</w:t>
      </w:r>
      <w:r>
        <w:rPr>
          <w:rFonts w:ascii="Times New Roman;Times;serif" w:hAnsi="Times New Roman;Times;serif"/>
          <w:sz w:val="17"/>
        </w:rPr>
        <w:t>) held by public or private investors, are owned, directly or indirectly, by the Partnership, free and clear of all Liens.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 end.</w:t>
      </w:r>
    </w:p>
    <w:p>
      <w:pPr>
        <w:pStyle w:val="TextBody"/>
        <w:spacing w:before="120" w:after="283"/>
        <w:jc w:val="left"/>
        <w:rPr/>
      </w:pPr>
      <w:r>
        <w:rPr/>
        <w:t>          </w:t>
      </w:r>
      <w:r>
        <w:rPr>
          <w:rFonts w:ascii="Times New Roman;Times;serif" w:hAnsi="Times New Roman;Times;serif"/>
          <w:sz w:val="17"/>
        </w:rPr>
        <w:t>(m) </w:t>
      </w:r>
      <w:r>
        <w:rPr>
          <w:rFonts w:ascii="Times New Roman;Times;serif" w:hAnsi="Times New Roman;Times;serif"/>
          <w:i/>
          <w:sz w:val="17"/>
        </w:rPr>
        <w:t>Capitalization</w:t>
      </w:r>
      <w:r>
        <w:rPr>
          <w:rFonts w:ascii="Times New Roman;Times;serif" w:hAnsi="Times New Roman;Times;serif"/>
          <w:sz w:val="17"/>
        </w:rPr>
        <w:t>. As of the date hereof, the issued and outstanding limited partner interests of the Partnership consist of 149,357,119 Common Units and the Incentive Distribution Rights (as such capitalized term is defined in the Partnership Agreement). All outstanding Common Units and Incentive Distribution Rights and the limited partner interests represented thereby have been duly authorized and validly issued in accordance with the Partnership Agreement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Pricing Disclosure Package and the Prospectus.</w:t>
      </w:r>
    </w:p>
    <w:p>
      <w:pPr>
        <w:pStyle w:val="TextBody"/>
        <w:spacing w:before="120" w:after="283"/>
        <w:jc w:val="left"/>
        <w:rPr/>
      </w:pPr>
      <w:r>
        <w:rPr/>
        <w:t>          </w:t>
      </w:r>
      <w:r>
        <w:rPr>
          <w:rFonts w:ascii="Times New Roman;Times;serif" w:hAnsi="Times New Roman;Times;serif"/>
          <w:sz w:val="17"/>
        </w:rPr>
        <w:t>(n) </w:t>
      </w:r>
      <w:r>
        <w:rPr>
          <w:rFonts w:ascii="Times New Roman;Times;serif" w:hAnsi="Times New Roman;Times;serif"/>
          <w:i/>
          <w:sz w:val="17"/>
        </w:rPr>
        <w:t>No Preemptive or Other Rights</w:t>
      </w:r>
      <w:r>
        <w:rPr>
          <w:rFonts w:ascii="Times New Roman;Times;serif" w:hAnsi="Times New Roman;Times;serif"/>
          <w:sz w:val="17"/>
        </w:rPr>
        <w:t>. Except as described in the Pricing Disclosure Package and the Prospectus or as provided in the Organizational Documents, there are no preemptive rights or other rights to subscribe for or to purchase, nor any restriction upon the voting or transfer of, any interests in the Partnership pursuant to any agreement or other instrument to which the Partnership is a party or by which the Partnership may be bound.</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as described in the Pricing Disclosure Package and the Prospectus, there are no outstanding options or warrants to purchase any Common Units or other equity interests in the Partnership. </w:t>
      </w:r>
    </w:p>
    <w:p>
      <w:pPr>
        <w:pStyle w:val="TextBody"/>
        <w:spacing w:before="120" w:after="283"/>
        <w:jc w:val="left"/>
        <w:rPr/>
      </w:pPr>
      <w:r>
        <w:rPr/>
        <w:t>          </w:t>
      </w:r>
      <w:r>
        <w:rPr>
          <w:rFonts w:ascii="Times New Roman;Times;serif" w:hAnsi="Times New Roman;Times;serif"/>
          <w:sz w:val="17"/>
        </w:rPr>
        <w:t>(o) </w:t>
      </w:r>
      <w:r>
        <w:rPr>
          <w:rFonts w:ascii="Times New Roman;Times;serif" w:hAnsi="Times New Roman;Times;serif"/>
          <w:i/>
          <w:sz w:val="17"/>
        </w:rPr>
        <w:t>Authority</w:t>
      </w:r>
      <w:r>
        <w:rPr>
          <w:rFonts w:ascii="Times New Roman;Times;serif" w:hAnsi="Times New Roman;Times;serif"/>
          <w:sz w:val="17"/>
        </w:rPr>
        <w:t>. The Partnership has all requisite power and authority to enter into this Agreement and to consummate the transactions contemplated hereby. At each Delivery Date, all action required to be taken by the Partnership or its partners for (i) the due and proper authorization, execution and delivery of this Agreement and (ii) the consummation of the transactions contemplated hereby shall have been duly and validly taken.</w:t>
      </w:r>
    </w:p>
    <w:p>
      <w:pPr>
        <w:pStyle w:val="TextBody"/>
        <w:spacing w:before="120" w:after="283"/>
        <w:jc w:val="left"/>
        <w:rPr/>
      </w:pPr>
      <w:r>
        <w:rPr/>
        <w:t>          </w:t>
      </w:r>
      <w:r>
        <w:rPr>
          <w:rFonts w:ascii="Times New Roman;Times;serif" w:hAnsi="Times New Roman;Times;serif"/>
          <w:sz w:val="17"/>
        </w:rPr>
        <w:t>(p) </w:t>
      </w:r>
      <w:r>
        <w:rPr>
          <w:rFonts w:ascii="Times New Roman;Times;serif" w:hAnsi="Times New Roman;Times;serif"/>
          <w:i/>
          <w:sz w:val="17"/>
        </w:rPr>
        <w:t>Authorization, Execution and Delivery of this Agreement</w:t>
      </w:r>
      <w:r>
        <w:rPr>
          <w:rFonts w:ascii="Times New Roman;Times;serif" w:hAnsi="Times New Roman;Times;serif"/>
          <w:sz w:val="17"/>
        </w:rPr>
        <w:t>. This Agreement has been duly and validly authorized, executed and delivered by or on behalf of the Partnership.</w:t>
      </w:r>
    </w:p>
    <w:p>
      <w:pPr>
        <w:pStyle w:val="TextBody"/>
        <w:spacing w:before="120" w:after="283"/>
        <w:jc w:val="left"/>
        <w:rPr/>
      </w:pPr>
      <w:r>
        <w:rPr/>
        <w:t>          </w:t>
      </w:r>
      <w:r>
        <w:rPr>
          <w:rFonts w:ascii="Times New Roman;Times;serif" w:hAnsi="Times New Roman;Times;serif"/>
          <w:sz w:val="17"/>
        </w:rPr>
        <w:t>(q) </w:t>
      </w:r>
      <w:r>
        <w:rPr>
          <w:rFonts w:ascii="Times New Roman;Times;serif" w:hAnsi="Times New Roman;Times;serif"/>
          <w:i/>
          <w:sz w:val="17"/>
        </w:rPr>
        <w:t>Authorization, Execution and Enforceability of the Operating Agreements</w:t>
      </w:r>
      <w:r>
        <w:rPr>
          <w:rFonts w:ascii="Times New Roman;Times;serif" w:hAnsi="Times New Roman;Times;serif"/>
          <w:sz w:val="17"/>
        </w:rPr>
        <w:t xml:space="preserve">. The partnership agreement or limited liability company agreement, as 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that</w:t>
      </w:r>
      <w:r>
        <w:rPr>
          <w:rFonts w:ascii="Times New Roman;Times;serif" w:hAnsi="Times New Roman;Times;serif"/>
          <w:sz w:val="17"/>
        </w:rPr>
        <w: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pStyle w:val="TextBody"/>
        <w:spacing w:before="120" w:after="283"/>
        <w:jc w:val="left"/>
        <w:rPr/>
      </w:pPr>
      <w:r>
        <w:rPr/>
        <w:t>          </w:t>
      </w:r>
      <w:r>
        <w:rPr>
          <w:rFonts w:ascii="Times New Roman;Times;serif" w:hAnsi="Times New Roman;Times;serif"/>
          <w:sz w:val="17"/>
        </w:rPr>
        <w:t>(r) </w:t>
      </w:r>
      <w:r>
        <w:rPr>
          <w:rFonts w:ascii="Times New Roman;Times;serif" w:hAnsi="Times New Roman;Times;serif"/>
          <w:i/>
          <w:sz w:val="17"/>
        </w:rPr>
        <w:t>No Conflicts or Violations</w:t>
      </w:r>
      <w:r>
        <w:rPr>
          <w:rFonts w:ascii="Times New Roman;Times;serif" w:hAnsi="Times New Roman;Times;serif"/>
          <w:sz w:val="17"/>
        </w:rPr>
        <w:t>. None of the offering and sale by the Selling Unitholder of the Units, the execution, delivery and performance of this Agreement by the Partnership, or the consummation of the transactions contemplated by this Agreement (i) conflicts or will conflict with or constitutes or will constitute a violation of the Organizational Documents of the Partnership, any of the GP Entities or any of the Material Subsidiaries,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(iii) 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(s) </w:t>
      </w:r>
      <w:r>
        <w:rPr>
          <w:rFonts w:ascii="Times New Roman;Times;serif" w:hAnsi="Times New Roman;Times;serif"/>
          <w:i/>
          <w:sz w:val="17"/>
        </w:rPr>
        <w:t>No Consents</w:t>
      </w:r>
      <w:r>
        <w:rPr>
          <w:rFonts w:ascii="Times New Roman;Times;serif" w:hAnsi="Times New Roman;Times;serif"/>
          <w:sz w:val="17"/>
        </w:rPr>
        <w:t>. No consent, approval, authorization, filing with or order of any court, governmental agency or body having jurisdiction over any of the Plains Entities or the GP Entities or any of their respective properties is required in connection with the offering and sale by the Selling Unitholder of the Units, the execution, delivery and performance of, or the consummation of the transactions contemplated by this Agreement, except (i) such as have been obtained under the Securities Act, (ii) such as may be required under the blue sky laws of any jurisdiction or the by-laws and rules of the Financial Industry Regulatory Authority, Inc. (</w:t>
      </w:r>
      <w:r>
        <w:rPr>
          <w:rFonts w:ascii="Times New Roman;Times;serif" w:hAnsi="Times New Roman;Times;serif"/>
          <w:b/>
          <w:sz w:val="17"/>
        </w:rPr>
        <w:t>FINRA</w:t>
      </w:r>
      <w:r>
        <w:rPr>
          <w:rFonts w:ascii="Times New Roman;Times;serif" w:hAnsi="Times New Roman;Times;serif"/>
          <w:sz w:val="17"/>
        </w:rPr>
        <w:t>) in connection with the purchase and distribution by the Underwriters of the Units in the manner contemplated herein and in the Pricing Disclosure Package and the Prospectus and (iii) such that the failure to obtain or make would not reasonably be expected to have a Material Adverse Effect or materially impair the ability of the Partnership to consummate the transactions contemplated by this Agreement.</w:t>
      </w:r>
    </w:p>
    <w:p>
      <w:pPr>
        <w:pStyle w:val="TextBody"/>
        <w:spacing w:before="120" w:after="283"/>
        <w:jc w:val="left"/>
        <w:rPr/>
      </w:pPr>
      <w:r>
        <w:rPr/>
        <w:t>          </w:t>
      </w:r>
      <w:r>
        <w:rPr>
          <w:rFonts w:ascii="Times New Roman;Times;serif" w:hAnsi="Times New Roman;Times;serif"/>
          <w:sz w:val="17"/>
        </w:rPr>
        <w:t>(t) </w:t>
      </w:r>
      <w:r>
        <w:rPr>
          <w:rFonts w:ascii="Times New Roman;Times;serif" w:hAnsi="Times New Roman;Times;serif"/>
          <w:i/>
          <w:sz w:val="17"/>
        </w:rPr>
        <w:t>No Default</w:t>
      </w:r>
      <w:r>
        <w:rPr>
          <w:rFonts w:ascii="Times New Roman;Times;serif" w:hAnsi="Times New Roman;Times;serif"/>
          <w:sz w:val="17"/>
        </w:rPr>
        <w:t>. (i) None of the Partnership, the GP Entities or the Material Subsidiaries is in violation of its Organizational Documents in any 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the Partnership to perform its obligations under this Agreement.</w:t>
      </w:r>
    </w:p>
    <w:p>
      <w:pPr>
        <w:pStyle w:val="TextBody"/>
        <w:spacing w:before="120" w:after="283"/>
        <w:jc w:val="left"/>
        <w:rPr/>
      </w:pPr>
      <w:r>
        <w:rPr/>
        <w:t>          </w:t>
      </w:r>
      <w:r>
        <w:rPr>
          <w:rFonts w:ascii="Times New Roman;Times;serif" w:hAnsi="Times New Roman;Times;serif"/>
          <w:sz w:val="17"/>
        </w:rPr>
        <w:t>(u) </w:t>
      </w:r>
      <w:r>
        <w:rPr>
          <w:rFonts w:ascii="Times New Roman;Times;serif" w:hAnsi="Times New Roman;Times;serif"/>
          <w:i/>
          <w:sz w:val="17"/>
        </w:rPr>
        <w:t>Independent Registered Public Accounting Firm</w:t>
      </w:r>
      <w:r>
        <w:rPr>
          <w:rFonts w:ascii="Times New Roman;Times;serif" w:hAnsi="Times New Roman;Times;serif"/>
          <w:sz w:val="17"/>
        </w:rPr>
        <w:t>. PricewaterhouseCoopers LLP, which has certified the audited financial statements included 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w:t>
      </w:r>
    </w:p>
    <w:p>
      <w:pPr>
        <w:pStyle w:val="TextBody"/>
        <w:spacing w:before="120" w:after="283"/>
        <w:jc w:val="left"/>
        <w:rPr/>
      </w:pPr>
      <w:r>
        <w:rPr/>
        <w:t>          </w:t>
      </w:r>
      <w:r>
        <w:rPr>
          <w:rFonts w:ascii="Times New Roman;Times;serif" w:hAnsi="Times New Roman;Times;serif"/>
          <w:sz w:val="17"/>
        </w:rPr>
        <w:t>(v) </w:t>
      </w:r>
      <w:r>
        <w:rPr>
          <w:rFonts w:ascii="Times New Roman;Times;serif" w:hAnsi="Times New Roman;Times;serif"/>
          <w:i/>
          <w:sz w:val="17"/>
        </w:rPr>
        <w:t>Financial Statements</w:t>
      </w:r>
      <w:r>
        <w:rPr>
          <w:rFonts w:ascii="Times New Roman;Times;serif" w:hAnsi="Times New Roman;Times;serif"/>
          <w:sz w:val="17"/>
        </w:rPr>
        <w:t>.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described therein. The pro forma financial statements and other pro forma financial information, if any, included or incorporated by reference in the Registration Statement, the most recent Preliminary Prospectus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the most recent Preliminary Prospectus and the Prospectus (and any amendment or supplement thereto) are reasonable, and the adjustments used therein are appropriate to give effect to the transactions or circumstances referred to therein. No other financial statements or schedules of the Partnership are required by the Securities Act or the Exchange Act to be included in the Registration Statement, the most recent Preliminary Prospectus or the Prospectus. </w:t>
      </w:r>
    </w:p>
    <w:p>
      <w:pPr>
        <w:pStyle w:val="TextBody"/>
        <w:spacing w:before="120" w:after="283"/>
        <w:jc w:val="left"/>
        <w:rPr/>
      </w:pPr>
      <w:r>
        <w:rPr/>
        <w:t>          </w:t>
      </w:r>
      <w:r>
        <w:rPr>
          <w:rFonts w:ascii="Times New Roman;Times;serif" w:hAnsi="Times New Roman;Times;serif"/>
          <w:sz w:val="17"/>
        </w:rPr>
        <w:t>(w) </w:t>
      </w:r>
      <w:r>
        <w:rPr>
          <w:rFonts w:ascii="Times New Roman;Times;serif" w:hAnsi="Times New Roman;Times;serif"/>
          <w:i/>
          <w:sz w:val="17"/>
        </w:rPr>
        <w:t>No Material Adverse Change</w:t>
      </w:r>
      <w:r>
        <w:rPr>
          <w:rFonts w:ascii="Times New Roman;Times;serif" w:hAnsi="Times New Roman;Times;serif"/>
          <w:sz w:val="17"/>
        </w:rPr>
        <w:t>. None of the Plains Entities or the GP Entities has sustained, since the date of the latest audited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declared, paid or made on the security interests of any of the Plains Entities or the GP Entities, in each case other than as set forth in the Registration Statement, the Pricing Disclosure Package and the Prospectus.</w:t>
      </w:r>
    </w:p>
    <w:p>
      <w:pPr>
        <w:pStyle w:val="TextBody"/>
        <w:spacing w:before="120" w:after="283"/>
        <w:jc w:val="left"/>
        <w:rPr/>
      </w:pPr>
      <w:r>
        <w:rPr/>
        <w:t>          </w:t>
      </w:r>
      <w:r>
        <w:rPr>
          <w:rFonts w:ascii="Times New Roman;Times;serif" w:hAnsi="Times New Roman;Times;serif"/>
          <w:sz w:val="17"/>
        </w:rPr>
        <w:t>(x) </w:t>
      </w:r>
      <w:r>
        <w:rPr>
          <w:rFonts w:ascii="Times New Roman;Times;serif" w:hAnsi="Times New Roman;Times;serif"/>
          <w:i/>
          <w:sz w:val="17"/>
        </w:rPr>
        <w:t>Required Disclosures and Descriptions</w:t>
      </w:r>
      <w:r>
        <w:rPr>
          <w:rFonts w:ascii="Times New Roman;Times;serif" w:hAnsi="Times New Roman;Times;serif"/>
          <w:sz w:val="17"/>
        </w:rPr>
        <w:t>. There are no legal or governmental proceedings pending or, to the knowledge of the Partnership, 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pStyle w:val="TextBody"/>
        <w:spacing w:before="120" w:after="283"/>
        <w:jc w:val="left"/>
        <w:rPr/>
      </w:pPr>
      <w:r>
        <w:rPr/>
        <w:t>          </w:t>
      </w:r>
      <w:r>
        <w:rPr>
          <w:rFonts w:ascii="Times New Roman;Times;serif" w:hAnsi="Times New Roman;Times;serif"/>
          <w:sz w:val="17"/>
        </w:rPr>
        <w:t>(y) </w:t>
      </w:r>
      <w:r>
        <w:rPr>
          <w:rFonts w:ascii="Times New Roman;Times;serif" w:hAnsi="Times New Roman;Times;serif"/>
          <w:i/>
          <w:sz w:val="17"/>
        </w:rPr>
        <w:t>Title to Properties</w:t>
      </w:r>
      <w:r>
        <w:rPr>
          <w:rFonts w:ascii="Times New Roman;Times;serif" w:hAnsi="Times New Roman;Times;serif"/>
          <w:sz w:val="17"/>
        </w:rPr>
        <w:t>. The Plains Entities, directly or indirectly, have good and indefeasible title to all real property and good title to all personal property described in the Pricing Disclosure Package and the Prospectus as being owned by them, free and clear of all</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Liens except (i) as provided in the Second Restated Credit Agreement dated November 6, 2008, as amended (the </w:t>
      </w:r>
      <w:r>
        <w:rPr>
          <w:rFonts w:ascii="Times New Roman;Times;serif" w:hAnsi="Times New Roman;Times;serif"/>
          <w:b/>
          <w:sz w:val="17"/>
        </w:rPr>
        <w:t>Restated Facility</w:t>
      </w:r>
      <w:r>
        <w:rPr>
          <w:rFonts w:ascii="Times New Roman;Times;serif" w:hAnsi="Times New Roman;Times;serif"/>
          <w:sz w:val="17"/>
        </w:rPr>
        <w:t>), among Plains Marketing, L.P. (</w:t>
      </w:r>
      <w:r>
        <w:rPr>
          <w:rFonts w:ascii="Times New Roman;Times;serif" w:hAnsi="Times New Roman;Times;serif"/>
          <w:b/>
          <w:sz w:val="17"/>
        </w:rPr>
        <w:t>Plains Marketing</w:t>
      </w:r>
      <w:r>
        <w:rPr>
          <w:rFonts w:ascii="Times New Roman;Times;serif" w:hAnsi="Times New Roman;Times;serif"/>
          <w:sz w:val="17"/>
        </w:rPr>
        <w:t xml:space="preserve">),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 </w:t>
      </w:r>
    </w:p>
    <w:p>
      <w:pPr>
        <w:pStyle w:val="TextBody"/>
        <w:spacing w:before="120" w:after="283"/>
        <w:jc w:val="left"/>
        <w:rPr/>
      </w:pPr>
      <w:r>
        <w:rPr/>
        <w:t>          </w:t>
      </w:r>
      <w:r>
        <w:rPr>
          <w:rFonts w:ascii="Times New Roman;Times;serif" w:hAnsi="Times New Roman;Times;serif"/>
          <w:sz w:val="17"/>
        </w:rPr>
        <w:t>(z) </w:t>
      </w:r>
      <w:r>
        <w:rPr>
          <w:rFonts w:ascii="Times New Roman;Times;serif" w:hAnsi="Times New Roman;Times;serif"/>
          <w:i/>
          <w:sz w:val="17"/>
        </w:rPr>
        <w:t>Permits</w:t>
      </w:r>
      <w:r>
        <w:rPr>
          <w:rFonts w:ascii="Times New Roman;Times;serif" w:hAnsi="Times New Roman;Times;serif"/>
          <w:sz w:val="17"/>
        </w:rPr>
        <w:t>. Each of the Plains Entities, directly or indirectly, has such permits, consents, licenses, franchises, certificates and authorizations of governmental or regulatory authorities (</w:t>
      </w:r>
      <w:r>
        <w:rPr>
          <w:rFonts w:ascii="Times New Roman;Times;serif" w:hAnsi="Times New Roman;Times;serif"/>
          <w:b/>
          <w:sz w:val="17"/>
        </w:rPr>
        <w:t>Permits</w:t>
      </w:r>
      <w:r>
        <w:rPr>
          <w:rFonts w:ascii="Times New Roman;Times;serif" w:hAnsi="Times New Roman;Times;serif"/>
          <w:sz w:val="17"/>
        </w:rPr>
        <w:t>)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w:t>
      </w:r>
    </w:p>
    <w:p>
      <w:pPr>
        <w:pStyle w:val="TextBody"/>
        <w:spacing w:before="120" w:after="283"/>
        <w:jc w:val="left"/>
        <w:rPr/>
      </w:pPr>
      <w:r>
        <w:rPr/>
        <w:t>          </w:t>
      </w:r>
      <w:r>
        <w:rPr>
          <w:rFonts w:ascii="Times New Roman;Times;serif" w:hAnsi="Times New Roman;Times;serif"/>
          <w:sz w:val="17"/>
        </w:rPr>
        <w:t>(aa) </w:t>
      </w:r>
      <w:r>
        <w:rPr>
          <w:rFonts w:ascii="Times New Roman;Times;serif" w:hAnsi="Times New Roman;Times;serif"/>
          <w:i/>
          <w:sz w:val="17"/>
        </w:rPr>
        <w:t>Rights-of-Way</w:t>
      </w:r>
      <w:r>
        <w:rPr>
          <w:rFonts w:ascii="Times New Roman;Times;serif" w:hAnsi="Times New Roman;Times;serif"/>
          <w:sz w:val="17"/>
        </w:rPr>
        <w:t>. Each of the Plains Entities, directly or indirectly, has such consents, easements, rights-of-way or licenses from any person (</w:t>
      </w:r>
      <w:r>
        <w:rPr>
          <w:rFonts w:ascii="Times New Roman;Times;serif" w:hAnsi="Times New Roman;Times;serif"/>
          <w:b/>
          <w:sz w:val="17"/>
        </w:rPr>
        <w:t>rights-of-way</w:t>
      </w:r>
      <w:r>
        <w:rPr>
          <w:rFonts w:ascii="Times New Roman;Times;serif" w:hAnsi="Times New Roman;Times;serif"/>
          <w:sz w:val="17"/>
        </w:rPr>
        <w:t>)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w:t>
      </w:r>
    </w:p>
    <w:p>
      <w:pPr>
        <w:pStyle w:val="TextBody"/>
        <w:spacing w:before="120" w:after="283"/>
        <w:jc w:val="left"/>
        <w:rPr/>
      </w:pPr>
      <w:r>
        <w:rPr/>
        <w:t>          </w:t>
      </w:r>
      <w:r>
        <w:rPr>
          <w:rFonts w:ascii="Times New Roman;Times;serif" w:hAnsi="Times New Roman;Times;serif"/>
          <w:sz w:val="17"/>
        </w:rPr>
        <w:t>(bb) </w:t>
      </w:r>
      <w:r>
        <w:rPr>
          <w:rFonts w:ascii="Times New Roman;Times;serif" w:hAnsi="Times New Roman;Times;serif"/>
          <w:i/>
          <w:sz w:val="17"/>
        </w:rPr>
        <w:t>Investment Company</w:t>
      </w:r>
      <w:r>
        <w:rPr>
          <w:rFonts w:ascii="Times New Roman;Times;serif" w:hAnsi="Times New Roman;Times;serif"/>
          <w:sz w:val="17"/>
        </w:rPr>
        <w:t>. None of the Plains Entities is now, and after sale of the Units to be sold by the Selling Unitholder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Times;serif" w:hAnsi="Times New Roman;Times;serif"/>
          <w:b/>
          <w:sz w:val="17"/>
        </w:rPr>
        <w:t>Investment Company Act</w:t>
      </w:r>
      <w:r>
        <w:rPr>
          <w:rFonts w:ascii="Times New Roman;Times;serif" w:hAnsi="Times New Roman;Times;serif"/>
          <w:sz w:val="17"/>
        </w:rPr>
        <w:t>),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(cc) </w:t>
      </w:r>
      <w:r>
        <w:rPr>
          <w:rFonts w:ascii="Times New Roman;Times;serif" w:hAnsi="Times New Roman;Times;serif"/>
          <w:i/>
          <w:sz w:val="17"/>
        </w:rPr>
        <w:t>Environmental Compliance</w:t>
      </w:r>
      <w:r>
        <w:rPr>
          <w:rFonts w:ascii="Times New Roman;Times;serif" w:hAnsi="Times New Roman;Times;serif"/>
          <w:sz w:val="17"/>
        </w:rPr>
        <w:t>. Except as described in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Times;serif" w:hAnsi="Times New Roman;Times;serif"/>
          <w:b/>
          <w:sz w:val="17"/>
        </w:rPr>
        <w:t>Environmental Laws</w:t>
      </w:r>
      <w:r>
        <w:rPr>
          <w:rFonts w:ascii="Times New Roman;Times;serif" w:hAnsi="Times New Roman;Times;serif"/>
          <w:sz w:val="17"/>
        </w:rPr>
        <w:t>),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w:t>
      </w:r>
    </w:p>
    <w:p>
      <w:pPr>
        <w:pStyle w:val="TextBody"/>
        <w:spacing w:before="120" w:after="283"/>
        <w:jc w:val="left"/>
        <w:rPr/>
      </w:pPr>
      <w:r>
        <w:rPr/>
        <w:t>          </w:t>
      </w:r>
      <w:r>
        <w:rPr>
          <w:rFonts w:ascii="Times New Roman;Times;serif" w:hAnsi="Times New Roman;Times;serif"/>
          <w:sz w:val="17"/>
        </w:rPr>
        <w:t>(dd) </w:t>
      </w:r>
      <w:r>
        <w:rPr>
          <w:rFonts w:ascii="Times New Roman;Times;serif" w:hAnsi="Times New Roman;Times;serif"/>
          <w:i/>
          <w:sz w:val="17"/>
        </w:rPr>
        <w:t>No Labor Disputes</w:t>
      </w:r>
      <w:r>
        <w:rPr>
          <w:rFonts w:ascii="Times New Roman;Times;serif" w:hAnsi="Times New Roman;Times;serif"/>
          <w:sz w:val="17"/>
        </w:rPr>
        <w:t>. No labor dispute with the employees of any of the Plains Entities or the GP Entities exists or, to the knowledge of the Partnership, is imminent, that would reasonably be expected to have a Material Adverse Effect.</w:t>
      </w:r>
    </w:p>
    <w:p>
      <w:pPr>
        <w:pStyle w:val="TextBody"/>
        <w:spacing w:before="120" w:after="283"/>
        <w:jc w:val="left"/>
        <w:rPr/>
      </w:pPr>
      <w:r>
        <w:rPr/>
        <w:t>          </w:t>
      </w:r>
      <w:r>
        <w:rPr>
          <w:rFonts w:ascii="Times New Roman;Times;serif" w:hAnsi="Times New Roman;Times;serif"/>
          <w:sz w:val="17"/>
        </w:rPr>
        <w:t>(ee) </w:t>
      </w:r>
      <w:r>
        <w:rPr>
          <w:rFonts w:ascii="Times New Roman;Times;serif" w:hAnsi="Times New Roman;Times;serif"/>
          <w:i/>
          <w:sz w:val="17"/>
        </w:rPr>
        <w:t>Insurance</w:t>
      </w:r>
      <w:r>
        <w:rPr>
          <w:rFonts w:ascii="Times New Roman;Times;serif" w:hAnsi="Times New Roman;Times;serif"/>
          <w:sz w:val="17"/>
        </w:rPr>
        <w:t>.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each applicable Delivery Date.</w:t>
      </w:r>
    </w:p>
    <w:p>
      <w:pPr>
        <w:pStyle w:val="TextBody"/>
        <w:spacing w:before="120" w:after="283"/>
        <w:jc w:val="left"/>
        <w:rPr/>
      </w:pPr>
      <w:r>
        <w:rPr/>
        <w:t>          </w:t>
      </w:r>
      <w:r>
        <w:rPr>
          <w:rFonts w:ascii="Times New Roman;Times;serif" w:hAnsi="Times New Roman;Times;serif"/>
          <w:sz w:val="17"/>
        </w:rPr>
        <w:t>(ff) </w:t>
      </w:r>
      <w:r>
        <w:rPr>
          <w:rFonts w:ascii="Times New Roman;Times;serif" w:hAnsi="Times New Roman;Times;serif"/>
          <w:i/>
          <w:sz w:val="17"/>
        </w:rPr>
        <w:t>No Legal Actions</w:t>
      </w:r>
      <w:r>
        <w:rPr>
          <w:rFonts w:ascii="Times New Roman;Times;serif" w:hAnsi="Times New Roman;Times;serif"/>
          <w:sz w:val="17"/>
        </w:rPr>
        <w:t>. Except as described in the Pricing Disclosure Package and the Prospectus, there is (i) no action, suit or proceeding before or by any court, arbitrator 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be expected to have, individually or in the aggregate, a Material Adverse Effect or prevent or result in the suspension of the offering of the Units.</w:t>
      </w:r>
    </w:p>
    <w:p>
      <w:pPr>
        <w:pStyle w:val="TextBody"/>
        <w:spacing w:before="120" w:after="283"/>
        <w:jc w:val="left"/>
        <w:rPr/>
      </w:pPr>
      <w:r>
        <w:rPr/>
        <w:t>          </w:t>
      </w:r>
      <w:r>
        <w:rPr>
          <w:rFonts w:ascii="Times New Roman;Times;serif" w:hAnsi="Times New Roman;Times;serif"/>
          <w:sz w:val="17"/>
        </w:rPr>
        <w:t>(gg) </w:t>
      </w:r>
      <w:r>
        <w:rPr>
          <w:rFonts w:ascii="Times New Roman;Times;serif" w:hAnsi="Times New Roman;Times;serif"/>
          <w:i/>
          <w:sz w:val="17"/>
        </w:rPr>
        <w:t>Distribution Restrictions</w:t>
      </w:r>
      <w:r>
        <w:rPr>
          <w:rFonts w:ascii="Times New Roman;Times;serif" w:hAnsi="Times New Roman;Times;serif"/>
          <w:sz w:val="17"/>
        </w:rPr>
        <w:t>. 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as provided in the Credit Agreement dated April 1, 2010 (the </w:t>
      </w:r>
      <w:r>
        <w:rPr>
          <w:rFonts w:ascii="Times New Roman;Times;serif" w:hAnsi="Times New Roman;Times;serif"/>
          <w:b/>
          <w:sz w:val="17"/>
        </w:rPr>
        <w:t>PNG Facility</w:t>
      </w:r>
      <w:r>
        <w:rPr>
          <w:rFonts w:ascii="Times New Roman;Times;serif" w:hAnsi="Times New Roman;Times;serif"/>
          <w:sz w:val="17"/>
        </w:rPr>
        <w:t>) among PNG, Bank of America, N.A., DnB Nor Bank ASA, Wells Fargo Bank, National Association, UBS Loan Finance LLC and Citibank, N.A. and the other lenders from time to time party thereto, (iii) such prohibitions mandated by the laws of each such Subsidiarys state of formation and the terms of any such Subsidiarys Organizational Documents and (iv) where such prohibition would not reasonably be expected to have a Material Adverse Effect.</w:t>
      </w:r>
    </w:p>
    <w:p>
      <w:pPr>
        <w:pStyle w:val="TextBody"/>
        <w:spacing w:before="120" w:after="283"/>
        <w:jc w:val="left"/>
        <w:rPr/>
      </w:pPr>
      <w:r>
        <w:rPr/>
        <w:t>          </w:t>
      </w:r>
      <w:r>
        <w:rPr>
          <w:rFonts w:ascii="Times New Roman;Times;serif" w:hAnsi="Times New Roman;Times;serif"/>
          <w:sz w:val="17"/>
        </w:rPr>
        <w:t>(hh) </w:t>
      </w:r>
      <w:r>
        <w:rPr>
          <w:rFonts w:ascii="Times New Roman;Times;serif" w:hAnsi="Times New Roman;Times;serif"/>
          <w:i/>
          <w:sz w:val="17"/>
        </w:rPr>
        <w:t>No Distribution of Other Offering Materials</w:t>
      </w:r>
      <w:r>
        <w:rPr>
          <w:rFonts w:ascii="Times New Roman;Times;serif" w:hAnsi="Times New Roman;Times;serif"/>
          <w:sz w:val="17"/>
        </w:rPr>
        <w:t>. None of the Plains Entities or the GP Entities has distributed and, prior to the later to occur of (i) any Delivery Date and</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(ii) completion of the distribution of the Firm Units or Option Units, as the case may be, will not distribute, any prospectus (as defined under the Securities Act) in connection with the offering and sale of the Units other than any Preliminary Prospectus, the Prospectus, any Issuer Free Writing Prospectus, subject to the conditions in Section 1(h) of this Agreement, or other materials, if any, permitted by the Securities Act, including Rule 134 of the Rules and Regulations. </w:t>
      </w:r>
    </w:p>
    <w:p>
      <w:pPr>
        <w:pStyle w:val="TextBody"/>
        <w:spacing w:before="120" w:after="283"/>
        <w:jc w:val="left"/>
        <w:rPr/>
      </w:pPr>
      <w:r>
        <w:rPr/>
        <w:t>          </w:t>
      </w:r>
      <w:r>
        <w:rPr>
          <w:rFonts w:ascii="Times New Roman;Times;serif" w:hAnsi="Times New Roman;Times;serif"/>
          <w:sz w:val="17"/>
        </w:rPr>
        <w:t>(ii) </w:t>
      </w:r>
      <w:r>
        <w:rPr>
          <w:rFonts w:ascii="Times New Roman;Times;serif" w:hAnsi="Times New Roman;Times;serif"/>
          <w:i/>
          <w:sz w:val="17"/>
        </w:rPr>
        <w:t>NYSE Listing of Common Units</w:t>
      </w:r>
      <w:r>
        <w:rPr>
          <w:rFonts w:ascii="Times New Roman;Times;serif" w:hAnsi="Times New Roman;Times;serif"/>
          <w:sz w:val="17"/>
        </w:rPr>
        <w:t>. The Common Units, including the Units, are listed on the New York Stock Exchange (</w:t>
      </w:r>
      <w:r>
        <w:rPr>
          <w:rFonts w:ascii="Times New Roman;Times;serif" w:hAnsi="Times New Roman;Times;serif"/>
          <w:b/>
          <w:sz w:val="17"/>
        </w:rPr>
        <w:t>NYSE</w:t>
      </w:r>
      <w:r>
        <w:rPr>
          <w:rFonts w:ascii="Times New Roman;Times;serif" w:hAnsi="Times New Roman;Times;serif"/>
          <w:sz w:val="17"/>
        </w:rPr>
        <w:t>).</w:t>
      </w:r>
    </w:p>
    <w:p>
      <w:pPr>
        <w:pStyle w:val="TextBody"/>
        <w:spacing w:before="120" w:after="283"/>
        <w:jc w:val="left"/>
        <w:rPr/>
      </w:pPr>
      <w:r>
        <w:rPr/>
        <w:t>          </w:t>
      </w:r>
      <w:r>
        <w:rPr>
          <w:rFonts w:ascii="Times New Roman;Times;serif" w:hAnsi="Times New Roman;Times;serif"/>
          <w:sz w:val="17"/>
        </w:rPr>
        <w:t>(jj) </w:t>
      </w:r>
      <w:r>
        <w:rPr>
          <w:rFonts w:ascii="Times New Roman;Times;serif" w:hAnsi="Times New Roman;Times;serif"/>
          <w:i/>
          <w:sz w:val="17"/>
        </w:rPr>
        <w:t>Books and Records; Accounting Controls</w:t>
      </w:r>
      <w:r>
        <w:rPr>
          <w:rFonts w:ascii="Times New Roman;Times;serif" w:hAnsi="Times New Roman;Times;serif"/>
          <w:sz w:val="17"/>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pStyle w:val="TextBody"/>
        <w:spacing w:before="120" w:after="283"/>
        <w:jc w:val="left"/>
        <w:rPr/>
      </w:pPr>
      <w:r>
        <w:rPr/>
        <w:t>          </w:t>
      </w:r>
      <w:r>
        <w:rPr>
          <w:rFonts w:ascii="Times New Roman;Times;serif" w:hAnsi="Times New Roman;Times;serif"/>
          <w:sz w:val="17"/>
        </w:rPr>
        <w:t>(kk) </w:t>
      </w:r>
      <w:r>
        <w:rPr>
          <w:rFonts w:ascii="Times New Roman;Times;serif" w:hAnsi="Times New Roman;Times;serif"/>
          <w:i/>
          <w:sz w:val="17"/>
        </w:rPr>
        <w:t>Sarbanes-Oxley Act</w:t>
      </w:r>
      <w:r>
        <w:rPr>
          <w:rFonts w:ascii="Times New Roman;Times;serif" w:hAnsi="Times New Roman;Times;serif"/>
          <w:sz w:val="17"/>
        </w:rPr>
        <w:t>. The Partnership and, to the knowledge of the Partnership, the directors and officers of GP LLC in their capacities as such, are in compliance in all material respects with all applicable and effective provisions of the Sarbanes-Oxley Act of 2002 and the rules and regulations promulgated thereunder.</w:t>
      </w:r>
    </w:p>
    <w:p>
      <w:pPr>
        <w:pStyle w:val="TextBody"/>
        <w:spacing w:before="120" w:after="283"/>
        <w:jc w:val="left"/>
        <w:rPr/>
      </w:pPr>
      <w:r>
        <w:rPr/>
        <w:t>          </w:t>
      </w:r>
      <w:r>
        <w:rPr>
          <w:rFonts w:ascii="Times New Roman;Times;serif" w:hAnsi="Times New Roman;Times;serif"/>
          <w:sz w:val="17"/>
        </w:rPr>
        <w:t>(ll) </w:t>
      </w:r>
      <w:r>
        <w:rPr>
          <w:rFonts w:ascii="Times New Roman;Times;serif" w:hAnsi="Times New Roman;Times;serif"/>
          <w:i/>
          <w:sz w:val="17"/>
        </w:rPr>
        <w:t>Disclosure Controls</w:t>
      </w:r>
      <w:r>
        <w:rPr>
          <w:rFonts w:ascii="Times New Roman;Times;serif" w:hAnsi="Times New Roman;Times;serif"/>
          <w:sz w:val="17"/>
        </w:rPr>
        <w:t>. The Partnership maintains disclosure controls and procedures (to the extent required by and as such term is 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pStyle w:val="TextBody"/>
        <w:spacing w:before="120" w:after="283"/>
        <w:jc w:val="left"/>
        <w:rPr/>
      </w:pPr>
      <w:r>
        <w:rPr/>
        <w:t>          </w:t>
      </w:r>
      <w:r>
        <w:rPr>
          <w:rFonts w:ascii="Times New Roman;Times;serif" w:hAnsi="Times New Roman;Times;serif"/>
          <w:sz w:val="17"/>
        </w:rPr>
        <w:t>(mm) </w:t>
      </w:r>
      <w:r>
        <w:rPr>
          <w:rFonts w:ascii="Times New Roman;Times;serif" w:hAnsi="Times New Roman;Times;serif"/>
          <w:i/>
          <w:sz w:val="17"/>
        </w:rPr>
        <w:t>No Deficiency in Internal Controls</w:t>
      </w:r>
      <w:r>
        <w:rPr>
          <w:rFonts w:ascii="Times New Roman;Times;serif" w:hAnsi="Times New Roman;Times;serif"/>
          <w:sz w:val="17"/>
        </w:rPr>
        <w:t>.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pStyle w:val="TextBody"/>
        <w:spacing w:before="120" w:after="283"/>
        <w:jc w:val="left"/>
        <w:rPr/>
      </w:pPr>
      <w:r>
        <w:rPr/>
        <w:t>          </w:t>
      </w:r>
      <w:r>
        <w:rPr>
          <w:rFonts w:ascii="Times New Roman;Times;serif" w:hAnsi="Times New Roman;Times;serif"/>
          <w:sz w:val="17"/>
        </w:rPr>
        <w:t>(nn) </w:t>
      </w:r>
      <w:r>
        <w:rPr>
          <w:rFonts w:ascii="Times New Roman;Times;serif" w:hAnsi="Times New Roman;Times;serif"/>
          <w:i/>
          <w:sz w:val="17"/>
        </w:rPr>
        <w:t>FCPA</w:t>
      </w:r>
      <w:r>
        <w:rPr>
          <w:rFonts w:ascii="Times New Roman;Times;serif" w:hAnsi="Times New Roman;Times;serif"/>
          <w:sz w:val="17"/>
        </w:rPr>
        <w:t>. None of the Plains Entities or the GP Entities nor, to the knowledge of the Partnership, any director, officer, agent or employee of the Plains Entities or the GP Entities (in their capacity as director, officer, agent or employee) is aware of or has taken</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any action, directly or indirectly, that would result in a violation by such persons of the Foreign Corrupt Practices Act of 1977, as amended, and the rules and regulations thereunder. </w:t>
      </w:r>
    </w:p>
    <w:p>
      <w:pPr>
        <w:pStyle w:val="TextBody"/>
        <w:spacing w:before="120" w:after="283"/>
        <w:jc w:val="left"/>
        <w:rPr/>
      </w:pPr>
      <w:r>
        <w:rPr/>
        <w:t>          </w:t>
      </w:r>
      <w:r>
        <w:rPr>
          <w:rFonts w:ascii="Times New Roman;Times;serif" w:hAnsi="Times New Roman;Times;serif"/>
          <w:sz w:val="17"/>
        </w:rPr>
        <w:t>(oo) </w:t>
      </w:r>
      <w:r>
        <w:rPr>
          <w:rFonts w:ascii="Times New Roman;Times;serif" w:hAnsi="Times New Roman;Times;serif"/>
          <w:i/>
          <w:sz w:val="17"/>
        </w:rPr>
        <w:t>Money Laundering Laws</w:t>
      </w:r>
      <w:r>
        <w:rPr>
          <w:rFonts w:ascii="Times New Roman;Times;serif" w:hAnsi="Times New Roman;Times;serif"/>
          <w:sz w:val="17"/>
        </w:rPr>
        <w:t>. No action, suit or proceeding by or before any court or governmental agency, authority or body or any arbitrator involving the Plains Entities or the GP Entities that involve allegations of money laundering is pending or, to the knowledge of the Partnership, threatened.</w:t>
      </w:r>
    </w:p>
    <w:p>
      <w:pPr>
        <w:pStyle w:val="TextBody"/>
        <w:spacing w:before="120" w:after="283"/>
        <w:jc w:val="left"/>
        <w:rPr/>
      </w:pPr>
      <w:r>
        <w:rPr/>
        <w:t>          </w:t>
      </w:r>
      <w:r>
        <w:rPr>
          <w:rFonts w:ascii="Times New Roman;Times;serif" w:hAnsi="Times New Roman;Times;serif"/>
          <w:sz w:val="17"/>
        </w:rPr>
        <w:t>(pp) </w:t>
      </w:r>
      <w:r>
        <w:rPr>
          <w:rFonts w:ascii="Times New Roman;Times;serif" w:hAnsi="Times New Roman;Times;serif"/>
          <w:i/>
          <w:sz w:val="17"/>
        </w:rPr>
        <w:t>OFAC</w:t>
      </w:r>
      <w:r>
        <w:rPr>
          <w:rFonts w:ascii="Times New Roman;Times;serif" w:hAnsi="Times New Roman;Times;serif"/>
          <w:sz w:val="17"/>
        </w:rPr>
        <w:t>. None of the Plains Entities or the GP Entities nor, to the knowledge of the Partnership, any director, officer or employee of the Plains Entities or the GP Entities (in their capacity as director, officer or employee) has received notice that it is subject to any sanctions administered by the Office of Foreign Assets Control of the U.S. Treasury Department.</w:t>
      </w:r>
    </w:p>
    <w:p>
      <w:pPr>
        <w:pStyle w:val="TextBody"/>
        <w:spacing w:before="120" w:after="283"/>
        <w:jc w:val="left"/>
        <w:rPr/>
      </w:pPr>
      <w:r>
        <w:rPr/>
        <w:t>          </w:t>
      </w:r>
      <w:r>
        <w:rPr>
          <w:rFonts w:ascii="Times New Roman;Times;serif" w:hAnsi="Times New Roman;Times;serif"/>
          <w:sz w:val="17"/>
        </w:rPr>
        <w:t>The applicable statements made in the certificate described in Sections 9(j) and 9(m) shall be deemed representations and warranties by the Partnership, as to matters covered thereby, to the Underwriters.</w:t>
      </w:r>
    </w:p>
    <w:p>
      <w:pPr>
        <w:pStyle w:val="TextBody"/>
        <w:spacing w:before="120" w:after="283"/>
        <w:jc w:val="left"/>
        <w:rPr/>
      </w:pPr>
      <w:r>
        <w:rPr/>
        <w:t>          </w:t>
      </w:r>
      <w:r>
        <w:rPr>
          <w:rFonts w:ascii="Times New Roman;Times;serif" w:hAnsi="Times New Roman;Times;serif"/>
          <w:sz w:val="17"/>
        </w:rPr>
        <w:t xml:space="preserve">2. </w:t>
      </w:r>
      <w:r>
        <w:rPr>
          <w:rFonts w:ascii="Times New Roman;Times;serif" w:hAnsi="Times New Roman;Times;serif"/>
          <w:i/>
          <w:sz w:val="17"/>
        </w:rPr>
        <w:t>Representations, Warranties and Agreements of the Selling Unitholder</w:t>
      </w:r>
      <w:r>
        <w:rPr>
          <w:rFonts w:ascii="Times New Roman;Times;serif" w:hAnsi="Times New Roman;Times;serif"/>
          <w:sz w:val="17"/>
        </w:rPr>
        <w:t>. The Selling Unitholder represents and warrants to, and agrees with, each Underwriter that:</w:t>
      </w:r>
    </w:p>
    <w:p>
      <w:pPr>
        <w:pStyle w:val="TextBody"/>
        <w:spacing w:before="120" w:after="283"/>
        <w:jc w:val="left"/>
        <w:rPr/>
      </w:pPr>
      <w:r>
        <w:rPr/>
        <w:t>          </w:t>
      </w:r>
      <w:r>
        <w:rPr>
          <w:rFonts w:ascii="Times New Roman;Times;serif" w:hAnsi="Times New Roman;Times;serif"/>
          <w:sz w:val="17"/>
        </w:rPr>
        <w:t>(a) </w:t>
      </w:r>
      <w:r>
        <w:rPr>
          <w:rFonts w:ascii="Times New Roman;Times;serif" w:hAnsi="Times New Roman;Times;serif"/>
          <w:i/>
          <w:sz w:val="17"/>
        </w:rPr>
        <w:t xml:space="preserve">Formation of the Selling Unitholder. </w:t>
      </w:r>
      <w:r>
        <w:rPr>
          <w:rFonts w:ascii="Times New Roman;Times;serif" w:hAnsi="Times New Roman;Times;serif"/>
          <w:sz w:val="17"/>
        </w:rPr>
        <w:t>The Selling Unitholder has been duly incorporated and is validly existing in good standing as a corporation under the laws of Delaware with full power and authority to own or lease its properties and to conduct its business in all material respects.</w:t>
      </w:r>
    </w:p>
    <w:p>
      <w:pPr>
        <w:pStyle w:val="TextBody"/>
        <w:spacing w:before="120" w:after="283"/>
        <w:jc w:val="left"/>
        <w:rPr/>
      </w:pPr>
      <w:r>
        <w:rPr/>
        <w:t>          </w:t>
      </w:r>
      <w:r>
        <w:rPr>
          <w:rFonts w:ascii="Times New Roman;Times;serif" w:hAnsi="Times New Roman;Times;serif"/>
          <w:sz w:val="17"/>
        </w:rPr>
        <w:t>(b) </w:t>
      </w:r>
      <w:r>
        <w:rPr>
          <w:rFonts w:ascii="Times New Roman;Times;serif" w:hAnsi="Times New Roman;Times;serif"/>
          <w:i/>
          <w:sz w:val="17"/>
        </w:rPr>
        <w:t>Authority, Authorization, Execution and Delivery</w:t>
      </w:r>
      <w:r>
        <w:rPr>
          <w:rFonts w:ascii="Times New Roman;Times;serif" w:hAnsi="Times New Roman;Times;serif"/>
          <w:sz w:val="17"/>
        </w:rPr>
        <w:t>. The Selling Unitholder has all requisite corporate right, power and authority to execute and deliver this Agreement and to perform its obligations hereunder; and this Agreement has been duly and validly authorized, executed and delivered by or on behalf of the Selling Unitholder.</w:t>
      </w:r>
    </w:p>
    <w:p>
      <w:pPr>
        <w:pStyle w:val="TextBody"/>
        <w:spacing w:before="120" w:after="283"/>
        <w:jc w:val="left"/>
        <w:rPr/>
      </w:pPr>
      <w:r>
        <w:rPr/>
        <w:t>          </w:t>
      </w:r>
      <w:r>
        <w:rPr>
          <w:rFonts w:ascii="Times New Roman;Times;serif" w:hAnsi="Times New Roman;Times;serif"/>
          <w:sz w:val="17"/>
        </w:rPr>
        <w:t>(c) </w:t>
      </w:r>
      <w:r>
        <w:rPr>
          <w:rFonts w:ascii="Times New Roman;Times;serif" w:hAnsi="Times New Roman;Times;serif"/>
          <w:i/>
          <w:sz w:val="17"/>
        </w:rPr>
        <w:t xml:space="preserve">Ownership and Adverse Claims. </w:t>
      </w:r>
      <w:r>
        <w:rPr>
          <w:rFonts w:ascii="Times New Roman;Times;serif" w:hAnsi="Times New Roman;Times;serif"/>
          <w:sz w:val="17"/>
        </w:rPr>
        <w:t>The Selling Unitholder is the record and beneficial owner of the Units to be sold by it hereunder free and clear of all liens, encumbrances, equities and claims and has duly endorsed such Units in blank, and has full corporate power and authority to sell its interest in the Units, and, assuming that each Underwriter acquires its interest in the Units it has purchased from the Selling Unitholder without notice of any adverse claim (within the meaning of Section 8-105 of the New York Uniform Commercial Code (</w:t>
      </w:r>
      <w:r>
        <w:rPr>
          <w:rFonts w:ascii="Times New Roman;Times;serif" w:hAnsi="Times New Roman;Times;serif"/>
          <w:b/>
          <w:sz w:val="17"/>
        </w:rPr>
        <w:t>UCC</w:t>
      </w:r>
      <w:r>
        <w:rPr>
          <w:rFonts w:ascii="Times New Roman;Times;serif" w:hAnsi="Times New Roman;Times;serif"/>
          <w:sz w:val="17"/>
        </w:rPr>
        <w:t>)), each Underwriter that has purchased such Units delivered on the Closing Date to The Depository Trust Company (</w:t>
      </w:r>
      <w:r>
        <w:rPr>
          <w:rFonts w:ascii="Times New Roman;Times;serif" w:hAnsi="Times New Roman;Times;serif"/>
          <w:b/>
          <w:sz w:val="17"/>
        </w:rPr>
        <w:t>DTC</w:t>
      </w:r>
      <w:r>
        <w:rPr>
          <w:rFonts w:ascii="Times New Roman;Times;serif" w:hAnsi="Times New Roman;Times;serif"/>
          <w:sz w:val="17"/>
        </w:rPr>
        <w:t>) or other securities intermediary by making payment therefor as provided herein, and that has had such Units credited to the securities account or accounts of such Underwriters maintained with DTC or such other securities intermediary will have acquired a security entitlement (within the meaning of Section 8-102(a)(17) of the UCC) to such Units purchased by such Underwriter, and no action based on an adverse claim (within the meaning of Section 8-105 of the UCC) may be asserted against such Underwriter with respect to such Units.</w:t>
      </w:r>
    </w:p>
    <w:p>
      <w:pPr>
        <w:pStyle w:val="TextBody"/>
        <w:spacing w:before="120" w:after="283"/>
        <w:jc w:val="left"/>
        <w:rPr/>
      </w:pPr>
      <w:r>
        <w:rPr/>
        <w:t>          </w:t>
      </w:r>
      <w:r>
        <w:rPr>
          <w:rFonts w:ascii="Times New Roman;Times;serif" w:hAnsi="Times New Roman;Times;serif"/>
          <w:sz w:val="17"/>
        </w:rPr>
        <w:t>(d) </w:t>
      </w:r>
      <w:r>
        <w:rPr>
          <w:rFonts w:ascii="Times New Roman;Times;serif" w:hAnsi="Times New Roman;Times;serif"/>
          <w:i/>
          <w:sz w:val="17"/>
        </w:rPr>
        <w:t>No Conflicts or Violations</w:t>
      </w:r>
      <w:r>
        <w:rPr>
          <w:rFonts w:ascii="Times New Roman;Times;serif" w:hAnsi="Times New Roman;Times;serif"/>
          <w:sz w:val="17"/>
        </w:rPr>
        <w:t>. None of the offering and sale of the Units, the execution, delivery and performance of this Agreement by the Selling Unitholder or the consummation of the transactions contemplated hereby (i) conflicts or will conflict with or</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constitutes or will constitute a violation of the Organizational Documents of the Selling Unitholder,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Selling Unitholder or any of its properties may be bound, (iii) violates or will violate any statute, law or regulation or any order, judgment, decree or injunction of any court or governmental agency or body directed to the Selling Unitholder or any of its properties in a proceeding to which the Selling Unitholder or its property is or was a party or (iv) results or will result in the creation or imposition of any Lien upon any property or assets of the Selling Unitholder, which conflicts, breaches, violations, defaults or Liens, in the case of clauses (ii), (iii) or (iv), would, individually or in the aggregate, have a material adverse effect on the Selling Unitholder or would materially impair the ability of the Selling Unitholder to consummate the transactions contemplated by this Agreement. </w:t>
      </w:r>
    </w:p>
    <w:p>
      <w:pPr>
        <w:pStyle w:val="TextBody"/>
        <w:spacing w:before="120" w:after="283"/>
        <w:jc w:val="left"/>
        <w:rPr/>
      </w:pPr>
      <w:r>
        <w:rPr/>
        <w:t>          </w:t>
      </w:r>
      <w:r>
        <w:rPr>
          <w:rFonts w:ascii="Times New Roman;Times;serif" w:hAnsi="Times New Roman;Times;serif"/>
          <w:sz w:val="17"/>
        </w:rPr>
        <w:t>(e) </w:t>
      </w:r>
      <w:r>
        <w:rPr>
          <w:rFonts w:ascii="Times New Roman;Times;serif" w:hAnsi="Times New Roman;Times;serif"/>
          <w:i/>
          <w:sz w:val="17"/>
        </w:rPr>
        <w:t>No Consents</w:t>
      </w:r>
      <w:r>
        <w:rPr>
          <w:rFonts w:ascii="Times New Roman;Times;serif" w:hAnsi="Times New Roman;Times;serif"/>
          <w:sz w:val="17"/>
        </w:rPr>
        <w:t>. No consent, approval, authorization, filing with or order of any court, governmental agency or body having jurisdiction over the Selling Unitholder or the property or assets of the Selling Unitholder is required in connection with the offering and sale of the Units, the execution, delivery and performance of this Agreement by the Selling Unitholder and the consummation of the transactions contemplated hereby, except (i) such as have been obtained under the Securities Act, (ii) such as may be required under the blue sky laws of any jurisdiction or the by-laws and rules of FINRA in connection with the purchase and distribution by the Underwriters of the Units in the manner contemplated herein and in the Pricing Disclosure Package and the Prospectus and (iii) where the failure to obtain such consent, approval, authorization, filing or order, individually or in the aggregate, would not have a material adverse effect on the Selling Unitholder and would not materially impair the ability of the Selling Unitholder to perform its obligations under this Agreement.</w:t>
      </w:r>
    </w:p>
    <w:p>
      <w:pPr>
        <w:pStyle w:val="TextBody"/>
        <w:spacing w:before="120" w:after="283"/>
        <w:jc w:val="left"/>
        <w:rPr/>
      </w:pPr>
      <w:r>
        <w:rPr/>
        <w:t>          </w:t>
      </w:r>
      <w:r>
        <w:rPr>
          <w:rFonts w:ascii="Times New Roman;Times;serif" w:hAnsi="Times New Roman;Times;serif"/>
          <w:sz w:val="17"/>
        </w:rPr>
        <w:t>(f) </w:t>
      </w:r>
      <w:r>
        <w:rPr>
          <w:rFonts w:ascii="Times New Roman;Times;serif" w:hAnsi="Times New Roman;Times;serif"/>
          <w:i/>
          <w:sz w:val="17"/>
        </w:rPr>
        <w:t xml:space="preserve">Basis of Sale. </w:t>
      </w:r>
      <w:r>
        <w:rPr>
          <w:rFonts w:ascii="Times New Roman;Times;serif" w:hAnsi="Times New Roman;Times;serif"/>
          <w:sz w:val="17"/>
        </w:rPr>
        <w:t>The sale of Units by the Selling Unitholder pursuant hereto is not prompted by any information concerning the Partnership or any of its subsidiaries which is not set forth in the Pricing Disclosure Package and the Prospectus or any amendment or supplement thereto.</w:t>
      </w:r>
    </w:p>
    <w:p>
      <w:pPr>
        <w:pStyle w:val="TextBody"/>
        <w:spacing w:before="120" w:after="283"/>
        <w:jc w:val="left"/>
        <w:rPr/>
      </w:pPr>
      <w:r>
        <w:rPr/>
        <w:t>          </w:t>
      </w:r>
      <w:r>
        <w:rPr>
          <w:rFonts w:ascii="Times New Roman;Times;serif" w:hAnsi="Times New Roman;Times;serif"/>
          <w:sz w:val="17"/>
        </w:rPr>
        <w:t>(g) </w:t>
      </w:r>
      <w:r>
        <w:rPr>
          <w:rFonts w:ascii="Times New Roman;Times;serif" w:hAnsi="Times New Roman;Times;serif"/>
          <w:i/>
          <w:sz w:val="17"/>
        </w:rPr>
        <w:t xml:space="preserve">Selling Unitholder Information. </w:t>
      </w:r>
      <w:r>
        <w:rPr>
          <w:rFonts w:ascii="Times New Roman;Times;serif" w:hAnsi="Times New Roman;Times;serif"/>
          <w:sz w:val="17"/>
        </w:rPr>
        <w:t>In respect of any statements in or omissions from the Registration Statement, the Pricing Disclosure Package, the Prospectus or any Issuer Free Writing Prospectus or any amendment or supplement thereto used by the Partnership or any Underwriter, as the case may be, made in reliance upon and in conformity with information furnished in writing to the Partnership or to the Underwriters by the Selling Unitholder specifically for use in connection with the preparation thereof, none of such statements include an untrue statement of a material fact or omit to state a material fact necessary in order to make the statements therein (in the case of any Pricing Disclosure Package or the Prospectus, in the light of the circumstances under which any such statements were made) not misleading.</w:t>
      </w:r>
    </w:p>
    <w:p>
      <w:pPr>
        <w:pStyle w:val="TextBody"/>
        <w:spacing w:before="120" w:after="283"/>
        <w:jc w:val="left"/>
        <w:rPr/>
      </w:pPr>
      <w:r>
        <w:rPr/>
        <w:t>          </w:t>
      </w:r>
      <w:r>
        <w:rPr>
          <w:rFonts w:ascii="Times New Roman;Times;serif" w:hAnsi="Times New Roman;Times;serif"/>
          <w:sz w:val="17"/>
        </w:rPr>
        <w:t>(h) </w:t>
      </w:r>
      <w:r>
        <w:rPr>
          <w:rFonts w:ascii="Times New Roman;Times;serif" w:hAnsi="Times New Roman;Times;serif"/>
          <w:i/>
          <w:sz w:val="17"/>
        </w:rPr>
        <w:t>No Use of Free Writing Prospectus</w:t>
      </w:r>
      <w:r>
        <w:rPr>
          <w:rFonts w:ascii="Times New Roman;Times;serif" w:hAnsi="Times New Roman;Times;serif"/>
          <w:sz w:val="17"/>
        </w:rPr>
        <w:t>. Neither the Selling Unitholder nor any person acting on behalf of the Selling Unitholder (other than, if applicable, the Partnership and the Underwriters) has used or referred to any free writing prospectus (as defined in Rule 405 of the Rules and Regulations) relating to the Units.</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The applicable statements made in the certificates described in Sections 9(n) shall be deemed representations and warranties by the Selling Unitholder, as to matters covered thereby, to the Underwriters.</w:t>
      </w:r>
    </w:p>
    <w:p>
      <w:pPr>
        <w:pStyle w:val="TextBody"/>
        <w:spacing w:before="120" w:after="283"/>
        <w:jc w:val="left"/>
        <w:rPr/>
      </w:pPr>
      <w:r>
        <w:rPr/>
        <w:t>          </w:t>
      </w:r>
      <w:r>
        <w:rPr>
          <w:rFonts w:ascii="Times New Roman;Times;serif" w:hAnsi="Times New Roman;Times;serif"/>
          <w:sz w:val="17"/>
        </w:rPr>
        <w:t xml:space="preserve">3. </w:t>
      </w:r>
      <w:r>
        <w:rPr>
          <w:rFonts w:ascii="Times New Roman;Times;serif" w:hAnsi="Times New Roman;Times;serif"/>
          <w:sz w:val="17"/>
          <w:u w:val="single"/>
        </w:rPr>
        <w:t>Purchase and Sale</w:t>
      </w:r>
      <w:r>
        <w:rPr>
          <w:rFonts w:ascii="Times New Roman;Times;serif" w:hAnsi="Times New Roman;Times;serif"/>
          <w:sz w:val="17"/>
        </w:rPr>
        <w:t xml:space="preserve">. (a) Subject to the terms and conditions and in reliance upon the representations and warranties herein set forth, the Selling Unitholder agrees to sell to each Underwriter, and each Underwriter agrees, severally and not jointly, to purchase from the Selling Unitholder, at a purchase price of $59.30 per Unit, the number of Firm Units set forth opposite such Underwriters name on </w:t>
      </w:r>
      <w:r>
        <w:rPr>
          <w:rFonts w:ascii="Times New Roman;Times;serif" w:hAnsi="Times New Roman;Times;serif"/>
          <w:sz w:val="17"/>
          <w:u w:val="single"/>
        </w:rPr>
        <w:t>Schedule I</w:t>
      </w:r>
      <w:r>
        <w:rPr>
          <w:rFonts w:ascii="Times New Roman;Times;serif" w:hAnsi="Times New Roman;Times;serif"/>
          <w:sz w:val="17"/>
        </w:rPr>
        <w:t xml:space="preserve"> hereto, subject to adjustment as set forth in Section 11 hereof.</w:t>
      </w:r>
    </w:p>
    <w:p>
      <w:pPr>
        <w:pStyle w:val="TextBody"/>
        <w:spacing w:before="120" w:after="283"/>
        <w:jc w:val="left"/>
        <w:rPr/>
      </w:pPr>
      <w:r>
        <w:rPr/>
        <w:t>          </w:t>
      </w:r>
      <w:r>
        <w:rPr>
          <w:rFonts w:ascii="Times New Roman;Times;serif" w:hAnsi="Times New Roman;Times;serif"/>
          <w:sz w:val="17"/>
        </w:rPr>
        <w:t xml:space="preserve">(b) Subject to the terms and conditions and in reliance upon the representations and warranties herein set forth, the Selling Unitholder hereby grants an option to the several Underwriters to purchase, severally and not jointly, up to 1,125,000 Option Units at the same purchase price per Unit as the Underwriters shall pay for the Firm Units set forth on </w:t>
      </w:r>
      <w:r>
        <w:rPr>
          <w:rFonts w:ascii="Times New Roman;Times;serif" w:hAnsi="Times New Roman;Times;serif"/>
          <w:sz w:val="17"/>
          <w:u w:val="single"/>
        </w:rPr>
        <w:t>Schedule I</w:t>
      </w:r>
      <w:r>
        <w:rPr>
          <w:rFonts w:ascii="Times New Roman;Times;serif" w:hAnsi="Times New Roman;Times;serif"/>
          <w:sz w:val="17"/>
        </w:rPr>
        <w:t xml:space="preserve"> hereto. Said option may be exercised in whole or in part at any time and from time to time on or before the 30th day after the date of the Prospectus upon written or telegraphic notice by the Representatives to the Selling Unitholder and the Partnership setting forth the number of Option Units as to which the several Underwriters are exercising the option and the settlement date. The number of Option Units to be purchased by each Underwriter shall be the same percentage of the total number of Option Units to be purchased by the several Underwriters as such Underwriter is purchasing of the Firm Units, subject to (i) such adjustments as the Representatives in their absolute discretion shall make to eliminate any fractional shares and (ii) adjustment as set forth in Section 11 hereof.</w:t>
      </w:r>
    </w:p>
    <w:p>
      <w:pPr>
        <w:pStyle w:val="TextBody"/>
        <w:spacing w:before="120" w:after="283"/>
        <w:jc w:val="left"/>
        <w:rPr/>
      </w:pPr>
      <w:r>
        <w:rPr/>
        <w:t>          </w:t>
      </w:r>
      <w:r>
        <w:rPr>
          <w:rFonts w:ascii="Times New Roman;Times;serif" w:hAnsi="Times New Roman;Times;serif"/>
          <w:sz w:val="17"/>
        </w:rPr>
        <w:t xml:space="preserve">4. </w:t>
      </w:r>
      <w:r>
        <w:rPr>
          <w:rFonts w:ascii="Times New Roman;Times;serif" w:hAnsi="Times New Roman;Times;serif"/>
          <w:sz w:val="17"/>
          <w:u w:val="single"/>
        </w:rPr>
        <w:t>Delivery and Payment</w:t>
      </w:r>
      <w:r>
        <w:rPr>
          <w:rFonts w:ascii="Times New Roman;Times;serif" w:hAnsi="Times New Roman;Times;serif"/>
          <w:sz w:val="17"/>
        </w:rPr>
        <w:t>. Delivery of and payment for the Firm Units and the Option Units (if the option provided for in Section 3(b) hereof shall have been exercised on or before the third business day prior to the Initial Delivery Date) shall be made at the office of Vinson &amp; Elkins L.L.P., 1001 Fannin, Houston, Texas 77002 at 9:00 a.m., Houston time, on August 17, 2011, or at such time on such later date not more than three business days after the foregoing date as the Representatives shall designate, which date and time may be postponed by agreement between the Representatives, the Selling Unitholder and the Partnership or as provided in Section 11 hereof (such date and time of delivery and payment for the Units being herein called the </w:t>
      </w:r>
      <w:r>
        <w:rPr>
          <w:rFonts w:ascii="Times New Roman;Times;serif" w:hAnsi="Times New Roman;Times;serif"/>
          <w:b/>
          <w:sz w:val="17"/>
        </w:rPr>
        <w:t>Initial Delivery Date</w:t>
      </w:r>
      <w:r>
        <w:rPr>
          <w:rFonts w:ascii="Times New Roman;Times;serif" w:hAnsi="Times New Roman;Times;serif"/>
          <w:sz w:val="17"/>
        </w:rPr>
        <w:t>). Delivery of the Units shall be made to the Underwriters for the respective accounts of the several Underwriters against payment by the several Underwriters of the purchase price thereof to or upon the order of the Selling Unitholder by wire transfer payable in same-day funds to an account specified by the Selling Unitholder. Delivery of the Firm Units and the Option Units shall be made through the facilities of DTC unless the Representatives shall otherwise instruct.</w:t>
      </w:r>
    </w:p>
    <w:p>
      <w:pPr>
        <w:pStyle w:val="TextBody"/>
        <w:spacing w:before="120" w:after="283"/>
        <w:jc w:val="left"/>
        <w:rPr/>
      </w:pPr>
      <w:r>
        <w:rPr/>
        <w:t>          </w:t>
      </w:r>
      <w:r>
        <w:rPr>
          <w:rFonts w:ascii="Times New Roman;Times;serif" w:hAnsi="Times New Roman;Times;serif"/>
          <w:sz w:val="17"/>
        </w:rPr>
        <w:t>If the option provided for in Section 3(b) hereof is exercised after the third business day prior to the Initial Delivery Date, the Selling Unitholder will deliver the Option Units (at the expense of the Partnership) to the Representatives on the date (an </w:t>
      </w:r>
      <w:r>
        <w:rPr>
          <w:rFonts w:ascii="Times New Roman;Times;serif" w:hAnsi="Times New Roman;Times;serif"/>
          <w:b/>
          <w:sz w:val="17"/>
        </w:rPr>
        <w:t>Option Units Delivery Date</w:t>
      </w:r>
      <w:r>
        <w:rPr>
          <w:rFonts w:ascii="Times New Roman;Times;serif" w:hAnsi="Times New Roman;Times;serif"/>
          <w:sz w:val="17"/>
        </w:rPr>
        <w:t>) specified by the Underwriters (which shall be within three business days after each exercise of said option), for the respective accounts of the several Underwriters, against payment by the several Underwriters of the purchase price thereof to or upon the order of the Selling Unitholder by wire transfer payable in same-day funds to an account specified by the</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Selling Unitholder. If settlement for the Option Units occurs after the Initial Delivery Date, the Selling Unitholder will deliver to the Underwriters on the Option Units Delivery Date for the Option Units, and the obligation of the Underwriters to purchase the Option Units shall be conditioned upon receipt of, supplemental opinions, certificates and letters confirming as of such date the opinions, certificates and letters delivered on the Initial Delivery Date pursuant to Section 9 hereof. The Initial Delivery Date and any Option Units Delivery Date are each sometimes referred to as a </w:t>
      </w:r>
      <w:r>
        <w:rPr>
          <w:rFonts w:ascii="Times New Roman;Times;serif" w:hAnsi="Times New Roman;Times;serif"/>
          <w:b/>
          <w:sz w:val="17"/>
        </w:rPr>
        <w:t>Delivery Date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5. </w:t>
      </w:r>
      <w:r>
        <w:rPr>
          <w:rFonts w:ascii="Times New Roman;Times;serif" w:hAnsi="Times New Roman;Times;serif"/>
          <w:sz w:val="17"/>
          <w:u w:val="single"/>
        </w:rPr>
        <w:t>Offering by the Underwriters</w:t>
      </w:r>
      <w:r>
        <w:rPr>
          <w:rFonts w:ascii="Times New Roman;Times;serif" w:hAnsi="Times New Roman;Times;serif"/>
          <w:sz w:val="17"/>
        </w:rPr>
        <w:t>. It is understood that the several Underwriters propose to offer the Units for sale to the public as set forth in the Prospectus.</w:t>
      </w:r>
    </w:p>
    <w:p>
      <w:pPr>
        <w:pStyle w:val="TextBody"/>
        <w:spacing w:before="120" w:after="283"/>
        <w:jc w:val="left"/>
        <w:rPr/>
      </w:pPr>
      <w:r>
        <w:rPr/>
        <w:t>          </w:t>
      </w:r>
      <w:r>
        <w:rPr>
          <w:rFonts w:ascii="Times New Roman;Times;serif" w:hAnsi="Times New Roman;Times;serif"/>
          <w:sz w:val="17"/>
        </w:rPr>
        <w:t xml:space="preserve">6. </w:t>
      </w:r>
      <w:r>
        <w:rPr>
          <w:rFonts w:ascii="Times New Roman;Times;serif" w:hAnsi="Times New Roman;Times;serif"/>
          <w:sz w:val="17"/>
          <w:u w:val="single"/>
        </w:rPr>
        <w:t>Agreements of the Partnership</w:t>
      </w:r>
      <w:r>
        <w:rPr>
          <w:rFonts w:ascii="Times New Roman;Times;serif" w:hAnsi="Times New Roman;Times;serif"/>
          <w:sz w:val="17"/>
        </w:rPr>
        <w:t>. The Partnership acknowledges and agrees with the Underwriters that:</w:t>
      </w:r>
    </w:p>
    <w:p>
      <w:pPr>
        <w:pStyle w:val="TextBody"/>
        <w:spacing w:before="120" w:after="283"/>
        <w:jc w:val="left"/>
        <w:rPr/>
      </w:pPr>
      <w:r>
        <w:rPr/>
        <w:t>          </w:t>
      </w:r>
      <w:r>
        <w:rPr>
          <w:rFonts w:ascii="Times New Roman;Times;serif" w:hAnsi="Times New Roman;Times;serif"/>
          <w:sz w:val="17"/>
        </w:rPr>
        <w:t>(a) </w:t>
      </w:r>
      <w:r>
        <w:rPr>
          <w:rFonts w:ascii="Times New Roman;Times;serif" w:hAnsi="Times New Roman;Times;serif"/>
          <w:i/>
          <w:sz w:val="17"/>
        </w:rPr>
        <w:t>Post-Effective Amendments</w:t>
      </w:r>
      <w:r>
        <w:rPr>
          <w:rFonts w:ascii="Times New Roman;Times;serif" w:hAnsi="Times New Roman;Times;serif"/>
          <w:sz w:val="17"/>
        </w:rPr>
        <w:t>. If, at the Applicable Time, it is necessary for a post-effective amendment to the Registration Statement to be declared effective before the offering of the Units may commence, the Partnership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pStyle w:val="TextBody"/>
        <w:spacing w:before="120" w:after="283"/>
        <w:jc w:val="left"/>
        <w:rPr/>
      </w:pPr>
      <w:r>
        <w:rPr/>
        <w:t>          </w:t>
      </w:r>
      <w:r>
        <w:rPr>
          <w:rFonts w:ascii="Times New Roman;Times;serif" w:hAnsi="Times New Roman;Times;serif"/>
          <w:sz w:val="17"/>
        </w:rPr>
        <w:t>(b) </w:t>
      </w:r>
      <w:r>
        <w:rPr>
          <w:rFonts w:ascii="Times New Roman;Times;serif" w:hAnsi="Times New Roman;Times;serif"/>
          <w:i/>
          <w:sz w:val="17"/>
        </w:rPr>
        <w:t>Preparation of Prospectus and Registration Statement</w:t>
      </w:r>
      <w:r>
        <w:rPr>
          <w:rFonts w:ascii="Times New Roman;Times;serif" w:hAnsi="Times New Roman;Times;serif"/>
          <w:sz w:val="17"/>
        </w:rPr>
        <w:t>. The Partnership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Units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pStyle w:val="TextBody"/>
        <w:spacing w:before="120" w:after="283"/>
        <w:jc w:val="left"/>
        <w:rPr/>
      </w:pPr>
      <w:r>
        <w:rPr/>
        <w:t>          </w:t>
      </w:r>
      <w:r>
        <w:rPr>
          <w:rFonts w:ascii="Times New Roman;Times;serif" w:hAnsi="Times New Roman;Times;serif"/>
          <w:sz w:val="17"/>
        </w:rPr>
        <w:t>(c) </w:t>
      </w:r>
      <w:r>
        <w:rPr>
          <w:rFonts w:ascii="Times New Roman;Times;serif" w:hAnsi="Times New Roman;Times;serif"/>
          <w:i/>
          <w:sz w:val="17"/>
        </w:rPr>
        <w:t>Copies of Registration Statement</w:t>
      </w:r>
      <w:r>
        <w:rPr>
          <w:rFonts w:ascii="Times New Roman;Times;serif" w:hAnsi="Times New Roman;Times;serif"/>
          <w:sz w:val="17"/>
        </w:rPr>
        <w:t>. The Partnership will furnish to the Underwriters, without charge, (i) one copy of the manually signed copy of the registration statement corresponding to the Commissions electronic data gathering, analysis and retrieval</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system (</w:t>
      </w:r>
      <w:r>
        <w:rPr>
          <w:rFonts w:ascii="Times New Roman;Times;serif" w:hAnsi="Times New Roman;Times;serif"/>
          <w:b/>
          <w:sz w:val="17"/>
        </w:rPr>
        <w:t>EDGAR</w:t>
      </w:r>
      <w:r>
        <w:rPr>
          <w:rFonts w:ascii="Times New Roman;Times;serif" w:hAnsi="Times New Roman;Times;serif"/>
          <w:sz w:val="17"/>
        </w:rPr>
        <w:t xml:space="preserve">)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 </w:t>
      </w:r>
    </w:p>
    <w:p>
      <w:pPr>
        <w:pStyle w:val="TextBody"/>
        <w:spacing w:before="120" w:after="283"/>
        <w:jc w:val="left"/>
        <w:rPr/>
      </w:pPr>
      <w:r>
        <w:rPr/>
        <w:t>          </w:t>
      </w:r>
      <w:r>
        <w:rPr>
          <w:rFonts w:ascii="Times New Roman;Times;serif" w:hAnsi="Times New Roman;Times;serif"/>
          <w:sz w:val="17"/>
        </w:rPr>
        <w:t>(d) </w:t>
      </w:r>
      <w:r>
        <w:rPr>
          <w:rFonts w:ascii="Times New Roman;Times;serif" w:hAnsi="Times New Roman;Times;serif"/>
          <w:i/>
          <w:sz w:val="17"/>
        </w:rPr>
        <w:t>Filing of Amendment or Supplement</w:t>
      </w:r>
      <w:r>
        <w:rPr>
          <w:rFonts w:ascii="Times New Roman;Times;serif" w:hAnsi="Times New Roman;Times;serif"/>
          <w:sz w:val="17"/>
        </w:rPr>
        <w:t>. For such period as in the opinion of counsel for the Underwriters a prospectus is required by the Securities Act to be delivered in connection with sales by any Underwriter or dealer, the Partnership will not file any amendment to the Registration Statement, supplement to the Prospectus (or any other prospectus relating to the Units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Partnership shall have determined based upon the advice of counsel that such amendment, supplement or other filing is required by law; and the Partnership will promptly notify the Representatives after it shall have received notice thereof of the time when any amendment to the Registration Statement becomes effective or when any supplement to the Prospectus has been filed.</w:t>
      </w:r>
    </w:p>
    <w:p>
      <w:pPr>
        <w:pStyle w:val="TextBody"/>
        <w:spacing w:before="120" w:after="283"/>
        <w:jc w:val="left"/>
        <w:rPr/>
      </w:pPr>
      <w:r>
        <w:rPr/>
        <w:t>          </w:t>
      </w:r>
      <w:r>
        <w:rPr>
          <w:rFonts w:ascii="Times New Roman;Times;serif" w:hAnsi="Times New Roman;Times;serif"/>
          <w:sz w:val="17"/>
        </w:rPr>
        <w:t>(e) </w:t>
      </w:r>
      <w:r>
        <w:rPr>
          <w:rFonts w:ascii="Times New Roman;Times;serif" w:hAnsi="Times New Roman;Times;serif"/>
          <w:i/>
          <w:sz w:val="17"/>
        </w:rPr>
        <w:t>Copies of Documents to the Underwriters</w:t>
      </w:r>
      <w:r>
        <w:rPr>
          <w:rFonts w:ascii="Times New Roman;Times;serif" w:hAnsi="Times New Roman;Times;serif"/>
          <w:sz w:val="17"/>
        </w:rPr>
        <w:t>. As soon after the Applicable Time as possible and thereafter from time to time for such period as in the opinion of counsel for the Underwriters a prospectus is required by the Securities Act to be delivered in connection with sales by any Underwriter or dealer, the Partnership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sale by the Selling Unitholder, upon request and without charge, the Partnership will deliver as many copies of an amended or supplemented Prospectus complying with Section 10(a)(3) of the Securities Act as the Underwriters may reasonably request, provided that a prospectus is required by the Securities Act to be delivered in connection with sales of Units by any Underwriter or dealer. The Partnership consents to the use of the Prospectus (and of any amendment or supplement thereto) in accordance with the provisions of the Securities Act and with the securities or Blue Sky laws of the jurisdictions in which the Units are offered by the Underwriters and by all dealers to whom Units may be sold, both in connection with the offering and sale of the Units and for such period of time thereafter as the Prospectus is required by the Securities Act to be delivered in connection with sales by any Underwriter or dealer. If during such period of time any event shall occur that in the judgment of the Partnership or in the opinion of counsel for the Underwriters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(e) above, file with the Commission an appropriate supplement or amendment thereto (or to such</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Partnership and the Representatives agree that the Prospectus should be amended or supplemented, the Partnership, if requested by the Representatives, will promptly issue a press release announcing or disclosing the matters to be covered by the proposed amendment or supplement unless the Partnership shall have determined, based on the advice of counsel, that the issuance of such press release would not be required by law. </w:t>
      </w:r>
    </w:p>
    <w:p>
      <w:pPr>
        <w:pStyle w:val="TextBody"/>
        <w:spacing w:before="120" w:after="283"/>
        <w:jc w:val="left"/>
        <w:rPr/>
      </w:pPr>
      <w:r>
        <w:rPr/>
        <w:t>          </w:t>
      </w:r>
      <w:r>
        <w:rPr>
          <w:rFonts w:ascii="Times New Roman;Times;serif" w:hAnsi="Times New Roman;Times;serif"/>
          <w:sz w:val="17"/>
        </w:rPr>
        <w:t>(f) </w:t>
      </w:r>
      <w:r>
        <w:rPr>
          <w:rFonts w:ascii="Times New Roman;Times;serif" w:hAnsi="Times New Roman;Times;serif"/>
          <w:i/>
          <w:sz w:val="17"/>
        </w:rPr>
        <w:t>Blue Sky Laws</w:t>
      </w:r>
      <w:r>
        <w:rPr>
          <w:rFonts w:ascii="Times New Roman;Times;serif" w:hAnsi="Times New Roman;Times;serif"/>
          <w:sz w:val="17"/>
        </w:rPr>
        <w:t>. The Partnership will cooperate with the Representatives and with counsel for the Underwriters in connection with the registration or qualification of the Units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provided that in no event shall any Plains Entity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The Partnership will promptly notify the Representatives of the receipt by the Partnership of any notification with respect to the suspension of the qualification of the Units for sale in any jurisdiction or the initiation or threatening of any proceeding for such purpose.</w:t>
      </w:r>
    </w:p>
    <w:p>
      <w:pPr>
        <w:pStyle w:val="TextBody"/>
        <w:spacing w:before="120" w:after="283"/>
        <w:jc w:val="left"/>
        <w:rPr/>
      </w:pPr>
      <w:r>
        <w:rPr/>
        <w:t>          </w:t>
      </w:r>
      <w:r>
        <w:rPr>
          <w:rFonts w:ascii="Times New Roman;Times;serif" w:hAnsi="Times New Roman;Times;serif"/>
          <w:sz w:val="17"/>
        </w:rPr>
        <w:t>(g) </w:t>
      </w:r>
      <w:r>
        <w:rPr>
          <w:rFonts w:ascii="Times New Roman;Times;serif" w:hAnsi="Times New Roman;Times;serif"/>
          <w:i/>
          <w:sz w:val="17"/>
        </w:rPr>
        <w:t>Reports to Security Holders</w:t>
      </w:r>
      <w:r>
        <w:rPr>
          <w:rFonts w:ascii="Times New Roman;Times;serif" w:hAnsi="Times New Roman;Times;serif"/>
          <w:sz w:val="17"/>
        </w:rPr>
        <w:t>. In accordance with Section 11(a) of the Securities Act and Rule 158 of the Rules and Regulations, the 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pStyle w:val="TextBody"/>
        <w:spacing w:before="120" w:after="283"/>
        <w:jc w:val="left"/>
        <w:rPr/>
      </w:pPr>
      <w:r>
        <w:rPr/>
        <w:t>          </w:t>
      </w:r>
      <w:r>
        <w:rPr>
          <w:rFonts w:ascii="Times New Roman;Times;serif" w:hAnsi="Times New Roman;Times;serif"/>
          <w:sz w:val="17"/>
        </w:rPr>
        <w:t>(h) </w:t>
      </w:r>
      <w:r>
        <w:rPr>
          <w:rFonts w:ascii="Times New Roman;Times;serif" w:hAnsi="Times New Roman;Times;serif"/>
          <w:i/>
          <w:sz w:val="17"/>
        </w:rPr>
        <w:t>Copies of Reports</w:t>
      </w:r>
      <w:r>
        <w:rPr>
          <w:rFonts w:ascii="Times New Roman;Times;serif" w:hAnsi="Times New Roman;Times;serif"/>
          <w:sz w:val="17"/>
        </w:rPr>
        <w:t>. Unless otherwise available on EDGAR, during the period of two years hereafter, the Partnership will furnish or make available to the Underwriters (i) as soon as publicly available, a copy of each report of the Partnership mailed to unitholders or filed with the Commission or the principal national securities exchange or automated quotation system upon which the Units may be listed, and (ii) from time to time such other information concerning the Partnership as the Underwriters may reasonably request.</w:t>
      </w:r>
    </w:p>
    <w:p>
      <w:pPr>
        <w:pStyle w:val="TextBody"/>
        <w:spacing w:before="120" w:after="283"/>
        <w:jc w:val="left"/>
        <w:rPr/>
      </w:pPr>
      <w:r>
        <w:rPr/>
        <w:t>          </w:t>
      </w:r>
      <w:r>
        <w:rPr>
          <w:rFonts w:ascii="Times New Roman;Times;serif" w:hAnsi="Times New Roman;Times;serif"/>
          <w:sz w:val="17"/>
        </w:rPr>
        <w:t>(i) </w:t>
      </w:r>
      <w:r>
        <w:rPr>
          <w:rFonts w:ascii="Times New Roman;Times;serif" w:hAnsi="Times New Roman;Times;serif"/>
          <w:i/>
          <w:sz w:val="17"/>
        </w:rPr>
        <w:t>Termination Expenses</w:t>
      </w:r>
      <w:r>
        <w:rPr>
          <w:rFonts w:ascii="Times New Roman;Times;serif" w:hAnsi="Times New Roman;Times;serif"/>
          <w:sz w:val="17"/>
        </w:rPr>
        <w:t>. If this Agreement shall terminate or shall be terminated after execution pursuant to any provisions hereof (otherwise than pursuant to Section 11 or Section 12 hereof (except pursuant to the first clause of Section 12(i))) or if this Agreement shall be terminated by the Underwriters because of any failure or refusal on the part of the Selling Unitholder or the Partnership to comply with the terms or fulfill any of the conditions of this Agreement, the Partnership agrees to reimburse the Underwriters for all reasonable out-of-pocket expenses (including reasonable fees and expenses of counsel for the Underwriters) incurred by the Underwriters in connection herewith.</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(j) </w:t>
      </w:r>
      <w:r>
        <w:rPr>
          <w:rFonts w:ascii="Times New Roman;Times;serif" w:hAnsi="Times New Roman;Times;serif"/>
          <w:i/>
          <w:sz w:val="17"/>
        </w:rPr>
        <w:t>Filing of Prospectus</w:t>
      </w:r>
      <w:r>
        <w:rPr>
          <w:rFonts w:ascii="Times New Roman;Times;serif" w:hAnsi="Times New Roman;Times;serif"/>
          <w:sz w:val="17"/>
        </w:rPr>
        <w:t>. The Partnership will timely file the Prospectus, and any amendment or supplement thereto, pursuant to Rule 424(b) of the Rules and Regulations and will advise the Underwriters of the time and manner of such filing.</w:t>
      </w:r>
    </w:p>
    <w:p>
      <w:pPr>
        <w:pStyle w:val="TextBody"/>
        <w:spacing w:before="120" w:after="283"/>
        <w:jc w:val="left"/>
        <w:rPr/>
      </w:pPr>
      <w:r>
        <w:rPr/>
        <w:t>          </w:t>
      </w:r>
      <w:r>
        <w:rPr>
          <w:rFonts w:ascii="Times New Roman;Times;serif" w:hAnsi="Times New Roman;Times;serif"/>
          <w:sz w:val="17"/>
        </w:rPr>
        <w:t>(k) </w:t>
      </w:r>
      <w:r>
        <w:rPr>
          <w:rFonts w:ascii="Times New Roman;Times;serif" w:hAnsi="Times New Roman;Times;serif"/>
          <w:i/>
          <w:sz w:val="17"/>
        </w:rPr>
        <w:t>Partnership Lock-Up Period</w:t>
      </w:r>
      <w:r>
        <w:rPr>
          <w:rFonts w:ascii="Times New Roman;Times;serif" w:hAnsi="Times New Roman;Times;serif"/>
          <w:sz w:val="17"/>
        </w:rPr>
        <w:t xml:space="preserve">. Except as provided in this Agreement, the Partnership will not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Times New Roman;Times;serif" w:hAnsi="Times New Roman;Times;serif"/>
          <w:i/>
          <w:sz w:val="17"/>
        </w:rPr>
        <w:t xml:space="preserve">pari passu </w:t>
      </w:r>
      <w:r>
        <w:rPr>
          <w:rFonts w:ascii="Times New Roman;Times;serif" w:hAnsi="Times New Roman;Times;serif"/>
          <w:sz w:val="17"/>
        </w:rPr>
        <w:t>with Common Units, or publicly announce an intention to effect any such transaction or (ii) grant any options or warrants to purchase Common Units for a period of 45 days after the date of the Prospectus (the </w:t>
      </w:r>
      <w:r>
        <w:rPr>
          <w:rFonts w:ascii="Times New Roman;Times;serif" w:hAnsi="Times New Roman;Times;serif"/>
          <w:b/>
          <w:sz w:val="17"/>
        </w:rPr>
        <w:t>Lock-Up Period</w:t>
      </w:r>
      <w:r>
        <w:rPr>
          <w:rFonts w:ascii="Times New Roman;Times;serif" w:hAnsi="Times New Roman;Times;serif"/>
          <w:sz w:val="17"/>
        </w:rPr>
        <w:t xml:space="preserve">) without the prior written consent of Citigroup Global Markets Inc., except that (A) the Partnership may issue Common Units or any securities convertible or exchangeable into Common Units as payment of any part of the purchase price for businesses that are acquired by the Partnership and its affiliates or any third parties, </w:t>
      </w:r>
      <w:r>
        <w:rPr>
          <w:rFonts w:ascii="Times New Roman;Times;serif" w:hAnsi="Times New Roman;Times;serif"/>
          <w:sz w:val="17"/>
          <w:u w:val="single"/>
        </w:rPr>
        <w:t>provided</w:t>
      </w:r>
      <w:r>
        <w:rPr>
          <w:rFonts w:ascii="Times New Roman;Times;serif" w:hAnsi="Times New Roman;Times;serif"/>
          <w:sz w:val="17"/>
        </w:rPr>
        <w:t xml:space="preserve"> that any recipient of such Common Units must agree in writing to be bound by the terms of this Section 6(k) for the remaining term of the Lock-Up Period, (B) the Partnership may issue and sell Common Units or securities convertible into or exchangeable for Common Units pursuant to any existing long-term incentive plan, employee unit option plan, unit ownership plan or dividend reinvestment plan of the Partnership (or adopted by a GP Entity) in effect at the Applicable Time and (C) the Partnership may issue or deliver Common Units issuable upon the conversion, vesting or exercise of securities (including long-term incentive plan awards, options and warrants) outstanding at the Applicable Time.</w:t>
      </w:r>
    </w:p>
    <w:p>
      <w:pPr>
        <w:pStyle w:val="TextBody"/>
        <w:spacing w:before="120" w:after="283"/>
        <w:jc w:val="left"/>
        <w:rPr/>
      </w:pPr>
      <w:r>
        <w:rPr/>
        <w:t>          </w:t>
      </w:r>
      <w:r>
        <w:rPr>
          <w:rFonts w:ascii="Times New Roman;Times;serif" w:hAnsi="Times New Roman;Times;serif"/>
          <w:sz w:val="17"/>
        </w:rPr>
        <w:t>(l) </w:t>
      </w:r>
      <w:r>
        <w:rPr>
          <w:rFonts w:ascii="Times New Roman;Times;serif" w:hAnsi="Times New Roman;Times;serif"/>
          <w:i/>
          <w:sz w:val="17"/>
        </w:rPr>
        <w:t>Stabilization</w:t>
      </w:r>
      <w:r>
        <w:rPr>
          <w:rFonts w:ascii="Times New Roman;Times;serif" w:hAnsi="Times New Roman;Times;serif"/>
          <w:sz w:val="17"/>
        </w:rPr>
        <w:t>. Except as stated in this Agreement and the Prospectus, the Partnership has not taken, nor will it take, directly or indirectly, any action designed to or that might reasonably be expected to cause or result in stabilization or manipulation of the price of the Common Units to facilitate the sale or resale of the Units.</w:t>
      </w:r>
    </w:p>
    <w:p>
      <w:pPr>
        <w:pStyle w:val="TextBody"/>
        <w:spacing w:before="120" w:after="283"/>
        <w:jc w:val="left"/>
        <w:rPr/>
      </w:pPr>
      <w:r>
        <w:rPr/>
        <w:t>          </w:t>
      </w:r>
      <w:r>
        <w:rPr>
          <w:rFonts w:ascii="Times New Roman;Times;serif" w:hAnsi="Times New Roman;Times;serif"/>
          <w:sz w:val="17"/>
        </w:rPr>
        <w:t>(m) </w:t>
      </w:r>
      <w:r>
        <w:rPr>
          <w:rFonts w:ascii="Times New Roman;Times;serif" w:hAnsi="Times New Roman;Times;serif"/>
          <w:i/>
          <w:sz w:val="17"/>
        </w:rPr>
        <w:t>Investment Company</w:t>
      </w:r>
      <w:r>
        <w:rPr>
          <w:rFonts w:ascii="Times New Roman;Times;serif" w:hAnsi="Times New Roman;Times;serif"/>
          <w:sz w:val="17"/>
        </w:rPr>
        <w:t>. The Partnership will take such steps as shall be necessary to ensure that none of the Plains Entities or the GP Entities shall become an investment company within the meaning of such term under the Investment Company Act of 1940, as amended, and the rules and regulations of the Commission thereunder.</w:t>
      </w:r>
    </w:p>
    <w:p>
      <w:pPr>
        <w:pStyle w:val="TextBody"/>
        <w:spacing w:before="120" w:after="283"/>
        <w:jc w:val="left"/>
        <w:rPr/>
      </w:pPr>
      <w:r>
        <w:rPr/>
        <w:t>          </w:t>
      </w:r>
      <w:r>
        <w:rPr>
          <w:rFonts w:ascii="Times New Roman;Times;serif" w:hAnsi="Times New Roman;Times;serif"/>
          <w:sz w:val="17"/>
        </w:rPr>
        <w:t>(n) </w:t>
      </w:r>
      <w:r>
        <w:rPr>
          <w:rFonts w:ascii="Times New Roman;Times;serif" w:hAnsi="Times New Roman;Times;serif"/>
          <w:i/>
          <w:sz w:val="17"/>
        </w:rPr>
        <w:t>Exchange Act Reports</w:t>
      </w:r>
      <w:r>
        <w:rPr>
          <w:rFonts w:ascii="Times New Roman;Times;serif" w:hAnsi="Times New Roman;Times;serif"/>
          <w:sz w:val="17"/>
        </w:rPr>
        <w:t>. The Partnership, during the period when the Prospectus is required to be delivered under the Securities Act, will file all documents required to be filed with the Commission pursuant to the Exchange Act within the time periods required by the Exchange Act.</w:t>
      </w:r>
    </w:p>
    <w:p>
      <w:pPr>
        <w:pStyle w:val="TextBody"/>
        <w:spacing w:before="120" w:after="283"/>
        <w:jc w:val="left"/>
        <w:rPr/>
      </w:pPr>
      <w:r>
        <w:rPr/>
        <w:t>          </w:t>
      </w:r>
      <w:r>
        <w:rPr>
          <w:rFonts w:ascii="Times New Roman;Times;serif" w:hAnsi="Times New Roman;Times;serif"/>
          <w:sz w:val="17"/>
        </w:rPr>
        <w:t>(o) </w:t>
      </w:r>
      <w:r>
        <w:rPr>
          <w:rFonts w:ascii="Times New Roman;Times;serif" w:hAnsi="Times New Roman;Times;serif"/>
          <w:i/>
          <w:sz w:val="17"/>
        </w:rPr>
        <w:t>Free Writing Prospectuses</w:t>
      </w:r>
      <w:r>
        <w:rPr>
          <w:rFonts w:ascii="Times New Roman;Times;serif" w:hAnsi="Times New Roman;Times;serif"/>
          <w:sz w:val="17"/>
        </w:rPr>
        <w:t>. The Partnership has complied and will comply with the requirements of Rule 433 under the Securities Act applicable to any Issuer Free</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Writing Prospectus, including appropriate legending and timely filing with the Commission or retention where required. The Partnership represents that it has satisfied and agrees that it will satisfy the conditions under Rule 433 under the Securities Act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 which information is specified in Section 14. </w:t>
      </w:r>
    </w:p>
    <w:p>
      <w:pPr>
        <w:pStyle w:val="TextBody"/>
        <w:spacing w:before="120" w:after="283"/>
        <w:jc w:val="left"/>
        <w:rPr/>
      </w:pPr>
      <w:r>
        <w:rPr/>
        <w:t>          </w:t>
      </w:r>
      <w:r>
        <w:rPr>
          <w:rFonts w:ascii="Times New Roman;Times;serif" w:hAnsi="Times New Roman;Times;serif"/>
          <w:sz w:val="17"/>
        </w:rPr>
        <w:t xml:space="preserve">7. </w:t>
      </w:r>
      <w:r>
        <w:rPr>
          <w:rFonts w:ascii="Times New Roman;Times;serif" w:hAnsi="Times New Roman;Times;serif"/>
          <w:i/>
          <w:sz w:val="17"/>
        </w:rPr>
        <w:t>Agreements of the Selling Unitholder</w:t>
      </w:r>
      <w:r>
        <w:rPr>
          <w:rFonts w:ascii="Times New Roman;Times;serif" w:hAnsi="Times New Roman;Times;serif"/>
          <w:sz w:val="17"/>
        </w:rPr>
        <w:t>. The Selling Unitholder agrees as follows:</w:t>
      </w:r>
    </w:p>
    <w:p>
      <w:pPr>
        <w:pStyle w:val="TextBody"/>
        <w:spacing w:before="120" w:after="283"/>
        <w:jc w:val="left"/>
        <w:rPr/>
      </w:pPr>
      <w:r>
        <w:rPr/>
        <w:t>          </w:t>
      </w:r>
      <w:r>
        <w:rPr>
          <w:rFonts w:ascii="Times New Roman;Times;serif" w:hAnsi="Times New Roman;Times;serif"/>
          <w:sz w:val="17"/>
        </w:rPr>
        <w:t>(a) </w:t>
      </w:r>
      <w:r>
        <w:rPr>
          <w:rFonts w:ascii="Times New Roman;Times;serif" w:hAnsi="Times New Roman;Times;serif"/>
          <w:i/>
          <w:sz w:val="17"/>
        </w:rPr>
        <w:t>Selling Unitholder Lock-Up Period</w:t>
      </w:r>
      <w:r>
        <w:rPr>
          <w:rFonts w:ascii="Times New Roman;Times;serif" w:hAnsi="Times New Roman;Times;serif"/>
          <w:sz w:val="17"/>
        </w:rPr>
        <w:t xml:space="preserve">. Except as provided in this Agreement, the Selling Unitholder will not offer, sell, contract to sell, pledge or otherwise dispose of (or enter into any transaction that is designed to, or might reasonably be expected to, result in the disposition (whether by actual disposition or effective economic disposition due to cash settlement or otherwise) by the Selling Unitholder or any of its controlled affiliates or any person in privity with the Selling Unitholder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Times New Roman;Times;serif" w:hAnsi="Times New Roman;Times;serif"/>
          <w:i/>
          <w:sz w:val="17"/>
        </w:rPr>
        <w:t xml:space="preserve">pari passu </w:t>
      </w:r>
      <w:r>
        <w:rPr>
          <w:rFonts w:ascii="Times New Roman;Times;serif" w:hAnsi="Times New Roman;Times;serif"/>
          <w:sz w:val="17"/>
        </w:rPr>
        <w:t>with Common Units, or publicly announce an intention to effect any such transaction, for a period of 45 days after the date of the Prospectus (the </w:t>
      </w:r>
      <w:r>
        <w:rPr>
          <w:rFonts w:ascii="Times New Roman;Times;serif" w:hAnsi="Times New Roman;Times;serif"/>
          <w:b/>
          <w:sz w:val="17"/>
        </w:rPr>
        <w:t>Selling Unitholder Lock-Up Period</w:t>
      </w:r>
      <w:r>
        <w:rPr>
          <w:rFonts w:ascii="Times New Roman;Times;serif" w:hAnsi="Times New Roman;Times;serif"/>
          <w:sz w:val="17"/>
        </w:rPr>
        <w:t xml:space="preserve">) without the prior written consent of Citigroup Global Markets Inc.; </w:t>
      </w:r>
      <w:r>
        <w:rPr>
          <w:rFonts w:ascii="Times New Roman;Times;serif" w:hAnsi="Times New Roman;Times;serif"/>
          <w:sz w:val="17"/>
          <w:u w:val="single"/>
        </w:rPr>
        <w:t>provided</w:t>
      </w:r>
      <w:r>
        <w:rPr>
          <w:rFonts w:ascii="Times New Roman;Times;serif" w:hAnsi="Times New Roman;Times;serif"/>
          <w:sz w:val="17"/>
        </w:rPr>
        <w:t xml:space="preserve">, however, that the restrictions contained in this Section 7(a) shall not apply to or restrict (A) registration of or sale to the Underwriter of any Common Units pursuant to the offering and this Agreement, (B) distributions of Common Units to stockholders of the Selling Unitholder, (C) bona fide gifts, (D) dispositions to any trust, family limited partnership or family limited liability company for the direct or indirect benefit of the Selling Unitholder and/or the immediate family of the affiliates of the Selling Unitholder or (E) the expected sale of Common Units to John T. Raymond and another stockholder of the Selling Unitholder as disclosed in the most recent Preliminary Prospectus under the caption Selling UnitholderOwnership; </w:t>
      </w:r>
      <w:r>
        <w:rPr>
          <w:rFonts w:ascii="Times New Roman;Times;serif" w:hAnsi="Times New Roman;Times;serif"/>
          <w:sz w:val="17"/>
          <w:u w:val="single"/>
        </w:rPr>
        <w:t>provided</w:t>
      </w:r>
      <w:r>
        <w:rPr>
          <w:rFonts w:ascii="Times New Roman;Times;serif" w:hAnsi="Times New Roman;Times;serif"/>
          <w:sz w:val="17"/>
        </w:rPr>
        <w:t xml:space="preserve"> that with respect to clauses (B)  (D) set forth above any recipient of such Common Units pursuant to such clauses must agree in writing to be bound by the terms of this Section 7(a) for the remaining term of the Selling Unitholder Lock-Up Period.</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(b) </w:t>
      </w:r>
      <w:r>
        <w:rPr>
          <w:rFonts w:ascii="Times New Roman;Times;serif" w:hAnsi="Times New Roman;Times;serif"/>
          <w:i/>
          <w:sz w:val="17"/>
        </w:rPr>
        <w:t xml:space="preserve">Notice of Change. </w:t>
      </w:r>
      <w:r>
        <w:rPr>
          <w:rFonts w:ascii="Times New Roman;Times;serif" w:hAnsi="Times New Roman;Times;serif"/>
          <w:sz w:val="17"/>
        </w:rPr>
        <w:t xml:space="preserve">The Selling Unitholder will advise the Representative promptly, and if requested by the Representative, will confirm such advice in writing, so long as delivery of a prospectus relating to the Units by an underwriter or dealer may be required under the Act, of any material change in information in the Registration Statement, the Pricing Disclosure Package, the Prospectus or any Issuer Free Writing Prospectus or any amendment or supplement thereto relating to the Selling Unitholder. </w:t>
      </w:r>
    </w:p>
    <w:p>
      <w:pPr>
        <w:pStyle w:val="TextBody"/>
        <w:spacing w:before="120" w:after="283"/>
        <w:jc w:val="left"/>
        <w:rPr/>
      </w:pPr>
      <w:r>
        <w:rPr/>
        <w:t>          </w:t>
      </w:r>
      <w:r>
        <w:rPr>
          <w:rFonts w:ascii="Times New Roman;Times;serif" w:hAnsi="Times New Roman;Times;serif"/>
          <w:sz w:val="17"/>
        </w:rPr>
        <w:t>(c) </w:t>
      </w:r>
      <w:r>
        <w:rPr>
          <w:rFonts w:ascii="Times New Roman;Times;serif" w:hAnsi="Times New Roman;Times;serif"/>
          <w:i/>
          <w:sz w:val="17"/>
        </w:rPr>
        <w:t>Stabilization</w:t>
      </w:r>
      <w:r>
        <w:rPr>
          <w:rFonts w:ascii="Times New Roman;Times;serif" w:hAnsi="Times New Roman;Times;serif"/>
          <w:sz w:val="17"/>
        </w:rPr>
        <w:t xml:space="preserve">. Except as stated in this Agreement and the Prospectus, the Selling Unitholder has not taken, nor will it take, directly or indirectly, any action designed to or that might reasonably be expected to cause or result in stabilization or manipulation of the price of the Common Units to facilitate the sale or resale of the Units. </w:t>
      </w:r>
    </w:p>
    <w:p>
      <w:pPr>
        <w:pStyle w:val="TextBody"/>
        <w:spacing w:before="120" w:after="283"/>
        <w:jc w:val="left"/>
        <w:rPr/>
      </w:pPr>
      <w:r>
        <w:rPr/>
        <w:t>          </w:t>
      </w:r>
      <w:r>
        <w:rPr>
          <w:rFonts w:ascii="Times New Roman;Times;serif" w:hAnsi="Times New Roman;Times;serif"/>
          <w:sz w:val="17"/>
        </w:rPr>
        <w:t>(d) </w:t>
      </w:r>
      <w:r>
        <w:rPr>
          <w:rFonts w:ascii="Times New Roman;Times;serif" w:hAnsi="Times New Roman;Times;serif"/>
          <w:i/>
          <w:sz w:val="17"/>
        </w:rPr>
        <w:t>No Use of Free Writing Prospectus</w:t>
      </w:r>
      <w:r>
        <w:rPr>
          <w:rFonts w:ascii="Times New Roman;Times;serif" w:hAnsi="Times New Roman;Times;serif"/>
          <w:sz w:val="17"/>
        </w:rPr>
        <w:t xml:space="preserve">. Neither the Selling Unitholder nor any person acting on behalf of the Selling Unitholder (other than, if applicable, the Partnership and the Underwriters) shall use or refer to any free writing prospectus (as defined in Rule 405) relating to the Units. </w:t>
      </w:r>
    </w:p>
    <w:p>
      <w:pPr>
        <w:pStyle w:val="TextBody"/>
        <w:spacing w:before="120" w:after="283"/>
        <w:jc w:val="left"/>
        <w:rPr/>
      </w:pPr>
      <w:r>
        <w:rPr/>
        <w:t>          </w:t>
      </w:r>
      <w:r>
        <w:rPr>
          <w:rFonts w:ascii="Times New Roman;Times;serif" w:hAnsi="Times New Roman;Times;serif"/>
          <w:sz w:val="17"/>
        </w:rPr>
        <w:t>(e) </w:t>
      </w:r>
      <w:r>
        <w:rPr>
          <w:rFonts w:ascii="Times New Roman;Times;serif" w:hAnsi="Times New Roman;Times;serif"/>
          <w:i/>
          <w:sz w:val="17"/>
        </w:rPr>
        <w:t>Document Delivery</w:t>
      </w:r>
      <w:r>
        <w:rPr>
          <w:rFonts w:ascii="Times New Roman;Times;serif" w:hAnsi="Times New Roman;Times;serif"/>
          <w:sz w:val="17"/>
        </w:rPr>
        <w:t xml:space="preserve">. The Selling Unitholder will deliver to the Representatives prior to the Initial Delivery Date a properly completed and executed United States Treasury Department Form W-9 or other applicable form. </w:t>
      </w:r>
    </w:p>
    <w:p>
      <w:pPr>
        <w:pStyle w:val="TextBody"/>
        <w:spacing w:before="120" w:after="283"/>
        <w:jc w:val="left"/>
        <w:rPr/>
      </w:pPr>
      <w:r>
        <w:rPr/>
        <w:t>          </w:t>
      </w:r>
      <w:r>
        <w:rPr>
          <w:rFonts w:ascii="Times New Roman;Times;serif" w:hAnsi="Times New Roman;Times;serif"/>
          <w:sz w:val="17"/>
        </w:rPr>
        <w:t>8. </w:t>
      </w:r>
      <w:r>
        <w:rPr>
          <w:rFonts w:ascii="Times New Roman;Times;serif" w:hAnsi="Times New Roman;Times;serif"/>
          <w:sz w:val="17"/>
          <w:u w:val="single"/>
        </w:rPr>
        <w:t>Indemnification and Contribution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(a) The Partnership agrees to indemnify and hold harmless each Underwriter, the directors, officers, employees and agents of each Underwriter, each affiliate of any Underwriter who has participated in the distribution of the Units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Times;serif" w:hAnsi="Times New Roman;Times;serif"/>
          <w:b/>
          <w:sz w:val="17"/>
        </w:rPr>
        <w:t>Non-Prospectus Road Show</w:t>
      </w:r>
      <w:r>
        <w:rPr>
          <w:rFonts w:ascii="Times New Roman;Times;serif" w:hAnsi="Times New Roman;Times;serif"/>
          <w:sz w:val="17"/>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the Partnership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Partnership through the Representatives by or on behalf of any Underwriter specifically for inclusion therein, which information consists solely of the information specified in Section 14. The foregoing indemnity agreement is in addition to any liability that the Partnership may otherwise have to any Underwriter or to any director, officer, employee or controlling person of that Underwriter. </w:t>
      </w:r>
    </w:p>
    <w:p>
      <w:pPr>
        <w:pStyle w:val="TextBody"/>
        <w:spacing w:before="120" w:after="283"/>
        <w:jc w:val="left"/>
        <w:rPr/>
      </w:pPr>
      <w:r>
        <w:rPr/>
        <w:t>          </w:t>
      </w:r>
      <w:r>
        <w:rPr>
          <w:rFonts w:ascii="Times New Roman;Times;serif" w:hAnsi="Times New Roman;Times;serif"/>
          <w:sz w:val="17"/>
        </w:rPr>
        <w:t>(b) The Selling Unitholder agrees to indemnify and hold harmless each Underwriter, the directors, officers, employees and agents of each Underwriter, each affiliate of any Underwriter who has participated in the distribution of the Units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in any Non-Prospectus Road Show or in any free writing prospectus (as defined in Rule 405 of the Rules and Regulations), prepared by or on behalf of the Selling Unitholder or used or referred to by the Selling Unitholder in connection with the offering of the Units in violation of Section 7(d) (</w:t>
      </w:r>
      <w:r>
        <w:rPr>
          <w:rFonts w:ascii="Times New Roman;Times;serif" w:hAnsi="Times New Roman;Times;serif"/>
          <w:b/>
          <w:sz w:val="17"/>
        </w:rPr>
        <w:t>Selling Unitholder Free Writing Prospectus</w:t>
      </w:r>
      <w:r>
        <w:rPr>
          <w:rFonts w:ascii="Times New Roman;Times;serif" w:hAnsi="Times New Roman;Times;serif"/>
          <w:sz w:val="17"/>
        </w:rPr>
        <w:t xml:space="preserve">), (ii) the omission or alleged omission to state in the Registration Statement, any Preliminary Prospectus, the Prospectus, any Issuer Free Writing Prospectus or in any amendment or supplement thereto, any Non-Prospectus Road Show or any Selling Unitholder Free Writing Prospectus, any material fact required to be stated therein or necessary to make the statements therein (in the case of any Preliminary Prospectus or the Prospectus, in the light of the circumstances under which any such statements were made) not misleading or (iii) any breach of any representation or warranty of the Selling Unitholder in this Agreement or any certificate or other agreement delivered hereto or contemplated hereby,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Times;serif" w:hAnsi="Times New Roman;Times;serif"/>
          <w:sz w:val="17"/>
          <w:u w:val="single"/>
        </w:rPr>
        <w:t>provided</w:t>
      </w:r>
      <w:r>
        <w:rPr>
          <w:rFonts w:ascii="Times New Roman;Times;serif" w:hAnsi="Times New Roman;Times;serif"/>
          <w:sz w:val="17"/>
        </w:rPr>
        <w:t xml:space="preserve">, </w:t>
      </w:r>
      <w:r>
        <w:rPr>
          <w:rFonts w:ascii="Times New Roman;Times;serif" w:hAnsi="Times New Roman;Times;serif"/>
          <w:sz w:val="17"/>
          <w:u w:val="single"/>
        </w:rPr>
        <w:t>however</w:t>
      </w:r>
      <w:r>
        <w:rPr>
          <w:rFonts w:ascii="Times New Roman;Times;serif" w:hAnsi="Times New Roman;Times;serif"/>
          <w:sz w:val="17"/>
        </w:rPr>
        <w:t xml:space="preserve">, that the Selling Unitholder shall be liable in any such case of clause (i) and (ii) only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the Selling Unitholder furnished to the Partnership by or on behalf of the Selling Unitholder specifically for inclusion therein, which information consists solely of the information set forth in the Prospectus under the caption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Selling Unitholder or arises out of, or is based upon, any untrue statement or alleged untrue statement or omission or alleged omission made in the Selling Unitholder Free Writing Prospectus. The liability of the Selling Unitholder under the indemnity agreement contained in this paragraph shall be limited to an amount equal to the total net proceeds from the offering of the Units purchased under the Agreement received by the Selling Unitholder. The foregoing indemnity agreement is in addition to any liability that the Selling Unitholder may otherwise have to any Underwriter or to any director, officer, employee or controlling person of that Underwriter. </w:t>
      </w:r>
    </w:p>
    <w:p>
      <w:pPr>
        <w:pStyle w:val="TextBody"/>
        <w:spacing w:before="120" w:after="283"/>
        <w:jc w:val="left"/>
        <w:rPr/>
      </w:pPr>
      <w:r>
        <w:rPr/>
        <w:t>          </w:t>
      </w:r>
      <w:r>
        <w:rPr>
          <w:rFonts w:ascii="Times New Roman;Times;serif" w:hAnsi="Times New Roman;Times;serif"/>
          <w:sz w:val="17"/>
        </w:rPr>
        <w:t xml:space="preserve">(c) If any action, suit or proceeding shall be brought against any Underwriter, any director, officer, employee or agent of any Underwriter or any person controlling any Underwriter in respect of which indemnity may be sought against the Partnership or the Selling Unitholder, such Underwriter or such director, officer, employee, agent or controlling person shall promptly notify the indemnifying party in writing, and the indemnifying party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indemnifying party has agreed in writing to pay such fees and expenses, (ii) the indemnifying party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indemnifying party (in which case the indemnifying party shall not have the right to direct the defense of such action, suit or proceeding on behalf of the indemnified party or parties), in any of which events the indemnifying party shall pay the reasonable fees and expenses of such counsel as such fees and expenses are incurred (it being understood, however, that the indemnifying party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 </w:t>
      </w:r>
    </w:p>
    <w:p>
      <w:pPr>
        <w:pStyle w:val="TextBody"/>
        <w:spacing w:before="120" w:after="283"/>
        <w:jc w:val="left"/>
        <w:rPr/>
      </w:pPr>
      <w:r>
        <w:rPr/>
        <w:t>          </w:t>
      </w:r>
      <w:r>
        <w:rPr>
          <w:rFonts w:ascii="Times New Roman;Times;serif" w:hAnsi="Times New Roman;Times;serif"/>
          <w:sz w:val="17"/>
        </w:rPr>
        <w:t xml:space="preserve">(d) Each Underwriter agrees, severally and not jointly, to indemnify and hold harmless the Selling Unitholder, the Partnership, GP LLCs directors and the officers who sign the Registration Statement, and any person who controls the Partnership within the meaning of Section 15 of the Securities Act or Section 20 of the Exchange Act, to the same extent as the foregoing indemnity from the Selling Unitholder and the Partnership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Section 14. If any action, suit or proceeding shall be brought against the Selling Unitholder, the Partnership, any of such directors and officers or any such controlling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(d), such Underwriter shall have the rights and duties given to the Partnership by paragraph (c) above (except that if the Selling Unitholder or the Partnership shall have assumed the defense thereof such Underwriter shall not be required to do so, but may employ separate counsel therein and participate in (but not control) the defense thereof, but the fees and expenses of such counsel shall be at such Underwriters expense), and the Selling Unitholder, the Partnership, any of such directors and officers and any such controlling person shall have the rights and duties given to the Underwriters by paragraph (c) above. The foregoing indemnity agreement shall be in addition to any liability that the Underwriters may otherwise have. </w:t>
      </w:r>
    </w:p>
    <w:p>
      <w:pPr>
        <w:pStyle w:val="TextBody"/>
        <w:spacing w:before="120" w:after="283"/>
        <w:jc w:val="left"/>
        <w:rPr/>
      </w:pPr>
      <w:r>
        <w:rPr/>
        <w:t>          </w:t>
      </w:r>
      <w:r>
        <w:rPr>
          <w:rFonts w:ascii="Times New Roman;Times;serif" w:hAnsi="Times New Roman;Times;serif"/>
          <w:sz w:val="17"/>
        </w:rPr>
        <w:t xml:space="preserve">(e) If the indemnification provided for in this Section 8 is unavailable to an indemnified party under paragraph (a), (b) or (d)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Selling Unitholder and the Partnership on the one hand and the Underwriters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Selling Unitholder and the Partnership on the one hand and the Underwriters on the other in connection with the statements or omissions that resulted in such losses, claims, damages, liabilities or expenses, as well as any other relevant equitable considerations. The relative benefits received by the Selling Unitholder and the Partnership on the one hand and the Underwriters on the other shall be deemed to be in the same proportion as the total net proceeds from the offering (before deducting expenses) received by the Selling Unitholder bear to the total underwriting discounts and commissions received by the Underwriters, in each case as set forth in the table on the cover page of the Prospectus. The relative fault of the Selling Unitholder and the Partnership on the one hand and the Underwriters on the other hand shall be determined by reference to, among other things, whether the untrue or alleged untrue statement of a material fact or the omission or alleged omission to state a material fact relates to information supplied by the Selling Unitholder and the Partnership or any affiliate of the Selling Unitholder and the Partnership on the one hand, or by the Underwriters on the other hand, and the parties relative intent, knowledge, access to information and opportunity to correct or prevent such statement or omission. </w:t>
      </w:r>
    </w:p>
    <w:p>
      <w:pPr>
        <w:pStyle w:val="TextBody"/>
        <w:spacing w:before="120" w:after="283"/>
        <w:jc w:val="left"/>
        <w:rPr/>
      </w:pPr>
      <w:r>
        <w:rPr/>
        <w:t>          </w:t>
      </w:r>
      <w:r>
        <w:rPr>
          <w:rFonts w:ascii="Times New Roman;Times;serif" w:hAnsi="Times New Roman;Times;serif"/>
          <w:sz w:val="17"/>
        </w:rPr>
        <w:t xml:space="preserve">(f) The Selling Unitholder, the Partnership and the Underwriters agree that it would not be just and equitable if contribution pursuant to this Section 8 were determined by a pro rata allocation (even if the Underwriters were treated as one entity for such purpose) or by any other method of allocation that does not take account of the equitable considerations referred to in paragraph (e) above. The amount paid or payable by an indemnified party as a result of the losses, claims, damages, liabilities and expenses referred to in paragraph (e)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8,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 Underwriter shall be required to contribute any amount in excess of the amount by which the total price of the Units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8 are several and not joint. </w:t>
      </w:r>
    </w:p>
    <w:p>
      <w:pPr>
        <w:pStyle w:val="TextBody"/>
        <w:spacing w:before="120" w:after="283"/>
        <w:jc w:val="left"/>
        <w:rPr/>
      </w:pPr>
      <w:r>
        <w:rPr/>
        <w:t>          </w:t>
      </w:r>
      <w:r>
        <w:rPr>
          <w:rFonts w:ascii="Times New Roman;Times;serif" w:hAnsi="Times New Roman;Times;serif"/>
          <w:sz w:val="17"/>
        </w:rPr>
        <w:t xml:space="preserve">(g)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spacing w:before="120" w:after="283"/>
        <w:jc w:val="left"/>
        <w:rPr/>
      </w:pPr>
      <w:r>
        <w:rPr/>
        <w:t>          </w:t>
      </w:r>
      <w:r>
        <w:rPr>
          <w:rFonts w:ascii="Times New Roman;Times;serif" w:hAnsi="Times New Roman;Times;serif"/>
          <w:sz w:val="17"/>
        </w:rPr>
        <w:t xml:space="preserve">(h) 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covenants, representations and warranties of the Selling Unitholder and the Partnership set forth in this Agreement shall remain operative and in full force and effect, regardless of (i) any investigation made by or on behalf of any Underwriter or any person controlling any Underwriter, the Selling Unitholder, the Partnership or any of GP LLCs directors or officers or any person controlling the Partnership, (ii) acceptance of any Units and payment therefor in accordance with the terms of this Agreement, and (iii) any termination of this Agreement. A successor to any Underwriter or any person controlling any Underwriter, or to the Selling Unitholder, the Partnership or any of GP LLCs directors or officers or any person controlling the Partnership shall be entitled to the benefits of the indemnity, contribution and reimbursement agreements contained in this Section 8. </w:t>
      </w:r>
    </w:p>
    <w:p>
      <w:pPr>
        <w:pStyle w:val="TextBody"/>
        <w:spacing w:before="120" w:after="283"/>
        <w:jc w:val="left"/>
        <w:rPr/>
      </w:pPr>
      <w:r>
        <w:rPr/>
        <w:t>          </w:t>
      </w:r>
      <w:r>
        <w:rPr>
          <w:rFonts w:ascii="Times New Roman;Times;serif" w:hAnsi="Times New Roman;Times;serif"/>
          <w:sz w:val="17"/>
        </w:rPr>
        <w:t>9. </w:t>
      </w:r>
      <w:r>
        <w:rPr>
          <w:rFonts w:ascii="Times New Roman;Times;serif" w:hAnsi="Times New Roman;Times;serif"/>
          <w:sz w:val="17"/>
          <w:u w:val="single"/>
        </w:rPr>
        <w:t>Conditions to the Obligations of the Underwriters</w:t>
      </w:r>
      <w:r>
        <w:rPr>
          <w:rFonts w:ascii="Times New Roman;Times;serif" w:hAnsi="Times New Roman;Times;serif"/>
          <w:sz w:val="17"/>
        </w:rPr>
        <w:t xml:space="preserve">. The several obligations of the Underwriters to purchase the Firm Units and the Option Units, as the case may be, hereunder are subject to the following conditions: </w:t>
      </w:r>
    </w:p>
    <w:p>
      <w:pPr>
        <w:pStyle w:val="TextBody"/>
        <w:spacing w:before="120" w:after="283"/>
        <w:jc w:val="left"/>
        <w:rPr/>
      </w:pPr>
      <w:r>
        <w:rPr/>
        <w:t>          </w:t>
      </w:r>
      <w:r>
        <w:rPr>
          <w:rFonts w:ascii="Times New Roman;Times;serif" w:hAnsi="Times New Roman;Times;serif"/>
          <w:sz w:val="17"/>
        </w:rPr>
        <w:t xml:space="preserve">(a) All filings required by Rule 424 and Rule 430B of the Rules and Regulations shall have been made. All material required to be filed by the Partnership pursuant to Rule 433(d) under the Securities Act shall have been filed with the Commission within the applicable time period prescribed for such filing by Rule 433 under the Securities Act. No stop order (i) suspending the effectiveness of the Registration Statement or (ii) suspending or preventing the use of the most recent Preliminary Prospectus, the Prospectus or any Issuer Free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Writing Prospectus shall have been issued and no proceeding for that purpose shall have been instituted or, to the knowledge of the Partnership or any Underwriter, threatened by the Commission, and any request of the Commission for additional information (to be included in the Registration Statement or the Prospectus or otherwise) shall have been complied with to the reasonable satisfaction of the Representatives. </w:t>
      </w:r>
    </w:p>
    <w:p>
      <w:pPr>
        <w:pStyle w:val="TextBody"/>
        <w:spacing w:before="120" w:after="283"/>
        <w:jc w:val="left"/>
        <w:rPr/>
      </w:pPr>
      <w:r>
        <w:rPr/>
        <w:t>          </w:t>
      </w:r>
      <w:r>
        <w:rPr>
          <w:rFonts w:ascii="Times New Roman;Times;serif" w:hAnsi="Times New Roman;Times;serif"/>
          <w:sz w:val="17"/>
        </w:rPr>
        <w:t xml:space="preserve">(b)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Units. </w:t>
      </w:r>
    </w:p>
    <w:p>
      <w:pPr>
        <w:pStyle w:val="TextBody"/>
        <w:spacing w:before="120" w:after="283"/>
        <w:jc w:val="left"/>
        <w:rPr/>
      </w:pPr>
      <w:r>
        <w:rPr/>
        <w:t>          </w:t>
      </w:r>
      <w:r>
        <w:rPr>
          <w:rFonts w:ascii="Times New Roman;Times;serif" w:hAnsi="Times New Roman;Times;serif"/>
          <w:sz w:val="17"/>
        </w:rPr>
        <w:t xml:space="preserve">(c) The Representatives shall have received on each applicable Delivery Date, an opinion of Vinson &amp; Elkins L.L.P., counsel for the Partnership, dated the applicable Delivery Date and addressed to the Underwriters, to the effect that: </w:t>
      </w:r>
    </w:p>
    <w:p>
      <w:pPr>
        <w:pStyle w:val="TextBody"/>
        <w:spacing w:before="120" w:after="283"/>
        <w:jc w:val="left"/>
        <w:rPr/>
      </w:pPr>
      <w:r>
        <w:rPr/>
        <w:t>          </w:t>
      </w:r>
      <w:r>
        <w:rPr>
          <w:rFonts w:ascii="Times New Roman;Times;serif" w:hAnsi="Times New Roman;Times;serif"/>
          <w:sz w:val="17"/>
        </w:rPr>
        <w:t xml:space="preserve">(i) Each of the Partnership, the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 </w:t>
      </w:r>
    </w:p>
    <w:p>
      <w:pPr>
        <w:pStyle w:val="TextBody"/>
        <w:spacing w:before="120" w:after="283"/>
        <w:jc w:val="left"/>
        <w:rPr/>
      </w:pPr>
      <w:r>
        <w:rPr/>
        <w:t>          </w:t>
      </w:r>
      <w:r>
        <w:rPr>
          <w:rFonts w:ascii="Times New Roman;Times;serif" w:hAnsi="Times New Roman;Times;serif"/>
          <w:sz w:val="17"/>
        </w:rPr>
        <w:t xml:space="preserve">(ii) 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 </w:t>
      </w:r>
    </w:p>
    <w:p>
      <w:pPr>
        <w:pStyle w:val="TextBody"/>
        <w:spacing w:before="120" w:after="283"/>
        <w:jc w:val="left"/>
        <w:rPr/>
      </w:pPr>
      <w:r>
        <w:rPr/>
        <w:t>          </w:t>
      </w:r>
      <w:r>
        <w:rPr>
          <w:rFonts w:ascii="Times New Roman;Times;serif" w:hAnsi="Times New Roman;Times;serif"/>
          <w:sz w:val="17"/>
        </w:rPr>
        <w:t xml:space="preserve">(iii)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 </w:t>
      </w:r>
    </w:p>
    <w:p>
      <w:pPr>
        <w:pStyle w:val="TextBody"/>
        <w:spacing w:before="120" w:after="283"/>
        <w:jc w:val="left"/>
        <w:rPr/>
      </w:pPr>
      <w:r>
        <w:rPr/>
        <w:t>          </w:t>
      </w:r>
      <w:r>
        <w:rPr>
          <w:rFonts w:ascii="Times New Roman;Times;serif" w:hAnsi="Times New Roman;Times;serif"/>
          <w:sz w:val="17"/>
        </w:rPr>
        <w:t xml:space="preserve">(iv) 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the portion of the limited partnership interest in PNG held by public investors,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 </w:t>
      </w:r>
    </w:p>
    <w:p>
      <w:pPr>
        <w:pStyle w:val="TextBody"/>
        <w:spacing w:before="120" w:after="283"/>
        <w:jc w:val="left"/>
        <w:rPr/>
      </w:pPr>
      <w:r>
        <w:rPr/>
        <w:t>          </w:t>
      </w:r>
      <w:r>
        <w:rPr>
          <w:rFonts w:ascii="Times New Roman;Times;serif" w:hAnsi="Times New Roman;Times;serif"/>
          <w:sz w:val="17"/>
        </w:rPr>
        <w:t xml:space="preserve">(v) 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w:t>
      </w:r>
    </w:p>
    <w:p>
      <w:pPr>
        <w:pStyle w:val="TextBody"/>
        <w:spacing w:before="120" w:after="283"/>
        <w:jc w:val="left"/>
        <w:rPr/>
      </w:pPr>
      <w:r>
        <w:rPr/>
        <w:t>          </w:t>
      </w:r>
      <w:r>
        <w:rPr>
          <w:rFonts w:ascii="Times New Roman;Times;serif" w:hAnsi="Times New Roman;Times;serif"/>
          <w:sz w:val="17"/>
        </w:rPr>
        <w:t xml:space="preserve">(vi) The Firm Units (and/or Options Units, as applicable) to be sold to the Underwriters by the Selling Unitholder pursuant to this Agreement and the limited partner interests represented thereby have been duly authorized by the Partnership Agreement and are validly issued, fully paid (to the extent required under the Partnership Agreement) and nonassessable (except as such nonassessability may be affected by Sections 17-607 and 17-804 of the Delaware LP Act). </w:t>
      </w:r>
    </w:p>
    <w:p>
      <w:pPr>
        <w:pStyle w:val="TextBody"/>
        <w:spacing w:before="120" w:after="283"/>
        <w:jc w:val="left"/>
        <w:rPr/>
      </w:pPr>
      <w:r>
        <w:rPr/>
        <w:t>          </w:t>
      </w:r>
      <w:r>
        <w:rPr>
          <w:rFonts w:ascii="Times New Roman;Times;serif" w:hAnsi="Times New Roman;Times;serif"/>
          <w:sz w:val="17"/>
        </w:rPr>
        <w:t xml:space="preserve">(vii) 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rise to any rights for or relating to the registration of any Units or other securities of the Partnership pursuant to any of the documents or agreements included as exhibits to any of the Incorporated Documents, except such rights as have been waived or satisfied. </w:t>
      </w:r>
    </w:p>
    <w:p>
      <w:pPr>
        <w:pStyle w:val="TextBody"/>
        <w:spacing w:before="120" w:after="283"/>
        <w:jc w:val="left"/>
        <w:rPr/>
      </w:pPr>
      <w:r>
        <w:rPr/>
        <w:t>          </w:t>
      </w:r>
      <w:r>
        <w:rPr>
          <w:rFonts w:ascii="Times New Roman;Times;serif" w:hAnsi="Times New Roman;Times;serif"/>
          <w:sz w:val="17"/>
        </w:rPr>
        <w:t xml:space="preserve">(viii) The Partnership has all requisite power and authority to enter into this Agreement and to consummate the transactions contemplated hereby. </w:t>
      </w:r>
    </w:p>
    <w:p>
      <w:pPr>
        <w:pStyle w:val="TextBody"/>
        <w:spacing w:before="120" w:after="283"/>
        <w:jc w:val="left"/>
        <w:rPr/>
      </w:pPr>
      <w:r>
        <w:rPr/>
        <w:t>          </w:t>
      </w:r>
      <w:r>
        <w:rPr>
          <w:rFonts w:ascii="Times New Roman;Times;serif" w:hAnsi="Times New Roman;Times;serif"/>
          <w:sz w:val="17"/>
        </w:rPr>
        <w:t xml:space="preserve">(ix) This Agreement has been duly authorized and validly executed and delivered by the Partnership. </w:t>
      </w:r>
    </w:p>
    <w:p>
      <w:pPr>
        <w:pStyle w:val="TextBody"/>
        <w:spacing w:before="120" w:after="283"/>
        <w:jc w:val="left"/>
        <w:rPr/>
      </w:pPr>
      <w:r>
        <w:rPr/>
        <w:t>          </w:t>
      </w:r>
      <w:r>
        <w:rPr>
          <w:rFonts w:ascii="Times New Roman;Times;serif" w:hAnsi="Times New Roman;Times;serif"/>
          <w:sz w:val="17"/>
        </w:rPr>
        <w:t xml:space="preserve">(x) At or before each applicable Delivery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20" w:after="283"/>
        <w:jc w:val="left"/>
        <w:rPr/>
      </w:pPr>
      <w:r>
        <w:rPr/>
        <w:t>          </w:t>
      </w:r>
      <w:r>
        <w:rPr>
          <w:rFonts w:ascii="Times New Roman;Times;serif" w:hAnsi="Times New Roman;Times;serif"/>
          <w:sz w:val="17"/>
        </w:rPr>
        <w:t>(xi) None of the offering and sale by the Selling Unitholder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any Incorporated Document, the Credit Agreement dated January 3, 2008 (as amended, the </w:t>
      </w:r>
      <w:r>
        <w:rPr>
          <w:rFonts w:ascii="Times New Roman;Times;serif" w:hAnsi="Times New Roman;Times;serif"/>
          <w:b/>
          <w:sz w:val="17"/>
        </w:rPr>
        <w:t>Plains AAP Facility</w:t>
      </w:r>
      <w:r>
        <w:rPr>
          <w:rFonts w:ascii="Times New Roman;Times;serif" w:hAnsi="Times New Roman;Times;serif"/>
          <w:sz w:val="17"/>
        </w:rPr>
        <w:t>), by and among Plains AAP, the lenders party thereto and Citibank, N.A., as Administrative Agent or the PNG Facility, (C) results or will result in any violation of the Delaware LP Act, the Delaware LLC Act, the Delaware General Corporation Law (the </w:t>
      </w:r>
      <w:r>
        <w:rPr>
          <w:rFonts w:ascii="Times New Roman;Times;serif" w:hAnsi="Times New Roman;Times;serif"/>
          <w:b/>
          <w:sz w:val="17"/>
        </w:rPr>
        <w:t>DGCL</w:t>
      </w:r>
      <w:r>
        <w:rPr>
          <w:rFonts w:ascii="Times New Roman;Times;serif" w:hAnsi="Times New Roman;Times;serif"/>
          <w:sz w:val="17"/>
        </w:rPr>
        <w:t xml:space="preserve">),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 (D) would reasonably be expected to have a Material Adverse Effect or materially impair the ability of the Partnership to consummate the transactions contemplated by this Agreement, it being understood that such counsel need not express an opinion in clause (C) of this paragraph (xi) with respect to any securities or other anti-fraud law. </w:t>
      </w:r>
    </w:p>
    <w:p>
      <w:pPr>
        <w:pStyle w:val="TextBody"/>
        <w:spacing w:before="120" w:after="283"/>
        <w:jc w:val="left"/>
        <w:rPr/>
      </w:pPr>
      <w:r>
        <w:rPr/>
        <w:t>          </w:t>
      </w:r>
      <w:r>
        <w:rPr>
          <w:rFonts w:ascii="Times New Roman;Times;serif" w:hAnsi="Times New Roman;Times;serif"/>
          <w:sz w:val="17"/>
        </w:rPr>
        <w:t xml:space="preserve">(xii) No consent, approval, authorization, filing with or order of any federal, Delaware or Texas court, governmental agency or body having jurisdiction over the Partnership, the GP Entities the Domestic Subsidiaries or any of their respective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purchase and distribution by the Underwriters of the Units in the manner contemplated herein and in the Pricing Disclosure Package and the Prospectus (as to which such counsel need not express any opinion), (B) such that the failure to obtain would not reasonably be expected to have a Material Adverse Effect or materially impair the ability of the Partnership to consummate the transactions contemplated by this Agreement and (C) such other that have been obtained or taken and are in full force and effect. </w:t>
      </w:r>
    </w:p>
    <w:p>
      <w:pPr>
        <w:pStyle w:val="TextBody"/>
        <w:spacing w:before="120" w:after="283"/>
        <w:jc w:val="left"/>
        <w:rPr/>
      </w:pPr>
      <w:r>
        <w:rPr/>
        <w:t>          </w:t>
      </w:r>
      <w:r>
        <w:rPr>
          <w:rFonts w:ascii="Times New Roman;Times;serif" w:hAnsi="Times New Roman;Times;serif"/>
          <w:sz w:val="17"/>
        </w:rPr>
        <w:t xml:space="preserve">(xiii) The statements in the Registration Statement, the Pricing Disclosure Package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the Common Units and the Incentive Distribution Rights conform in all material respects to the descriptions thereof contained in the Registration Statement, the Pricing Disclosure Package and the Prospectus. </w:t>
      </w:r>
    </w:p>
    <w:p>
      <w:pPr>
        <w:pStyle w:val="TextBody"/>
        <w:spacing w:before="120" w:after="283"/>
        <w:jc w:val="left"/>
        <w:rPr/>
      </w:pPr>
      <w:r>
        <w:rPr/>
        <w:t>          </w:t>
      </w:r>
      <w:r>
        <w:rPr>
          <w:rFonts w:ascii="Times New Roman;Times;serif" w:hAnsi="Times New Roman;Times;serif"/>
          <w:sz w:val="17"/>
        </w:rPr>
        <w:t xml:space="preserve">(xiv) The opinion of Vinson &amp; Elkins L.L.P. that is filed as Exhibit 8.1 to the Registration Statement is confirmed and the Underwriters may rely upon such opinion as if it were addressed to them. </w:t>
      </w:r>
    </w:p>
    <w:p>
      <w:pPr>
        <w:pStyle w:val="TextBody"/>
        <w:spacing w:before="120" w:after="283"/>
        <w:jc w:val="left"/>
        <w:rPr/>
      </w:pPr>
      <w:r>
        <w:rPr/>
        <w:t>          </w:t>
      </w:r>
      <w:r>
        <w:rPr>
          <w:rFonts w:ascii="Times New Roman;Times;serif" w:hAnsi="Times New Roman;Times;serif"/>
          <w:sz w:val="17"/>
        </w:rPr>
        <w:t xml:space="preserve">(xv) The Registration Statement was declared effective under the Securities Act on December 11, 2008; to the knowledge of such counsel, no stop order suspending the effectiveness of the Registration Statement has been issued and no proceedings for that purpose have been instituted or threatened by the Commission; and any required filing of the Prospectus pursuant to Rule 424(b) has been made in the manner and within the time period required by such Rule. </w:t>
      </w:r>
    </w:p>
    <w:p>
      <w:pPr>
        <w:pStyle w:val="TextBody"/>
        <w:spacing w:before="120" w:after="283"/>
        <w:jc w:val="left"/>
        <w:rPr/>
      </w:pPr>
      <w:r>
        <w:rPr/>
        <w:t>          </w:t>
      </w:r>
      <w:r>
        <w:rPr>
          <w:rFonts w:ascii="Times New Roman;Times;serif" w:hAnsi="Times New Roman;Times;serif"/>
          <w:sz w:val="17"/>
        </w:rPr>
        <w:t xml:space="preserve">(xvi)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 </w:t>
      </w:r>
    </w:p>
    <w:p>
      <w:pPr>
        <w:pStyle w:val="TextBody"/>
        <w:spacing w:before="120" w:after="283"/>
        <w:jc w:val="left"/>
        <w:rPr/>
      </w:pPr>
      <w:r>
        <w:rPr/>
        <w:t>          </w:t>
      </w:r>
      <w:r>
        <w:rPr>
          <w:rFonts w:ascii="Times New Roman;Times;serif" w:hAnsi="Times New Roman;Times;serif"/>
          <w:sz w:val="17"/>
        </w:rPr>
        <w:t xml:space="preserve">(xvii) None of the Plains Entities is now, and after sale of the Units to be sold by the Selling Unitholder hereunder and application of the net proceeds from such sale as described in the Pricing Disclosure Package and the Prospectus under the caption Use of Proceeds, none of the Plains Entities will be, an investment company as such term is defined in the Investment Company Act.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addition, such counsel shall state that they have participated in conferences with officers and other representatives of the Selling Unitholder, GP LLC, the Partnership and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(xiii above)), on the basis of the foregoing, no facts have come to the attention of such counsel that lead them to believe that: </w:t>
      </w:r>
    </w:p>
    <w:p>
      <w:pPr>
        <w:pStyle w:val="TextBody"/>
        <w:spacing w:before="120" w:after="283"/>
        <w:jc w:val="left"/>
        <w:rPr/>
      </w:pPr>
      <w:r>
        <w:rPr/>
        <w:t>          </w:t>
      </w:r>
      <w:r>
        <w:rPr>
          <w:rFonts w:ascii="Times New Roman;Times;serif" w:hAnsi="Times New Roman;Times;serif"/>
          <w:sz w:val="17"/>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120" w:after="283"/>
        <w:jc w:val="left"/>
        <w:rPr/>
      </w:pPr>
      <w:r>
        <w:rPr/>
        <w:t>          </w:t>
      </w:r>
      <w:r>
        <w:rPr>
          <w:rFonts w:ascii="Times New Roman;Times;serif" w:hAnsi="Times New Roman;Times;serif"/>
          <w:sz w:val="17"/>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120" w:after="283"/>
        <w:jc w:val="left"/>
        <w:rPr/>
      </w:pPr>
      <w:r>
        <w:rPr/>
        <w:t>          </w:t>
      </w:r>
      <w:r>
        <w:rPr>
          <w:rFonts w:ascii="Times New Roman;Times;serif" w:hAnsi="Times New Roman;Times;serif"/>
          <w:sz w:val="17"/>
        </w:rPr>
        <w:t xml:space="preserve">(C) 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 </w:t>
      </w:r>
    </w:p>
    <w:p>
      <w:pPr>
        <w:pStyle w:val="TextBody"/>
        <w:spacing w:before="120" w:after="283"/>
        <w:jc w:val="left"/>
        <w:rPr/>
      </w:pPr>
      <w:r>
        <w:rPr/>
        <w:t>          </w:t>
      </w:r>
      <w:r>
        <w:rPr>
          <w:rFonts w:ascii="Times New Roman;Times;serif" w:hAnsi="Times New Roman;Times;serif"/>
          <w:sz w:val="17"/>
        </w:rPr>
        <w:t xml:space="preserve">In rendering such opinion, such counsel may (A) rely in respect of matters of fact upon certificates of officers and employees of GP LLC and the Partnership,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 </w:t>
      </w:r>
    </w:p>
    <w:p>
      <w:pPr>
        <w:pStyle w:val="TextBody"/>
        <w:spacing w:before="120" w:after="283"/>
        <w:jc w:val="left"/>
        <w:rPr/>
      </w:pPr>
      <w:r>
        <w:rPr/>
        <w:t>          </w:t>
      </w:r>
      <w:r>
        <w:rPr>
          <w:rFonts w:ascii="Times New Roman;Times;serif" w:hAnsi="Times New Roman;Times;serif"/>
          <w:sz w:val="17"/>
        </w:rPr>
        <w:t xml:space="preserve">(d) The Representatives shall have received on each applicable Delivery Date an opinion of Tim Moore, general counsel for GP LLC, dated the applicable Delivery Date and addressed to the Underwriters, to the effect that: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 None of the offering and sale by the Selling Unitholder of the Units, the execution, delivery and performance by the Partnership of this Agreement,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the Plains AAP Facility or the PNG Facility)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 </w:t>
      </w:r>
    </w:p>
    <w:p>
      <w:pPr>
        <w:pStyle w:val="TextBody"/>
        <w:spacing w:before="120" w:after="283"/>
        <w:jc w:val="left"/>
        <w:rPr/>
      </w:pPr>
      <w:r>
        <w:rPr/>
        <w:t>          </w:t>
      </w:r>
      <w:r>
        <w:rPr>
          <w:rFonts w:ascii="Times New Roman;Times;serif" w:hAnsi="Times New Roman;Times;serif"/>
          <w:sz w:val="17"/>
        </w:rPr>
        <w:t xml:space="preserve">(ii) To the knowledge of such counsel, there is no legal or governmental proceeding pending or threatened to which the Partnership or any of the Subsidiaries is a party or to which any of their respective properties is subject that is required to be disclosed in the Pricing Disclosure Package or the Prospectus and is not so disclosed. </w:t>
      </w:r>
    </w:p>
    <w:p>
      <w:pPr>
        <w:pStyle w:val="TextBody"/>
        <w:spacing w:before="120" w:after="283"/>
        <w:jc w:val="left"/>
        <w:rPr/>
      </w:pPr>
      <w:r>
        <w:rPr/>
        <w:t>          </w:t>
      </w:r>
      <w:r>
        <w:rPr>
          <w:rFonts w:ascii="Times New Roman;Times;serif" w:hAnsi="Times New Roman;Times;serif"/>
          <w:sz w:val="17"/>
        </w:rPr>
        <w:t xml:space="preserve">(iii) To the knowledge of such counsel, except as described in the Pricing Disclosure Package and the Prospectus or as have been issued pursuant to compensation plans adopted or administered by the General Partner, there are no outstanding options or warrants to purchase any Common Units or other equity interests in the Partnership. </w:t>
      </w:r>
    </w:p>
    <w:p>
      <w:pPr>
        <w:pStyle w:val="TextBody"/>
        <w:spacing w:before="120" w:after="283"/>
        <w:jc w:val="left"/>
        <w:rPr/>
      </w:pPr>
      <w:r>
        <w:rPr/>
        <w:t>          </w:t>
      </w:r>
      <w:r>
        <w:rPr>
          <w:rFonts w:ascii="Times New Roman;Times;serif" w:hAnsi="Times New Roman;Times;serif"/>
          <w:sz w:val="17"/>
        </w:rPr>
        <w:t xml:space="preserve">(iv) To the knowledge of such counsel, there are no agreements, contracts or other documents to which the Partnership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 </w:t>
      </w:r>
    </w:p>
    <w:p>
      <w:pPr>
        <w:pStyle w:val="TextBody"/>
        <w:spacing w:before="120" w:after="283"/>
        <w:jc w:val="left"/>
        <w:rPr/>
      </w:pPr>
      <w:r>
        <w:rPr/>
        <w:t>          </w:t>
      </w:r>
      <w:r>
        <w:rPr>
          <w:rFonts w:ascii="Times New Roman;Times;serif" w:hAnsi="Times New Roman;Times;serif"/>
          <w:sz w:val="17"/>
        </w:rPr>
        <w:t xml:space="preserve">In addition, such counsel shall state that he has participated in conferences with officers and other representatives of the Selling Unitholder, GP LLC and the Partnership and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120" w:after="283"/>
        <w:jc w:val="left"/>
        <w:rPr/>
      </w:pPr>
      <w:r>
        <w:rPr/>
        <w:t>          </w:t>
      </w:r>
      <w:r>
        <w:rPr>
          <w:rFonts w:ascii="Times New Roman;Times;serif" w:hAnsi="Times New Roman;Times;serif"/>
          <w:sz w:val="17"/>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120" w:after="283"/>
        <w:jc w:val="left"/>
        <w:rPr/>
      </w:pPr>
      <w:r>
        <w:rPr/>
        <w:t>          </w:t>
      </w:r>
      <w:r>
        <w:rPr>
          <w:rFonts w:ascii="Times New Roman;Times;serif" w:hAnsi="Times New Roman;Times;serif"/>
          <w:sz w:val="17"/>
        </w:rPr>
        <w:t xml:space="preserve">(C) the Prospectus, as of its date and as of each applicable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 </w:t>
      </w:r>
    </w:p>
    <w:p>
      <w:pPr>
        <w:pStyle w:val="TextBody"/>
        <w:spacing w:before="120" w:after="283"/>
        <w:jc w:val="left"/>
        <w:rPr/>
      </w:pPr>
      <w:r>
        <w:rPr/>
        <w:t>          </w:t>
      </w:r>
      <w:r>
        <w:rPr>
          <w:rFonts w:ascii="Times New Roman;Times;serif" w:hAnsi="Times New Roman;Times;serif"/>
          <w:sz w:val="17"/>
        </w:rPr>
        <w:t xml:space="preserve">In rendering such opinion, such counsel may (A) rely in respect of matters of fact upon certificates of officers and employees of GP LLC and the Partnership, to the extent he deems appropriate,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the DGCL and the laws of the State of Texas and (D) state that he expresses no opinion with respect to either federal or state securities laws in clause (B) of paragraph (i) above or state or local taxes or tax statutes. </w:t>
      </w:r>
    </w:p>
    <w:p>
      <w:pPr>
        <w:pStyle w:val="TextBody"/>
        <w:spacing w:before="120" w:after="283"/>
        <w:jc w:val="left"/>
        <w:rPr/>
      </w:pPr>
      <w:r>
        <w:rPr/>
        <w:t>          </w:t>
      </w:r>
      <w:r>
        <w:rPr>
          <w:rFonts w:ascii="Times New Roman;Times;serif" w:hAnsi="Times New Roman;Times;serif"/>
          <w:sz w:val="17"/>
        </w:rPr>
        <w:t xml:space="preserve">(e) The Representatives shall have received on each applicable Delivery Date, an opinion of Bennett Jones LLP with respect to the Province of Alberta and the federal laws of Canada, dated the Closing Date and addressed to the Underwriters, to the effect that: </w:t>
      </w:r>
    </w:p>
    <w:p>
      <w:pPr>
        <w:pStyle w:val="TextBody"/>
        <w:spacing w:before="120" w:after="283"/>
        <w:jc w:val="left"/>
        <w:rPr/>
      </w:pPr>
      <w:r>
        <w:rPr/>
        <w:t>          </w:t>
      </w:r>
      <w:r>
        <w:rPr>
          <w:rFonts w:ascii="Times New Roman;Times;serif" w:hAnsi="Times New Roman;Times;serif"/>
          <w:sz w:val="17"/>
        </w:rPr>
        <w:t xml:space="preserve">(i) Plains Midstream Canada ULC, an Alberta Limited liability company (Plains Midstream Canada) has been duly amalgamated and is validly existing in good standing as an unlimited liability company under the laws of Alberta,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and is in good standing under the laws of the province of British Columbia, Manitoba, Quebec, New Brunswick, Nova Scotia, Ontario and Saskatchewan.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(ii) 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Memorandum and Articles of Association, as fully paid and nonassessable shares (except as such nonassessability may be affected by the laws of the Province of Alberta). </w:t>
      </w:r>
    </w:p>
    <w:p>
      <w:pPr>
        <w:pStyle w:val="TextBody"/>
        <w:spacing w:before="120" w:after="283"/>
        <w:jc w:val="left"/>
        <w:rPr/>
      </w:pPr>
      <w:r>
        <w:rPr/>
        <w:t>          </w:t>
      </w:r>
      <w:r>
        <w:rPr>
          <w:rFonts w:ascii="Times New Roman;Times;serif" w:hAnsi="Times New Roman;Times;serif"/>
          <w:sz w:val="17"/>
        </w:rPr>
        <w:t xml:space="preserve">(iii) 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Alberta). </w:t>
      </w:r>
    </w:p>
    <w:p>
      <w:pPr>
        <w:pStyle w:val="TextBody"/>
        <w:spacing w:before="120" w:after="283"/>
        <w:jc w:val="left"/>
        <w:rPr/>
      </w:pPr>
      <w:r>
        <w:rPr/>
        <w:t>          </w:t>
      </w:r>
      <w:r>
        <w:rPr>
          <w:rFonts w:ascii="Times New Roman;Times;serif" w:hAnsi="Times New Roman;Times;serif"/>
          <w:sz w:val="17"/>
        </w:rPr>
        <w:t xml:space="preserve">(iv) No permit, consent, approval, authorization, order, registration, filing or qualification of or with any court, governmental agency or body of the federal government of Canada or the Province of Alberta is required for the offering and sale by the Selling Unitholder of the Units. </w:t>
      </w:r>
    </w:p>
    <w:p>
      <w:pPr>
        <w:pStyle w:val="TextBody"/>
        <w:spacing w:before="120" w:after="283"/>
        <w:jc w:val="left"/>
        <w:rPr/>
      </w:pPr>
      <w:r>
        <w:rPr/>
        <w:t>          </w:t>
      </w:r>
      <w:r>
        <w:rPr>
          <w:rFonts w:ascii="Times New Roman;Times;serif" w:hAnsi="Times New Roman;Times;serif"/>
          <w:sz w:val="17"/>
        </w:rPr>
        <w:t xml:space="preserve">(v) None of the offering and sale by the Selling Unitholder of the Units, the execution, delivery and performance of this Agreement by the Partnership or the consummation of the transactions contemplated hereby constitutes or will constitute a violation of the certificate or Articles of Amalgamation, bylaws or other organizational documents of Plains Midstream Canada, or any statute, law or regulation of Canada or the Province of Alberta or, to the knowledge of such counsel, any order, judgment, decree or injunction of any court or governmental agency or body of Canada or the Province of Alberta directed to Plains Midstream Canada or its properties in a proceeding to which Plains Midstream Canada or its property is a party. </w:t>
      </w:r>
    </w:p>
    <w:p>
      <w:pPr>
        <w:pStyle w:val="TextBody"/>
        <w:spacing w:before="120" w:after="283"/>
        <w:jc w:val="left"/>
        <w:rPr/>
      </w:pPr>
      <w:r>
        <w:rPr/>
        <w:t>          </w:t>
      </w:r>
      <w:r>
        <w:rPr>
          <w:rFonts w:ascii="Times New Roman;Times;serif" w:hAnsi="Times New Roman;Times;serif"/>
          <w:sz w:val="17"/>
        </w:rPr>
        <w:t xml:space="preserve">(vi) 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 </w:t>
      </w:r>
    </w:p>
    <w:p>
      <w:pPr>
        <w:pStyle w:val="TextBody"/>
        <w:spacing w:before="120" w:after="283"/>
        <w:jc w:val="left"/>
        <w:rPr/>
      </w:pPr>
      <w:r>
        <w:rPr/>
        <w:t>          </w:t>
      </w:r>
      <w:r>
        <w:rPr>
          <w:rFonts w:ascii="Times New Roman;Times;serif" w:hAnsi="Times New Roman;Times;serif"/>
          <w:sz w:val="17"/>
        </w:rPr>
        <w:t xml:space="preserve">In rendering such opinion, such counsel may (A) rely in respect of matters of fact upon certificates of officers and employees of GP LLC and the Partnership, to the extent they deem proper,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Alberta, excepting therefrom municipal and local ordinances and regulations and (D) state that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they express no opinion with respect to state or local taxes or tax statutes to which any of the limited partners of the Partnership or the Plains Entities may be subject. </w:t>
      </w:r>
    </w:p>
    <w:p>
      <w:pPr>
        <w:pStyle w:val="TextBody"/>
        <w:spacing w:before="120" w:after="283"/>
        <w:jc w:val="left"/>
        <w:rPr/>
      </w:pPr>
      <w:r>
        <w:rPr/>
        <w:t>          </w:t>
      </w:r>
      <w:r>
        <w:rPr>
          <w:rFonts w:ascii="Times New Roman;Times;serif" w:hAnsi="Times New Roman;Times;serif"/>
          <w:sz w:val="17"/>
        </w:rPr>
        <w:t xml:space="preserve">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 </w:t>
      </w:r>
    </w:p>
    <w:p>
      <w:pPr>
        <w:pStyle w:val="TextBody"/>
        <w:spacing w:before="120" w:after="283"/>
        <w:jc w:val="left"/>
        <w:rPr/>
      </w:pPr>
      <w:r>
        <w:rPr/>
        <w:t>          </w:t>
      </w:r>
      <w:r>
        <w:rPr>
          <w:rFonts w:ascii="Times New Roman;Times;serif" w:hAnsi="Times New Roman;Times;serif"/>
          <w:sz w:val="17"/>
        </w:rPr>
        <w:t xml:space="preserve">(f) The Representatives shall have received on each applicable Delivery Date, an opinion of Skadden, Arps, Slate, Meagher &amp; Flom LLP, counsel for the Selling Unitholder, date the applicable Delivery Date and addressed to the Underwriters, to the effect that: </w:t>
      </w:r>
    </w:p>
    <w:p>
      <w:pPr>
        <w:pStyle w:val="TextBody"/>
        <w:spacing w:before="120" w:after="283"/>
        <w:jc w:val="left"/>
        <w:rPr/>
      </w:pPr>
      <w:r>
        <w:rPr/>
        <w:t>          </w:t>
      </w:r>
      <w:r>
        <w:rPr>
          <w:rFonts w:ascii="Times New Roman;Times;serif" w:hAnsi="Times New Roman;Times;serif"/>
          <w:sz w:val="17"/>
        </w:rPr>
        <w:t xml:space="preserve">(i) Based solely on such counsels review of the certificate of incorporation of the Selling Unitholder as filed with the Secretary of State of the State of Delaware, the Selling Unitholder is duly incorporated and is validly existing and in good standing under the DGCL. </w:t>
      </w:r>
    </w:p>
    <w:p>
      <w:pPr>
        <w:pStyle w:val="TextBody"/>
        <w:spacing w:before="120" w:after="283"/>
        <w:jc w:val="left"/>
        <w:rPr/>
      </w:pPr>
      <w:r>
        <w:rPr/>
        <w:t>          </w:t>
      </w:r>
      <w:r>
        <w:rPr>
          <w:rFonts w:ascii="Times New Roman;Times;serif" w:hAnsi="Times New Roman;Times;serif"/>
          <w:sz w:val="17"/>
        </w:rPr>
        <w:t xml:space="preserve">(ii) The Selling Unitholder has the corporate power and authority to execute, deliver and perform all its obligations under the Underwriting Agreement under the DGCL. </w:t>
      </w:r>
    </w:p>
    <w:p>
      <w:pPr>
        <w:pStyle w:val="TextBody"/>
        <w:spacing w:before="120" w:after="283"/>
        <w:jc w:val="left"/>
        <w:rPr/>
      </w:pPr>
      <w:r>
        <w:rPr/>
        <w:t>          </w:t>
      </w:r>
      <w:r>
        <w:rPr>
          <w:rFonts w:ascii="Times New Roman;Times;serif" w:hAnsi="Times New Roman;Times;serif"/>
          <w:sz w:val="17"/>
        </w:rPr>
        <w:t xml:space="preserve">(iii) The Underwriting Agreement has been duly authorized, executed and delivered by all requisite corporation action on the part of the Selling Unitholder under the DGCL. </w:t>
      </w:r>
    </w:p>
    <w:p>
      <w:pPr>
        <w:pStyle w:val="TextBody"/>
        <w:spacing w:before="120" w:after="283"/>
        <w:jc w:val="left"/>
        <w:rPr/>
      </w:pPr>
      <w:r>
        <w:rPr/>
        <w:t>          </w:t>
      </w:r>
      <w:r>
        <w:rPr>
          <w:rFonts w:ascii="Times New Roman;Times;serif" w:hAnsi="Times New Roman;Times;serif"/>
          <w:sz w:val="17"/>
        </w:rPr>
        <w:t xml:space="preserve">(iv) Neither the execution and delivery by the Selling Unitholder of the Underwriting Agreement nor the consummation by the Selling Unitholder of the transactions contemplated thereby, including the sale of the Securities: (A) conflicts with the Organizational Documents of the Selling Unitholder, (B) contravenes any Scheduled Order, (C) constitutes a violation of, or a default under, any Scheduled Contract, (D) violates any law, rule or regulation of the State of New York or the United States of America or (E) requires the consent, approval, licensing or authorization of, or any filing, recording or registration with, any governmental authority under any law, rule or regulation of the State of New York or the United States of America except for those consents, approvals, licenses and authorizations already obtained and those filings, recordings and registrations already made. </w:t>
      </w:r>
    </w:p>
    <w:p>
      <w:pPr>
        <w:pStyle w:val="TextBody"/>
        <w:spacing w:before="120" w:after="283"/>
        <w:jc w:val="left"/>
        <w:rPr/>
      </w:pPr>
      <w:r>
        <w:rPr/>
        <w:t>          </w:t>
      </w:r>
      <w:r>
        <w:rPr>
          <w:rFonts w:ascii="Times New Roman;Times;serif" w:hAnsi="Times New Roman;Times;serif"/>
          <w:sz w:val="17"/>
        </w:rPr>
        <w:t xml:space="preserve">(v) An action based on an adverse claim to the financial assets consisting of the Units held by DTC, whether such action is framed in conversion, replevin, constructive trust, equitable lien, or other theory, may not be successfully asserted against Citigroup Global Markets Inc., assuming that Citigroup Global Markets Inc. acquires security entitlements with respect to such Units from DTC and neither Citigroup Global Markets Inc. nor any other Underwriter has notice of any adverse claims with respect to such financial assets. </w:t>
      </w:r>
    </w:p>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rendering such opinion, such counsel may among such other assumptions and limitations as may be agreed (A) rely in respect of matters of fact upon certificates of officers and employees of the Selling Unitholder,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and (C) state that their opinion is limited to federal laws, the DGCL and the laws of the State of New York. </w:t>
      </w:r>
    </w:p>
    <w:p>
      <w:pPr>
        <w:pStyle w:val="TextBody"/>
        <w:spacing w:before="120" w:after="283"/>
        <w:jc w:val="left"/>
        <w:rPr/>
      </w:pPr>
      <w:r>
        <w:rPr/>
        <w:t>          </w:t>
      </w:r>
      <w:r>
        <w:rPr>
          <w:rFonts w:ascii="Times New Roman;Times;serif" w:hAnsi="Times New Roman;Times;serif"/>
          <w:sz w:val="17"/>
        </w:rPr>
        <w:t xml:space="preserve">(g) The Representatives shall have received on each applicable Delivery Date an opinion of Baker Botts L.L.P., counsel for the Underwriters, dated the applicable Delivery Date and addressed to the Underwriters, with respect to the offering, issuance and sale of the Units, the Registration Statement, the Pricing Disclosure Package, the Prospectus (together with any amendment or supplement thereto) and other related matters the Underwriters may reasonably require. </w:t>
      </w:r>
    </w:p>
    <w:p>
      <w:pPr>
        <w:pStyle w:val="TextBody"/>
        <w:spacing w:before="120" w:after="283"/>
        <w:jc w:val="left"/>
        <w:rPr/>
      </w:pPr>
      <w:r>
        <w:rPr/>
        <w:t>          </w:t>
      </w:r>
      <w:r>
        <w:rPr>
          <w:rFonts w:ascii="Times New Roman;Times;serif" w:hAnsi="Times New Roman;Times;serif"/>
          <w:sz w:val="17"/>
        </w:rPr>
        <w:t xml:space="preserve">(h) At the time of the execution of this Agreement, the Representatives shall have received from PricewaterhouseCoopers LLP, independent public accountants, letters dated such date, in form and substance satisfactory to the Representatives, together with signed or reproduced copies of such letters for each of the other Underwriters,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letters shall be a date not more than five days prior to the date of such letter. </w:t>
      </w:r>
    </w:p>
    <w:p>
      <w:pPr>
        <w:pStyle w:val="TextBody"/>
        <w:spacing w:before="120" w:after="283"/>
        <w:jc w:val="left"/>
        <w:rPr/>
      </w:pPr>
      <w:r>
        <w:rPr/>
        <w:t>          </w:t>
      </w:r>
      <w:r>
        <w:rPr>
          <w:rFonts w:ascii="Times New Roman;Times;serif" w:hAnsi="Times New Roman;Times;serif"/>
          <w:sz w:val="17"/>
        </w:rPr>
        <w:t xml:space="preserve">(i) On each applicable the Delivery Date, the Representatives shall have received from PricewaterhouseCoopers LLP a letter, dated as of each such Delivery Date, to the effect that they reaffirm the statements made in the letter furnished pursuant to paragraph (h) of this Section 9, except that the date referred to in the proviso in Section 9(h) hereof shall be a date not more than three business days prior to each such Delivery Date. </w:t>
      </w:r>
    </w:p>
    <w:p>
      <w:pPr>
        <w:pStyle w:val="TextBody"/>
        <w:spacing w:before="120" w:after="283"/>
        <w:jc w:val="left"/>
        <w:rPr/>
      </w:pPr>
      <w:r>
        <w:rPr/>
        <w:t>          </w:t>
      </w:r>
      <w:r>
        <w:rPr>
          <w:rFonts w:ascii="Times New Roman;Times;serif" w:hAnsi="Times New Roman;Times;serif"/>
          <w:sz w:val="17"/>
        </w:rPr>
        <w:t xml:space="preserve">(j) The Partnership shall have furnished to the Representatives at each applicable Delivery Date a certificate of the Partnership, signed on behalf of the Partnership by the President or any Vice President and the Chief Financial Officer of GP LLC, dated the applicable Delivery Date, to the effect that the signers of such certificate have examined the Registration Statement, the Pricing Disclosure Package, the Prospectus and any amendment or supplement thereto, and this Agreement and that: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the representations and warranties of the Partnership in this Agreement are true and correct on and as of the applicable Delivery Date with the same effect as if made on the applicable Delivery Date and the Partnership has complied in all material respects with all the agreements and satisfied all the conditions on its part to be performed or satisfied at or prior to the applicable Delivery 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 no stop order suspending the effectiveness of the Registration Statement or any notice objecting to its use has been issued and no proceedings for that purpose have been instituted or, to the Partnerships knowledge, threatened; and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 (i) the Registration Statement, as of the Effective Date, (ii) the Prospectus, as of its date and on the applicable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 </w:t>
      </w:r>
    </w:p>
    <w:p>
      <w:pPr>
        <w:pStyle w:val="TextBody"/>
        <w:spacing w:before="120" w:after="283"/>
        <w:jc w:val="left"/>
        <w:rPr/>
      </w:pPr>
      <w:r>
        <w:rPr/>
        <w:t>          </w:t>
      </w:r>
      <w:r>
        <w:rPr>
          <w:rFonts w:ascii="Times New Roman;Times;serif" w:hAnsi="Times New Roman;Times;serif"/>
          <w:sz w:val="17"/>
        </w:rPr>
        <w:t xml:space="preserve">(k) On or prior to the date hereof, the Partnership shall have furnished to the Underwriters a letter substantially in the form of </w:t>
      </w:r>
      <w:r>
        <w:rPr>
          <w:rFonts w:ascii="Times New Roman;Times;serif" w:hAnsi="Times New Roman;Times;serif"/>
          <w:sz w:val="17"/>
          <w:u w:val="single"/>
        </w:rPr>
        <w:t>Exhibit B</w:t>
      </w:r>
      <w:r>
        <w:rPr>
          <w:rFonts w:ascii="Times New Roman;Times;serif" w:hAnsi="Times New Roman;Times;serif"/>
          <w:sz w:val="17"/>
        </w:rPr>
        <w:t xml:space="preserve"> hereto from (i) each officer (as defined in Rule 16a-1(f) of the rules and regulations under the Exchange Act) of GP LLC and (ii) each director of GP LLC. </w:t>
      </w:r>
    </w:p>
    <w:p>
      <w:pPr>
        <w:pStyle w:val="TextBody"/>
        <w:spacing w:before="120" w:after="283"/>
        <w:jc w:val="left"/>
        <w:rPr/>
      </w:pPr>
      <w:r>
        <w:rPr/>
        <w:t>          </w:t>
      </w:r>
      <w:r>
        <w:rPr>
          <w:rFonts w:ascii="Times New Roman;Times;serif" w:hAnsi="Times New Roman;Times;serif"/>
          <w:sz w:val="17"/>
        </w:rPr>
        <w:t xml:space="preserve">(l) At the time of the execution of this Agreement, the Representatives shall have received from the Partnership a certificate substantially in the form of </w:t>
      </w:r>
      <w:r>
        <w:rPr>
          <w:rFonts w:ascii="Times New Roman;Times;serif" w:hAnsi="Times New Roman;Times;serif"/>
          <w:sz w:val="17"/>
          <w:u w:val="single"/>
        </w:rPr>
        <w:t>Exhibit C</w:t>
      </w:r>
      <w:r>
        <w:rPr>
          <w:rFonts w:ascii="Times New Roman;Times;serif" w:hAnsi="Times New Roman;Times;serif"/>
          <w:sz w:val="17"/>
        </w:rPr>
        <w:t xml:space="preserve"> hereto and signed by the chief financial officer of the General Partner. </w:t>
      </w:r>
    </w:p>
    <w:p>
      <w:pPr>
        <w:pStyle w:val="TextBody"/>
        <w:spacing w:before="120" w:after="283"/>
        <w:jc w:val="left"/>
        <w:rPr/>
      </w:pPr>
      <w:r>
        <w:rPr/>
        <w:t>          </w:t>
      </w:r>
      <w:r>
        <w:rPr>
          <w:rFonts w:ascii="Times New Roman;Times;serif" w:hAnsi="Times New Roman;Times;serif"/>
          <w:sz w:val="17"/>
        </w:rPr>
        <w:t xml:space="preserve">(m) The Selling Unitholder shall have furnished to the Representatives a certificate, signed by or on behalf of the Selling Unitholder, dated the Closing Date, to the effect that the signers of such certificate have examined the Registration Statement, the Pricing Disclosure Package, the Prospectus, any Issuer Free Writing Prospectus and any supplements or amendments thereto and this Agreement, and that the representations and warranties of the Selling Unitholder in this Agreement are true and correct in all material respects on and as of the Closing Date to the same effect as if made on the Closing Date. </w:t>
      </w:r>
    </w:p>
    <w:p>
      <w:pPr>
        <w:pStyle w:val="TextBody"/>
        <w:spacing w:before="120" w:after="283"/>
        <w:jc w:val="left"/>
        <w:rPr/>
      </w:pPr>
      <w:r>
        <w:rPr/>
        <w:t>          </w:t>
      </w:r>
      <w:r>
        <w:rPr>
          <w:rFonts w:ascii="Times New Roman;Times;serif" w:hAnsi="Times New Roman;Times;serif"/>
          <w:sz w:val="17"/>
        </w:rPr>
        <w:t xml:space="preserve">(n) On or prior to the date hereof, the Selling Unitholder shall have furnished to the Underwriters a letter substantially in the form of </w:t>
      </w:r>
      <w:r>
        <w:rPr>
          <w:rFonts w:ascii="Times New Roman;Times;serif" w:hAnsi="Times New Roman;Times;serif"/>
          <w:sz w:val="17"/>
          <w:u w:val="single"/>
        </w:rPr>
        <w:t>Exhibit D</w:t>
      </w:r>
      <w:r>
        <w:rPr>
          <w:rFonts w:ascii="Times New Roman;Times;serif" w:hAnsi="Times New Roman;Times;serif"/>
          <w:sz w:val="17"/>
        </w:rPr>
        <w:t xml:space="preserve"> hereto from Vulcan Capital Private Equity I LLC and Vulcan Capital Private Equity II LLC. </w:t>
      </w:r>
    </w:p>
    <w:p>
      <w:pPr>
        <w:pStyle w:val="TextBody"/>
        <w:spacing w:before="120" w:after="283"/>
        <w:jc w:val="left"/>
        <w:rPr/>
      </w:pPr>
      <w:r>
        <w:rPr/>
        <w:t>          </w:t>
      </w:r>
      <w:r>
        <w:rPr>
          <w:rFonts w:ascii="Times New Roman;Times;serif" w:hAnsi="Times New Roman;Times;serif"/>
          <w:sz w:val="17"/>
        </w:rPr>
        <w:t xml:space="preserve">All such opinions, certificates, letters and other documents referred to in this Section 9 will be in compliance with the provisions hereof only if they are reasonably satisfactory in form and substance to the Representatives and counsel for the Underwriters. The Selling Unitholder and the Partnership, as applicable, shall furnish to the Underwriters conformed copies of such opinions, certificates, letters and other documents in such number as they shall reasonably request. </w:t>
      </w:r>
    </w:p>
    <w:p>
      <w:pPr>
        <w:pStyle w:val="TextBody"/>
        <w:spacing w:before="120" w:after="283"/>
        <w:jc w:val="left"/>
        <w:rPr/>
      </w:pPr>
      <w:r>
        <w:rPr/>
        <w:t>          </w:t>
      </w:r>
      <w:r>
        <w:rPr>
          <w:rFonts w:ascii="Times New Roman;Times;serif" w:hAnsi="Times New Roman;Times;serif"/>
          <w:sz w:val="17"/>
        </w:rPr>
        <w:t xml:space="preserve">The several obligations of the Underwriters to purchase Option Units hereunder are subject to the satisfaction on and as of any Option Units Delivery Date of the conditions set forth in this Section 9, except that, if any Option Units Delivery Date is other than the Initial Delivery Date, (i) the certificates, opinions and letters referred to in paragraphs (c) through (g), (i), (j) and (m) shall be dated the Option Units Delivery Date in question, (ii) the opinions called for by paragraphs (c) through (g), as applicable, shall be revised to reflect the sale of Option Units and (iii) any references in Section 9 to the Initial Delivery Date shall be deemed to be such Option Units Delivery Date. </w:t>
      </w:r>
    </w:p>
    <w:p>
      <w:pPr>
        <w:pStyle w:val="TextBody"/>
        <w:spacing w:before="120" w:after="283"/>
        <w:jc w:val="left"/>
        <w:rPr/>
      </w:pPr>
      <w:r>
        <w:rPr/>
        <w:t>          </w:t>
      </w:r>
      <w:r>
        <w:rPr>
          <w:rFonts w:ascii="Times New Roman;Times;serif" w:hAnsi="Times New Roman;Times;serif"/>
          <w:sz w:val="17"/>
        </w:rPr>
        <w:t xml:space="preserve">If any of the conditions specified in this Section 9 shall not have been fulfilled in all material respects when and as provided in this Agreement, or if any of the opinions and </w:t>
      </w:r>
    </w:p>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applicable Delivery Date by the Underwriters. Notice of such cancellation shall be given to the Partnership in writing or by telephone or facsimile confirmed in writing. </w:t>
      </w:r>
    </w:p>
    <w:p>
      <w:pPr>
        <w:pStyle w:val="TextBody"/>
        <w:spacing w:before="120" w:after="283"/>
        <w:jc w:val="left"/>
        <w:rPr/>
      </w:pPr>
      <w:r>
        <w:rPr/>
        <w:t>          </w:t>
      </w:r>
      <w:r>
        <w:rPr>
          <w:rFonts w:ascii="Times New Roman;Times;serif" w:hAnsi="Times New Roman;Times;serif"/>
          <w:sz w:val="17"/>
        </w:rPr>
        <w:t>10. </w:t>
      </w:r>
      <w:r>
        <w:rPr>
          <w:rFonts w:ascii="Times New Roman;Times;serif" w:hAnsi="Times New Roman;Times;serif"/>
          <w:sz w:val="17"/>
          <w:u w:val="single"/>
        </w:rPr>
        <w:t>Expenses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(a) </w:t>
      </w:r>
      <w:r>
        <w:rPr>
          <w:rFonts w:ascii="Times New Roman;Times;serif" w:hAnsi="Times New Roman;Times;serif"/>
          <w:i/>
          <w:sz w:val="17"/>
        </w:rPr>
        <w:t xml:space="preserve">Partnership Expenses. </w:t>
      </w:r>
      <w:r>
        <w:rPr>
          <w:rFonts w:ascii="Times New Roman;Times;serif" w:hAnsi="Times New Roman;Times;serif"/>
          <w:sz w:val="17"/>
        </w:rPr>
        <w:t xml:space="preserve">The Partnership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Units; (iii) the preparation, printing, authentication, issuance and delivery of certificates for the Units, including any stamp taxes in connection with the original issuance and sale of the Units; (iv) the printing (or reproduction) and delivery of this Agreement, the preliminary and supplemental Blue Sky Memoranda, and all other agreements or documents printed (or reproduced) and delivered in connection with the offering of the Units; (v) the registration of the Common Units under the Exchange Act and any applicable listing or other similar fees; (vi) the registration or qualification of the Units for offer and sale under the securities or Blue Sky laws of the several states as provided in Section 6(f)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Partnership in connection with presentations to prospective purchasers of the Units; and (ix) the fees and expenses of the Partnerships accountants and the fees and expenses of counsel (including local and special counsel) for the Partnership. </w:t>
      </w:r>
    </w:p>
    <w:p>
      <w:pPr>
        <w:pStyle w:val="TextBody"/>
        <w:spacing w:before="120" w:after="283"/>
        <w:jc w:val="left"/>
        <w:rPr/>
      </w:pPr>
      <w:r>
        <w:rPr/>
        <w:t>          </w:t>
      </w:r>
      <w:r>
        <w:rPr>
          <w:rFonts w:ascii="Times New Roman;Times;serif" w:hAnsi="Times New Roman;Times;serif"/>
          <w:sz w:val="17"/>
        </w:rPr>
        <w:t>(b) </w:t>
      </w:r>
      <w:r>
        <w:rPr>
          <w:rFonts w:ascii="Times New Roman;Times;serif" w:hAnsi="Times New Roman;Times;serif"/>
          <w:i/>
          <w:sz w:val="17"/>
        </w:rPr>
        <w:t xml:space="preserve">Selling Unitholder Expenses. </w:t>
      </w:r>
      <w:r>
        <w:rPr>
          <w:rFonts w:ascii="Times New Roman;Times;serif" w:hAnsi="Times New Roman;Times;serif"/>
          <w:sz w:val="17"/>
        </w:rPr>
        <w:t xml:space="preserve">It is understood, however, that except as otherwise provided in this Agreement, the Selling Unitholder will pay all of its own costs and expenses, including the fees of its counsel. </w:t>
      </w:r>
    </w:p>
    <w:p>
      <w:pPr>
        <w:pStyle w:val="TextBody"/>
        <w:spacing w:before="120" w:after="283"/>
        <w:jc w:val="left"/>
        <w:rPr/>
      </w:pPr>
      <w:r>
        <w:rPr/>
        <w:t>          </w:t>
      </w:r>
      <w:r>
        <w:rPr>
          <w:rFonts w:ascii="Times New Roman;Times;serif" w:hAnsi="Times New Roman;Times;serif"/>
          <w:sz w:val="17"/>
        </w:rPr>
        <w:t>(c) </w:t>
      </w:r>
      <w:r>
        <w:rPr>
          <w:rFonts w:ascii="Times New Roman;Times;serif" w:hAnsi="Times New Roman;Times;serif"/>
          <w:i/>
          <w:sz w:val="17"/>
        </w:rPr>
        <w:t xml:space="preserve">Underwriter Expenses. </w:t>
      </w:r>
      <w:r>
        <w:rPr>
          <w:rFonts w:ascii="Times New Roman;Times;serif" w:hAnsi="Times New Roman;Times;serif"/>
          <w:sz w:val="17"/>
        </w:rPr>
        <w:t xml:space="preserve">It is understood, however, that except as otherwise provided in this Section 10 or Section 6(i) hereof, the Underwriters will pay all of their own costs and expenses, including the fees of their counsel, transfer taxes on any resale of the Units by any Underwriter, any advertising expenses connected with any offers they may make and the transportation and other expenses incurred by the Underwriters on their own behalf in connection with presentations to prospective purchasers of the Units. </w:t>
      </w:r>
    </w:p>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11. </w:t>
      </w:r>
      <w:r>
        <w:rPr>
          <w:rFonts w:ascii="Times New Roman;Times;serif" w:hAnsi="Times New Roman;Times;serif"/>
          <w:sz w:val="17"/>
          <w:u w:val="single"/>
        </w:rPr>
        <w:t>Default by an Underwriter</w:t>
      </w:r>
      <w:r>
        <w:rPr>
          <w:rFonts w:ascii="Times New Roman;Times;serif" w:hAnsi="Times New Roman;Times;serif"/>
          <w:sz w:val="17"/>
        </w:rPr>
        <w:t xml:space="preserve">. If any one or more of the Underwriters shall fail or refuse to purchase Units that it or they are obligated to purchase hereunder on the Initial Delivery Date, and the aggregate number of Units that such defaulting Underwriter or Underwriters are obligated but fail or refuse to purchase is not more than one-tenth of the aggregate number of the Units that the Underwriters are obligated to purchase on the Initial Delivery Date, each non-defaulting Underwriter shall be obligated, severally, in the proportion that the number of Firm Units set forth opposite its name in </w:t>
      </w:r>
      <w:r>
        <w:rPr>
          <w:rFonts w:ascii="Times New Roman;Times;serif" w:hAnsi="Times New Roman;Times;serif"/>
          <w:sz w:val="17"/>
          <w:u w:val="single"/>
        </w:rPr>
        <w:t>Schedule I</w:t>
      </w:r>
      <w:r>
        <w:rPr>
          <w:rFonts w:ascii="Times New Roman;Times;serif" w:hAnsi="Times New Roman;Times;serif"/>
          <w:sz w:val="17"/>
        </w:rPr>
        <w:t xml:space="preserve"> hereto bears to the aggregate number of Firm Units set forth opposite the names of all non-defaulting Underwriters or in such other proportion as the Representatives may specify in accordance with the Agreement Among Underwriters of Citigroup Global Markets Inc. to purchase the Units that such defaulting Underwriter or Underwriters are obligated, but fail or refuse, to purchase. If any one or more of the Underwriters shall fail or refuse to purchase Units that it or they are obligated to purchase on the Initial Delivery Date and the aggregate number of Units with respect to which such default occurs is more than one-tenth of the aggregate number of Units that the Underwriters are obligated to purchase on the Initial Delivery Date and arrangements satisfactory to the Representatives, the Selling Unitholder and the Partnership for the purchase of such Units by one or more non-defaulting Underwriters or other party or parties approved by the Representatives, the Selling Unitholder and the Partnership are not made within five business days after such default, this Agreement will terminate without liability on the part of any party hereto (other than the defaulting Underwriter). In any such case that does not result in termination of this Agreement, any of the Representatives, the Selling Unitholder or the Partnership shall have the right to postpone the Initial Delivery Date, but in no event for longer than seven days, in order that the required changes, if any, in the Registration Statement and the Prospectus or any other documents or arrangements may be effected. If any one or more of the Underwriters shall fail or refuse to purchase Option Units that it or they are obligated to purchase hereunder on the Option Units Delivery Date, each non-defaulting Underwriter shall be obligated, severally, in the proportion that the number of Firm Units set forth opposite its name in </w:t>
      </w:r>
      <w:r>
        <w:rPr>
          <w:rFonts w:ascii="Times New Roman;Times;serif" w:hAnsi="Times New Roman;Times;serif"/>
          <w:sz w:val="17"/>
          <w:u w:val="single"/>
        </w:rPr>
        <w:t>Schedule I</w:t>
      </w:r>
      <w:r>
        <w:rPr>
          <w:rFonts w:ascii="Times New Roman;Times;serif" w:hAnsi="Times New Roman;Times;serif"/>
          <w:sz w:val="17"/>
        </w:rPr>
        <w:t xml:space="preserve"> hereto bears to the aggregate number of Firm Units set forth opposite the names of all non-defaulting Underwriters or in such other proportion as the Representatives may specify in accordance with the Agreement Among Underwriters of Citigroup Global Markets Inc., to purchase the Option Units that such defaulting Underwriter or Underwriters are obligated, but fail or refuse, to purchase. Any action taken under this paragraph shall not relieve any defaulting Underwriter from liability in respect of any such default of any such Underwriter under this Agreement. The term Underwriter as used in this Agreement includes, for all purposes of this Agreement, any party not listed in </w:t>
      </w:r>
      <w:r>
        <w:rPr>
          <w:rFonts w:ascii="Times New Roman;Times;serif" w:hAnsi="Times New Roman;Times;serif"/>
          <w:sz w:val="17"/>
          <w:u w:val="single"/>
        </w:rPr>
        <w:t>Schedule I</w:t>
      </w:r>
      <w:r>
        <w:rPr>
          <w:rFonts w:ascii="Times New Roman;Times;serif" w:hAnsi="Times New Roman;Times;serif"/>
          <w:sz w:val="17"/>
        </w:rPr>
        <w:t xml:space="preserve"> hereto who, with the Representatives approval and the approval of the Selling Unitholder and the Partnership, purchases Units that a defaulting Underwriter is obligated, but fails or refuses, to purchase. </w:t>
      </w:r>
    </w:p>
    <w:p>
      <w:pPr>
        <w:pStyle w:val="TextBody"/>
        <w:spacing w:before="120" w:after="283"/>
        <w:jc w:val="left"/>
        <w:rPr/>
      </w:pPr>
      <w:r>
        <w:rPr/>
        <w:t>          </w:t>
      </w:r>
      <w:r>
        <w:rPr>
          <w:rFonts w:ascii="Times New Roman;Times;serif" w:hAnsi="Times New Roman;Times;serif"/>
          <w:sz w:val="17"/>
        </w:rPr>
        <w:t xml:space="preserve">Any notice under this Section 11 may be given by telegram, telecopy or telephone but shall be subsequently confirmed by letter. </w:t>
      </w:r>
    </w:p>
    <w:p>
      <w:pPr>
        <w:pStyle w:val="TextBody"/>
        <w:spacing w:before="120" w:after="283"/>
        <w:jc w:val="left"/>
        <w:rPr/>
      </w:pPr>
      <w:r>
        <w:rPr/>
        <w:t>          </w:t>
      </w:r>
      <w:r>
        <w:rPr>
          <w:rFonts w:ascii="Times New Roman;Times;serif" w:hAnsi="Times New Roman;Times;serif"/>
          <w:sz w:val="17"/>
        </w:rPr>
        <w:t>12. </w:t>
      </w:r>
      <w:r>
        <w:rPr>
          <w:rFonts w:ascii="Times New Roman;Times;serif" w:hAnsi="Times New Roman;Times;serif"/>
          <w:sz w:val="17"/>
          <w:u w:val="single"/>
        </w:rPr>
        <w:t>Termination of Agreement</w:t>
      </w:r>
      <w:r>
        <w:rPr>
          <w:rFonts w:ascii="Times New Roman;Times;serif" w:hAnsi="Times New Roman;Times;serif"/>
          <w:sz w:val="17"/>
        </w:rPr>
        <w:t xml:space="preserve">. This Agreement shall be subject to termination in the Representatives absolute discretion, without liability on the part of any Underwriters to the Selling Unitholder or the Partnership, by notice to the Selling Unitholder and the Partnership, if prior to the Initial Delivery Date or any Option Units Delivery Date (if different from the Initial Delivery Date and then only as to the Option Units), as the case may be, (i) trading in the Common Units shall have been suspended by the Commission or the NYSE or </w:t>
      </w:r>
    </w:p>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Units as contemplated by the Prospectus (exclusive of any amendment or supplement thereto). Notice of such termination may be given to the Partnership by telegram, telecopy or telephone and shall be subsequently confirmed by letter. </w:t>
      </w:r>
    </w:p>
    <w:p>
      <w:pPr>
        <w:pStyle w:val="TextBody"/>
        <w:spacing w:before="120" w:after="283"/>
        <w:jc w:val="left"/>
        <w:rPr/>
      </w:pPr>
      <w:r>
        <w:rPr/>
        <w:t>          </w:t>
      </w:r>
      <w:r>
        <w:rPr>
          <w:rFonts w:ascii="Times New Roman;Times;serif" w:hAnsi="Times New Roman;Times;serif"/>
          <w:sz w:val="17"/>
        </w:rPr>
        <w:t>13. </w:t>
      </w:r>
      <w:r>
        <w:rPr>
          <w:rFonts w:ascii="Times New Roman;Times;serif" w:hAnsi="Times New Roman;Times;serif"/>
          <w:sz w:val="17"/>
          <w:u w:val="single"/>
        </w:rPr>
        <w:t>Notice; Successors</w:t>
      </w:r>
      <w:r>
        <w:rPr>
          <w:rFonts w:ascii="Times New Roman;Times;serif" w:hAnsi="Times New Roman;Times;serif"/>
          <w:sz w:val="17"/>
        </w:rPr>
        <w:t xml:space="preserve">. Except as otherwise provided in Sections 6, 11 and 12 hereof, all communications hereunder will be in writing and effective only on receipt, and, if sent to the Underwriters, will be mailed, delivered or telefaxed as follows: </w:t>
      </w:r>
    </w:p>
    <w:p>
      <w:pPr>
        <w:pStyle w:val="TextBody"/>
        <w:spacing w:before="120" w:after="283"/>
        <w:jc w:val="left"/>
        <w:rPr/>
      </w:pPr>
      <w:r>
        <w:rPr/>
        <w:t>          </w:t>
      </w:r>
      <w:r>
        <w:rPr>
          <w:rFonts w:ascii="Times New Roman;Times;serif" w:hAnsi="Times New Roman;Times;serif"/>
          <w:sz w:val="17"/>
        </w:rPr>
        <w:t xml:space="preserve">(a) if to the Representatives: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c/o Citigroup Global Markets Inc.</w:t>
        <w:br/>
        <w:t>388 Greenwich Street</w:t>
        <w:br/>
        <w:t>New York, New York 10013</w:t>
        <w:br/>
        <w:t xml:space="preserve">Attention: General Counsel </w:t>
      </w:r>
    </w:p>
    <w:p>
      <w:pPr>
        <w:pStyle w:val="TextBody"/>
        <w:spacing w:before="120" w:after="283"/>
        <w:jc w:val="left"/>
        <w:rPr/>
      </w:pPr>
      <w:r>
        <w:rPr/>
        <w:t>          </w:t>
      </w:r>
      <w:r>
        <w:rPr>
          <w:rFonts w:ascii="Times New Roman;Times;serif" w:hAnsi="Times New Roman;Times;serif"/>
          <w:sz w:val="17"/>
        </w:rPr>
        <w:t xml:space="preserve">(b) if to the Partnership: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 Suite 1600</w:t>
        <w:br/>
        <w:t>Houston, Texas 77002</w:t>
        <w:br/>
        <w:t>Attention: Tim Moore</w:t>
        <w:br/>
        <w:t xml:space="preserve">Fax: (713) 646-4313 </w:t>
      </w:r>
    </w:p>
    <w:p>
      <w:pPr>
        <w:pStyle w:val="TextBody"/>
        <w:spacing w:before="120" w:after="283"/>
        <w:jc w:val="left"/>
        <w:rPr/>
      </w:pPr>
      <w:r>
        <w:rPr/>
        <w:t>          </w:t>
      </w:r>
      <w:r>
        <w:rPr>
          <w:rFonts w:ascii="Times New Roman;Times;serif" w:hAnsi="Times New Roman;Times;serif"/>
          <w:sz w:val="17"/>
        </w:rPr>
        <w:t xml:space="preserve">(c) if to the Selling Unitholder: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Vulcan Energy Corporation</w:t>
        <w:br/>
        <w:t>505 5th Avenue S., Ninth Floor</w:t>
        <w:br/>
        <w:t>Seattle, WA 98104</w:t>
        <w:br/>
        <w:t>Attention: Geoff McKay</w:t>
        <w:br/>
        <w:t xml:space="preserve">Fax: (206) 342-3000. </w:t>
      </w:r>
    </w:p>
    <w:p>
      <w:pPr>
        <w:pStyle w:val="TextBody"/>
        <w:spacing w:before="120" w:after="283"/>
        <w:jc w:val="left"/>
        <w:rPr/>
      </w:pPr>
      <w:r>
        <w:rPr/>
        <w:t>          </w:t>
      </w:r>
      <w:r>
        <w:rPr>
          <w:rFonts w:ascii="Times New Roman;Times;serif" w:hAnsi="Times New Roman;Times;serif"/>
          <w:sz w:val="17"/>
        </w:rPr>
        <w:t xml:space="preserve">This Agreement has been and is made solely for the benefit of the several Underwriters and their directors, officers, employees, agents and other controlling persons referred to in Section 8 hereof, the Selling Unitholder, and the Partnership and its directors, officers, and the other controlling persons referred to in Section 8 hereof, and their respective successors and assigns, to the extent provided herein, and no other person shall acquire or have any right under or by virtue of this Agreement. Neither the term successor nor the term </w:t>
      </w:r>
    </w:p>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successors and assigns as used in this Agreement shall include a purchaser from any Underwriter of any of the Units in his status as such purchaser. </w:t>
      </w:r>
    </w:p>
    <w:p>
      <w:pPr>
        <w:pStyle w:val="TextBody"/>
        <w:spacing w:before="120" w:after="283"/>
        <w:jc w:val="left"/>
        <w:rPr/>
      </w:pPr>
      <w:r>
        <w:rPr/>
        <w:t>          </w:t>
      </w:r>
      <w:r>
        <w:rPr>
          <w:rFonts w:ascii="Times New Roman;Times;serif" w:hAnsi="Times New Roman;Times;serif"/>
          <w:sz w:val="17"/>
        </w:rPr>
        <w:t>14. </w:t>
      </w:r>
      <w:r>
        <w:rPr>
          <w:rFonts w:ascii="Times New Roman;Times;serif" w:hAnsi="Times New Roman;Times;serif"/>
          <w:sz w:val="17"/>
          <w:u w:val="single"/>
        </w:rPr>
        <w:t>Information Furnished by the Underwriters</w:t>
      </w:r>
      <w:r>
        <w:rPr>
          <w:rFonts w:ascii="Times New Roman;Times;serif" w:hAnsi="Times New Roman;Times;serif"/>
          <w:sz w:val="17"/>
        </w:rPr>
        <w:t xml:space="preserve">. The Partnership acknowledges that the following statements set forth in the most recent Preliminary Prospectus and the Prospectus constitute the only information furnished by or on behalf of the Underwriters through the Representatives as such information is referred to in Sections 1(c), 1(d), 1(f), 1(g), 6(o), 8(a) and 8(c) hereof: (A) the names of the Underwriters, (B) the table under the first paragraph under the heading Underwriting, (C) the third paragraph under the heading Underwriting and (D) the paragraphs under the heading UnderwritingPrice Stabilizations, Short Positions and Penalty Bids. </w:t>
      </w:r>
    </w:p>
    <w:p>
      <w:pPr>
        <w:pStyle w:val="TextBody"/>
        <w:spacing w:before="120" w:after="283"/>
        <w:jc w:val="left"/>
        <w:rPr/>
      </w:pPr>
      <w:r>
        <w:rPr/>
        <w:t>          </w:t>
      </w:r>
      <w:r>
        <w:rPr>
          <w:rFonts w:ascii="Times New Roman;Times;serif" w:hAnsi="Times New Roman;Times;serif"/>
          <w:sz w:val="17"/>
        </w:rPr>
        <w:t>15. </w:t>
      </w:r>
      <w:r>
        <w:rPr>
          <w:rFonts w:ascii="Times New Roman;Times;serif" w:hAnsi="Times New Roman;Times;serif"/>
          <w:sz w:val="17"/>
          <w:u w:val="single"/>
        </w:rPr>
        <w:t>Research Analyst Independence</w:t>
      </w:r>
      <w:r>
        <w:rPr>
          <w:rFonts w:ascii="Times New Roman;Times;serif" w:hAnsi="Times New Roman;Times;serif"/>
          <w:sz w:val="17"/>
        </w:rPr>
        <w:t xml:space="preserve">. The Selling Unitholder and the Partnership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Partnership and/or the offering that differ from the views of their respective investment banking divisions. The Selling Unitholder and the Partnership hereby waive and release, to the fullest extent permitted by law, any claims that the Selling Unitholder or the Partnership may have against the Underwriters with respect to any conflict of interest that may arise from the fact that the views expressed by their independent research analysts and research departments may be different from or inconsistent with the views or advice communicated to the Selling Unitholder or the Partnership by such Underwriters investment banking divisions. The Selling Unitholder and the Partnership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spacing w:before="120" w:after="283"/>
        <w:jc w:val="left"/>
        <w:rPr/>
      </w:pPr>
      <w:r>
        <w:rPr/>
        <w:t>          </w:t>
      </w:r>
      <w:r>
        <w:rPr>
          <w:rFonts w:ascii="Times New Roman;Times;serif" w:hAnsi="Times New Roman;Times;serif"/>
          <w:sz w:val="17"/>
        </w:rPr>
        <w:t>16. </w:t>
      </w:r>
      <w:r>
        <w:rPr>
          <w:rFonts w:ascii="Times New Roman;Times;serif" w:hAnsi="Times New Roman;Times;serif"/>
          <w:sz w:val="17"/>
          <w:u w:val="single"/>
        </w:rPr>
        <w:t>Integration</w:t>
      </w:r>
      <w:r>
        <w:rPr>
          <w:rFonts w:ascii="Times New Roman;Times;serif" w:hAnsi="Times New Roman;Times;serif"/>
          <w:sz w:val="17"/>
        </w:rPr>
        <w:t xml:space="preserve">. This Agreement supersedes all prior agreements and understandings (whether written or oral) between the Selling Unitholder, the Partnership and the Underwriters, or any of them, with respect to the subject matter hereof. </w:t>
      </w:r>
    </w:p>
    <w:p>
      <w:pPr>
        <w:pStyle w:val="TextBody"/>
        <w:spacing w:before="120" w:after="283"/>
        <w:jc w:val="left"/>
        <w:rPr/>
      </w:pPr>
      <w:r>
        <w:rPr/>
        <w:t>          </w:t>
      </w:r>
      <w:r>
        <w:rPr>
          <w:rFonts w:ascii="Times New Roman;Times;serif" w:hAnsi="Times New Roman;Times;serif"/>
          <w:sz w:val="17"/>
        </w:rPr>
        <w:t>17. </w:t>
      </w:r>
      <w:r>
        <w:rPr>
          <w:rFonts w:ascii="Times New Roman;Times;serif" w:hAnsi="Times New Roman;Times;serif"/>
          <w:sz w:val="17"/>
          <w:u w:val="single"/>
        </w:rPr>
        <w:t>Headings</w:t>
      </w:r>
      <w:r>
        <w:rPr>
          <w:rFonts w:ascii="Times New Roman;Times;serif" w:hAnsi="Times New Roman;Times;serif"/>
          <w:sz w:val="17"/>
        </w:rPr>
        <w:t xml:space="preserve">. The Section headings used herein are for convenience only and shall not affect the construction hereof. </w:t>
      </w:r>
    </w:p>
    <w:p>
      <w:pPr>
        <w:pStyle w:val="TextBody"/>
        <w:spacing w:before="120" w:after="283"/>
        <w:jc w:val="left"/>
        <w:rPr/>
      </w:pPr>
      <w:r>
        <w:rPr/>
        <w:t>          </w:t>
      </w:r>
      <w:r>
        <w:rPr>
          <w:rFonts w:ascii="Times New Roman;Times;serif" w:hAnsi="Times New Roman;Times;serif"/>
          <w:sz w:val="17"/>
        </w:rPr>
        <w:t>18. </w:t>
      </w:r>
      <w:r>
        <w:rPr>
          <w:rFonts w:ascii="Times New Roman;Times;serif" w:hAnsi="Times New Roman;Times;serif"/>
          <w:sz w:val="17"/>
          <w:u w:val="single"/>
        </w:rPr>
        <w:t>Effective Date of Agreement</w:t>
      </w:r>
      <w:r>
        <w:rPr>
          <w:rFonts w:ascii="Times New Roman;Times;serif" w:hAnsi="Times New Roman;Times;serif"/>
          <w:sz w:val="17"/>
        </w:rPr>
        <w:t xml:space="preserve">. This Agreement shall become effective upon the execution and delivery hereof by the parties hereto. </w:t>
      </w:r>
    </w:p>
    <w:p>
      <w:pPr>
        <w:pStyle w:val="TextBody"/>
        <w:spacing w:before="120" w:after="283"/>
        <w:jc w:val="left"/>
        <w:rPr/>
      </w:pPr>
      <w:r>
        <w:rPr/>
        <w:t>          </w:t>
      </w:r>
      <w:r>
        <w:rPr>
          <w:rFonts w:ascii="Times New Roman;Times;serif" w:hAnsi="Times New Roman;Times;serif"/>
          <w:sz w:val="17"/>
        </w:rPr>
        <w:t>19. </w:t>
      </w:r>
      <w:r>
        <w:rPr>
          <w:rFonts w:ascii="Times New Roman;Times;serif" w:hAnsi="Times New Roman;Times;serif"/>
          <w:sz w:val="17"/>
          <w:u w:val="single"/>
        </w:rPr>
        <w:t>No Fiduciary Duty</w:t>
      </w:r>
      <w:r>
        <w:rPr>
          <w:rFonts w:ascii="Times New Roman;Times;serif" w:hAnsi="Times New Roman;Times;serif"/>
          <w:sz w:val="17"/>
        </w:rPr>
        <w:t xml:space="preserve">. The Selling Unitholder and the Partnership acknowledge and agree that in connection with this offering and sale of the Units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Selling Unitholder, the Partnership and any other person, on the one hand, and the Underwriters, on the other hand, exists; (ii) the Underwriters are not acting as </w:t>
      </w:r>
    </w:p>
    <w:p>
      <w:pPr>
        <w:pStyle w:val="TextBody"/>
        <w:jc w:val="center"/>
        <w:rPr>
          <w:rFonts w:ascii="Times New Roman;Times;serif" w:hAnsi="Times New Roman;Times;serif"/>
          <w:sz w:val="17"/>
        </w:rPr>
      </w:pPr>
      <w:r>
        <w:rPr>
          <w:rFonts w:ascii="Times New Roman;Times;serif" w:hAnsi="Times New Roman;Times;serif"/>
          <w:sz w:val="17"/>
        </w:rPr>
        <w:t xml:space="preserve">40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advisors, expert or otherwise, to the Selling Unitholder or the Partnership, including, without limitation, with respect to the determination of the public offering price of the Units, and such relationship between the Selling Unitholder and the Partnership, on the one hand, and the Underwriters, on the other, is entirely and solely commercial, based on arms-length negotiations; (iii) any duties and obligations that the Underwriters may have to the Selling Unitholder and the Partnership shall be limited to those duties and obligations specifically stated herein; and (iv) the Underwriters and their respective affiliates may have interests that differ from those of the Selling Unitholder and the Partnership. The Selling Unitholder and the Partnership hereby waive any claims that they may have against the Underwriters with respect to any breach of fiduciary duty in connection with this offering. </w:t>
      </w:r>
    </w:p>
    <w:p>
      <w:pPr>
        <w:pStyle w:val="TextBody"/>
        <w:spacing w:before="120" w:after="283"/>
        <w:jc w:val="left"/>
        <w:rPr/>
      </w:pPr>
      <w:r>
        <w:rPr/>
        <w:t>          </w:t>
      </w:r>
      <w:r>
        <w:rPr>
          <w:rFonts w:ascii="Times New Roman;Times;serif" w:hAnsi="Times New Roman;Times;serif"/>
          <w:sz w:val="17"/>
        </w:rPr>
        <w:t>20. </w:t>
      </w:r>
      <w:r>
        <w:rPr>
          <w:rFonts w:ascii="Times New Roman;Times;serif" w:hAnsi="Times New Roman;Times;serif"/>
          <w:sz w:val="17"/>
          <w:u w:val="single"/>
        </w:rPr>
        <w:t>Applicable Law; Counterparts</w:t>
      </w:r>
      <w:r>
        <w:rPr>
          <w:rFonts w:ascii="Times New Roman;Times;serif" w:hAnsi="Times New Roman;Times;serif"/>
          <w:sz w:val="17"/>
        </w:rPr>
        <w:t xml:space="preserve">.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i/>
          <w:sz w:val="17"/>
        </w:rPr>
        <w:t>Signature Pages Follow</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Please confirm that the foregoing correctly sets forth the agreement among the Partnership, the Selling Unitholder and the Underwriters. </w:t>
      </w:r>
    </w:p>
    <w:tbl>
      <w:tblPr>
        <w:tblW w:w="5000" w:type="pct"/>
        <w:jc w:val="left"/>
        <w:tblInd w:w="0" w:type="dxa"/>
        <w:tblCellMar>
          <w:top w:w="0" w:type="dxa"/>
          <w:left w:w="0" w:type="dxa"/>
          <w:bottom w:w="0" w:type="dxa"/>
          <w:right w:w="0" w:type="dxa"/>
        </w:tblCellMar>
      </w:tblPr>
      <w:tblGrid>
        <w:gridCol w:w="3854"/>
        <w:gridCol w:w="1018"/>
        <w:gridCol w:w="1071"/>
        <w:gridCol w:w="3016"/>
        <w:gridCol w:w="1246"/>
      </w:tblGrid>
      <w:tr>
        <w:trPr/>
        <w:tc>
          <w:tcPr>
            <w:tcW w:w="3854"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rPr/>
            </w:pPr>
            <w:r>
              <w:rPr/>
              <w:t> </w:t>
            </w:r>
          </w:p>
        </w:tc>
        <w:tc>
          <w:tcPr>
            <w:tcW w:w="1071" w:type="dxa"/>
            <w:tcBorders/>
            <w:shd w:fill="auto" w:val="clear"/>
            <w:vAlign w:val="center"/>
          </w:tcPr>
          <w:p>
            <w:pPr>
              <w:pStyle w:val="TableContents"/>
              <w:spacing w:before="0" w:after="283"/>
              <w:rPr/>
            </w:pPr>
            <w:r>
              <w:rPr/>
              <w:t> </w:t>
            </w:r>
          </w:p>
        </w:tc>
        <w:tc>
          <w:tcPr>
            <w:tcW w:w="3016" w:type="dxa"/>
            <w:tcBorders/>
            <w:shd w:fill="auto" w:val="clear"/>
            <w:vAlign w:val="center"/>
          </w:tcPr>
          <w:p>
            <w:pPr>
              <w:pStyle w:val="TableContents"/>
              <w:spacing w:before="0" w:after="283"/>
              <w:rPr/>
            </w:pPr>
            <w:r>
              <w:rPr/>
              <w:t> </w:t>
            </w:r>
          </w:p>
        </w:tc>
        <w:tc>
          <w:tcPr>
            <w:tcW w:w="1246" w:type="dxa"/>
            <w:tcBorders/>
            <w:shd w:fill="auto" w:val="clear"/>
            <w:vAlign w:val="center"/>
          </w:tcPr>
          <w:p>
            <w:pPr>
              <w:pStyle w:val="TableContents"/>
              <w:spacing w:before="0" w:after="283"/>
              <w:rPr/>
            </w:pPr>
            <w:r>
              <w:rPr/>
              <w:t> </w:t>
            </w:r>
          </w:p>
        </w:tc>
      </w:tr>
      <w:tr>
        <w:trPr/>
        <w:tc>
          <w:tcPr>
            <w:tcW w:w="3854" w:type="dxa"/>
            <w:tcBorders/>
            <w:shd w:fill="auto" w:val="clear"/>
          </w:tcPr>
          <w:p>
            <w:pPr>
              <w:pStyle w:val="TableContents"/>
              <w:spacing w:before="0" w:after="283"/>
              <w:jc w:val="left"/>
              <w:rPr/>
            </w:pPr>
            <w:r>
              <w:rPr/>
              <w:t> </w:t>
            </w:r>
          </w:p>
        </w:tc>
        <w:tc>
          <w:tcPr>
            <w:tcW w:w="5105" w:type="dxa"/>
            <w:gridSpan w:val="3"/>
            <w:tcBorders/>
            <w:shd w:fill="auto" w:val="clear"/>
            <w:vAlign w:val="center"/>
          </w:tcPr>
          <w:p>
            <w:pPr>
              <w:pStyle w:val="TableContents"/>
              <w:spacing w:before="0" w:after="283"/>
              <w:jc w:val="left"/>
              <w:rPr/>
            </w:pPr>
            <w:r>
              <w:rPr/>
              <w:t>Very truly yours,</w:t>
              <w:br/>
              <w:br/>
            </w:r>
            <w:r>
              <w:rPr>
                <w:b/>
              </w:rPr>
              <w:t>PLAINS ALL AMERICAN PIPELINE, L.P.</w:t>
            </w:r>
            <w:r>
              <w:rPr/>
              <w:br/>
              <w:t> </w:t>
            </w:r>
          </w:p>
        </w:tc>
        <w:tc>
          <w:tcPr>
            <w:tcW w:w="1246" w:type="dxa"/>
            <w:tcBorders/>
            <w:shd w:fill="auto" w:val="clear"/>
            <w:vAlign w:val="center"/>
          </w:tcPr>
          <w:p>
            <w:pPr>
              <w:pStyle w:val="TableContents"/>
              <w:spacing w:before="0" w:after="283"/>
              <w:rPr/>
            </w:pPr>
            <w:r>
              <w:rPr/>
              <w:t> </w:t>
            </w:r>
          </w:p>
        </w:tc>
      </w:tr>
      <w:tr>
        <w:trPr/>
        <w:tc>
          <w:tcPr>
            <w:tcW w:w="3854" w:type="dxa"/>
            <w:tcBorders/>
            <w:shd w:fill="auto" w:val="clear"/>
            <w:vAlign w:val="center"/>
          </w:tcPr>
          <w:p>
            <w:pPr>
              <w:pStyle w:val="TableContents"/>
              <w:spacing w:before="0" w:after="283"/>
              <w:jc w:val="left"/>
              <w:rPr/>
            </w:pPr>
            <w:r>
              <w:rPr/>
              <w:t> </w:t>
            </w:r>
          </w:p>
        </w:tc>
        <w:tc>
          <w:tcPr>
            <w:tcW w:w="1018" w:type="dxa"/>
            <w:tcBorders/>
            <w:shd w:fill="auto" w:val="clear"/>
          </w:tcPr>
          <w:p>
            <w:pPr>
              <w:pStyle w:val="TableContents"/>
              <w:spacing w:before="0" w:after="283"/>
              <w:rPr/>
            </w:pPr>
            <w:r>
              <w:rPr/>
              <w:t>By:  </w:t>
            </w:r>
          </w:p>
        </w:tc>
        <w:tc>
          <w:tcPr>
            <w:tcW w:w="4087" w:type="dxa"/>
            <w:gridSpan w:val="2"/>
            <w:tcBorders>
              <w:bottom w:val="single" w:sz="2" w:space="0" w:color="000000"/>
            </w:tcBorders>
            <w:shd w:fill="auto" w:val="clear"/>
            <w:tcMar>
              <w:bottom w:w="28" w:type="dxa"/>
            </w:tcMar>
            <w:vAlign w:val="center"/>
          </w:tcPr>
          <w:p>
            <w:pPr>
              <w:pStyle w:val="TableContents"/>
              <w:spacing w:before="0" w:after="283"/>
              <w:jc w:val="left"/>
              <w:rPr/>
            </w:pPr>
            <w:r>
              <w:rPr/>
              <w:t>PAA GP LLC,  </w:t>
            </w:r>
          </w:p>
        </w:tc>
        <w:tc>
          <w:tcPr>
            <w:tcW w:w="1246" w:type="dxa"/>
            <w:tcBorders/>
            <w:shd w:fill="auto" w:val="clear"/>
            <w:vAlign w:val="center"/>
          </w:tcPr>
          <w:p>
            <w:pPr>
              <w:pStyle w:val="TableContents"/>
              <w:spacing w:before="0" w:after="283"/>
              <w:rPr/>
            </w:pPr>
            <w:r>
              <w:rPr/>
              <w:t> </w:t>
            </w:r>
          </w:p>
        </w:tc>
      </w:tr>
      <w:tr>
        <w:trPr/>
        <w:tc>
          <w:tcPr>
            <w:tcW w:w="3854" w:type="dxa"/>
            <w:tcBorders/>
            <w:shd w:fill="auto" w:val="clear"/>
            <w:vAlign w:val="center"/>
          </w:tcPr>
          <w:p>
            <w:pPr>
              <w:pStyle w:val="TableContents"/>
              <w:spacing w:before="0" w:after="283"/>
              <w:jc w:val="left"/>
              <w:rPr/>
            </w:pPr>
            <w:r>
              <w:rPr/>
              <w:t> </w:t>
            </w:r>
          </w:p>
        </w:tc>
        <w:tc>
          <w:tcPr>
            <w:tcW w:w="1018"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its General Partner </w:t>
            </w:r>
          </w:p>
        </w:tc>
        <w:tc>
          <w:tcPr>
            <w:tcW w:w="1246" w:type="dxa"/>
            <w:tcBorders/>
            <w:shd w:fill="auto" w:val="clear"/>
            <w:vAlign w:val="center"/>
          </w:tcPr>
          <w:p>
            <w:pPr>
              <w:pStyle w:val="TableContents"/>
              <w:spacing w:before="0" w:after="283"/>
              <w:rPr/>
            </w:pPr>
            <w:r>
              <w:rPr/>
              <w:t> </w:t>
            </w:r>
          </w:p>
        </w:tc>
      </w:tr>
      <w:tr>
        <w:trPr/>
        <w:tc>
          <w:tcPr>
            <w:tcW w:w="3854" w:type="dxa"/>
            <w:tcBorders/>
            <w:shd w:fill="auto" w:val="clear"/>
          </w:tcPr>
          <w:p>
            <w:pPr>
              <w:pStyle w:val="TableContents"/>
              <w:spacing w:before="0" w:after="283"/>
              <w:jc w:val="left"/>
              <w:rPr/>
            </w:pPr>
            <w:r>
              <w:rPr/>
              <w:t> </w:t>
            </w:r>
          </w:p>
        </w:tc>
        <w:tc>
          <w:tcPr>
            <w:tcW w:w="5105"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4" w:type="dxa"/>
            <w:tcBorders/>
            <w:shd w:fill="auto" w:val="clear"/>
            <w:vAlign w:val="center"/>
          </w:tcPr>
          <w:p>
            <w:pPr>
              <w:pStyle w:val="TableContents"/>
              <w:spacing w:before="0" w:after="283"/>
              <w:jc w:val="left"/>
              <w:rPr/>
            </w:pPr>
            <w:r>
              <w:rPr/>
              <w:t> </w:t>
            </w:r>
          </w:p>
        </w:tc>
        <w:tc>
          <w:tcPr>
            <w:tcW w:w="1018" w:type="dxa"/>
            <w:tcBorders/>
            <w:shd w:fill="auto" w:val="clear"/>
          </w:tcPr>
          <w:p>
            <w:pPr>
              <w:pStyle w:val="TableContents"/>
              <w:spacing w:before="0" w:after="283"/>
              <w:rPr/>
            </w:pPr>
            <w:r>
              <w:rPr/>
              <w:t>By:  </w:t>
            </w:r>
          </w:p>
        </w:tc>
        <w:tc>
          <w:tcPr>
            <w:tcW w:w="4087" w:type="dxa"/>
            <w:gridSpan w:val="2"/>
            <w:tcBorders>
              <w:bottom w:val="single" w:sz="2" w:space="0" w:color="000000"/>
            </w:tcBorders>
            <w:shd w:fill="auto" w:val="clear"/>
            <w:tcMar>
              <w:bottom w:w="28" w:type="dxa"/>
            </w:tcMar>
            <w:vAlign w:val="center"/>
          </w:tcPr>
          <w:p>
            <w:pPr>
              <w:pStyle w:val="TableContents"/>
              <w:spacing w:before="0" w:after="283"/>
              <w:jc w:val="left"/>
              <w:rPr/>
            </w:pPr>
            <w:r>
              <w:rPr/>
              <w:t>PLAINS AAP, L.P.,  </w:t>
            </w:r>
          </w:p>
        </w:tc>
        <w:tc>
          <w:tcPr>
            <w:tcW w:w="1246" w:type="dxa"/>
            <w:tcBorders/>
            <w:shd w:fill="auto" w:val="clear"/>
            <w:vAlign w:val="center"/>
          </w:tcPr>
          <w:p>
            <w:pPr>
              <w:pStyle w:val="TableContents"/>
              <w:spacing w:before="0" w:after="283"/>
              <w:rPr/>
            </w:pPr>
            <w:r>
              <w:rPr/>
              <w:t> </w:t>
            </w:r>
          </w:p>
        </w:tc>
      </w:tr>
      <w:tr>
        <w:trPr/>
        <w:tc>
          <w:tcPr>
            <w:tcW w:w="3854" w:type="dxa"/>
            <w:tcBorders/>
            <w:shd w:fill="auto" w:val="clear"/>
            <w:vAlign w:val="center"/>
          </w:tcPr>
          <w:p>
            <w:pPr>
              <w:pStyle w:val="TableContents"/>
              <w:spacing w:before="0" w:after="283"/>
              <w:jc w:val="left"/>
              <w:rPr/>
            </w:pPr>
            <w:r>
              <w:rPr/>
              <w:t> </w:t>
            </w:r>
          </w:p>
        </w:tc>
        <w:tc>
          <w:tcPr>
            <w:tcW w:w="1018"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its Sole Member </w:t>
            </w:r>
          </w:p>
        </w:tc>
        <w:tc>
          <w:tcPr>
            <w:tcW w:w="1246" w:type="dxa"/>
            <w:tcBorders/>
            <w:shd w:fill="auto" w:val="clear"/>
            <w:vAlign w:val="center"/>
          </w:tcPr>
          <w:p>
            <w:pPr>
              <w:pStyle w:val="TableContents"/>
              <w:spacing w:before="0" w:after="283"/>
              <w:rPr/>
            </w:pPr>
            <w:r>
              <w:rPr/>
              <w:t> </w:t>
            </w:r>
          </w:p>
        </w:tc>
      </w:tr>
      <w:tr>
        <w:trPr/>
        <w:tc>
          <w:tcPr>
            <w:tcW w:w="3854" w:type="dxa"/>
            <w:tcBorders/>
            <w:shd w:fill="auto" w:val="clear"/>
          </w:tcPr>
          <w:p>
            <w:pPr>
              <w:pStyle w:val="TableContents"/>
              <w:spacing w:before="0" w:after="283"/>
              <w:jc w:val="left"/>
              <w:rPr/>
            </w:pPr>
            <w:r>
              <w:rPr/>
              <w:t> </w:t>
            </w:r>
          </w:p>
        </w:tc>
        <w:tc>
          <w:tcPr>
            <w:tcW w:w="5105" w:type="dxa"/>
            <w:gridSpan w:val="3"/>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r>
        <w:trPr/>
        <w:tc>
          <w:tcPr>
            <w:tcW w:w="3854" w:type="dxa"/>
            <w:tcBorders/>
            <w:shd w:fill="auto" w:val="clear"/>
            <w:vAlign w:val="center"/>
          </w:tcPr>
          <w:p>
            <w:pPr>
              <w:pStyle w:val="TableContents"/>
              <w:spacing w:before="0" w:after="283"/>
              <w:jc w:val="left"/>
              <w:rPr/>
            </w:pPr>
            <w:r>
              <w:rPr/>
              <w:t> </w:t>
            </w:r>
          </w:p>
        </w:tc>
        <w:tc>
          <w:tcPr>
            <w:tcW w:w="1018" w:type="dxa"/>
            <w:tcBorders/>
            <w:shd w:fill="auto" w:val="clear"/>
          </w:tcPr>
          <w:p>
            <w:pPr>
              <w:pStyle w:val="TableContents"/>
              <w:spacing w:before="0" w:after="283"/>
              <w:rPr/>
            </w:pPr>
            <w:r>
              <w:rPr/>
              <w:t>By:  </w:t>
            </w:r>
          </w:p>
        </w:tc>
        <w:tc>
          <w:tcPr>
            <w:tcW w:w="4087" w:type="dxa"/>
            <w:gridSpan w:val="2"/>
            <w:tcBorders>
              <w:bottom w:val="single" w:sz="2" w:space="0" w:color="000000"/>
            </w:tcBorders>
            <w:shd w:fill="auto" w:val="clear"/>
            <w:tcMar>
              <w:bottom w:w="28" w:type="dxa"/>
            </w:tcMar>
            <w:vAlign w:val="center"/>
          </w:tcPr>
          <w:p>
            <w:pPr>
              <w:pStyle w:val="TableContents"/>
              <w:spacing w:before="0" w:after="283"/>
              <w:jc w:val="left"/>
              <w:rPr/>
            </w:pPr>
            <w:r>
              <w:rPr/>
              <w:t>PLAINS ALL AMERICAN GP LLC,  </w:t>
            </w:r>
          </w:p>
        </w:tc>
        <w:tc>
          <w:tcPr>
            <w:tcW w:w="1246" w:type="dxa"/>
            <w:tcBorders/>
            <w:shd w:fill="auto" w:val="clear"/>
            <w:vAlign w:val="center"/>
          </w:tcPr>
          <w:p>
            <w:pPr>
              <w:pStyle w:val="TableContents"/>
              <w:spacing w:before="0" w:after="283"/>
              <w:rPr/>
            </w:pPr>
            <w:r>
              <w:rPr/>
              <w:t> </w:t>
            </w:r>
          </w:p>
        </w:tc>
      </w:tr>
      <w:tr>
        <w:trPr/>
        <w:tc>
          <w:tcPr>
            <w:tcW w:w="3854" w:type="dxa"/>
            <w:tcBorders/>
            <w:shd w:fill="auto" w:val="clear"/>
            <w:vAlign w:val="center"/>
          </w:tcPr>
          <w:p>
            <w:pPr>
              <w:pStyle w:val="TableContents"/>
              <w:spacing w:before="0" w:after="283"/>
              <w:jc w:val="left"/>
              <w:rPr/>
            </w:pPr>
            <w:r>
              <w:rPr/>
              <w:t> </w:t>
            </w:r>
          </w:p>
        </w:tc>
        <w:tc>
          <w:tcPr>
            <w:tcW w:w="1018"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its General Partner </w:t>
            </w:r>
          </w:p>
        </w:tc>
        <w:tc>
          <w:tcPr>
            <w:tcW w:w="1246" w:type="dxa"/>
            <w:tcBorders/>
            <w:shd w:fill="auto" w:val="clear"/>
            <w:vAlign w:val="center"/>
          </w:tcPr>
          <w:p>
            <w:pPr>
              <w:pStyle w:val="TableContents"/>
              <w:spacing w:before="0" w:after="283"/>
              <w:rPr/>
            </w:pPr>
            <w:r>
              <w:rPr/>
              <w:t> </w:t>
            </w:r>
          </w:p>
        </w:tc>
      </w:tr>
      <w:tr>
        <w:trPr/>
        <w:tc>
          <w:tcPr>
            <w:tcW w:w="3854" w:type="dxa"/>
            <w:tcBorders/>
            <w:shd w:fill="auto" w:val="clear"/>
            <w:vAlign w:val="center"/>
          </w:tcPr>
          <w:p>
            <w:pPr>
              <w:pStyle w:val="TableContents"/>
              <w:spacing w:before="0" w:after="283"/>
              <w:jc w:val="left"/>
              <w:rPr/>
            </w:pPr>
            <w:r>
              <w:rPr/>
              <w:t> </w:t>
            </w:r>
          </w:p>
        </w:tc>
        <w:tc>
          <w:tcPr>
            <w:tcW w:w="1018" w:type="dxa"/>
            <w:tcBorders/>
            <w:shd w:fill="auto" w:val="clear"/>
            <w:vAlign w:val="center"/>
          </w:tcPr>
          <w:p>
            <w:pPr>
              <w:pStyle w:val="TableContents"/>
              <w:spacing w:before="0" w:after="283"/>
              <w:rPr/>
            </w:pPr>
            <w:r>
              <w:rPr/>
              <w:t> </w:t>
            </w:r>
          </w:p>
        </w:tc>
        <w:tc>
          <w:tcPr>
            <w:tcW w:w="4087" w:type="dxa"/>
            <w:gridSpan w:val="2"/>
            <w:tcBorders/>
            <w:shd w:fill="auto" w:val="clear"/>
            <w:vAlign w:val="center"/>
          </w:tcPr>
          <w:p>
            <w:pPr>
              <w:pStyle w:val="TableContents"/>
              <w:spacing w:before="0" w:after="283"/>
              <w:jc w:val="left"/>
              <w:rPr/>
            </w:pPr>
            <w:r>
              <w:rPr/>
              <w:t> </w:t>
            </w:r>
          </w:p>
        </w:tc>
        <w:tc>
          <w:tcPr>
            <w:tcW w:w="1246"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638"/>
        <w:gridCol w:w="350"/>
        <w:gridCol w:w="598"/>
        <w:gridCol w:w="3799"/>
        <w:gridCol w:w="820"/>
      </w:tblGrid>
      <w:tr>
        <w:trPr/>
        <w:tc>
          <w:tcPr>
            <w:tcW w:w="463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rPr/>
            </w:pPr>
            <w:r>
              <w:rPr/>
              <w:t> </w:t>
            </w:r>
          </w:p>
        </w:tc>
      </w:tr>
      <w:tr>
        <w:trPr/>
        <w:tc>
          <w:tcPr>
            <w:tcW w:w="463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A. Patrick Diamond  </w:t>
            </w:r>
          </w:p>
        </w:tc>
        <w:tc>
          <w:tcPr>
            <w:tcW w:w="820" w:type="dxa"/>
            <w:tcBorders/>
            <w:shd w:fill="auto" w:val="clear"/>
            <w:vAlign w:val="center"/>
          </w:tcPr>
          <w:p>
            <w:pPr>
              <w:pStyle w:val="TableContents"/>
              <w:spacing w:before="0" w:after="283"/>
              <w:rPr/>
            </w:pPr>
            <w:r>
              <w:rPr/>
              <w:t> </w:t>
            </w:r>
          </w:p>
        </w:tc>
      </w:tr>
      <w:tr>
        <w:trPr/>
        <w:tc>
          <w:tcPr>
            <w:tcW w:w="463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 xml:space="preserve">A. Patrick Diamond </w:t>
            </w:r>
          </w:p>
        </w:tc>
        <w:tc>
          <w:tcPr>
            <w:tcW w:w="820" w:type="dxa"/>
            <w:tcBorders/>
            <w:shd w:fill="auto" w:val="clear"/>
            <w:vAlign w:val="center"/>
          </w:tcPr>
          <w:p>
            <w:pPr>
              <w:pStyle w:val="TableContents"/>
              <w:spacing w:before="0" w:after="283"/>
              <w:rPr/>
            </w:pPr>
            <w:r>
              <w:rPr/>
              <w:t> </w:t>
            </w:r>
          </w:p>
        </w:tc>
      </w:tr>
      <w:tr>
        <w:trPr/>
        <w:tc>
          <w:tcPr>
            <w:tcW w:w="463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jc w:val="left"/>
              <w:rPr/>
            </w:pPr>
            <w:r>
              <w:rPr/>
              <w:t>Title: </w:t>
            </w:r>
          </w:p>
        </w:tc>
        <w:tc>
          <w:tcPr>
            <w:tcW w:w="3799" w:type="dxa"/>
            <w:tcBorders/>
            <w:shd w:fill="auto" w:val="clear"/>
            <w:vAlign w:val="center"/>
          </w:tcPr>
          <w:p>
            <w:pPr>
              <w:pStyle w:val="TableContents"/>
              <w:spacing w:before="0" w:after="283"/>
              <w:rPr/>
            </w:pPr>
            <w:r>
              <w:rPr/>
              <w:t>Vice President </w:t>
            </w:r>
          </w:p>
        </w:tc>
        <w:tc>
          <w:tcPr>
            <w:tcW w:w="82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981"/>
        <w:gridCol w:w="374"/>
        <w:gridCol w:w="1643"/>
        <w:gridCol w:w="2919"/>
        <w:gridCol w:w="1288"/>
      </w:tblGrid>
      <w:tr>
        <w:trPr/>
        <w:tc>
          <w:tcPr>
            <w:tcW w:w="3981"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1643" w:type="dxa"/>
            <w:tcBorders/>
            <w:shd w:fill="auto" w:val="clear"/>
            <w:vAlign w:val="center"/>
          </w:tcPr>
          <w:p>
            <w:pPr>
              <w:pStyle w:val="TableContents"/>
              <w:spacing w:before="0" w:after="283"/>
              <w:rPr/>
            </w:pPr>
            <w:r>
              <w:rPr/>
              <w:t> </w:t>
            </w:r>
          </w:p>
        </w:tc>
        <w:tc>
          <w:tcPr>
            <w:tcW w:w="2919" w:type="dxa"/>
            <w:tcBorders/>
            <w:shd w:fill="auto" w:val="clear"/>
            <w:vAlign w:val="center"/>
          </w:tcPr>
          <w:p>
            <w:pPr>
              <w:pStyle w:val="TableContents"/>
              <w:spacing w:before="0" w:after="283"/>
              <w:rPr/>
            </w:pPr>
            <w:r>
              <w:rPr/>
              <w:t> </w:t>
            </w:r>
          </w:p>
        </w:tc>
        <w:tc>
          <w:tcPr>
            <w:tcW w:w="1288" w:type="dxa"/>
            <w:tcBorders/>
            <w:shd w:fill="auto" w:val="clear"/>
            <w:vAlign w:val="center"/>
          </w:tcPr>
          <w:p>
            <w:pPr>
              <w:pStyle w:val="TableContents"/>
              <w:spacing w:before="0" w:after="283"/>
              <w:rPr/>
            </w:pPr>
            <w:r>
              <w:rPr/>
              <w:t> </w:t>
            </w:r>
          </w:p>
        </w:tc>
      </w:tr>
      <w:tr>
        <w:trPr/>
        <w:tc>
          <w:tcPr>
            <w:tcW w:w="3981" w:type="dxa"/>
            <w:tcBorders/>
            <w:shd w:fill="auto" w:val="clear"/>
          </w:tcPr>
          <w:p>
            <w:pPr>
              <w:pStyle w:val="TableContents"/>
              <w:spacing w:before="0" w:after="283"/>
              <w:jc w:val="left"/>
              <w:rPr/>
            </w:pPr>
            <w:r>
              <w:rPr/>
              <w:t> </w:t>
            </w:r>
          </w:p>
        </w:tc>
        <w:tc>
          <w:tcPr>
            <w:tcW w:w="4936" w:type="dxa"/>
            <w:gridSpan w:val="3"/>
            <w:tcBorders/>
            <w:shd w:fill="auto" w:val="clear"/>
            <w:vAlign w:val="center"/>
          </w:tcPr>
          <w:p>
            <w:pPr>
              <w:pStyle w:val="TableContents"/>
              <w:spacing w:before="0" w:after="283"/>
              <w:jc w:val="left"/>
              <w:rPr/>
            </w:pPr>
            <w:r>
              <w:rPr>
                <w:b/>
              </w:rPr>
              <w:t>VULCAN ENERGY CORPORATION</w:t>
            </w:r>
            <w:r>
              <w:rPr/>
              <w:br/>
              <w:t> </w:t>
            </w:r>
          </w:p>
        </w:tc>
        <w:tc>
          <w:tcPr>
            <w:tcW w:w="1288"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374" w:type="dxa"/>
            <w:tcBorders/>
            <w:shd w:fill="auto" w:val="clear"/>
          </w:tcPr>
          <w:p>
            <w:pPr>
              <w:pStyle w:val="TableContents"/>
              <w:spacing w:before="0" w:after="283"/>
              <w:rPr/>
            </w:pPr>
            <w:r>
              <w:rPr/>
              <w:t>By:  </w:t>
            </w:r>
          </w:p>
        </w:tc>
        <w:tc>
          <w:tcPr>
            <w:tcW w:w="4562" w:type="dxa"/>
            <w:gridSpan w:val="2"/>
            <w:tcBorders>
              <w:bottom w:val="single" w:sz="2" w:space="0" w:color="000000"/>
            </w:tcBorders>
            <w:shd w:fill="auto" w:val="clear"/>
            <w:tcMar>
              <w:bottom w:w="28" w:type="dxa"/>
            </w:tcMar>
            <w:vAlign w:val="center"/>
          </w:tcPr>
          <w:p>
            <w:pPr>
              <w:pStyle w:val="TableContents"/>
              <w:spacing w:before="0" w:after="283"/>
              <w:jc w:val="left"/>
              <w:rPr/>
            </w:pPr>
            <w:r>
              <w:rPr/>
              <w:t>/s/ Paul Ghaffar</w:t>
            </w:r>
          </w:p>
        </w:tc>
        <w:tc>
          <w:tcPr>
            <w:tcW w:w="1288" w:type="dxa"/>
            <w:tcBorders/>
            <w:shd w:fill="auto" w:val="clear"/>
            <w:vAlign w:val="center"/>
          </w:tcPr>
          <w:p>
            <w:pPr>
              <w:pStyle w:val="TableContents"/>
              <w:spacing w:before="0" w:after="283"/>
              <w:rPr/>
            </w:pPr>
            <w:r>
              <w:rPr/>
              <w:t> </w:t>
            </w:r>
          </w:p>
        </w:tc>
      </w:tr>
      <w:tr>
        <w:trPr/>
        <w:tc>
          <w:tcPr>
            <w:tcW w:w="3981" w:type="dxa"/>
            <w:tcBorders/>
            <w:shd w:fill="auto" w:val="clear"/>
            <w:vAlign w:val="center"/>
          </w:tcPr>
          <w:p>
            <w:pPr>
              <w:pStyle w:val="TableContents"/>
              <w:spacing w:before="0" w:after="283"/>
              <w:jc w:val="left"/>
              <w:rPr/>
            </w:pPr>
            <w:r>
              <w:rPr/>
              <w:t> </w:t>
            </w:r>
          </w:p>
        </w:tc>
        <w:tc>
          <w:tcPr>
            <w:tcW w:w="374" w:type="dxa"/>
            <w:tcBorders/>
            <w:shd w:fill="auto" w:val="clear"/>
            <w:vAlign w:val="center"/>
          </w:tcPr>
          <w:p>
            <w:pPr>
              <w:pStyle w:val="TableContents"/>
              <w:spacing w:before="0" w:after="283"/>
              <w:rPr/>
            </w:pPr>
            <w:r>
              <w:rPr/>
              <w:t> </w:t>
            </w:r>
          </w:p>
        </w:tc>
        <w:tc>
          <w:tcPr>
            <w:tcW w:w="5850" w:type="dxa"/>
            <w:gridSpan w:val="3"/>
            <w:tcBorders/>
            <w:shd w:fill="auto" w:val="clear"/>
          </w:tcPr>
          <w:p>
            <w:pPr>
              <w:pStyle w:val="TableContents"/>
              <w:spacing w:before="0" w:after="283"/>
              <w:rPr/>
            </w:pPr>
            <w:r>
              <w:rPr/>
              <w:t>Name:  Paul Ghaffar</w:t>
            </w:r>
          </w:p>
        </w:tc>
      </w:tr>
      <w:tr>
        <w:trPr/>
        <w:tc>
          <w:tcPr>
            <w:tcW w:w="3981" w:type="dxa"/>
            <w:tcBorders/>
            <w:shd w:fill="auto" w:val="clear"/>
            <w:vAlign w:val="center"/>
          </w:tcPr>
          <w:p>
            <w:pPr>
              <w:pStyle w:val="TableContents"/>
              <w:spacing w:before="0" w:after="283"/>
              <w:jc w:val="left"/>
              <w:rPr/>
            </w:pPr>
            <w:r>
              <w:rPr/>
              <w:t> </w:t>
            </w:r>
          </w:p>
        </w:tc>
        <w:tc>
          <w:tcPr>
            <w:tcW w:w="374" w:type="dxa"/>
            <w:tcBorders/>
            <w:shd w:fill="auto" w:val="clear"/>
            <w:vAlign w:val="center"/>
          </w:tcPr>
          <w:p>
            <w:pPr>
              <w:pStyle w:val="TableContents"/>
              <w:spacing w:before="0" w:after="283"/>
              <w:rPr/>
            </w:pPr>
            <w:r>
              <w:rPr/>
              <w:t> </w:t>
            </w:r>
          </w:p>
        </w:tc>
        <w:tc>
          <w:tcPr>
            <w:tcW w:w="1643" w:type="dxa"/>
            <w:tcBorders/>
            <w:shd w:fill="auto" w:val="clear"/>
          </w:tcPr>
          <w:p>
            <w:pPr>
              <w:pStyle w:val="TableContents"/>
              <w:spacing w:before="0" w:after="283"/>
              <w:rPr/>
            </w:pPr>
            <w:r>
              <w:rPr/>
              <w:t>Title:    President</w:t>
            </w:r>
          </w:p>
        </w:tc>
        <w:tc>
          <w:tcPr>
            <w:tcW w:w="2919" w:type="dxa"/>
            <w:tcBorders/>
            <w:shd w:fill="auto" w:val="clear"/>
            <w:vAlign w:val="center"/>
          </w:tcPr>
          <w:p>
            <w:pPr>
              <w:pStyle w:val="TableContents"/>
              <w:spacing w:before="0" w:after="283"/>
              <w:jc w:val="left"/>
              <w:rPr/>
            </w:pPr>
            <w:r>
              <w:rPr/>
              <w:t> </w:t>
            </w:r>
          </w:p>
        </w:tc>
        <w:tc>
          <w:tcPr>
            <w:tcW w:w="128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center"/>
        <w:rPr>
          <w:rFonts w:ascii="Times New Roman;Times;serif" w:hAnsi="Times New Roman;Times;serif"/>
          <w:sz w:val="17"/>
        </w:rPr>
      </w:pPr>
      <w:r>
        <w:rPr>
          <w:rFonts w:ascii="Times New Roman;Times;serif" w:hAnsi="Times New Roman;Times;serif"/>
          <w:i/>
          <w:sz w:val="17"/>
        </w:rPr>
        <w:t>Signature Page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foregoing Agreement is hereby confirmed and accepted as of the date first above written. </w:t>
      </w:r>
    </w:p>
    <w:p>
      <w:pPr>
        <w:pStyle w:val="TextBody"/>
        <w:spacing w:before="120" w:after="283"/>
        <w:jc w:val="left"/>
        <w:rPr>
          <w:rFonts w:ascii="Times New Roman;Times;serif" w:hAnsi="Times New Roman;Times;serif"/>
          <w:sz w:val="17"/>
        </w:rPr>
      </w:pPr>
      <w:r>
        <w:rPr>
          <w:rFonts w:ascii="Times New Roman;Times;serif" w:hAnsi="Times New Roman;Times;serif"/>
          <w:sz w:val="17"/>
        </w:rPr>
        <w:t>Citigroup Global Markets Inc.</w:t>
        <w:br/>
        <w:t>Barclays Capital Inc.</w:t>
        <w:br/>
        <w:t>Merrill Lynch, Pierce, Fenner &amp; Smith</w:t>
        <w:br/>
        <w:t>                     Incorporated</w:t>
        <w:br/>
        <w:t>J.P. Morgan Securities LLC</w:t>
        <w:br/>
        <w:t xml:space="preserve">UBS Securities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themselves and as Representatives of the several Underwriters </w:t>
      </w:r>
    </w:p>
    <w:tbl>
      <w:tblPr>
        <w:tblW w:w="5000" w:type="pct"/>
        <w:jc w:val="center"/>
        <w:tblInd w:w="0" w:type="dxa"/>
        <w:tblCellMar>
          <w:top w:w="0" w:type="dxa"/>
          <w:left w:w="0" w:type="dxa"/>
          <w:bottom w:w="0" w:type="dxa"/>
          <w:right w:w="0" w:type="dxa"/>
        </w:tblCellMar>
      </w:tblPr>
      <w:tblGrid>
        <w:gridCol w:w="373"/>
        <w:gridCol w:w="508"/>
        <w:gridCol w:w="3726"/>
        <w:gridCol w:w="1056"/>
        <w:gridCol w:w="374"/>
        <w:gridCol w:w="473"/>
        <w:gridCol w:w="3695"/>
      </w:tblGrid>
      <w:tr>
        <w:trPr/>
        <w:tc>
          <w:tcPr>
            <w:tcW w:w="373"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3726"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473" w:type="dxa"/>
            <w:tcBorders/>
            <w:shd w:fill="auto" w:val="clear"/>
            <w:vAlign w:val="bottom"/>
          </w:tcPr>
          <w:p>
            <w:pPr>
              <w:pStyle w:val="TableContents"/>
              <w:spacing w:before="0" w:after="283"/>
              <w:rPr/>
            </w:pPr>
            <w:r>
              <w:rPr/>
              <w:t> </w:t>
            </w:r>
          </w:p>
        </w:tc>
        <w:tc>
          <w:tcPr>
            <w:tcW w:w="3695" w:type="dxa"/>
            <w:tcBorders/>
            <w:shd w:fill="auto" w:val="clear"/>
            <w:vAlign w:val="bottom"/>
          </w:tcPr>
          <w:p>
            <w:pPr>
              <w:pStyle w:val="TableContents"/>
              <w:spacing w:before="0" w:after="283"/>
              <w:rPr/>
            </w:pPr>
            <w:r>
              <w:rPr/>
              <w:t> </w:t>
            </w:r>
          </w:p>
        </w:tc>
      </w:tr>
      <w:tr>
        <w:trPr/>
        <w:tc>
          <w:tcPr>
            <w:tcW w:w="10205" w:type="dxa"/>
            <w:gridSpan w:val="7"/>
            <w:tcBorders/>
            <w:shd w:fill="auto" w:val="clear"/>
            <w:vAlign w:val="bottom"/>
          </w:tcPr>
          <w:p>
            <w:pPr>
              <w:pStyle w:val="TableContents"/>
              <w:spacing w:before="0" w:after="283"/>
              <w:rPr/>
            </w:pPr>
            <w:r>
              <w:rPr/>
              <w:t> </w:t>
            </w:r>
          </w:p>
        </w:tc>
      </w:tr>
      <w:tr>
        <w:trPr/>
        <w:tc>
          <w:tcPr>
            <w:tcW w:w="373" w:type="dxa"/>
            <w:tcBorders/>
            <w:shd w:fill="auto" w:val="clear"/>
            <w:vAlign w:val="bottom"/>
          </w:tcPr>
          <w:p>
            <w:pPr>
              <w:pStyle w:val="TableContents"/>
              <w:spacing w:before="0" w:after="283"/>
              <w:jc w:val="left"/>
              <w:rPr/>
            </w:pPr>
            <w:r>
              <w:rPr/>
              <w:t>By: </w:t>
            </w:r>
          </w:p>
        </w:tc>
        <w:tc>
          <w:tcPr>
            <w:tcW w:w="4234" w:type="dxa"/>
            <w:gridSpan w:val="2"/>
            <w:tcBorders/>
            <w:shd w:fill="auto" w:val="clear"/>
            <w:vAlign w:val="bottom"/>
          </w:tcPr>
          <w:p>
            <w:pPr>
              <w:pStyle w:val="TableContents"/>
              <w:spacing w:before="0" w:after="283"/>
              <w:jc w:val="left"/>
              <w:rPr>
                <w:b/>
              </w:rPr>
            </w:pPr>
            <w:r>
              <w:rPr>
                <w:b/>
              </w:rPr>
              <w:t>Citigroup Global Markets Inc.</w:t>
            </w:r>
          </w:p>
        </w:tc>
        <w:tc>
          <w:tcPr>
            <w:tcW w:w="1056"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jc w:val="left"/>
              <w:rPr/>
            </w:pPr>
            <w:r>
              <w:rPr/>
              <w:t>By: </w:t>
            </w:r>
          </w:p>
        </w:tc>
        <w:tc>
          <w:tcPr>
            <w:tcW w:w="4168" w:type="dxa"/>
            <w:gridSpan w:val="2"/>
            <w:tcBorders/>
            <w:shd w:fill="auto" w:val="clear"/>
            <w:vAlign w:val="bottom"/>
          </w:tcPr>
          <w:p>
            <w:pPr>
              <w:pStyle w:val="TableContents"/>
              <w:spacing w:before="0" w:after="283"/>
              <w:jc w:val="left"/>
              <w:rPr>
                <w:b/>
              </w:rPr>
            </w:pPr>
            <w:r>
              <w:rPr>
                <w:b/>
              </w:rPr>
              <w:t>Barclays Capital Inc.</w:t>
            </w:r>
          </w:p>
        </w:tc>
      </w:tr>
    </w:tbl>
    <w:tbl>
      <w:tblPr>
        <w:tblW w:w="4850" w:type="pct"/>
        <w:jc w:val="right"/>
        <w:tblInd w:w="0" w:type="dxa"/>
        <w:tblCellMar>
          <w:top w:w="0" w:type="dxa"/>
          <w:left w:w="0" w:type="dxa"/>
          <w:bottom w:w="0" w:type="dxa"/>
          <w:right w:w="0" w:type="dxa"/>
        </w:tblCellMar>
      </w:tblPr>
      <w:tblGrid>
        <w:gridCol w:w="511"/>
        <w:gridCol w:w="591"/>
        <w:gridCol w:w="3540"/>
        <w:gridCol w:w="884"/>
        <w:gridCol w:w="582"/>
        <w:gridCol w:w="591"/>
        <w:gridCol w:w="3199"/>
      </w:tblGrid>
      <w:tr>
        <w:trPr/>
        <w:tc>
          <w:tcPr>
            <w:tcW w:w="511"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rPr/>
            </w:pPr>
            <w:r>
              <w:rPr/>
              <w:t> </w:t>
            </w:r>
          </w:p>
        </w:tc>
        <w:tc>
          <w:tcPr>
            <w:tcW w:w="3540"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rPr/>
            </w:pPr>
            <w:r>
              <w:rPr/>
              <w:t> </w:t>
            </w:r>
          </w:p>
        </w:tc>
        <w:tc>
          <w:tcPr>
            <w:tcW w:w="582"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rPr/>
            </w:pPr>
            <w:r>
              <w:rPr/>
              <w:t> </w:t>
            </w:r>
          </w:p>
        </w:tc>
        <w:tc>
          <w:tcPr>
            <w:tcW w:w="3199" w:type="dxa"/>
            <w:tcBorders/>
            <w:shd w:fill="auto" w:val="clear"/>
            <w:vAlign w:val="bottom"/>
          </w:tcPr>
          <w:p>
            <w:pPr>
              <w:pStyle w:val="TableContents"/>
              <w:spacing w:before="0" w:after="283"/>
              <w:rPr/>
            </w:pPr>
            <w:r>
              <w:rPr/>
              <w:t> </w:t>
            </w:r>
          </w:p>
        </w:tc>
      </w:tr>
      <w:tr>
        <w:trPr/>
        <w:tc>
          <w:tcPr>
            <w:tcW w:w="511" w:type="dxa"/>
            <w:tcBorders/>
            <w:shd w:fill="auto" w:val="clear"/>
            <w:vAlign w:val="bottom"/>
          </w:tcPr>
          <w:p>
            <w:pPr>
              <w:pStyle w:val="TableContents"/>
              <w:spacing w:before="0" w:after="283"/>
              <w:jc w:val="right"/>
              <w:rPr/>
            </w:pPr>
            <w:r>
              <w:rPr/>
              <w:t>By: </w:t>
            </w:r>
          </w:p>
        </w:tc>
        <w:tc>
          <w:tcPr>
            <w:tcW w:w="4131" w:type="dxa"/>
            <w:gridSpan w:val="2"/>
            <w:tcBorders>
              <w:bottom w:val="single" w:sz="2" w:space="0" w:color="000000"/>
            </w:tcBorders>
            <w:shd w:fill="auto" w:val="clear"/>
            <w:tcMar>
              <w:bottom w:w="28" w:type="dxa"/>
            </w:tcMar>
            <w:vAlign w:val="bottom"/>
          </w:tcPr>
          <w:p>
            <w:pPr>
              <w:pStyle w:val="TableContents"/>
              <w:spacing w:before="0" w:after="283"/>
              <w:jc w:val="left"/>
              <w:rPr/>
            </w:pPr>
            <w:r>
              <w:rPr/>
              <w:t>/s/ Amit Jhunjhunwala</w:t>
            </w:r>
          </w:p>
        </w:tc>
        <w:tc>
          <w:tcPr>
            <w:tcW w:w="884" w:type="dxa"/>
            <w:tcBorders/>
            <w:shd w:fill="auto" w:val="clear"/>
            <w:vAlign w:val="bottom"/>
          </w:tcPr>
          <w:p>
            <w:pPr>
              <w:pStyle w:val="TableContents"/>
              <w:spacing w:before="0" w:after="283"/>
              <w:rPr/>
            </w:pPr>
            <w:r>
              <w:rPr/>
              <w:t> </w:t>
            </w:r>
          </w:p>
        </w:tc>
        <w:tc>
          <w:tcPr>
            <w:tcW w:w="582" w:type="dxa"/>
            <w:tcBorders/>
            <w:shd w:fill="auto" w:val="clear"/>
            <w:vAlign w:val="bottom"/>
          </w:tcPr>
          <w:p>
            <w:pPr>
              <w:pStyle w:val="TableContents"/>
              <w:spacing w:before="0" w:after="283"/>
              <w:jc w:val="right"/>
              <w:rPr/>
            </w:pPr>
            <w:r>
              <w:rPr/>
              <w:t>By: </w:t>
            </w:r>
          </w:p>
        </w:tc>
        <w:tc>
          <w:tcPr>
            <w:tcW w:w="3790" w:type="dxa"/>
            <w:gridSpan w:val="2"/>
            <w:tcBorders>
              <w:bottom w:val="single" w:sz="2" w:space="0" w:color="000000"/>
            </w:tcBorders>
            <w:shd w:fill="auto" w:val="clear"/>
            <w:tcMar>
              <w:bottom w:w="28" w:type="dxa"/>
            </w:tcMar>
            <w:vAlign w:val="bottom"/>
          </w:tcPr>
          <w:p>
            <w:pPr>
              <w:pStyle w:val="TableContents"/>
              <w:spacing w:before="0" w:after="283"/>
              <w:jc w:val="left"/>
              <w:rPr/>
            </w:pPr>
            <w:r>
              <w:rPr/>
              <w:t>/s/ Matt Johnson</w:t>
            </w:r>
          </w:p>
        </w:tc>
      </w:tr>
      <w:tr>
        <w:trPr/>
        <w:tc>
          <w:tcPr>
            <w:tcW w:w="511"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left"/>
              <w:rPr/>
            </w:pPr>
            <w:r>
              <w:rPr/>
              <w:t>Name: </w:t>
            </w:r>
          </w:p>
        </w:tc>
        <w:tc>
          <w:tcPr>
            <w:tcW w:w="3540" w:type="dxa"/>
            <w:tcBorders/>
            <w:shd w:fill="auto" w:val="clear"/>
            <w:vAlign w:val="bottom"/>
          </w:tcPr>
          <w:p>
            <w:pPr>
              <w:pStyle w:val="TableContents"/>
              <w:spacing w:before="0" w:after="283"/>
              <w:rPr/>
            </w:pPr>
            <w:r>
              <w:rPr/>
              <w:t>Amit Jhunjhunwala</w:t>
            </w:r>
          </w:p>
        </w:tc>
        <w:tc>
          <w:tcPr>
            <w:tcW w:w="884" w:type="dxa"/>
            <w:tcBorders/>
            <w:shd w:fill="auto" w:val="clear"/>
            <w:vAlign w:val="bottom"/>
          </w:tcPr>
          <w:p>
            <w:pPr>
              <w:pStyle w:val="TableContents"/>
              <w:spacing w:before="0" w:after="283"/>
              <w:rPr/>
            </w:pPr>
            <w:r>
              <w:rPr/>
              <w:t> </w:t>
            </w:r>
          </w:p>
        </w:tc>
        <w:tc>
          <w:tcPr>
            <w:tcW w:w="582"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left"/>
              <w:rPr/>
            </w:pPr>
            <w:r>
              <w:rPr/>
              <w:t>Name: </w:t>
            </w:r>
          </w:p>
        </w:tc>
        <w:tc>
          <w:tcPr>
            <w:tcW w:w="3199" w:type="dxa"/>
            <w:tcBorders/>
            <w:shd w:fill="auto" w:val="clear"/>
            <w:vAlign w:val="bottom"/>
          </w:tcPr>
          <w:p>
            <w:pPr>
              <w:pStyle w:val="TableContents"/>
              <w:spacing w:before="0" w:after="283"/>
              <w:rPr/>
            </w:pPr>
            <w:r>
              <w:rPr/>
              <w:t>Matt Johnson</w:t>
            </w:r>
          </w:p>
        </w:tc>
      </w:tr>
      <w:tr>
        <w:trPr/>
        <w:tc>
          <w:tcPr>
            <w:tcW w:w="511"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left"/>
              <w:rPr/>
            </w:pPr>
            <w:r>
              <w:rPr/>
              <w:t>Title:</w:t>
            </w:r>
          </w:p>
        </w:tc>
        <w:tc>
          <w:tcPr>
            <w:tcW w:w="3540" w:type="dxa"/>
            <w:tcBorders/>
            <w:shd w:fill="auto" w:val="clear"/>
            <w:vAlign w:val="bottom"/>
          </w:tcPr>
          <w:p>
            <w:pPr>
              <w:pStyle w:val="TableContents"/>
              <w:spacing w:before="0" w:after="283"/>
              <w:rPr/>
            </w:pPr>
            <w:r>
              <w:rPr/>
              <w:t>Director</w:t>
            </w:r>
          </w:p>
        </w:tc>
        <w:tc>
          <w:tcPr>
            <w:tcW w:w="884" w:type="dxa"/>
            <w:tcBorders/>
            <w:shd w:fill="auto" w:val="clear"/>
            <w:vAlign w:val="bottom"/>
          </w:tcPr>
          <w:p>
            <w:pPr>
              <w:pStyle w:val="TableContents"/>
              <w:spacing w:before="0" w:after="283"/>
              <w:rPr/>
            </w:pPr>
            <w:r>
              <w:rPr/>
              <w:t> </w:t>
            </w:r>
          </w:p>
        </w:tc>
        <w:tc>
          <w:tcPr>
            <w:tcW w:w="582"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left"/>
              <w:rPr/>
            </w:pPr>
            <w:r>
              <w:rPr/>
              <w:t>Title:</w:t>
            </w:r>
          </w:p>
        </w:tc>
        <w:tc>
          <w:tcPr>
            <w:tcW w:w="3199" w:type="dxa"/>
            <w:tcBorders/>
            <w:shd w:fill="auto" w:val="clear"/>
            <w:vAlign w:val="bottom"/>
          </w:tcPr>
          <w:p>
            <w:pPr>
              <w:pStyle w:val="TableContents"/>
              <w:spacing w:before="0" w:after="283"/>
              <w:rPr/>
            </w:pPr>
            <w:r>
              <w:rPr/>
              <w:t>Managing Director</w:t>
            </w:r>
          </w:p>
        </w:tc>
      </w:tr>
    </w:tbl>
    <w:tbl>
      <w:tblPr>
        <w:tblW w:w="5000" w:type="pct"/>
        <w:jc w:val="center"/>
        <w:tblInd w:w="0" w:type="dxa"/>
        <w:tblCellMar>
          <w:top w:w="0" w:type="dxa"/>
          <w:left w:w="0" w:type="dxa"/>
          <w:bottom w:w="0" w:type="dxa"/>
          <w:right w:w="0" w:type="dxa"/>
        </w:tblCellMar>
      </w:tblPr>
      <w:tblGrid>
        <w:gridCol w:w="410"/>
        <w:gridCol w:w="574"/>
        <w:gridCol w:w="3474"/>
        <w:gridCol w:w="966"/>
        <w:gridCol w:w="411"/>
        <w:gridCol w:w="943"/>
        <w:gridCol w:w="3427"/>
      </w:tblGrid>
      <w:tr>
        <w:trPr/>
        <w:tc>
          <w:tcPr>
            <w:tcW w:w="410"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347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rPr/>
            </w:pPr>
            <w:r>
              <w:rPr/>
              <w:t> </w:t>
            </w:r>
          </w:p>
        </w:tc>
        <w:tc>
          <w:tcPr>
            <w:tcW w:w="3427" w:type="dxa"/>
            <w:tcBorders/>
            <w:shd w:fill="auto" w:val="clear"/>
            <w:vAlign w:val="bottom"/>
          </w:tcPr>
          <w:p>
            <w:pPr>
              <w:pStyle w:val="TableContents"/>
              <w:spacing w:before="0" w:after="283"/>
              <w:rPr/>
            </w:pPr>
            <w:r>
              <w:rPr/>
              <w:t> </w:t>
            </w:r>
          </w:p>
        </w:tc>
      </w:tr>
      <w:tr>
        <w:trPr/>
        <w:tc>
          <w:tcPr>
            <w:tcW w:w="410" w:type="dxa"/>
            <w:tcBorders/>
            <w:shd w:fill="auto" w:val="clear"/>
            <w:vAlign w:val="bottom"/>
          </w:tcPr>
          <w:p>
            <w:pPr>
              <w:pStyle w:val="TableContents"/>
              <w:spacing w:before="0" w:after="283"/>
              <w:jc w:val="left"/>
              <w:rPr/>
            </w:pPr>
            <w:r>
              <w:rPr/>
              <w:t>By: </w:t>
            </w:r>
          </w:p>
        </w:tc>
        <w:tc>
          <w:tcPr>
            <w:tcW w:w="4048" w:type="dxa"/>
            <w:gridSpan w:val="2"/>
            <w:tcBorders/>
            <w:shd w:fill="auto" w:val="clear"/>
            <w:vAlign w:val="bottom"/>
          </w:tcPr>
          <w:p>
            <w:pPr>
              <w:pStyle w:val="TableContents"/>
              <w:spacing w:before="0" w:after="283"/>
              <w:jc w:val="left"/>
              <w:rPr>
                <w:b/>
              </w:rPr>
            </w:pPr>
            <w:r>
              <w:rPr>
                <w:b/>
              </w:rPr>
              <w:t>J.P. Morgan Securities LLC</w:t>
            </w:r>
          </w:p>
        </w:tc>
        <w:tc>
          <w:tcPr>
            <w:tcW w:w="966"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jc w:val="left"/>
              <w:rPr/>
            </w:pPr>
            <w:r>
              <w:rPr/>
              <w:t>By: </w:t>
            </w:r>
          </w:p>
        </w:tc>
        <w:tc>
          <w:tcPr>
            <w:tcW w:w="4370" w:type="dxa"/>
            <w:gridSpan w:val="2"/>
            <w:tcBorders/>
            <w:shd w:fill="auto" w:val="clear"/>
            <w:vAlign w:val="bottom"/>
          </w:tcPr>
          <w:p>
            <w:pPr>
              <w:pStyle w:val="TableContents"/>
              <w:spacing w:before="0" w:after="283"/>
              <w:jc w:val="left"/>
              <w:rPr>
                <w:b/>
              </w:rPr>
            </w:pPr>
            <w:r>
              <w:rPr>
                <w:b/>
              </w:rPr>
              <w:t>Merrill Lynch, Pierce, Fenner &amp; Smith</w:t>
            </w:r>
          </w:p>
        </w:tc>
      </w:tr>
      <w:tr>
        <w:trPr/>
        <w:tc>
          <w:tcPr>
            <w:tcW w:w="410"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rPr/>
            </w:pPr>
            <w:r>
              <w:rPr/>
              <w:t> </w:t>
            </w:r>
          </w:p>
        </w:tc>
        <w:tc>
          <w:tcPr>
            <w:tcW w:w="3474"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4370" w:type="dxa"/>
            <w:gridSpan w:val="2"/>
            <w:tcBorders/>
            <w:shd w:fill="auto" w:val="clear"/>
            <w:vAlign w:val="bottom"/>
          </w:tcPr>
          <w:p>
            <w:pPr>
              <w:pStyle w:val="TableContents"/>
              <w:spacing w:before="0" w:after="283"/>
              <w:jc w:val="left"/>
              <w:rPr>
                <w:b/>
              </w:rPr>
            </w:pPr>
            <w:r>
              <w:rPr>
                <w:b/>
              </w:rPr>
              <w:t>Incorporated</w:t>
            </w:r>
          </w:p>
        </w:tc>
      </w:tr>
    </w:tbl>
    <w:tbl>
      <w:tblPr>
        <w:tblW w:w="4850" w:type="pct"/>
        <w:jc w:val="right"/>
        <w:tblInd w:w="0" w:type="dxa"/>
        <w:tblCellMar>
          <w:top w:w="0" w:type="dxa"/>
          <w:left w:w="0" w:type="dxa"/>
          <w:bottom w:w="0" w:type="dxa"/>
          <w:right w:w="0" w:type="dxa"/>
        </w:tblCellMar>
      </w:tblPr>
      <w:tblGrid>
        <w:gridCol w:w="533"/>
        <w:gridCol w:w="599"/>
        <w:gridCol w:w="3469"/>
        <w:gridCol w:w="953"/>
        <w:gridCol w:w="610"/>
        <w:gridCol w:w="599"/>
        <w:gridCol w:w="3135"/>
      </w:tblGrid>
      <w:tr>
        <w:trPr/>
        <w:tc>
          <w:tcPr>
            <w:tcW w:w="533"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rPr/>
            </w:pPr>
            <w:r>
              <w:rPr/>
              <w:t> </w:t>
            </w:r>
          </w:p>
        </w:tc>
        <w:tc>
          <w:tcPr>
            <w:tcW w:w="3469"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rPr/>
            </w:pPr>
            <w:r>
              <w:rPr/>
              <w:t> </w:t>
            </w:r>
          </w:p>
        </w:tc>
        <w:tc>
          <w:tcPr>
            <w:tcW w:w="3135" w:type="dxa"/>
            <w:tcBorders/>
            <w:shd w:fill="auto" w:val="clear"/>
            <w:vAlign w:val="bottom"/>
          </w:tcPr>
          <w:p>
            <w:pPr>
              <w:pStyle w:val="TableContents"/>
              <w:spacing w:before="0" w:after="283"/>
              <w:rPr/>
            </w:pPr>
            <w:r>
              <w:rPr/>
              <w:t> </w:t>
            </w:r>
          </w:p>
        </w:tc>
      </w:tr>
      <w:tr>
        <w:trPr/>
        <w:tc>
          <w:tcPr>
            <w:tcW w:w="533" w:type="dxa"/>
            <w:tcBorders/>
            <w:shd w:fill="auto" w:val="clear"/>
            <w:vAlign w:val="bottom"/>
          </w:tcPr>
          <w:p>
            <w:pPr>
              <w:pStyle w:val="TableContents"/>
              <w:spacing w:before="0" w:after="283"/>
              <w:jc w:val="left"/>
              <w:rPr/>
            </w:pPr>
            <w:r>
              <w:rPr/>
              <w:t>By: </w:t>
            </w:r>
          </w:p>
        </w:tc>
        <w:tc>
          <w:tcPr>
            <w:tcW w:w="4068" w:type="dxa"/>
            <w:gridSpan w:val="2"/>
            <w:tcBorders>
              <w:bottom w:val="single" w:sz="2" w:space="0" w:color="000000"/>
            </w:tcBorders>
            <w:shd w:fill="auto" w:val="clear"/>
            <w:tcMar>
              <w:bottom w:w="28" w:type="dxa"/>
            </w:tcMar>
            <w:vAlign w:val="bottom"/>
          </w:tcPr>
          <w:p>
            <w:pPr>
              <w:pStyle w:val="TableContents"/>
              <w:spacing w:before="0" w:after="283"/>
              <w:jc w:val="left"/>
              <w:rPr/>
            </w:pPr>
            <w:r>
              <w:rPr/>
              <w:t>/s/ Stephen Clark</w:t>
            </w:r>
          </w:p>
        </w:tc>
        <w:tc>
          <w:tcPr>
            <w:tcW w:w="953"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jc w:val="right"/>
              <w:rPr/>
            </w:pPr>
            <w:r>
              <w:rPr/>
              <w:t>By: </w:t>
            </w:r>
          </w:p>
        </w:tc>
        <w:tc>
          <w:tcPr>
            <w:tcW w:w="3734" w:type="dxa"/>
            <w:gridSpan w:val="2"/>
            <w:tcBorders>
              <w:bottom w:val="single" w:sz="2" w:space="0" w:color="000000"/>
            </w:tcBorders>
            <w:shd w:fill="auto" w:val="clear"/>
            <w:tcMar>
              <w:bottom w:w="28" w:type="dxa"/>
            </w:tcMar>
            <w:vAlign w:val="bottom"/>
          </w:tcPr>
          <w:p>
            <w:pPr>
              <w:pStyle w:val="TableContents"/>
              <w:spacing w:before="0" w:after="283"/>
              <w:jc w:val="left"/>
              <w:rPr/>
            </w:pPr>
            <w:r>
              <w:rPr/>
              <w:t>/s/ Mark Sooby</w:t>
            </w:r>
          </w:p>
        </w:tc>
      </w:tr>
      <w:tr>
        <w:trPr/>
        <w:tc>
          <w:tcPr>
            <w:tcW w:w="533"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left"/>
              <w:rPr/>
            </w:pPr>
            <w:r>
              <w:rPr/>
              <w:t>Name: </w:t>
            </w:r>
          </w:p>
        </w:tc>
        <w:tc>
          <w:tcPr>
            <w:tcW w:w="3469" w:type="dxa"/>
            <w:tcBorders/>
            <w:shd w:fill="auto" w:val="clear"/>
            <w:vAlign w:val="bottom"/>
          </w:tcPr>
          <w:p>
            <w:pPr>
              <w:pStyle w:val="TableContents"/>
              <w:spacing w:before="0" w:after="283"/>
              <w:rPr/>
            </w:pPr>
            <w:r>
              <w:rPr/>
              <w:t>Stephen Clark</w:t>
            </w:r>
          </w:p>
        </w:tc>
        <w:tc>
          <w:tcPr>
            <w:tcW w:w="953"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left"/>
              <w:rPr/>
            </w:pPr>
            <w:r>
              <w:rPr/>
              <w:t>Name: </w:t>
            </w:r>
          </w:p>
        </w:tc>
        <w:tc>
          <w:tcPr>
            <w:tcW w:w="3135" w:type="dxa"/>
            <w:tcBorders/>
            <w:shd w:fill="auto" w:val="clear"/>
            <w:vAlign w:val="bottom"/>
          </w:tcPr>
          <w:p>
            <w:pPr>
              <w:pStyle w:val="TableContents"/>
              <w:spacing w:before="0" w:after="283"/>
              <w:rPr/>
            </w:pPr>
            <w:r>
              <w:rPr/>
              <w:t>Mark Sooby</w:t>
            </w:r>
          </w:p>
        </w:tc>
      </w:tr>
      <w:tr>
        <w:trPr/>
        <w:tc>
          <w:tcPr>
            <w:tcW w:w="533"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left"/>
              <w:rPr/>
            </w:pPr>
            <w:r>
              <w:rPr/>
              <w:t>Title:</w:t>
            </w:r>
          </w:p>
        </w:tc>
        <w:tc>
          <w:tcPr>
            <w:tcW w:w="3469" w:type="dxa"/>
            <w:tcBorders/>
            <w:shd w:fill="auto" w:val="clear"/>
            <w:vAlign w:val="bottom"/>
          </w:tcPr>
          <w:p>
            <w:pPr>
              <w:pStyle w:val="TableContents"/>
              <w:spacing w:before="0" w:after="283"/>
              <w:rPr/>
            </w:pPr>
            <w:r>
              <w:rPr/>
              <w:t>Managing Director</w:t>
            </w:r>
          </w:p>
        </w:tc>
        <w:tc>
          <w:tcPr>
            <w:tcW w:w="953"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left"/>
              <w:rPr/>
            </w:pPr>
            <w:r>
              <w:rPr/>
              <w:t>Title:</w:t>
            </w:r>
          </w:p>
        </w:tc>
        <w:tc>
          <w:tcPr>
            <w:tcW w:w="3135"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78"/>
        <w:gridCol w:w="502"/>
        <w:gridCol w:w="4006"/>
        <w:gridCol w:w="1144"/>
        <w:gridCol w:w="222"/>
        <w:gridCol w:w="222"/>
        <w:gridCol w:w="3731"/>
      </w:tblGrid>
      <w:tr>
        <w:trPr/>
        <w:tc>
          <w:tcPr>
            <w:tcW w:w="378"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4006"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731" w:type="dxa"/>
            <w:tcBorders/>
            <w:shd w:fill="auto" w:val="clear"/>
            <w:vAlign w:val="bottom"/>
          </w:tcPr>
          <w:p>
            <w:pPr>
              <w:pStyle w:val="TableContents"/>
              <w:spacing w:before="0" w:after="283"/>
              <w:rPr/>
            </w:pPr>
            <w:r>
              <w:rPr/>
              <w:t> </w:t>
            </w:r>
          </w:p>
        </w:tc>
      </w:tr>
      <w:tr>
        <w:trPr/>
        <w:tc>
          <w:tcPr>
            <w:tcW w:w="378" w:type="dxa"/>
            <w:tcBorders/>
            <w:shd w:fill="auto" w:val="clear"/>
            <w:vAlign w:val="bottom"/>
          </w:tcPr>
          <w:p>
            <w:pPr>
              <w:pStyle w:val="TableContents"/>
              <w:spacing w:before="0" w:after="283"/>
              <w:jc w:val="left"/>
              <w:rPr/>
            </w:pPr>
            <w:r>
              <w:rPr/>
              <w:t>By: </w:t>
            </w:r>
          </w:p>
        </w:tc>
        <w:tc>
          <w:tcPr>
            <w:tcW w:w="4508" w:type="dxa"/>
            <w:gridSpan w:val="2"/>
            <w:tcBorders/>
            <w:shd w:fill="auto" w:val="clear"/>
            <w:vAlign w:val="bottom"/>
          </w:tcPr>
          <w:p>
            <w:pPr>
              <w:pStyle w:val="TableContents"/>
              <w:spacing w:before="0" w:after="283"/>
              <w:jc w:val="left"/>
              <w:rPr>
                <w:b/>
              </w:rPr>
            </w:pPr>
            <w:r>
              <w:rPr>
                <w:b/>
              </w:rPr>
              <w:t>UBS Securities LLC</w:t>
            </w:r>
          </w:p>
        </w:tc>
        <w:tc>
          <w:tcPr>
            <w:tcW w:w="1144"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3731" w:type="dxa"/>
            <w:tcBorders/>
            <w:shd w:fill="auto" w:val="clear"/>
            <w:vAlign w:val="bottom"/>
          </w:tcPr>
          <w:p>
            <w:pPr>
              <w:pStyle w:val="TableContents"/>
              <w:spacing w:before="0" w:after="283"/>
              <w:rPr/>
            </w:pPr>
            <w:r>
              <w:rPr/>
              <w:t> </w:t>
            </w:r>
          </w:p>
        </w:tc>
      </w:tr>
    </w:tbl>
    <w:tbl>
      <w:tblPr>
        <w:tblW w:w="4850" w:type="pct"/>
        <w:jc w:val="right"/>
        <w:tblInd w:w="0" w:type="dxa"/>
        <w:tblCellMar>
          <w:top w:w="0" w:type="dxa"/>
          <w:left w:w="0" w:type="dxa"/>
          <w:bottom w:w="0" w:type="dxa"/>
          <w:right w:w="0" w:type="dxa"/>
        </w:tblCellMar>
      </w:tblPr>
      <w:tblGrid>
        <w:gridCol w:w="558"/>
        <w:gridCol w:w="590"/>
        <w:gridCol w:w="3958"/>
        <w:gridCol w:w="1069"/>
        <w:gridCol w:w="384"/>
        <w:gridCol w:w="213"/>
        <w:gridCol w:w="3126"/>
      </w:tblGrid>
      <w:tr>
        <w:trPr/>
        <w:tc>
          <w:tcPr>
            <w:tcW w:w="558"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rPr/>
            </w:pPr>
            <w:r>
              <w:rPr/>
              <w:t> </w:t>
            </w:r>
          </w:p>
        </w:tc>
        <w:tc>
          <w:tcPr>
            <w:tcW w:w="3958" w:type="dxa"/>
            <w:tcBorders/>
            <w:shd w:fill="auto" w:val="clear"/>
            <w:vAlign w:val="bottom"/>
          </w:tcPr>
          <w:p>
            <w:pPr>
              <w:pStyle w:val="TableContents"/>
              <w:spacing w:before="0" w:after="283"/>
              <w:rPr/>
            </w:pPr>
            <w:r>
              <w:rPr/>
              <w:t> </w:t>
            </w:r>
          </w:p>
        </w:tc>
        <w:tc>
          <w:tcPr>
            <w:tcW w:w="1069"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26" w:type="dxa"/>
            <w:tcBorders/>
            <w:shd w:fill="auto" w:val="clear"/>
            <w:vAlign w:val="bottom"/>
          </w:tcPr>
          <w:p>
            <w:pPr>
              <w:pStyle w:val="TableContents"/>
              <w:spacing w:before="0" w:after="283"/>
              <w:rPr/>
            </w:pPr>
            <w:r>
              <w:rPr/>
              <w:t> </w:t>
            </w:r>
          </w:p>
        </w:tc>
      </w:tr>
      <w:tr>
        <w:trPr/>
        <w:tc>
          <w:tcPr>
            <w:tcW w:w="558" w:type="dxa"/>
            <w:tcBorders/>
            <w:shd w:fill="auto" w:val="clear"/>
            <w:vAlign w:val="bottom"/>
          </w:tcPr>
          <w:p>
            <w:pPr>
              <w:pStyle w:val="TableContents"/>
              <w:spacing w:before="0" w:after="283"/>
              <w:jc w:val="left"/>
              <w:rPr/>
            </w:pPr>
            <w:r>
              <w:rPr/>
              <w:t>By: </w:t>
            </w:r>
          </w:p>
        </w:tc>
        <w:tc>
          <w:tcPr>
            <w:tcW w:w="4548" w:type="dxa"/>
            <w:gridSpan w:val="2"/>
            <w:tcBorders>
              <w:bottom w:val="single" w:sz="2" w:space="0" w:color="000000"/>
            </w:tcBorders>
            <w:shd w:fill="auto" w:val="clear"/>
            <w:tcMar>
              <w:bottom w:w="28" w:type="dxa"/>
            </w:tcMar>
            <w:vAlign w:val="bottom"/>
          </w:tcPr>
          <w:p>
            <w:pPr>
              <w:pStyle w:val="TableContents"/>
              <w:spacing w:before="0" w:after="283"/>
              <w:jc w:val="left"/>
              <w:rPr/>
            </w:pPr>
            <w:r>
              <w:rPr/>
              <w:t>/s/ Michael Buckingham</w:t>
            </w:r>
          </w:p>
        </w:tc>
        <w:tc>
          <w:tcPr>
            <w:tcW w:w="1069"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26" w:type="dxa"/>
            <w:tcBorders/>
            <w:shd w:fill="auto" w:val="clear"/>
            <w:vAlign w:val="bottom"/>
          </w:tcPr>
          <w:p>
            <w:pPr>
              <w:pStyle w:val="TableContents"/>
              <w:spacing w:before="0" w:after="283"/>
              <w:rPr/>
            </w:pPr>
            <w:r>
              <w:rPr/>
              <w:t> </w:t>
            </w:r>
          </w:p>
        </w:tc>
      </w:tr>
      <w:tr>
        <w:trPr/>
        <w:tc>
          <w:tcPr>
            <w:tcW w:w="558"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left"/>
              <w:rPr/>
            </w:pPr>
            <w:r>
              <w:rPr/>
              <w:t>Name: </w:t>
            </w:r>
          </w:p>
        </w:tc>
        <w:tc>
          <w:tcPr>
            <w:tcW w:w="3958" w:type="dxa"/>
            <w:tcBorders/>
            <w:shd w:fill="auto" w:val="clear"/>
            <w:vAlign w:val="bottom"/>
          </w:tcPr>
          <w:p>
            <w:pPr>
              <w:pStyle w:val="TableContents"/>
              <w:spacing w:before="0" w:after="283"/>
              <w:rPr/>
            </w:pPr>
            <w:r>
              <w:rPr/>
              <w:t>Michael Buckingham</w:t>
            </w:r>
          </w:p>
        </w:tc>
        <w:tc>
          <w:tcPr>
            <w:tcW w:w="1069"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26" w:type="dxa"/>
            <w:tcBorders/>
            <w:shd w:fill="auto" w:val="clear"/>
            <w:vAlign w:val="bottom"/>
          </w:tcPr>
          <w:p>
            <w:pPr>
              <w:pStyle w:val="TableContents"/>
              <w:spacing w:before="0" w:after="283"/>
              <w:rPr/>
            </w:pPr>
            <w:r>
              <w:rPr/>
              <w:t> </w:t>
            </w:r>
          </w:p>
        </w:tc>
      </w:tr>
      <w:tr>
        <w:trPr/>
        <w:tc>
          <w:tcPr>
            <w:tcW w:w="558"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left"/>
              <w:rPr/>
            </w:pPr>
            <w:r>
              <w:rPr/>
              <w:t>Title:</w:t>
            </w:r>
          </w:p>
        </w:tc>
        <w:tc>
          <w:tcPr>
            <w:tcW w:w="3958" w:type="dxa"/>
            <w:tcBorders/>
            <w:shd w:fill="auto" w:val="clear"/>
            <w:vAlign w:val="bottom"/>
          </w:tcPr>
          <w:p>
            <w:pPr>
              <w:pStyle w:val="TableContents"/>
              <w:spacing w:before="0" w:after="283"/>
              <w:rPr/>
            </w:pPr>
            <w:r>
              <w:rPr/>
              <w:t>Executive Director</w:t>
            </w:r>
          </w:p>
        </w:tc>
        <w:tc>
          <w:tcPr>
            <w:tcW w:w="1069"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26" w:type="dxa"/>
            <w:tcBorders/>
            <w:shd w:fill="auto" w:val="clear"/>
            <w:vAlign w:val="bottom"/>
          </w:tcPr>
          <w:p>
            <w:pPr>
              <w:pStyle w:val="TableContents"/>
              <w:spacing w:before="0" w:after="283"/>
              <w:rPr/>
            </w:pPr>
            <w:r>
              <w:rPr/>
              <w:t> </w:t>
            </w:r>
          </w:p>
        </w:tc>
      </w:tr>
      <w:tr>
        <w:trPr/>
        <w:tc>
          <w:tcPr>
            <w:tcW w:w="558" w:type="dxa"/>
            <w:tcBorders/>
            <w:shd w:fill="auto" w:val="clear"/>
            <w:vAlign w:val="center"/>
          </w:tcPr>
          <w:p>
            <w:pPr>
              <w:pStyle w:val="TableContents"/>
              <w:spacing w:before="0" w:after="283"/>
              <w:rPr/>
            </w:pPr>
            <w:r>
              <w:rPr/>
              <w:t> </w:t>
            </w:r>
          </w:p>
        </w:tc>
        <w:tc>
          <w:tcPr>
            <w:tcW w:w="9340" w:type="dxa"/>
            <w:gridSpan w:val="6"/>
            <w:tcBorders/>
            <w:shd w:fill="auto" w:val="clear"/>
          </w:tcPr>
          <w:p>
            <w:pPr>
              <w:pStyle w:val="TableContents"/>
              <w:spacing w:before="0" w:after="283"/>
              <w:rPr>
                <w:sz w:val="4"/>
                <w:szCs w:val="4"/>
              </w:rPr>
            </w:pPr>
            <w:r>
              <w:rPr>
                <w:sz w:val="4"/>
                <w:szCs w:val="4"/>
              </w:rPr>
            </w:r>
          </w:p>
        </w:tc>
      </w:tr>
      <w:tr>
        <w:trPr/>
        <w:tc>
          <w:tcPr>
            <w:tcW w:w="558" w:type="dxa"/>
            <w:tcBorders/>
            <w:shd w:fill="auto" w:val="clear"/>
            <w:vAlign w:val="bottom"/>
          </w:tcPr>
          <w:p>
            <w:pPr>
              <w:pStyle w:val="TableContents"/>
              <w:spacing w:before="0" w:after="283"/>
              <w:jc w:val="left"/>
              <w:rPr/>
            </w:pPr>
            <w:r>
              <w:rPr/>
              <w:t>By: </w:t>
            </w:r>
          </w:p>
        </w:tc>
        <w:tc>
          <w:tcPr>
            <w:tcW w:w="4548" w:type="dxa"/>
            <w:gridSpan w:val="2"/>
            <w:tcBorders>
              <w:bottom w:val="single" w:sz="2" w:space="0" w:color="000000"/>
            </w:tcBorders>
            <w:shd w:fill="auto" w:val="clear"/>
            <w:tcMar>
              <w:bottom w:w="28" w:type="dxa"/>
            </w:tcMar>
            <w:vAlign w:val="bottom"/>
          </w:tcPr>
          <w:p>
            <w:pPr>
              <w:pStyle w:val="TableContents"/>
              <w:spacing w:before="0" w:after="283"/>
              <w:jc w:val="left"/>
              <w:rPr/>
            </w:pPr>
            <w:r>
              <w:rPr/>
              <w:t>/s/ Bimal Amin</w:t>
            </w:r>
          </w:p>
        </w:tc>
        <w:tc>
          <w:tcPr>
            <w:tcW w:w="1069"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26" w:type="dxa"/>
            <w:tcBorders/>
            <w:shd w:fill="auto" w:val="clear"/>
            <w:vAlign w:val="bottom"/>
          </w:tcPr>
          <w:p>
            <w:pPr>
              <w:pStyle w:val="TableContents"/>
              <w:spacing w:before="0" w:after="283"/>
              <w:rPr/>
            </w:pPr>
            <w:r>
              <w:rPr/>
              <w:t> </w:t>
            </w:r>
          </w:p>
        </w:tc>
      </w:tr>
      <w:tr>
        <w:trPr/>
        <w:tc>
          <w:tcPr>
            <w:tcW w:w="558"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left"/>
              <w:rPr/>
            </w:pPr>
            <w:r>
              <w:rPr/>
              <w:t>Name: </w:t>
            </w:r>
          </w:p>
        </w:tc>
        <w:tc>
          <w:tcPr>
            <w:tcW w:w="3958" w:type="dxa"/>
            <w:tcBorders/>
            <w:shd w:fill="auto" w:val="clear"/>
            <w:vAlign w:val="bottom"/>
          </w:tcPr>
          <w:p>
            <w:pPr>
              <w:pStyle w:val="TableContents"/>
              <w:spacing w:before="0" w:after="283"/>
              <w:rPr/>
            </w:pPr>
            <w:r>
              <w:rPr/>
              <w:t>Bimal Amin</w:t>
            </w:r>
          </w:p>
        </w:tc>
        <w:tc>
          <w:tcPr>
            <w:tcW w:w="1069"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26" w:type="dxa"/>
            <w:tcBorders/>
            <w:shd w:fill="auto" w:val="clear"/>
            <w:vAlign w:val="bottom"/>
          </w:tcPr>
          <w:p>
            <w:pPr>
              <w:pStyle w:val="TableContents"/>
              <w:spacing w:before="0" w:after="283"/>
              <w:rPr/>
            </w:pPr>
            <w:r>
              <w:rPr/>
              <w:t> </w:t>
            </w:r>
          </w:p>
        </w:tc>
      </w:tr>
      <w:tr>
        <w:trPr/>
        <w:tc>
          <w:tcPr>
            <w:tcW w:w="558"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left"/>
              <w:rPr/>
            </w:pPr>
            <w:r>
              <w:rPr/>
              <w:t>Title:</w:t>
            </w:r>
          </w:p>
        </w:tc>
        <w:tc>
          <w:tcPr>
            <w:tcW w:w="3958" w:type="dxa"/>
            <w:tcBorders/>
            <w:shd w:fill="auto" w:val="clear"/>
            <w:vAlign w:val="bottom"/>
          </w:tcPr>
          <w:p>
            <w:pPr>
              <w:pStyle w:val="TableContents"/>
              <w:spacing w:before="0" w:after="283"/>
              <w:rPr/>
            </w:pPr>
            <w:r>
              <w:rPr/>
              <w:t>Associate Director</w:t>
            </w:r>
          </w:p>
        </w:tc>
        <w:tc>
          <w:tcPr>
            <w:tcW w:w="1069"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3126" w:type="dxa"/>
            <w:tcBorders/>
            <w:shd w:fill="auto" w:val="clear"/>
            <w:vAlign w:val="bottom"/>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Signature Page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I</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558"/>
        <w:gridCol w:w="354"/>
        <w:gridCol w:w="165"/>
        <w:gridCol w:w="2014"/>
        <w:gridCol w:w="114"/>
      </w:tblGrid>
      <w:tr>
        <w:trPr/>
        <w:tc>
          <w:tcPr>
            <w:tcW w:w="755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755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179" w:type="dxa"/>
            <w:gridSpan w:val="2"/>
            <w:tcBorders/>
            <w:shd w:fill="auto" w:val="clear"/>
            <w:vAlign w:val="bottom"/>
          </w:tcPr>
          <w:p>
            <w:pPr>
              <w:pStyle w:val="TableContents"/>
              <w:spacing w:before="0" w:after="283"/>
              <w:jc w:val="center"/>
              <w:rPr/>
            </w:pPr>
            <w:r>
              <w:rPr/>
              <w:t>Number of Firm Units</w:t>
            </w:r>
          </w:p>
        </w:tc>
        <w:tc>
          <w:tcPr>
            <w:tcW w:w="114" w:type="dxa"/>
            <w:tcBorders/>
            <w:shd w:fill="auto" w:val="clear"/>
            <w:vAlign w:val="bottom"/>
          </w:tcPr>
          <w:p>
            <w:pPr>
              <w:pStyle w:val="TableContents"/>
              <w:spacing w:before="0" w:after="283"/>
              <w:rPr/>
            </w:pPr>
            <w:r>
              <w:rPr/>
              <w:t> </w:t>
            </w:r>
          </w:p>
        </w:tc>
      </w:tr>
      <w:tr>
        <w:trPr/>
        <w:tc>
          <w:tcPr>
            <w:tcW w:w="7558" w:type="dxa"/>
            <w:tcBorders>
              <w:bottom w:val="single" w:sz="2" w:space="0" w:color="000000"/>
            </w:tcBorders>
            <w:shd w:fill="auto" w:val="clear"/>
            <w:tcMar>
              <w:bottom w:w="28" w:type="dxa"/>
            </w:tcMar>
            <w:vAlign w:val="bottom"/>
          </w:tcPr>
          <w:p>
            <w:pPr>
              <w:pStyle w:val="TableContents"/>
              <w:spacing w:before="0" w:after="283"/>
              <w:jc w:val="left"/>
              <w:rPr/>
            </w:pPr>
            <w:r>
              <w:rPr/>
              <w:t>                        </w:t>
            </w:r>
            <w:r>
              <w:rPr/>
              <w:t>Underwriter</w:t>
            </w:r>
          </w:p>
        </w:tc>
        <w:tc>
          <w:tcPr>
            <w:tcW w:w="354" w:type="dxa"/>
            <w:tcBorders/>
            <w:shd w:fill="auto" w:val="clear"/>
            <w:vAlign w:val="bottom"/>
          </w:tcPr>
          <w:p>
            <w:pPr>
              <w:pStyle w:val="TableContents"/>
              <w:spacing w:before="0" w:after="283"/>
              <w:rPr/>
            </w:pPr>
            <w:r>
              <w:rPr/>
              <w:t> </w:t>
            </w:r>
          </w:p>
        </w:tc>
        <w:tc>
          <w:tcPr>
            <w:tcW w:w="2179" w:type="dxa"/>
            <w:gridSpan w:val="2"/>
            <w:tcBorders>
              <w:bottom w:val="single" w:sz="2" w:space="0" w:color="000000"/>
            </w:tcBorders>
            <w:shd w:fill="auto" w:val="clear"/>
            <w:tcMar>
              <w:bottom w:w="28" w:type="dxa"/>
            </w:tcMar>
            <w:vAlign w:val="bottom"/>
          </w:tcPr>
          <w:p>
            <w:pPr>
              <w:pStyle w:val="TableContents"/>
              <w:spacing w:before="0" w:after="283"/>
              <w:jc w:val="center"/>
              <w:rPr/>
            </w:pPr>
            <w:r>
              <w:rPr/>
              <w:t>to be Purchased</w:t>
            </w:r>
          </w:p>
        </w:tc>
        <w:tc>
          <w:tcPr>
            <w:tcW w:w="114" w:type="dxa"/>
            <w:tcBorders/>
            <w:shd w:fill="auto" w:val="clear"/>
            <w:vAlign w:val="bottom"/>
          </w:tcPr>
          <w:p>
            <w:pPr>
              <w:pStyle w:val="TableContents"/>
              <w:spacing w:before="0" w:after="283"/>
              <w:rPr/>
            </w:pPr>
            <w:r>
              <w:rPr/>
              <w:t> </w:t>
            </w:r>
          </w:p>
        </w:tc>
      </w:tr>
      <w:tr>
        <w:trPr/>
        <w:tc>
          <w:tcPr>
            <w:tcW w:w="7558" w:type="dxa"/>
            <w:tcBorders/>
            <w:shd w:fill="CCEEFF" w:val="clear"/>
            <w:vAlign w:val="bottom"/>
          </w:tcPr>
          <w:p>
            <w:pPr>
              <w:pStyle w:val="TableContents"/>
              <w:spacing w:before="0" w:after="0"/>
              <w:ind w:left="225" w:right="0" w:hanging="225"/>
              <w:rPr/>
            </w:pPr>
            <w:r>
              <w:rPr/>
              <w:t>Citigroup Global Markets Inc.</w:t>
            </w:r>
          </w:p>
        </w:tc>
        <w:tc>
          <w:tcPr>
            <w:tcW w:w="354"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right"/>
              <w:rPr/>
            </w:pPr>
            <w:r>
              <w:rPr/>
              <w:t>1,650,000</w:t>
            </w:r>
          </w:p>
        </w:tc>
        <w:tc>
          <w:tcPr>
            <w:tcW w:w="114" w:type="dxa"/>
            <w:tcBorders/>
            <w:shd w:fill="CCEEFF" w:val="clear"/>
            <w:vAlign w:val="bottom"/>
          </w:tcPr>
          <w:p>
            <w:pPr>
              <w:pStyle w:val="TableContents"/>
              <w:spacing w:before="0" w:after="283"/>
              <w:rPr/>
            </w:pPr>
            <w:r>
              <w:rPr/>
              <w:t> </w:t>
            </w:r>
          </w:p>
        </w:tc>
      </w:tr>
      <w:tr>
        <w:trPr/>
        <w:tc>
          <w:tcPr>
            <w:tcW w:w="7558" w:type="dxa"/>
            <w:tcBorders/>
            <w:shd w:fill="auto" w:val="clear"/>
            <w:vAlign w:val="bottom"/>
          </w:tcPr>
          <w:p>
            <w:pPr>
              <w:pStyle w:val="TableContents"/>
              <w:spacing w:before="0" w:after="0"/>
              <w:ind w:left="225" w:right="0" w:hanging="225"/>
              <w:rPr/>
            </w:pPr>
            <w:r>
              <w:rPr/>
              <w:t>Barclays Capital Inc.</w:t>
            </w:r>
          </w:p>
        </w:tc>
        <w:tc>
          <w:tcPr>
            <w:tcW w:w="35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jc w:val="right"/>
              <w:rPr/>
            </w:pPr>
            <w:r>
              <w:rPr/>
              <w:t>1,200,000</w:t>
            </w:r>
          </w:p>
        </w:tc>
        <w:tc>
          <w:tcPr>
            <w:tcW w:w="114" w:type="dxa"/>
            <w:tcBorders/>
            <w:shd w:fill="auto" w:val="clear"/>
            <w:vAlign w:val="bottom"/>
          </w:tcPr>
          <w:p>
            <w:pPr>
              <w:pStyle w:val="TableContents"/>
              <w:spacing w:before="0" w:after="283"/>
              <w:rPr/>
            </w:pPr>
            <w:r>
              <w:rPr/>
              <w:t> </w:t>
            </w:r>
          </w:p>
        </w:tc>
      </w:tr>
      <w:tr>
        <w:trPr/>
        <w:tc>
          <w:tcPr>
            <w:tcW w:w="7558" w:type="dxa"/>
            <w:tcBorders/>
            <w:shd w:fill="CCEEFF" w:val="clear"/>
            <w:vAlign w:val="bottom"/>
          </w:tcPr>
          <w:p>
            <w:pPr>
              <w:pStyle w:val="TableContents"/>
              <w:spacing w:before="0" w:after="0"/>
              <w:ind w:left="225" w:right="0" w:hanging="225"/>
              <w:rPr/>
            </w:pPr>
            <w:r>
              <w:rPr/>
              <w:t>Merrill Lynch, Pierce, Fenner &amp; Smith Incorporated</w:t>
            </w:r>
          </w:p>
        </w:tc>
        <w:tc>
          <w:tcPr>
            <w:tcW w:w="354"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right"/>
              <w:rPr/>
            </w:pPr>
            <w:r>
              <w:rPr/>
              <w:t>1,012,500</w:t>
            </w:r>
          </w:p>
        </w:tc>
        <w:tc>
          <w:tcPr>
            <w:tcW w:w="114" w:type="dxa"/>
            <w:tcBorders/>
            <w:shd w:fill="CCEEFF" w:val="clear"/>
            <w:vAlign w:val="bottom"/>
          </w:tcPr>
          <w:p>
            <w:pPr>
              <w:pStyle w:val="TableContents"/>
              <w:spacing w:before="0" w:after="283"/>
              <w:rPr/>
            </w:pPr>
            <w:r>
              <w:rPr/>
              <w:t> </w:t>
            </w:r>
          </w:p>
        </w:tc>
      </w:tr>
      <w:tr>
        <w:trPr/>
        <w:tc>
          <w:tcPr>
            <w:tcW w:w="7558" w:type="dxa"/>
            <w:tcBorders/>
            <w:shd w:fill="auto" w:val="clear"/>
            <w:vAlign w:val="bottom"/>
          </w:tcPr>
          <w:p>
            <w:pPr>
              <w:pStyle w:val="TableContents"/>
              <w:spacing w:before="0" w:after="0"/>
              <w:ind w:left="225" w:right="0" w:hanging="225"/>
              <w:rPr/>
            </w:pPr>
            <w:r>
              <w:rPr/>
              <w:t>J.P. Morgan Securities LLC</w:t>
            </w:r>
          </w:p>
        </w:tc>
        <w:tc>
          <w:tcPr>
            <w:tcW w:w="35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jc w:val="right"/>
              <w:rPr/>
            </w:pPr>
            <w:r>
              <w:rPr/>
              <w:t>1,200,000</w:t>
            </w:r>
          </w:p>
        </w:tc>
        <w:tc>
          <w:tcPr>
            <w:tcW w:w="114" w:type="dxa"/>
            <w:tcBorders/>
            <w:shd w:fill="auto" w:val="clear"/>
            <w:vAlign w:val="bottom"/>
          </w:tcPr>
          <w:p>
            <w:pPr>
              <w:pStyle w:val="TableContents"/>
              <w:spacing w:before="0" w:after="283"/>
              <w:rPr/>
            </w:pPr>
            <w:r>
              <w:rPr/>
              <w:t> </w:t>
            </w:r>
          </w:p>
        </w:tc>
      </w:tr>
      <w:tr>
        <w:trPr/>
        <w:tc>
          <w:tcPr>
            <w:tcW w:w="7558" w:type="dxa"/>
            <w:tcBorders/>
            <w:shd w:fill="CCEEFF" w:val="clear"/>
            <w:vAlign w:val="bottom"/>
          </w:tcPr>
          <w:p>
            <w:pPr>
              <w:pStyle w:val="TableContents"/>
              <w:spacing w:before="0" w:after="0"/>
              <w:ind w:left="225" w:right="0" w:hanging="225"/>
              <w:rPr/>
            </w:pPr>
            <w:r>
              <w:rPr/>
              <w:t>UBS Securities LLC</w:t>
            </w:r>
          </w:p>
        </w:tc>
        <w:tc>
          <w:tcPr>
            <w:tcW w:w="354"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right"/>
              <w:rPr/>
            </w:pPr>
            <w:r>
              <w:rPr/>
              <w:t>1,200,000</w:t>
            </w:r>
          </w:p>
        </w:tc>
        <w:tc>
          <w:tcPr>
            <w:tcW w:w="114" w:type="dxa"/>
            <w:tcBorders/>
            <w:shd w:fill="CCEEFF" w:val="clear"/>
            <w:vAlign w:val="bottom"/>
          </w:tcPr>
          <w:p>
            <w:pPr>
              <w:pStyle w:val="TableContents"/>
              <w:spacing w:before="0" w:after="283"/>
              <w:rPr/>
            </w:pPr>
            <w:r>
              <w:rPr/>
              <w:t> </w:t>
            </w:r>
          </w:p>
        </w:tc>
      </w:tr>
      <w:tr>
        <w:trPr/>
        <w:tc>
          <w:tcPr>
            <w:tcW w:w="7558" w:type="dxa"/>
            <w:tcBorders/>
            <w:shd w:fill="auto" w:val="clear"/>
            <w:vAlign w:val="bottom"/>
          </w:tcPr>
          <w:p>
            <w:pPr>
              <w:pStyle w:val="TableContents"/>
              <w:spacing w:before="0" w:after="0"/>
              <w:ind w:left="225" w:right="0" w:hanging="225"/>
              <w:rPr/>
            </w:pPr>
            <w:r>
              <w:rPr/>
              <w:t>Raymond James &amp; Associates, Inc.</w:t>
            </w:r>
          </w:p>
        </w:tc>
        <w:tc>
          <w:tcPr>
            <w:tcW w:w="35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jc w:val="right"/>
              <w:rPr/>
            </w:pPr>
            <w:r>
              <w:rPr/>
              <w:t>487,500</w:t>
            </w:r>
          </w:p>
        </w:tc>
        <w:tc>
          <w:tcPr>
            <w:tcW w:w="114" w:type="dxa"/>
            <w:tcBorders/>
            <w:shd w:fill="auto" w:val="clear"/>
            <w:vAlign w:val="bottom"/>
          </w:tcPr>
          <w:p>
            <w:pPr>
              <w:pStyle w:val="TableContents"/>
              <w:spacing w:before="0" w:after="283"/>
              <w:rPr/>
            </w:pPr>
            <w:r>
              <w:rPr/>
              <w:t> </w:t>
            </w:r>
          </w:p>
        </w:tc>
      </w:tr>
      <w:tr>
        <w:trPr/>
        <w:tc>
          <w:tcPr>
            <w:tcW w:w="7558" w:type="dxa"/>
            <w:tcBorders/>
            <w:shd w:fill="CCEEFF" w:val="clear"/>
            <w:vAlign w:val="bottom"/>
          </w:tcPr>
          <w:p>
            <w:pPr>
              <w:pStyle w:val="TableContents"/>
              <w:spacing w:before="0" w:after="0"/>
              <w:ind w:left="225" w:right="0" w:hanging="225"/>
              <w:rPr/>
            </w:pPr>
            <w:r>
              <w:rPr/>
              <w:t>RBC Capital Markets LLC</w:t>
            </w:r>
          </w:p>
        </w:tc>
        <w:tc>
          <w:tcPr>
            <w:tcW w:w="354"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right"/>
              <w:rPr/>
            </w:pPr>
            <w:r>
              <w:rPr/>
              <w:t>187,500</w:t>
            </w:r>
          </w:p>
        </w:tc>
        <w:tc>
          <w:tcPr>
            <w:tcW w:w="114" w:type="dxa"/>
            <w:tcBorders/>
            <w:shd w:fill="CCEEFF" w:val="clear"/>
            <w:vAlign w:val="bottom"/>
          </w:tcPr>
          <w:p>
            <w:pPr>
              <w:pStyle w:val="TableContents"/>
              <w:spacing w:before="0" w:after="283"/>
              <w:rPr/>
            </w:pPr>
            <w:r>
              <w:rPr/>
              <w:t> </w:t>
            </w:r>
          </w:p>
        </w:tc>
      </w:tr>
      <w:tr>
        <w:trPr/>
        <w:tc>
          <w:tcPr>
            <w:tcW w:w="7558" w:type="dxa"/>
            <w:tcBorders/>
            <w:shd w:fill="auto" w:val="clear"/>
            <w:vAlign w:val="bottom"/>
          </w:tcPr>
          <w:p>
            <w:pPr>
              <w:pStyle w:val="TableContents"/>
              <w:spacing w:before="0" w:after="0"/>
              <w:ind w:left="225" w:right="0" w:hanging="225"/>
              <w:rPr/>
            </w:pPr>
            <w:r>
              <w:rPr/>
              <w:t>Sanders Morris Harris Inc.</w:t>
            </w:r>
          </w:p>
        </w:tc>
        <w:tc>
          <w:tcPr>
            <w:tcW w:w="35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jc w:val="right"/>
              <w:rPr/>
            </w:pPr>
            <w:r>
              <w:rPr/>
              <w:t>187,500</w:t>
            </w:r>
          </w:p>
        </w:tc>
        <w:tc>
          <w:tcPr>
            <w:tcW w:w="114" w:type="dxa"/>
            <w:tcBorders/>
            <w:shd w:fill="auto" w:val="clear"/>
            <w:vAlign w:val="bottom"/>
          </w:tcPr>
          <w:p>
            <w:pPr>
              <w:pStyle w:val="TableContents"/>
              <w:spacing w:before="0" w:after="283"/>
              <w:rPr/>
            </w:pPr>
            <w:r>
              <w:rPr/>
              <w:t> </w:t>
            </w:r>
          </w:p>
        </w:tc>
      </w:tr>
      <w:tr>
        <w:trPr/>
        <w:tc>
          <w:tcPr>
            <w:tcW w:w="7558" w:type="dxa"/>
            <w:tcBorders/>
            <w:shd w:fill="CCEEFF" w:val="clear"/>
            <w:vAlign w:val="bottom"/>
          </w:tcPr>
          <w:p>
            <w:pPr>
              <w:pStyle w:val="TableContents"/>
              <w:spacing w:before="0" w:after="0"/>
              <w:ind w:left="225" w:right="0" w:hanging="225"/>
              <w:rPr/>
            </w:pPr>
            <w:r>
              <w:rPr/>
              <w:t>Tudor, Pickering, Holt &amp; Co. Securities, Inc.</w:t>
            </w:r>
          </w:p>
        </w:tc>
        <w:tc>
          <w:tcPr>
            <w:tcW w:w="354"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right"/>
              <w:rPr/>
            </w:pPr>
            <w:r>
              <w:rPr/>
              <w:t>187,500</w:t>
            </w:r>
          </w:p>
        </w:tc>
        <w:tc>
          <w:tcPr>
            <w:tcW w:w="114" w:type="dxa"/>
            <w:tcBorders/>
            <w:shd w:fill="CCEEFF" w:val="clear"/>
            <w:vAlign w:val="bottom"/>
          </w:tcPr>
          <w:p>
            <w:pPr>
              <w:pStyle w:val="TableContents"/>
              <w:spacing w:before="0" w:after="283"/>
              <w:rPr/>
            </w:pPr>
            <w:r>
              <w:rPr/>
              <w:t> </w:t>
            </w:r>
          </w:p>
        </w:tc>
      </w:tr>
      <w:tr>
        <w:trPr/>
        <w:tc>
          <w:tcPr>
            <w:tcW w:w="7558" w:type="dxa"/>
            <w:tcBorders/>
            <w:shd w:fill="auto" w:val="clear"/>
            <w:vAlign w:val="bottom"/>
          </w:tcPr>
          <w:p>
            <w:pPr>
              <w:pStyle w:val="TableContents"/>
              <w:spacing w:before="0" w:after="0"/>
              <w:ind w:left="225" w:right="0" w:hanging="225"/>
              <w:rPr/>
            </w:pPr>
            <w:r>
              <w:rPr/>
              <w:t>BMO Capital Markets Corp.</w:t>
            </w:r>
          </w:p>
        </w:tc>
        <w:tc>
          <w:tcPr>
            <w:tcW w:w="35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jc w:val="right"/>
              <w:rPr/>
            </w:pPr>
            <w:r>
              <w:rPr/>
              <w:t>140,625</w:t>
            </w:r>
          </w:p>
        </w:tc>
        <w:tc>
          <w:tcPr>
            <w:tcW w:w="114" w:type="dxa"/>
            <w:tcBorders/>
            <w:shd w:fill="auto" w:val="clear"/>
            <w:vAlign w:val="bottom"/>
          </w:tcPr>
          <w:p>
            <w:pPr>
              <w:pStyle w:val="TableContents"/>
              <w:spacing w:before="0" w:after="283"/>
              <w:rPr/>
            </w:pPr>
            <w:r>
              <w:rPr/>
              <w:t> </w:t>
            </w:r>
          </w:p>
        </w:tc>
      </w:tr>
      <w:tr>
        <w:trPr/>
        <w:tc>
          <w:tcPr>
            <w:tcW w:w="7558" w:type="dxa"/>
            <w:tcBorders/>
            <w:shd w:fill="CCEEFF" w:val="clear"/>
            <w:vAlign w:val="bottom"/>
          </w:tcPr>
          <w:p>
            <w:pPr>
              <w:pStyle w:val="TableContents"/>
              <w:spacing w:before="0" w:after="0"/>
              <w:ind w:left="225" w:right="0" w:hanging="225"/>
              <w:rPr/>
            </w:pPr>
            <w:r>
              <w:rPr/>
              <w:t>Janney Montgomery Scott LLC</w:t>
            </w:r>
          </w:p>
        </w:tc>
        <w:tc>
          <w:tcPr>
            <w:tcW w:w="354"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2014" w:type="dxa"/>
            <w:tcBorders/>
            <w:shd w:fill="CCEEFF" w:val="clear"/>
            <w:vAlign w:val="bottom"/>
          </w:tcPr>
          <w:p>
            <w:pPr>
              <w:pStyle w:val="TableContents"/>
              <w:spacing w:before="0" w:after="283"/>
              <w:jc w:val="right"/>
              <w:rPr/>
            </w:pPr>
            <w:r>
              <w:rPr/>
              <w:t>46,875</w:t>
            </w:r>
          </w:p>
        </w:tc>
        <w:tc>
          <w:tcPr>
            <w:tcW w:w="114" w:type="dxa"/>
            <w:tcBorders/>
            <w:shd w:fill="CCEEFF" w:val="clear"/>
            <w:vAlign w:val="bottom"/>
          </w:tcPr>
          <w:p>
            <w:pPr>
              <w:pStyle w:val="TableContents"/>
              <w:spacing w:before="0" w:after="283"/>
              <w:rPr/>
            </w:pPr>
            <w:r>
              <w:rPr/>
              <w:t> </w:t>
            </w:r>
          </w:p>
        </w:tc>
      </w:tr>
      <w:tr>
        <w:trPr/>
        <w:tc>
          <w:tcPr>
            <w:tcW w:w="7558" w:type="dxa"/>
            <w:tcBorders/>
            <w:shd w:fill="auto" w:val="clear"/>
            <w:vAlign w:val="center"/>
          </w:tcPr>
          <w:p>
            <w:pPr>
              <w:pStyle w:val="TableContents"/>
              <w:spacing w:before="0" w:after="0"/>
              <w:ind w:left="225" w:right="0" w:hanging="225"/>
              <w:rPr/>
            </w:pPr>
            <w:r>
              <w:rPr/>
              <w:t> </w:t>
            </w:r>
          </w:p>
        </w:tc>
        <w:tc>
          <w:tcPr>
            <w:tcW w:w="354" w:type="dxa"/>
            <w:tcBorders/>
            <w:shd w:fill="auto" w:val="clear"/>
            <w:vAlign w:val="center"/>
          </w:tcPr>
          <w:p>
            <w:pPr>
              <w:pStyle w:val="TableContents"/>
              <w:spacing w:before="0" w:after="283"/>
              <w:rPr/>
            </w:pPr>
            <w:r>
              <w:rPr/>
              <w:t> </w:t>
            </w:r>
          </w:p>
        </w:tc>
        <w:tc>
          <w:tcPr>
            <w:tcW w:w="21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7558" w:type="dxa"/>
            <w:tcBorders/>
            <w:shd w:fill="auto" w:val="clear"/>
            <w:vAlign w:val="bottom"/>
          </w:tcPr>
          <w:p>
            <w:pPr>
              <w:pStyle w:val="TableContents"/>
              <w:spacing w:before="0" w:after="0"/>
              <w:ind w:left="225" w:right="0" w:hanging="225"/>
              <w:rPr>
                <w:b/>
              </w:rPr>
            </w:pPr>
            <w:r>
              <w:rPr>
                <w:b/>
              </w:rPr>
              <w:t>Total</w:t>
            </w:r>
          </w:p>
        </w:tc>
        <w:tc>
          <w:tcPr>
            <w:tcW w:w="35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014" w:type="dxa"/>
            <w:tcBorders/>
            <w:shd w:fill="auto" w:val="clear"/>
            <w:vAlign w:val="bottom"/>
          </w:tcPr>
          <w:p>
            <w:pPr>
              <w:pStyle w:val="TableContents"/>
              <w:spacing w:before="0" w:after="283"/>
              <w:jc w:val="right"/>
              <w:rPr/>
            </w:pPr>
            <w:r>
              <w:rPr/>
              <w:t>7,500,000</w:t>
            </w:r>
          </w:p>
        </w:tc>
        <w:tc>
          <w:tcPr>
            <w:tcW w:w="114" w:type="dxa"/>
            <w:tcBorders/>
            <w:shd w:fill="auto" w:val="clear"/>
            <w:vAlign w:val="bottom"/>
          </w:tcPr>
          <w:p>
            <w:pPr>
              <w:pStyle w:val="TableContents"/>
              <w:spacing w:before="0" w:after="283"/>
              <w:rPr/>
            </w:pPr>
            <w:r>
              <w:rPr/>
              <w:t> </w:t>
            </w:r>
          </w:p>
        </w:tc>
      </w:tr>
      <w:tr>
        <w:trPr/>
        <w:tc>
          <w:tcPr>
            <w:tcW w:w="7558" w:type="dxa"/>
            <w:tcBorders/>
            <w:shd w:fill="auto" w:val="clear"/>
            <w:vAlign w:val="center"/>
          </w:tcPr>
          <w:p>
            <w:pPr>
              <w:pStyle w:val="TableContents"/>
              <w:spacing w:before="0" w:after="0"/>
              <w:ind w:left="225" w:right="0" w:hanging="225"/>
              <w:rPr/>
            </w:pPr>
            <w:r>
              <w:rPr/>
              <w:t> </w:t>
            </w:r>
          </w:p>
        </w:tc>
        <w:tc>
          <w:tcPr>
            <w:tcW w:w="354" w:type="dxa"/>
            <w:tcBorders/>
            <w:shd w:fill="auto" w:val="clear"/>
            <w:vAlign w:val="center"/>
          </w:tcPr>
          <w:p>
            <w:pPr>
              <w:pStyle w:val="TableContents"/>
              <w:spacing w:before="0" w:after="283"/>
              <w:rPr/>
            </w:pPr>
            <w:r>
              <w:rPr/>
              <w:t> </w:t>
            </w:r>
          </w:p>
        </w:tc>
        <w:tc>
          <w:tcPr>
            <w:tcW w:w="21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bl>
    <w:p>
      <w:pPr>
        <w:pStyle w:val="TextBody"/>
        <w:spacing w:before="120" w:after="283"/>
        <w:jc w:val="center"/>
        <w:rPr>
          <w:rFonts w:ascii="Times New Roman;Times;serif" w:hAnsi="Times New Roman;Times;serif"/>
          <w:sz w:val="17"/>
        </w:rPr>
      </w:pPr>
      <w:r>
        <w:rPr>
          <w:rFonts w:ascii="Times New Roman;Times;serif" w:hAnsi="Times New Roman;Times;serif"/>
          <w:i/>
          <w:sz w:val="17"/>
        </w:rPr>
        <w:t>Schedule I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II</w:t>
        <w:br/>
        <w:br/>
        <w:t>Additional Pricing Disclosure Package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139"/>
        <w:gridCol w:w="467"/>
        <w:gridCol w:w="7599"/>
      </w:tblGrid>
      <w:tr>
        <w:trPr/>
        <w:tc>
          <w:tcPr>
            <w:tcW w:w="2139"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7599" w:type="dxa"/>
            <w:tcBorders/>
            <w:shd w:fill="auto" w:val="clear"/>
            <w:vAlign w:val="bottom"/>
          </w:tcPr>
          <w:p>
            <w:pPr>
              <w:pStyle w:val="TableContents"/>
              <w:spacing w:before="0" w:after="283"/>
              <w:rPr/>
            </w:pPr>
            <w:r>
              <w:rPr/>
              <w:t> </w:t>
            </w:r>
          </w:p>
        </w:tc>
      </w:tr>
      <w:tr>
        <w:trPr/>
        <w:tc>
          <w:tcPr>
            <w:tcW w:w="2139" w:type="dxa"/>
            <w:tcBorders/>
            <w:shd w:fill="auto" w:val="clear"/>
          </w:tcPr>
          <w:p>
            <w:pPr>
              <w:pStyle w:val="TableContents"/>
              <w:spacing w:before="0" w:after="0"/>
              <w:ind w:left="0" w:right="0" w:hanging="0"/>
              <w:rPr>
                <w:b/>
              </w:rPr>
            </w:pPr>
            <w:r>
              <w:rPr>
                <w:b/>
              </w:rPr>
              <w:t>Pricing Information:</w:t>
            </w:r>
          </w:p>
        </w:tc>
        <w:tc>
          <w:tcPr>
            <w:tcW w:w="467" w:type="dxa"/>
            <w:tcBorders/>
            <w:shd w:fill="auto" w:val="clear"/>
            <w:vAlign w:val="bottom"/>
          </w:tcPr>
          <w:p>
            <w:pPr>
              <w:pStyle w:val="TableContents"/>
              <w:spacing w:before="0" w:after="283"/>
              <w:rPr/>
            </w:pPr>
            <w:r>
              <w:rPr/>
              <w:t> </w:t>
            </w:r>
          </w:p>
        </w:tc>
        <w:tc>
          <w:tcPr>
            <w:tcW w:w="7599" w:type="dxa"/>
            <w:tcBorders/>
            <w:shd w:fill="auto" w:val="clear"/>
          </w:tcPr>
          <w:p>
            <w:pPr>
              <w:pStyle w:val="TableContents"/>
              <w:spacing w:before="0" w:after="283"/>
              <w:jc w:val="left"/>
              <w:rPr/>
            </w:pPr>
            <w:r>
              <w:rPr/>
              <w:t> </w:t>
            </w:r>
          </w:p>
        </w:tc>
      </w:tr>
      <w:tr>
        <w:trPr/>
        <w:tc>
          <w:tcPr>
            <w:tcW w:w="2139" w:type="dxa"/>
            <w:tcBorders/>
            <w:shd w:fill="auto" w:val="clear"/>
          </w:tcPr>
          <w:p>
            <w:pPr>
              <w:pStyle w:val="TableContents"/>
              <w:spacing w:before="0" w:after="0"/>
              <w:ind w:left="0" w:right="0" w:hanging="0"/>
              <w:rPr/>
            </w:pPr>
            <w:r>
              <w:rPr/>
              <w:t> </w:t>
            </w:r>
          </w:p>
        </w:tc>
        <w:tc>
          <w:tcPr>
            <w:tcW w:w="467" w:type="dxa"/>
            <w:tcBorders/>
            <w:shd w:fill="auto" w:val="clear"/>
            <w:vAlign w:val="bottom"/>
          </w:tcPr>
          <w:p>
            <w:pPr>
              <w:pStyle w:val="TableContents"/>
              <w:spacing w:before="0" w:after="283"/>
              <w:rPr/>
            </w:pPr>
            <w:r>
              <w:rPr/>
              <w:t> </w:t>
            </w:r>
          </w:p>
        </w:tc>
        <w:tc>
          <w:tcPr>
            <w:tcW w:w="7599" w:type="dxa"/>
            <w:tcBorders/>
            <w:shd w:fill="auto" w:val="clear"/>
          </w:tcPr>
          <w:p>
            <w:pPr>
              <w:pStyle w:val="TableContents"/>
              <w:spacing w:before="0" w:after="283"/>
              <w:jc w:val="left"/>
              <w:rPr/>
            </w:pPr>
            <w:r>
              <w:rPr/>
              <w:t> </w:t>
            </w:r>
          </w:p>
        </w:tc>
      </w:tr>
      <w:tr>
        <w:trPr/>
        <w:tc>
          <w:tcPr>
            <w:tcW w:w="2139" w:type="dxa"/>
            <w:tcBorders/>
            <w:shd w:fill="auto" w:val="clear"/>
          </w:tcPr>
          <w:p>
            <w:pPr>
              <w:pStyle w:val="TableContents"/>
              <w:spacing w:before="0" w:after="0"/>
              <w:ind w:left="0" w:right="0" w:hanging="0"/>
              <w:rPr/>
            </w:pPr>
            <w:r>
              <w:rPr/>
              <w:t xml:space="preserve">Number of Units: </w:t>
            </w:r>
          </w:p>
        </w:tc>
        <w:tc>
          <w:tcPr>
            <w:tcW w:w="467" w:type="dxa"/>
            <w:tcBorders/>
            <w:shd w:fill="auto" w:val="clear"/>
            <w:vAlign w:val="bottom"/>
          </w:tcPr>
          <w:p>
            <w:pPr>
              <w:pStyle w:val="TableContents"/>
              <w:spacing w:before="0" w:after="283"/>
              <w:rPr/>
            </w:pPr>
            <w:r>
              <w:rPr/>
              <w:t> </w:t>
            </w:r>
          </w:p>
        </w:tc>
        <w:tc>
          <w:tcPr>
            <w:tcW w:w="7599" w:type="dxa"/>
            <w:tcBorders/>
            <w:shd w:fill="auto" w:val="clear"/>
          </w:tcPr>
          <w:p>
            <w:pPr>
              <w:pStyle w:val="TableContents"/>
              <w:spacing w:before="0" w:after="283"/>
              <w:jc w:val="left"/>
              <w:rPr/>
            </w:pPr>
            <w:r>
              <w:rPr/>
              <w:t>7,500,000 Firm Units or, if the Underwriters exercise in full their option to purchase additional Units granted in Section 3 hereof, 8,625,000 Units</w:t>
            </w:r>
          </w:p>
        </w:tc>
      </w:tr>
      <w:tr>
        <w:trPr/>
        <w:tc>
          <w:tcPr>
            <w:tcW w:w="2139" w:type="dxa"/>
            <w:tcBorders/>
            <w:shd w:fill="auto" w:val="clear"/>
          </w:tcPr>
          <w:p>
            <w:pPr>
              <w:pStyle w:val="TableContents"/>
              <w:spacing w:before="0" w:after="0"/>
              <w:ind w:left="0" w:right="0" w:hanging="0"/>
              <w:rPr/>
            </w:pPr>
            <w:r>
              <w:rPr/>
              <w:t> </w:t>
            </w:r>
          </w:p>
        </w:tc>
        <w:tc>
          <w:tcPr>
            <w:tcW w:w="467" w:type="dxa"/>
            <w:tcBorders/>
            <w:shd w:fill="auto" w:val="clear"/>
            <w:vAlign w:val="bottom"/>
          </w:tcPr>
          <w:p>
            <w:pPr>
              <w:pStyle w:val="TableContents"/>
              <w:spacing w:before="0" w:after="283"/>
              <w:rPr/>
            </w:pPr>
            <w:r>
              <w:rPr/>
              <w:t> </w:t>
            </w:r>
          </w:p>
        </w:tc>
        <w:tc>
          <w:tcPr>
            <w:tcW w:w="7599" w:type="dxa"/>
            <w:tcBorders/>
            <w:shd w:fill="auto" w:val="clear"/>
          </w:tcPr>
          <w:p>
            <w:pPr>
              <w:pStyle w:val="TableContents"/>
              <w:spacing w:before="0" w:after="283"/>
              <w:jc w:val="left"/>
              <w:rPr/>
            </w:pPr>
            <w:r>
              <w:rPr/>
              <w:t> </w:t>
            </w:r>
          </w:p>
        </w:tc>
      </w:tr>
      <w:tr>
        <w:trPr/>
        <w:tc>
          <w:tcPr>
            <w:tcW w:w="2139" w:type="dxa"/>
            <w:tcBorders/>
            <w:shd w:fill="auto" w:val="clear"/>
          </w:tcPr>
          <w:p>
            <w:pPr>
              <w:pStyle w:val="TableContents"/>
              <w:spacing w:before="0" w:after="0"/>
              <w:ind w:left="0" w:right="0" w:hanging="0"/>
              <w:rPr/>
            </w:pPr>
            <w:r>
              <w:rPr/>
              <w:t>Public offering price</w:t>
            </w:r>
          </w:p>
        </w:tc>
        <w:tc>
          <w:tcPr>
            <w:tcW w:w="467" w:type="dxa"/>
            <w:tcBorders/>
            <w:shd w:fill="auto" w:val="clear"/>
            <w:vAlign w:val="bottom"/>
          </w:tcPr>
          <w:p>
            <w:pPr>
              <w:pStyle w:val="TableContents"/>
              <w:spacing w:before="0" w:after="283"/>
              <w:rPr/>
            </w:pPr>
            <w:r>
              <w:rPr/>
              <w:t> </w:t>
            </w:r>
          </w:p>
        </w:tc>
        <w:tc>
          <w:tcPr>
            <w:tcW w:w="7599" w:type="dxa"/>
            <w:tcBorders/>
            <w:shd w:fill="auto" w:val="clear"/>
          </w:tcPr>
          <w:p>
            <w:pPr>
              <w:pStyle w:val="TableContents"/>
              <w:spacing w:before="0" w:after="283"/>
              <w:jc w:val="left"/>
              <w:rPr/>
            </w:pPr>
            <w:r>
              <w:rPr/>
              <w:t> </w:t>
            </w:r>
          </w:p>
        </w:tc>
      </w:tr>
      <w:tr>
        <w:trPr/>
        <w:tc>
          <w:tcPr>
            <w:tcW w:w="2139" w:type="dxa"/>
            <w:tcBorders/>
            <w:shd w:fill="auto" w:val="clear"/>
          </w:tcPr>
          <w:p>
            <w:pPr>
              <w:pStyle w:val="TableContents"/>
              <w:spacing w:before="0" w:after="0"/>
              <w:ind w:left="0" w:right="0" w:hanging="0"/>
              <w:rPr/>
            </w:pPr>
            <w:r>
              <w:rPr/>
              <w:t xml:space="preserve">for the Units: </w:t>
            </w:r>
          </w:p>
        </w:tc>
        <w:tc>
          <w:tcPr>
            <w:tcW w:w="467" w:type="dxa"/>
            <w:tcBorders/>
            <w:shd w:fill="auto" w:val="clear"/>
            <w:vAlign w:val="bottom"/>
          </w:tcPr>
          <w:p>
            <w:pPr>
              <w:pStyle w:val="TableContents"/>
              <w:spacing w:before="0" w:after="283"/>
              <w:rPr/>
            </w:pPr>
            <w:r>
              <w:rPr/>
              <w:t> </w:t>
            </w:r>
          </w:p>
        </w:tc>
        <w:tc>
          <w:tcPr>
            <w:tcW w:w="7599" w:type="dxa"/>
            <w:tcBorders/>
            <w:shd w:fill="auto" w:val="clear"/>
          </w:tcPr>
          <w:p>
            <w:pPr>
              <w:pStyle w:val="TableContents"/>
              <w:spacing w:before="0" w:after="283"/>
              <w:jc w:val="left"/>
              <w:rPr/>
            </w:pPr>
            <w:r>
              <w:rPr/>
              <w:t>$61.10 per unit</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Schedule II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III</w:t>
        <w:br/>
        <w:br/>
        <w:t>Material Subsidiaries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Marketing, L.P.</w:t>
        <w:br/>
        <w:t xml:space="preserve">Plains Pipeline, L.P.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Pacific Pipeline System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Plains Products Terminals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Plains Midstream Canada ULC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Plains West Coast Terminals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Rocky Mountain Pipeline System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Pine Prairie Energy Center,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SG Resources Mississippi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Plains LPG Services LP </w:t>
      </w:r>
    </w:p>
    <w:p>
      <w:pPr>
        <w:pStyle w:val="TextBody"/>
        <w:spacing w:before="360" w:after="283"/>
        <w:jc w:val="center"/>
        <w:rPr>
          <w:rFonts w:ascii="Times New Roman;Times;serif" w:hAnsi="Times New Roman;Times;serif"/>
          <w:sz w:val="17"/>
        </w:rPr>
      </w:pPr>
      <w:r>
        <w:rPr>
          <w:rFonts w:ascii="Times New Roman;Times;serif" w:hAnsi="Times New Roman;Times;serif"/>
          <w:i/>
          <w:sz w:val="17"/>
        </w:rPr>
        <w:t>Schedule III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IV</w:t>
        <w:br/>
        <w:br/>
        <w:t>Domestic Subsidiaries</w:t>
      </w:r>
      <w:r>
        <w:rPr>
          <w:rFonts w:ascii="Times New Roman;Times;serif" w:hAnsi="Times New Roman;Times;serif"/>
          <w:sz w:val="17"/>
        </w:rPr>
        <w:t xml:space="preserve"> </w:t>
      </w:r>
    </w:p>
    <w:p>
      <w:pPr>
        <w:pStyle w:val="TextBody"/>
        <w:spacing w:before="0" w:after="283"/>
        <w:jc w:val="left"/>
        <w:rPr>
          <w:rFonts w:ascii="Times New Roman;Times;serif" w:hAnsi="Times New Roman;Times;serif"/>
          <w:sz w:val="17"/>
        </w:rPr>
      </w:pPr>
      <w:r>
        <w:rPr>
          <w:rFonts w:ascii="Times New Roman;Times;serif" w:hAnsi="Times New Roman;Times;serif"/>
          <w:sz w:val="17"/>
        </w:rPr>
        <w:t>Plains Marketing, L.P.</w:t>
        <w:br/>
        <w:t xml:space="preserve">Plains Pipeline, L.P.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Pacific Pipeline System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Plains Products Terminals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Plains West Coast Terminals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Rocky Mountain Pipeline System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Pine Prairie Energy Center,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SG Resources Mississippi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Plains LPG Services LP </w:t>
      </w:r>
    </w:p>
    <w:p>
      <w:pPr>
        <w:pStyle w:val="TextBody"/>
        <w:spacing w:before="120" w:after="283"/>
        <w:jc w:val="center"/>
        <w:rPr>
          <w:rFonts w:ascii="Times New Roman;Times;serif" w:hAnsi="Times New Roman;Times;serif"/>
          <w:sz w:val="17"/>
        </w:rPr>
      </w:pPr>
      <w:r>
        <w:rPr>
          <w:rFonts w:ascii="Times New Roman;Times;serif" w:hAnsi="Times New Roman;Times;serif"/>
          <w:i/>
          <w:sz w:val="17"/>
        </w:rPr>
        <w:t>Schedule IV to Underwriting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899"/>
        <w:gridCol w:w="406"/>
        <w:gridCol w:w="4900"/>
      </w:tblGrid>
      <w:tr>
        <w:trPr/>
        <w:tc>
          <w:tcPr>
            <w:tcW w:w="489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rPr/>
            </w:pPr>
            <w:r>
              <w:rPr/>
              <w:t> </w:t>
            </w:r>
          </w:p>
        </w:tc>
      </w:tr>
      <w:tr>
        <w:trPr/>
        <w:tc>
          <w:tcPr>
            <w:tcW w:w="4899" w:type="dxa"/>
            <w:tcBorders>
              <w:bottom w:val="single" w:sz="2" w:space="0" w:color="000000"/>
            </w:tcBorders>
            <w:shd w:fill="auto" w:val="clear"/>
            <w:tcMar>
              <w:bottom w:w="28" w:type="dxa"/>
            </w:tcMar>
          </w:tcPr>
          <w:p>
            <w:pPr>
              <w:pStyle w:val="TableContents"/>
              <w:spacing w:before="0" w:after="283"/>
              <w:rPr/>
            </w:pPr>
            <w:r>
              <w:rPr/>
              <w:t>Entity</w:t>
            </w:r>
          </w:p>
        </w:tc>
        <w:tc>
          <w:tcPr>
            <w:tcW w:w="406" w:type="dxa"/>
            <w:tcBorders/>
            <w:shd w:fill="auto" w:val="clear"/>
            <w:vAlign w:val="bottom"/>
          </w:tcPr>
          <w:p>
            <w:pPr>
              <w:pStyle w:val="TableContents"/>
              <w:spacing w:before="0" w:after="283"/>
              <w:rPr/>
            </w:pPr>
            <w:r>
              <w:rPr/>
              <w:t> </w:t>
            </w:r>
          </w:p>
        </w:tc>
        <w:tc>
          <w:tcPr>
            <w:tcW w:w="4900" w:type="dxa"/>
            <w:tcBorders>
              <w:bottom w:val="single" w:sz="2" w:space="0" w:color="000000"/>
            </w:tcBorders>
            <w:shd w:fill="auto" w:val="clear"/>
            <w:tcMar>
              <w:bottom w:w="28" w:type="dxa"/>
            </w:tcMar>
          </w:tcPr>
          <w:p>
            <w:pPr>
              <w:pStyle w:val="TableContents"/>
              <w:spacing w:before="0" w:after="283"/>
              <w:jc w:val="left"/>
              <w:rPr/>
            </w:pPr>
            <w:r>
              <w:rPr/>
              <w:t>Jurisdiction in which registered or qualified</w:t>
            </w:r>
          </w:p>
        </w:tc>
      </w:tr>
      <w:tr>
        <w:trPr/>
        <w:tc>
          <w:tcPr>
            <w:tcW w:w="4899" w:type="dxa"/>
            <w:tcBorders/>
            <w:shd w:fill="auto" w:val="clear"/>
          </w:tcPr>
          <w:p>
            <w:pPr>
              <w:pStyle w:val="TableContents"/>
              <w:spacing w:before="0" w:after="0"/>
              <w:ind w:left="0" w:right="0" w:hanging="0"/>
              <w:rPr/>
            </w:pPr>
            <w:r>
              <w:rPr/>
              <w:t xml:space="preserve">Plains All American Pipeline, L.P.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Texas</w:t>
            </w:r>
          </w:p>
        </w:tc>
      </w:tr>
      <w:tr>
        <w:trPr/>
        <w:tc>
          <w:tcPr>
            <w:tcW w:w="4899" w:type="dxa"/>
            <w:tcBorders/>
            <w:shd w:fill="auto" w:val="clear"/>
          </w:tcPr>
          <w:p>
            <w:pPr>
              <w:pStyle w:val="TableContents"/>
              <w:spacing w:before="0" w:after="0"/>
              <w:ind w:left="0" w:right="0" w:hanging="0"/>
              <w:rPr/>
            </w:pPr>
            <w:r>
              <w:rPr/>
              <w:t xml:space="preserve">PAA GP LLC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Texas</w:t>
            </w:r>
          </w:p>
        </w:tc>
      </w:tr>
      <w:tr>
        <w:trPr/>
        <w:tc>
          <w:tcPr>
            <w:tcW w:w="4899" w:type="dxa"/>
            <w:tcBorders/>
            <w:shd w:fill="auto" w:val="clear"/>
          </w:tcPr>
          <w:p>
            <w:pPr>
              <w:pStyle w:val="TableContents"/>
              <w:spacing w:before="0" w:after="0"/>
              <w:ind w:left="0" w:right="0" w:hanging="0"/>
              <w:rPr/>
            </w:pPr>
            <w:r>
              <w:rPr/>
              <w:t xml:space="preserve">Plains AAP, L.P.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Texas</w:t>
            </w:r>
          </w:p>
        </w:tc>
      </w:tr>
      <w:tr>
        <w:trPr/>
        <w:tc>
          <w:tcPr>
            <w:tcW w:w="4899" w:type="dxa"/>
            <w:tcBorders/>
            <w:shd w:fill="auto" w:val="clear"/>
          </w:tcPr>
          <w:p>
            <w:pPr>
              <w:pStyle w:val="TableContents"/>
              <w:spacing w:before="0" w:after="0"/>
              <w:ind w:left="0" w:right="0" w:hanging="0"/>
              <w:rPr/>
            </w:pPr>
            <w:r>
              <w:rPr/>
              <w:t xml:space="preserve">Plains All American GP LLC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California, Illinois, Louisiana, Oklahoma, Texas</w:t>
            </w:r>
          </w:p>
        </w:tc>
      </w:tr>
      <w:tr>
        <w:trPr/>
        <w:tc>
          <w:tcPr>
            <w:tcW w:w="4899" w:type="dxa"/>
            <w:tcBorders/>
            <w:shd w:fill="auto" w:val="clear"/>
          </w:tcPr>
          <w:p>
            <w:pPr>
              <w:pStyle w:val="TableContents"/>
              <w:spacing w:before="0" w:after="0"/>
              <w:ind w:left="0" w:right="0" w:hanging="0"/>
              <w:rPr/>
            </w:pPr>
            <w:r>
              <w:rPr/>
              <w:t xml:space="preserve">Plains Marketing, L.P.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California, Illinois, Louisiana, Oklahoma</w:t>
            </w:r>
          </w:p>
        </w:tc>
      </w:tr>
      <w:tr>
        <w:trPr/>
        <w:tc>
          <w:tcPr>
            <w:tcW w:w="4899" w:type="dxa"/>
            <w:tcBorders/>
            <w:shd w:fill="auto" w:val="clear"/>
          </w:tcPr>
          <w:p>
            <w:pPr>
              <w:pStyle w:val="TableContents"/>
              <w:spacing w:before="0" w:after="0"/>
              <w:ind w:left="0" w:right="0" w:hanging="0"/>
              <w:rPr/>
            </w:pPr>
            <w:r>
              <w:rPr/>
              <w:t xml:space="preserve">Plains Pipeline, L.P.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California, Illinois, Louisiana, Oklahoma</w:t>
            </w:r>
          </w:p>
        </w:tc>
      </w:tr>
      <w:tr>
        <w:trPr/>
        <w:tc>
          <w:tcPr>
            <w:tcW w:w="4899" w:type="dxa"/>
            <w:tcBorders/>
            <w:shd w:fill="auto" w:val="clear"/>
          </w:tcPr>
          <w:p>
            <w:pPr>
              <w:pStyle w:val="TableContents"/>
              <w:spacing w:before="0" w:after="0"/>
              <w:ind w:left="0" w:right="0" w:hanging="0"/>
              <w:rPr/>
            </w:pPr>
            <w:r>
              <w:rPr/>
              <w:t xml:space="preserve">Plains Products Terminals LLC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California</w:t>
            </w:r>
          </w:p>
        </w:tc>
      </w:tr>
      <w:tr>
        <w:trPr/>
        <w:tc>
          <w:tcPr>
            <w:tcW w:w="4899" w:type="dxa"/>
            <w:tcBorders/>
            <w:shd w:fill="auto" w:val="clear"/>
          </w:tcPr>
          <w:p>
            <w:pPr>
              <w:pStyle w:val="TableContents"/>
              <w:spacing w:before="0" w:after="0"/>
              <w:ind w:left="0" w:right="0" w:hanging="0"/>
              <w:rPr/>
            </w:pPr>
            <w:r>
              <w:rPr/>
              <w:t xml:space="preserve">Plains Midstream Canada ULC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British Columbia, Manitoba, Quebec, New Brunswick, Nova Scotia, Ontario and Saskatchewan</w:t>
            </w:r>
          </w:p>
        </w:tc>
      </w:tr>
      <w:tr>
        <w:trPr/>
        <w:tc>
          <w:tcPr>
            <w:tcW w:w="4899" w:type="dxa"/>
            <w:tcBorders/>
            <w:shd w:fill="auto" w:val="clear"/>
          </w:tcPr>
          <w:p>
            <w:pPr>
              <w:pStyle w:val="TableContents"/>
              <w:spacing w:before="0" w:after="0"/>
              <w:ind w:left="0" w:right="0" w:hanging="0"/>
              <w:rPr/>
            </w:pPr>
            <w:r>
              <w:rPr/>
              <w:t xml:space="preserve">Pacific Pipeline System LLC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California</w:t>
            </w:r>
          </w:p>
        </w:tc>
      </w:tr>
      <w:tr>
        <w:trPr/>
        <w:tc>
          <w:tcPr>
            <w:tcW w:w="4899" w:type="dxa"/>
            <w:tcBorders/>
            <w:shd w:fill="auto" w:val="clear"/>
          </w:tcPr>
          <w:p>
            <w:pPr>
              <w:pStyle w:val="TableContents"/>
              <w:spacing w:before="0" w:after="0"/>
              <w:ind w:left="0" w:right="0" w:hanging="0"/>
              <w:rPr/>
            </w:pPr>
            <w:r>
              <w:rPr/>
              <w:t xml:space="preserve">Plains West Coast Terminals LLC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California</w:t>
            </w:r>
          </w:p>
        </w:tc>
      </w:tr>
      <w:tr>
        <w:trPr/>
        <w:tc>
          <w:tcPr>
            <w:tcW w:w="4899" w:type="dxa"/>
            <w:tcBorders/>
            <w:shd w:fill="auto" w:val="clear"/>
          </w:tcPr>
          <w:p>
            <w:pPr>
              <w:pStyle w:val="TableContents"/>
              <w:spacing w:before="0" w:after="0"/>
              <w:ind w:left="0" w:right="0" w:hanging="0"/>
              <w:rPr/>
            </w:pPr>
            <w:r>
              <w:rPr/>
              <w:t xml:space="preserve">Rocky Mountain Pipeline System LLC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Utah</w:t>
            </w:r>
          </w:p>
        </w:tc>
      </w:tr>
      <w:tr>
        <w:trPr/>
        <w:tc>
          <w:tcPr>
            <w:tcW w:w="4899" w:type="dxa"/>
            <w:tcBorders/>
            <w:shd w:fill="auto" w:val="clear"/>
          </w:tcPr>
          <w:p>
            <w:pPr>
              <w:pStyle w:val="TableContents"/>
              <w:spacing w:before="0" w:after="0"/>
              <w:ind w:left="0" w:right="0" w:hanging="0"/>
              <w:rPr/>
            </w:pPr>
            <w:r>
              <w:rPr/>
              <w:t xml:space="preserve">Pine Prairie Energy Center, LLC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Louisiana</w:t>
            </w:r>
          </w:p>
        </w:tc>
      </w:tr>
      <w:tr>
        <w:trPr/>
        <w:tc>
          <w:tcPr>
            <w:tcW w:w="4899" w:type="dxa"/>
            <w:tcBorders/>
            <w:shd w:fill="auto" w:val="clear"/>
          </w:tcPr>
          <w:p>
            <w:pPr>
              <w:pStyle w:val="TableContents"/>
              <w:spacing w:before="0" w:after="0"/>
              <w:ind w:left="0" w:right="0" w:hanging="0"/>
              <w:rPr/>
            </w:pPr>
            <w:r>
              <w:rPr/>
              <w:t xml:space="preserve">SG Resources Mississippi LLC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Mississippi</w:t>
            </w:r>
          </w:p>
        </w:tc>
      </w:tr>
      <w:tr>
        <w:trPr/>
        <w:tc>
          <w:tcPr>
            <w:tcW w:w="4899" w:type="dxa"/>
            <w:tcBorders/>
            <w:shd w:fill="auto" w:val="clear"/>
          </w:tcPr>
          <w:p>
            <w:pPr>
              <w:pStyle w:val="TableContents"/>
              <w:spacing w:before="0" w:after="0"/>
              <w:ind w:left="0" w:right="0" w:hanging="0"/>
              <w:rPr/>
            </w:pPr>
            <w:r>
              <w:rPr/>
              <w:t xml:space="preserve">Plains LPG Services LP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left"/>
              <w:rPr/>
            </w:pPr>
            <w:r>
              <w:rPr/>
              <w:t>California, Illinois, Oklahoma, Texas</w:t>
            </w:r>
          </w:p>
        </w:tc>
      </w:tr>
    </w:tbl>
    <w:p>
      <w:pPr>
        <w:pStyle w:val="TextBody"/>
        <w:spacing w:before="120" w:after="283"/>
        <w:jc w:val="center"/>
        <w:rPr>
          <w:rFonts w:ascii="Times New Roman;Times;serif" w:hAnsi="Times New Roman;Times;serif"/>
          <w:sz w:val="17"/>
        </w:rPr>
      </w:pPr>
      <w:r>
        <w:rPr>
          <w:rFonts w:ascii="Times New Roman;Times;serif" w:hAnsi="Times New Roman;Times;serif"/>
          <w:i/>
          <w:sz w:val="17"/>
        </w:rPr>
        <w:t>Exhibit A</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EXHIBIT B</w:t>
      </w:r>
      <w:r>
        <w:rPr>
          <w:rFonts w:ascii="Times New Roman;Times;serif" w:hAnsi="Times New Roman;Times;serif"/>
          <w:sz w:val="17"/>
        </w:rPr>
        <w:br/>
        <w:br/>
        <w:t xml:space="preserve">August 11, 2011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Plains All American Pipeline, L.P. </w:t>
      </w:r>
    </w:p>
    <w:p>
      <w:pPr>
        <w:pStyle w:val="TextBody"/>
        <w:spacing w:before="0" w:after="283"/>
        <w:jc w:val="center"/>
        <w:rPr>
          <w:rFonts w:ascii="Times New Roman;Times;serif" w:hAnsi="Times New Roman;Times;serif"/>
          <w:sz w:val="17"/>
        </w:rPr>
      </w:pPr>
      <w:r>
        <w:rPr>
          <w:rFonts w:ascii="Times New Roman;Times;serif" w:hAnsi="Times New Roman;Times;serif"/>
          <w:sz w:val="17"/>
          <w:u w:val="single"/>
        </w:rPr>
        <w:t>Public Offering of Common Units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Citigroup Global Markets Inc.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Barclays Capital Inc. </w:t>
      </w:r>
    </w:p>
    <w:p>
      <w:pPr>
        <w:pStyle w:val="TextBody"/>
        <w:spacing w:before="0" w:after="283"/>
        <w:jc w:val="left"/>
        <w:rPr>
          <w:rFonts w:ascii="Times New Roman;Times;serif" w:hAnsi="Times New Roman;Times;serif"/>
          <w:sz w:val="17"/>
        </w:rPr>
      </w:pPr>
      <w:r>
        <w:rPr>
          <w:rFonts w:ascii="Times New Roman;Times;serif" w:hAnsi="Times New Roman;Times;serif"/>
          <w:sz w:val="17"/>
        </w:rPr>
        <w:t>Merrill Lynch, Pierce, Fenner &amp; Smith</w:t>
        <w:br/>
        <w:t>                     Incorporated</w:t>
        <w:br/>
        <w:t xml:space="preserve">J.P. Morgan Securities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UBS Securities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As Representatives of the several Underwriters</w:t>
        <w:br/>
        <w:br/>
        <w:t xml:space="preserve">c/o Citigroup Global Markets Inc.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388 Greenwich St., 34th Floor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New York, New York 10013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This letter is being delivered to you in connection with the proposed Underwriting Agreement (the </w:t>
      </w:r>
      <w:r>
        <w:rPr>
          <w:rFonts w:ascii="Times New Roman;Times;serif" w:hAnsi="Times New Roman;Times;serif"/>
          <w:b/>
          <w:sz w:val="17"/>
        </w:rPr>
        <w:t>Underwriting Agreement</w:t>
      </w:r>
      <w:r>
        <w:rPr>
          <w:rFonts w:ascii="Times New Roman;Times;serif" w:hAnsi="Times New Roman;Times;serif"/>
          <w:sz w:val="17"/>
        </w:rPr>
        <w:t>) among Vulcan Energy Corporation, a Delaware corporation, Plains All American Pipeline, L.P., a Delaware limited partnership (the </w:t>
      </w:r>
      <w:r>
        <w:rPr>
          <w:rFonts w:ascii="Times New Roman;Times;serif" w:hAnsi="Times New Roman;Times;serif"/>
          <w:b/>
          <w:sz w:val="17"/>
        </w:rPr>
        <w:t>Partnership</w:t>
      </w:r>
      <w:r>
        <w:rPr>
          <w:rFonts w:ascii="Times New Roman;Times;serif" w:hAnsi="Times New Roman;Times;serif"/>
          <w:sz w:val="17"/>
        </w:rPr>
        <w:t>), Citigroup Global Markets Inc., Barclays Capital Inc., Merrill Lynch, Pierce, Fenner &amp; Smith Incorporated, J.P. Morgan Securities LLC and UBS Securities LLC and any other party thereto named therein as an underwriter (the </w:t>
      </w:r>
      <w:r>
        <w:rPr>
          <w:rFonts w:ascii="Times New Roman;Times;serif" w:hAnsi="Times New Roman;Times;serif"/>
          <w:b/>
          <w:sz w:val="17"/>
        </w:rPr>
        <w:t>Underwriters</w:t>
      </w:r>
      <w:r>
        <w:rPr>
          <w:rFonts w:ascii="Times New Roman;Times;serif" w:hAnsi="Times New Roman;Times;serif"/>
          <w:sz w:val="17"/>
        </w:rPr>
        <w:t xml:space="preserve">) relating to an underwritten public offering of common units representing limited partner interests of the Partnership. </w:t>
      </w:r>
    </w:p>
    <w:p>
      <w:pPr>
        <w:pStyle w:val="TextBody"/>
        <w:spacing w:before="120" w:after="283"/>
        <w:jc w:val="left"/>
        <w:rPr/>
      </w:pPr>
      <w:r>
        <w:rPr/>
        <w:t>          </w:t>
      </w:r>
      <w:r>
        <w:rPr>
          <w:rFonts w:ascii="Times New Roman;Times;serif" w:hAnsi="Times New Roman;Times;serif"/>
          <w:sz w:val="17"/>
        </w:rPr>
        <w:t xml:space="preserve">To induce you and the other underwriters to enter into the Underwriting Agreement, the undersigned agrees that, except for transfers of Common Units (as defined in the Underwriting Agreement) in connection with sales to pay tax liabilities associated with the vesting of Restricted Unit or Phantom Unit awards under the Plains All American GP LLC 1998, 2005 or PPX Successor Long-Term Incentive Plans,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w:t>
      </w:r>
    </w:p>
    <w:p>
      <w:pPr>
        <w:pStyle w:val="TextBody"/>
        <w:spacing w:before="120" w:after="283"/>
        <w:jc w:val="center"/>
        <w:rPr>
          <w:rFonts w:ascii="Times New Roman;Times;serif" w:hAnsi="Times New Roman;Times;serif"/>
          <w:sz w:val="17"/>
        </w:rPr>
      </w:pPr>
      <w:r>
        <w:rPr>
          <w:rFonts w:ascii="Times New Roman;Times;serif" w:hAnsi="Times New Roman;Times;serif"/>
          <w:i/>
          <w:sz w:val="17"/>
        </w:rPr>
        <w:t>Exhibit B-1</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w:t>
      </w:r>
      <w:r>
        <w:rPr>
          <w:rFonts w:ascii="Times New Roman;Times;serif" w:hAnsi="Times New Roman;Times;serif"/>
          <w:i/>
          <w:sz w:val="17"/>
        </w:rPr>
        <w:t xml:space="preserve">pari passu </w:t>
      </w:r>
      <w:r>
        <w:rPr>
          <w:rFonts w:ascii="Times New Roman;Times;serif" w:hAnsi="Times New Roman;Times;serif"/>
          <w:sz w:val="17"/>
        </w:rPr>
        <w:t>with Common Units, or publicly announce an intention to effect any such transaction, for a period of 45 days after the date of the Prospectus (as defined in the Underwriting Agreement) (the </w:t>
      </w:r>
      <w:r>
        <w:rPr>
          <w:rFonts w:ascii="Times New Roman;Times;serif" w:hAnsi="Times New Roman;Times;serif"/>
          <w:b/>
          <w:sz w:val="17"/>
        </w:rPr>
        <w:t>Lock-Up Period</w:t>
      </w:r>
      <w:r>
        <w:rPr>
          <w:rFonts w:ascii="Times New Roman;Times;serif" w:hAnsi="Times New Roman;Times;serif"/>
          <w:sz w:val="17"/>
        </w:rPr>
        <w:t xml:space="preserve">) without the prior written consent of Citigroup Global Markets Inc. </w:t>
      </w:r>
    </w:p>
    <w:p>
      <w:pPr>
        <w:pStyle w:val="TextBody"/>
        <w:spacing w:before="120" w:after="283"/>
        <w:jc w:val="left"/>
        <w:rPr/>
      </w:pPr>
      <w:r>
        <w:rPr/>
        <w:t>     </w:t>
      </w:r>
      <w:r>
        <w:rPr>
          <w:rFonts w:ascii="Times New Roman;Times;serif" w:hAnsi="Times New Roman;Times;serif"/>
          <w:sz w:val="17"/>
        </w:rPr>
        <w:t xml:space="preserve">If for any reason the Underwriting Agreement is terminated before the applicable Delivery Date (as defined in the Underwriting Agreement), the agreement set forth above shall likewise be terminated. </w:t>
      </w:r>
    </w:p>
    <w:tbl>
      <w:tblPr>
        <w:tblW w:w="5000" w:type="pct"/>
        <w:jc w:val="left"/>
        <w:tblInd w:w="0" w:type="dxa"/>
        <w:tblCellMar>
          <w:top w:w="0" w:type="dxa"/>
          <w:left w:w="0" w:type="dxa"/>
          <w:bottom w:w="0" w:type="dxa"/>
          <w:right w:w="0" w:type="dxa"/>
        </w:tblCellMar>
      </w:tblPr>
      <w:tblGrid>
        <w:gridCol w:w="4497"/>
        <w:gridCol w:w="821"/>
        <w:gridCol w:w="147"/>
        <w:gridCol w:w="3294"/>
        <w:gridCol w:w="1446"/>
      </w:tblGrid>
      <w:tr>
        <w:trPr/>
        <w:tc>
          <w:tcPr>
            <w:tcW w:w="4497" w:type="dxa"/>
            <w:tcBorders/>
            <w:shd w:fill="auto" w:val="clear"/>
            <w:vAlign w:val="center"/>
          </w:tcPr>
          <w:p>
            <w:pPr>
              <w:pStyle w:val="TableContents"/>
              <w:spacing w:before="0" w:after="283"/>
              <w:rPr/>
            </w:pPr>
            <w:r>
              <w:rPr/>
              <w:t> </w:t>
            </w:r>
          </w:p>
        </w:tc>
        <w:tc>
          <w:tcPr>
            <w:tcW w:w="821" w:type="dxa"/>
            <w:tcBorders/>
            <w:shd w:fill="auto" w:val="clear"/>
            <w:vAlign w:val="center"/>
          </w:tcPr>
          <w:p>
            <w:pPr>
              <w:pStyle w:val="TableContents"/>
              <w:spacing w:before="0" w:after="283"/>
              <w:rPr/>
            </w:pPr>
            <w:r>
              <w:rPr/>
              <w:t> </w:t>
            </w:r>
          </w:p>
        </w:tc>
        <w:tc>
          <w:tcPr>
            <w:tcW w:w="147" w:type="dxa"/>
            <w:tcBorders/>
            <w:shd w:fill="auto" w:val="clear"/>
            <w:vAlign w:val="center"/>
          </w:tcPr>
          <w:p>
            <w:pPr>
              <w:pStyle w:val="TableContents"/>
              <w:spacing w:before="0" w:after="283"/>
              <w:rPr/>
            </w:pPr>
            <w:r>
              <w:rPr/>
              <w:t> </w:t>
            </w:r>
          </w:p>
        </w:tc>
        <w:tc>
          <w:tcPr>
            <w:tcW w:w="3294" w:type="dxa"/>
            <w:tcBorders/>
            <w:shd w:fill="auto" w:val="clear"/>
            <w:vAlign w:val="center"/>
          </w:tcPr>
          <w:p>
            <w:pPr>
              <w:pStyle w:val="TableContents"/>
              <w:spacing w:before="0" w:after="283"/>
              <w:rPr/>
            </w:pPr>
            <w:r>
              <w:rPr/>
              <w:t> </w:t>
            </w:r>
          </w:p>
        </w:tc>
        <w:tc>
          <w:tcPr>
            <w:tcW w:w="1446" w:type="dxa"/>
            <w:tcBorders/>
            <w:shd w:fill="auto" w:val="clear"/>
            <w:vAlign w:val="center"/>
          </w:tcPr>
          <w:p>
            <w:pPr>
              <w:pStyle w:val="TableContents"/>
              <w:spacing w:before="0" w:after="283"/>
              <w:rPr/>
            </w:pPr>
            <w:r>
              <w:rPr/>
              <w:t> </w:t>
            </w:r>
          </w:p>
        </w:tc>
      </w:tr>
      <w:tr>
        <w:trPr/>
        <w:tc>
          <w:tcPr>
            <w:tcW w:w="4497" w:type="dxa"/>
            <w:tcBorders/>
            <w:shd w:fill="auto" w:val="clear"/>
          </w:tcPr>
          <w:p>
            <w:pPr>
              <w:pStyle w:val="TableContents"/>
              <w:spacing w:before="0" w:after="283"/>
              <w:jc w:val="left"/>
              <w:rPr/>
            </w:pPr>
            <w:r>
              <w:rPr/>
              <w:t> </w:t>
            </w:r>
          </w:p>
        </w:tc>
        <w:tc>
          <w:tcPr>
            <w:tcW w:w="4262" w:type="dxa"/>
            <w:gridSpan w:val="3"/>
            <w:tcBorders/>
            <w:shd w:fill="auto" w:val="clear"/>
            <w:vAlign w:val="center"/>
          </w:tcPr>
          <w:p>
            <w:pPr>
              <w:pStyle w:val="TableContents"/>
              <w:spacing w:before="0" w:after="283"/>
              <w:jc w:val="left"/>
              <w:rPr/>
            </w:pPr>
            <w:r>
              <w:rPr/>
              <w:t>Yours very truly,</w:t>
              <w:br/>
              <w:t> </w:t>
            </w:r>
          </w:p>
        </w:tc>
        <w:tc>
          <w:tcPr>
            <w:tcW w:w="1446" w:type="dxa"/>
            <w:tcBorders/>
            <w:shd w:fill="auto" w:val="clear"/>
            <w:vAlign w:val="center"/>
          </w:tcPr>
          <w:p>
            <w:pPr>
              <w:pStyle w:val="TableContents"/>
              <w:spacing w:before="0" w:after="283"/>
              <w:rPr/>
            </w:pPr>
            <w:r>
              <w:rPr/>
              <w:t> </w:t>
            </w:r>
          </w:p>
        </w:tc>
      </w:tr>
      <w:tr>
        <w:trPr/>
        <w:tc>
          <w:tcPr>
            <w:tcW w:w="4497" w:type="dxa"/>
            <w:tcBorders/>
            <w:shd w:fill="auto" w:val="clear"/>
            <w:vAlign w:val="center"/>
          </w:tcPr>
          <w:p>
            <w:pPr>
              <w:pStyle w:val="TableContents"/>
              <w:spacing w:before="0" w:after="283"/>
              <w:jc w:val="left"/>
              <w:rPr/>
            </w:pPr>
            <w:r>
              <w:rPr/>
              <w:t> </w:t>
            </w:r>
          </w:p>
        </w:tc>
        <w:tc>
          <w:tcPr>
            <w:tcW w:w="4262" w:type="dxa"/>
            <w:gridSpan w:val="3"/>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446" w:type="dxa"/>
            <w:tcBorders/>
            <w:shd w:fill="auto" w:val="clear"/>
            <w:vAlign w:val="center"/>
          </w:tcPr>
          <w:p>
            <w:pPr>
              <w:pStyle w:val="TableContents"/>
              <w:spacing w:before="0" w:after="283"/>
              <w:rPr/>
            </w:pPr>
            <w:r>
              <w:rPr/>
              <w:t> </w:t>
            </w:r>
          </w:p>
        </w:tc>
      </w:tr>
      <w:tr>
        <w:trPr/>
        <w:tc>
          <w:tcPr>
            <w:tcW w:w="4497" w:type="dxa"/>
            <w:tcBorders/>
            <w:shd w:fill="auto" w:val="clear"/>
            <w:vAlign w:val="center"/>
          </w:tcPr>
          <w:p>
            <w:pPr>
              <w:pStyle w:val="TableContents"/>
              <w:spacing w:before="0" w:after="283"/>
              <w:jc w:val="left"/>
              <w:rPr/>
            </w:pPr>
            <w:r>
              <w:rPr/>
              <w:t> </w:t>
            </w:r>
          </w:p>
        </w:tc>
        <w:tc>
          <w:tcPr>
            <w:tcW w:w="821" w:type="dxa"/>
            <w:tcBorders/>
            <w:shd w:fill="auto" w:val="clear"/>
          </w:tcPr>
          <w:p>
            <w:pPr>
              <w:pStyle w:val="TableContents"/>
              <w:spacing w:before="0" w:after="283"/>
              <w:rPr/>
            </w:pPr>
            <w:r>
              <w:rPr/>
              <w:t>Name:  </w:t>
            </w:r>
          </w:p>
        </w:tc>
        <w:tc>
          <w:tcPr>
            <w:tcW w:w="3441" w:type="dxa"/>
            <w:gridSpan w:val="2"/>
            <w:tcBorders/>
            <w:shd w:fill="auto" w:val="clear"/>
            <w:vAlign w:val="center"/>
          </w:tcPr>
          <w:p>
            <w:pPr>
              <w:pStyle w:val="TableContents"/>
              <w:spacing w:before="0" w:after="283"/>
              <w:jc w:val="left"/>
              <w:rPr/>
            </w:pPr>
            <w:r>
              <w:rPr/>
              <w:t> </w:t>
            </w:r>
          </w:p>
        </w:tc>
        <w:tc>
          <w:tcPr>
            <w:tcW w:w="1446" w:type="dxa"/>
            <w:tcBorders/>
            <w:shd w:fill="auto" w:val="clear"/>
            <w:vAlign w:val="center"/>
          </w:tcPr>
          <w:p>
            <w:pPr>
              <w:pStyle w:val="TableContents"/>
              <w:spacing w:before="0" w:after="283"/>
              <w:rPr/>
            </w:pPr>
            <w:r>
              <w:rPr/>
              <w:t> </w:t>
            </w:r>
          </w:p>
        </w:tc>
      </w:tr>
      <w:tr>
        <w:trPr/>
        <w:tc>
          <w:tcPr>
            <w:tcW w:w="4497" w:type="dxa"/>
            <w:tcBorders/>
            <w:shd w:fill="auto" w:val="clear"/>
            <w:vAlign w:val="center"/>
          </w:tcPr>
          <w:p>
            <w:pPr>
              <w:pStyle w:val="TableContents"/>
              <w:spacing w:before="0" w:after="283"/>
              <w:jc w:val="left"/>
              <w:rPr/>
            </w:pPr>
            <w:r>
              <w:rPr/>
              <w:t> </w:t>
            </w:r>
          </w:p>
        </w:tc>
        <w:tc>
          <w:tcPr>
            <w:tcW w:w="821" w:type="dxa"/>
            <w:tcBorders/>
            <w:shd w:fill="auto" w:val="clear"/>
          </w:tcPr>
          <w:p>
            <w:pPr>
              <w:pStyle w:val="TableContents"/>
              <w:spacing w:before="0" w:after="283"/>
              <w:rPr/>
            </w:pPr>
            <w:r>
              <w:rPr/>
              <w:t>Title:  </w:t>
              <w:br/>
              <w:t>Address:</w:t>
            </w:r>
          </w:p>
        </w:tc>
        <w:tc>
          <w:tcPr>
            <w:tcW w:w="3441" w:type="dxa"/>
            <w:gridSpan w:val="2"/>
            <w:tcBorders/>
            <w:shd w:fill="auto" w:val="clear"/>
            <w:vAlign w:val="center"/>
          </w:tcPr>
          <w:p>
            <w:pPr>
              <w:pStyle w:val="TableContents"/>
              <w:spacing w:before="0" w:after="283"/>
              <w:jc w:val="left"/>
              <w:rPr/>
            </w:pPr>
            <w:r>
              <w:rPr/>
              <w:t> </w:t>
            </w:r>
          </w:p>
        </w:tc>
        <w:tc>
          <w:tcPr>
            <w:tcW w:w="1446" w:type="dxa"/>
            <w:tcBorders/>
            <w:shd w:fill="auto" w:val="clear"/>
            <w:vAlign w:val="center"/>
          </w:tcPr>
          <w:p>
            <w:pPr>
              <w:pStyle w:val="TableContents"/>
              <w:spacing w:before="0" w:after="283"/>
              <w:rPr/>
            </w:pPr>
            <w:r>
              <w:rPr/>
              <w:t> </w:t>
            </w:r>
          </w:p>
        </w:tc>
      </w:tr>
    </w:tbl>
    <w:p>
      <w:pPr>
        <w:pStyle w:val="TextBody"/>
        <w:spacing w:before="240" w:after="283"/>
        <w:jc w:val="center"/>
        <w:rPr>
          <w:rFonts w:ascii="Times New Roman;Times;serif" w:hAnsi="Times New Roman;Times;serif"/>
          <w:sz w:val="17"/>
        </w:rPr>
      </w:pPr>
      <w:r>
        <w:rPr>
          <w:rFonts w:ascii="Times New Roman;Times;serif" w:hAnsi="Times New Roman;Times;serif"/>
          <w:i/>
          <w:sz w:val="17"/>
        </w:rPr>
        <w:t>Exhibit B-2</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EXHIBIT 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CHIEF FINANCIAL OFFICERS CERTIFICATE</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August 11, 2011 </w:t>
      </w:r>
    </w:p>
    <w:p>
      <w:pPr>
        <w:pStyle w:val="TextBody"/>
        <w:spacing w:before="120" w:after="283"/>
        <w:jc w:val="left"/>
        <w:rPr/>
      </w:pPr>
      <w:r>
        <w:rPr/>
        <w:t>          </w:t>
      </w:r>
      <w:r>
        <w:rPr>
          <w:rFonts w:ascii="Times New Roman;Times;serif" w:hAnsi="Times New Roman;Times;serif"/>
          <w:sz w:val="17"/>
        </w:rPr>
        <w:t>The undersigned, in his capacity as the Chief Financial Officer of PAA GP LLC, a Delaware limited liability company and the general partner of Plains All American Pipeline, L.P., a Delaware limited partnership (the </w:t>
      </w:r>
      <w:r>
        <w:rPr>
          <w:rFonts w:ascii="Times New Roman;Times;serif" w:hAnsi="Times New Roman;Times;serif"/>
          <w:b/>
          <w:sz w:val="17"/>
        </w:rPr>
        <w:t>Partnership</w:t>
      </w:r>
      <w:r>
        <w:rPr>
          <w:rFonts w:ascii="Times New Roman;Times;serif" w:hAnsi="Times New Roman;Times;serif"/>
          <w:sz w:val="17"/>
        </w:rPr>
        <w:t xml:space="preserve">),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2011. In addition as of the date of this certificate, the total debt of the Partnership is approximately $5.4 billion. </w:t>
      </w:r>
    </w:p>
    <w:p>
      <w:pPr>
        <w:pStyle w:val="TextBody"/>
        <w:spacing w:before="120" w:after="283"/>
        <w:jc w:val="left"/>
        <w:rPr/>
      </w:pPr>
      <w:r>
        <w:rPr/>
        <w:t>          </w:t>
      </w:r>
      <w:r>
        <w:rPr>
          <w:rFonts w:ascii="Times New Roman;Times;serif" w:hAnsi="Times New Roman;Times;serif"/>
          <w:sz w:val="17"/>
        </w:rPr>
        <w:t xml:space="preserve">Capitalized terms used but not defined herein have the meanings assigned to them in the Underwriting Agreement dated as of the date hereof by and among the Partnership, Vulcan Energy Corporation and Citigroup Global Markets Inc., Barclays Capital Inc., Merrill Lynch, Pierce, Fenner &amp; Smith Incorporated, J.P. Morgan Securities LLC and UBS Securities LLC as the representatives of the Underwriters. </w:t>
      </w:r>
    </w:p>
    <w:p>
      <w:pPr>
        <w:pStyle w:val="TextBody"/>
        <w:spacing w:before="120" w:after="283"/>
        <w:jc w:val="left"/>
        <w:rPr/>
      </w:pPr>
      <w:r>
        <w:rPr/>
        <w:t>          </w:t>
      </w:r>
      <w:r>
        <w:rPr>
          <w:rFonts w:ascii="Times New Roman;Times;serif" w:hAnsi="Times New Roman;Times;serif"/>
          <w:sz w:val="17"/>
        </w:rPr>
        <w:t xml:space="preserve">This certificate is to assist the Underwriters in conducting and documenting their investigation of the affairs of the Partnership in connection with the offering of the Units covered by the Registration Statement, the Pricing Disclosure Package and the Prospectus.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[Signature Page Follows] </w:t>
      </w:r>
    </w:p>
    <w:p>
      <w:pPr>
        <w:pStyle w:val="TextBody"/>
        <w:spacing w:before="120" w:after="283"/>
        <w:jc w:val="center"/>
        <w:rPr>
          <w:rFonts w:ascii="Times New Roman;Times;serif" w:hAnsi="Times New Roman;Times;serif"/>
          <w:sz w:val="17"/>
        </w:rPr>
      </w:pPr>
      <w:r>
        <w:rPr>
          <w:rFonts w:ascii="Times New Roman;Times;serif" w:hAnsi="Times New Roman;Times;serif"/>
          <w:i/>
          <w:sz w:val="17"/>
        </w:rPr>
        <w:t>Exhibit C-1</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the undersigned has hereunto affixed his signature as of the date first written above. </w:t>
      </w:r>
    </w:p>
    <w:tbl>
      <w:tblPr>
        <w:tblW w:w="5000" w:type="pct"/>
        <w:jc w:val="left"/>
        <w:tblInd w:w="0" w:type="dxa"/>
        <w:tblCellMar>
          <w:top w:w="0" w:type="dxa"/>
          <w:left w:w="0" w:type="dxa"/>
          <w:bottom w:w="0" w:type="dxa"/>
          <w:right w:w="0" w:type="dxa"/>
        </w:tblCellMar>
      </w:tblPr>
      <w:tblGrid>
        <w:gridCol w:w="4563"/>
        <w:gridCol w:w="326"/>
        <w:gridCol w:w="326"/>
        <w:gridCol w:w="3530"/>
        <w:gridCol w:w="1460"/>
      </w:tblGrid>
      <w:tr>
        <w:trPr/>
        <w:tc>
          <w:tcPr>
            <w:tcW w:w="4563"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rPr/>
            </w:pPr>
            <w:r>
              <w:rPr/>
              <w:t> </w:t>
            </w:r>
          </w:p>
        </w:tc>
      </w:tr>
      <w:tr>
        <w:trPr/>
        <w:tc>
          <w:tcPr>
            <w:tcW w:w="4563" w:type="dxa"/>
            <w:tcBorders/>
            <w:shd w:fill="auto" w:val="clear"/>
          </w:tcPr>
          <w:p>
            <w:pPr>
              <w:pStyle w:val="TableContents"/>
              <w:spacing w:before="0" w:after="283"/>
              <w:jc w:val="left"/>
              <w:rPr/>
            </w:pPr>
            <w:r>
              <w:rPr/>
              <w:t> </w:t>
            </w:r>
          </w:p>
        </w:tc>
        <w:tc>
          <w:tcPr>
            <w:tcW w:w="4182" w:type="dxa"/>
            <w:gridSpan w:val="3"/>
            <w:tcBorders/>
            <w:shd w:fill="auto" w:val="clear"/>
            <w:vAlign w:val="center"/>
          </w:tcPr>
          <w:p>
            <w:pPr>
              <w:pStyle w:val="TableContents"/>
              <w:spacing w:before="0" w:after="283"/>
              <w:jc w:val="left"/>
              <w:rPr/>
            </w:pPr>
            <w:r>
              <w:rPr/>
              <w:t> </w:t>
            </w:r>
          </w:p>
        </w:tc>
        <w:tc>
          <w:tcPr>
            <w:tcW w:w="1460" w:type="dxa"/>
            <w:tcBorders/>
            <w:shd w:fill="auto" w:val="clear"/>
            <w:vAlign w:val="center"/>
          </w:tcPr>
          <w:p>
            <w:pPr>
              <w:pStyle w:val="TableContents"/>
              <w:spacing w:before="0" w:after="283"/>
              <w:rPr/>
            </w:pPr>
            <w:r>
              <w:rPr/>
              <w:t> </w:t>
            </w:r>
          </w:p>
        </w:tc>
      </w:tr>
      <w:tr>
        <w:trPr/>
        <w:tc>
          <w:tcPr>
            <w:tcW w:w="4563" w:type="dxa"/>
            <w:tcBorders/>
            <w:shd w:fill="auto" w:val="clear"/>
            <w:vAlign w:val="center"/>
          </w:tcPr>
          <w:p>
            <w:pPr>
              <w:pStyle w:val="TableContents"/>
              <w:spacing w:before="0" w:after="283"/>
              <w:jc w:val="left"/>
              <w:rPr/>
            </w:pPr>
            <w:r>
              <w:rPr/>
              <w:t> </w:t>
            </w:r>
          </w:p>
        </w:tc>
        <w:tc>
          <w:tcPr>
            <w:tcW w:w="4182" w:type="dxa"/>
            <w:gridSpan w:val="3"/>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460" w:type="dxa"/>
            <w:tcBorders/>
            <w:shd w:fill="auto" w:val="clear"/>
            <w:vAlign w:val="center"/>
          </w:tcPr>
          <w:p>
            <w:pPr>
              <w:pStyle w:val="TableContents"/>
              <w:spacing w:before="0" w:after="283"/>
              <w:rPr/>
            </w:pPr>
            <w:r>
              <w:rPr/>
              <w:t> </w:t>
            </w:r>
          </w:p>
        </w:tc>
      </w:tr>
      <w:tr>
        <w:trPr/>
        <w:tc>
          <w:tcPr>
            <w:tcW w:w="4563" w:type="dxa"/>
            <w:tcBorders/>
            <w:shd w:fill="auto" w:val="clear"/>
            <w:vAlign w:val="center"/>
          </w:tcPr>
          <w:p>
            <w:pPr>
              <w:pStyle w:val="TableContents"/>
              <w:spacing w:before="0" w:after="283"/>
              <w:jc w:val="left"/>
              <w:rPr/>
            </w:pPr>
            <w:r>
              <w:rPr/>
              <w:t> </w:t>
            </w:r>
          </w:p>
        </w:tc>
        <w:tc>
          <w:tcPr>
            <w:tcW w:w="4182" w:type="dxa"/>
            <w:gridSpan w:val="3"/>
            <w:tcBorders/>
            <w:shd w:fill="auto" w:val="clear"/>
            <w:vAlign w:val="center"/>
          </w:tcPr>
          <w:p>
            <w:pPr>
              <w:pStyle w:val="TableContents"/>
              <w:spacing w:before="0" w:after="283"/>
              <w:jc w:val="left"/>
              <w:rPr/>
            </w:pPr>
            <w:r>
              <w:rPr/>
              <w:t>Al Swanson </w:t>
            </w:r>
          </w:p>
        </w:tc>
        <w:tc>
          <w:tcPr>
            <w:tcW w:w="1460" w:type="dxa"/>
            <w:tcBorders/>
            <w:shd w:fill="auto" w:val="clear"/>
            <w:vAlign w:val="center"/>
          </w:tcPr>
          <w:p>
            <w:pPr>
              <w:pStyle w:val="TableContents"/>
              <w:spacing w:before="0" w:after="283"/>
              <w:rPr/>
            </w:pPr>
            <w:r>
              <w:rPr/>
              <w:t> </w:t>
            </w:r>
          </w:p>
        </w:tc>
      </w:tr>
      <w:tr>
        <w:trPr/>
        <w:tc>
          <w:tcPr>
            <w:tcW w:w="4563" w:type="dxa"/>
            <w:tcBorders/>
            <w:shd w:fill="auto" w:val="clear"/>
            <w:vAlign w:val="center"/>
          </w:tcPr>
          <w:p>
            <w:pPr>
              <w:pStyle w:val="TableContents"/>
              <w:spacing w:before="0" w:after="283"/>
              <w:jc w:val="left"/>
              <w:rPr/>
            </w:pPr>
            <w:r>
              <w:rPr/>
              <w:t> </w:t>
            </w:r>
          </w:p>
        </w:tc>
        <w:tc>
          <w:tcPr>
            <w:tcW w:w="4182" w:type="dxa"/>
            <w:gridSpan w:val="3"/>
            <w:tcBorders/>
            <w:shd w:fill="auto" w:val="clear"/>
            <w:vAlign w:val="center"/>
          </w:tcPr>
          <w:p>
            <w:pPr>
              <w:pStyle w:val="TableContents"/>
              <w:spacing w:before="0" w:after="283"/>
              <w:jc w:val="left"/>
              <w:rPr/>
            </w:pPr>
            <w:r>
              <w:rPr>
                <w:i/>
              </w:rPr>
              <w:t>Executive Vice President and</w:t>
              <w:br/>
              <w:t>Chief Financial Officer</w:t>
            </w:r>
            <w:r>
              <w:rPr/>
              <w:t> </w:t>
            </w:r>
          </w:p>
        </w:tc>
        <w:tc>
          <w:tcPr>
            <w:tcW w:w="1460" w:type="dxa"/>
            <w:tcBorders/>
            <w:shd w:fill="auto" w:val="clear"/>
            <w:vAlign w:val="center"/>
          </w:tcPr>
          <w:p>
            <w:pPr>
              <w:pStyle w:val="TableContents"/>
              <w:spacing w:before="0" w:after="283"/>
              <w:rPr/>
            </w:pPr>
            <w:r>
              <w:rPr/>
              <w:t> </w:t>
            </w:r>
          </w:p>
        </w:tc>
      </w:tr>
    </w:tbl>
    <w:p>
      <w:pPr>
        <w:pStyle w:val="TextBody"/>
        <w:spacing w:before="240" w:after="283"/>
        <w:jc w:val="center"/>
        <w:rPr>
          <w:rFonts w:ascii="Times New Roman;Times;serif" w:hAnsi="Times New Roman;Times;serif"/>
          <w:sz w:val="17"/>
        </w:rPr>
      </w:pPr>
      <w:r>
        <w:rPr>
          <w:rFonts w:ascii="Times New Roman;Times;serif" w:hAnsi="Times New Roman;Times;serif"/>
          <w:i/>
          <w:sz w:val="17"/>
        </w:rPr>
        <w:t>Exhibit C-2</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EXHIBIT D</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August 11, 2011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Plains All American Pipeline, L.P. </w:t>
      </w:r>
    </w:p>
    <w:p>
      <w:pPr>
        <w:pStyle w:val="TextBody"/>
        <w:spacing w:before="0" w:after="283"/>
        <w:jc w:val="center"/>
        <w:rPr>
          <w:rFonts w:ascii="Times New Roman;Times;serif" w:hAnsi="Times New Roman;Times;serif"/>
          <w:sz w:val="17"/>
        </w:rPr>
      </w:pPr>
      <w:r>
        <w:rPr>
          <w:rFonts w:ascii="Times New Roman;Times;serif" w:hAnsi="Times New Roman;Times;serif"/>
          <w:sz w:val="17"/>
          <w:u w:val="single"/>
        </w:rPr>
        <w:t>Public Offering of Common Units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Citigroup Global Markets Inc.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Barclays Capital Inc. </w:t>
      </w:r>
    </w:p>
    <w:p>
      <w:pPr>
        <w:pStyle w:val="TextBody"/>
        <w:spacing w:before="0" w:after="283"/>
        <w:jc w:val="left"/>
        <w:rPr>
          <w:rFonts w:ascii="Times New Roman;Times;serif" w:hAnsi="Times New Roman;Times;serif"/>
          <w:sz w:val="17"/>
        </w:rPr>
      </w:pPr>
      <w:r>
        <w:rPr>
          <w:rFonts w:ascii="Times New Roman;Times;serif" w:hAnsi="Times New Roman;Times;serif"/>
          <w:sz w:val="17"/>
        </w:rPr>
        <w:t>Merrill Lynch, Pierce, Fenner &amp; Smith</w:t>
        <w:br/>
        <w:t>                     Incorporated</w:t>
        <w:br/>
        <w:t xml:space="preserve">J.P. Morgan Securities LLC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UBS Securities LLC </w:t>
      </w:r>
    </w:p>
    <w:p>
      <w:pPr>
        <w:pStyle w:val="TextBody"/>
        <w:spacing w:before="120" w:after="283"/>
        <w:jc w:val="left"/>
        <w:rPr>
          <w:rFonts w:ascii="Times New Roman;Times;serif" w:hAnsi="Times New Roman;Times;serif"/>
          <w:sz w:val="17"/>
        </w:rPr>
      </w:pPr>
      <w:r>
        <w:rPr>
          <w:rFonts w:ascii="Times New Roman;Times;serif" w:hAnsi="Times New Roman;Times;serif"/>
          <w:sz w:val="17"/>
        </w:rPr>
        <w:t>As Representatives of the several Underwriters</w:t>
        <w:br/>
        <w:br/>
        <w:t xml:space="preserve">c/o Citigroup Global Markets Inc.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388 Greenwich St., 34th Floor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New York, New York 10013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This letter is being delivered to you in connection with the proposed Underwriting Agreement (the </w:t>
      </w:r>
      <w:r>
        <w:rPr>
          <w:rFonts w:ascii="Times New Roman;Times;serif" w:hAnsi="Times New Roman;Times;serif"/>
          <w:b/>
          <w:sz w:val="17"/>
        </w:rPr>
        <w:t>Underwriting Agreement</w:t>
      </w:r>
      <w:r>
        <w:rPr>
          <w:rFonts w:ascii="Times New Roman;Times;serif" w:hAnsi="Times New Roman;Times;serif"/>
          <w:sz w:val="17"/>
        </w:rPr>
        <w:t>) among Vulcan Energy Corporation, a Delaware corporation (the </w:t>
      </w:r>
      <w:r>
        <w:rPr>
          <w:rFonts w:ascii="Times New Roman;Times;serif" w:hAnsi="Times New Roman;Times;serif"/>
          <w:b/>
          <w:sz w:val="17"/>
        </w:rPr>
        <w:t>Selling Unitholder</w:t>
      </w:r>
      <w:r>
        <w:rPr>
          <w:rFonts w:ascii="Times New Roman;Times;serif" w:hAnsi="Times New Roman;Times;serif"/>
          <w:sz w:val="17"/>
        </w:rPr>
        <w:t>), Plains All American Pipeline, L.P., a Delaware limited partnership (the </w:t>
      </w:r>
      <w:r>
        <w:rPr>
          <w:rFonts w:ascii="Times New Roman;Times;serif" w:hAnsi="Times New Roman;Times;serif"/>
          <w:b/>
          <w:sz w:val="17"/>
        </w:rPr>
        <w:t>Partnership</w:t>
      </w:r>
      <w:r>
        <w:rPr>
          <w:rFonts w:ascii="Times New Roman;Times;serif" w:hAnsi="Times New Roman;Times;serif"/>
          <w:sz w:val="17"/>
        </w:rPr>
        <w:t>), Citigroup Global Markets Inc., Barclays Capital Inc., Merrill Lynch, Pierce, Fenner &amp; Smith Incorporated, J.P. Morgan Securities LLC and UBS Securities LLC and any other party thereto named therein as an underwriter (the </w:t>
      </w:r>
      <w:r>
        <w:rPr>
          <w:rFonts w:ascii="Times New Roman;Times;serif" w:hAnsi="Times New Roman;Times;serif"/>
          <w:b/>
          <w:sz w:val="17"/>
        </w:rPr>
        <w:t>Underwriters</w:t>
      </w:r>
      <w:r>
        <w:rPr>
          <w:rFonts w:ascii="Times New Roman;Times;serif" w:hAnsi="Times New Roman;Times;serif"/>
          <w:sz w:val="17"/>
        </w:rPr>
        <w:t xml:space="preserve">) relating to an underwritten public offering of common units representing limited partner interests of the Partnership. Capitalized terms used herein have the meanings given them in the Underwriting Agreement. </w:t>
      </w:r>
    </w:p>
    <w:p>
      <w:pPr>
        <w:pStyle w:val="TextBody"/>
        <w:spacing w:before="120" w:after="283"/>
        <w:jc w:val="left"/>
        <w:rPr/>
      </w:pPr>
      <w:r>
        <w:rPr/>
        <w:t>          </w:t>
      </w:r>
      <w:r>
        <w:rPr>
          <w:rFonts w:ascii="Times New Roman;Times;serif" w:hAnsi="Times New Roman;Times;serif"/>
          <w:sz w:val="17"/>
        </w:rPr>
        <w:t xml:space="preserve">To induce you and the other underwriters to enter into the Underwriting Agreement, the undersigned agrees that, except for (a) distributions of Common Units to members of the undersigned, (b) bona fide gifts, (c) dispositions to any trust, family limited partnership or family limited liability company for the direct or indirect benefit of the Selling Unitholder and/or the immediate family of the affiliates of the undersigned or (d) the expected sale of Common Units to John T. Raymond and another stockholder of the Selling Unitholder as disclosed in the most recent Preliminary Prospectus under the caption Selling UnitholderOwnership; </w:t>
      </w:r>
      <w:r>
        <w:rPr>
          <w:rFonts w:ascii="Times New Roman;Times;serif" w:hAnsi="Times New Roman;Times;serif"/>
          <w:sz w:val="17"/>
          <w:u w:val="single"/>
        </w:rPr>
        <w:t>provided</w:t>
      </w:r>
      <w:r>
        <w:rPr>
          <w:rFonts w:ascii="Times New Roman;Times;serif" w:hAnsi="Times New Roman;Times;serif"/>
          <w:sz w:val="17"/>
        </w:rPr>
        <w:t xml:space="preserve"> that with respect to clauses (a)-(c) set forth above any recipient of such Common Units pursuant to such clauses must agree in writing to be bound by the terms of this lock-up letter for the remaining term of the Selling Unitholder Lock-Up Period (as defined below),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w:t>
      </w:r>
    </w:p>
    <w:p>
      <w:pPr>
        <w:pStyle w:val="TextBody"/>
        <w:spacing w:before="120" w:after="283"/>
        <w:jc w:val="center"/>
        <w:rPr>
          <w:rFonts w:ascii="Times New Roman;Times;serif" w:hAnsi="Times New Roman;Times;serif"/>
          <w:sz w:val="17"/>
        </w:rPr>
      </w:pPr>
      <w:r>
        <w:rPr>
          <w:rFonts w:ascii="Times New Roman;Times;serif" w:hAnsi="Times New Roman;Times;serif"/>
          <w:i/>
          <w:sz w:val="17"/>
        </w:rPr>
        <w:t>Exhibit D-1</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w:t>
      </w:r>
      <w:r>
        <w:rPr>
          <w:rFonts w:ascii="Times New Roman;Times;serif" w:hAnsi="Times New Roman;Times;serif"/>
          <w:i/>
          <w:sz w:val="17"/>
        </w:rPr>
        <w:t xml:space="preserve">pari passu </w:t>
      </w:r>
      <w:r>
        <w:rPr>
          <w:rFonts w:ascii="Times New Roman;Times;serif" w:hAnsi="Times New Roman;Times;serif"/>
          <w:sz w:val="17"/>
        </w:rPr>
        <w:t>with Common Units, or publicly announce an intention to effect any such transaction, for a period of 45 days after the date of the Prospectus (as defined in the Underwriting Agreement) (the </w:t>
      </w:r>
      <w:r>
        <w:rPr>
          <w:rFonts w:ascii="Times New Roman;Times;serif" w:hAnsi="Times New Roman;Times;serif"/>
          <w:b/>
          <w:sz w:val="17"/>
        </w:rPr>
        <w:t>Selling Unitholder Lock-Up Period</w:t>
      </w:r>
      <w:r>
        <w:rPr>
          <w:rFonts w:ascii="Times New Roman;Times;serif" w:hAnsi="Times New Roman;Times;serif"/>
          <w:sz w:val="17"/>
        </w:rPr>
        <w:t xml:space="preserve">) without the prior written consent of Citigroup Global Markets Inc. </w:t>
      </w:r>
    </w:p>
    <w:p>
      <w:pPr>
        <w:pStyle w:val="TextBody"/>
        <w:spacing w:before="120" w:after="283"/>
        <w:jc w:val="left"/>
        <w:rPr/>
      </w:pPr>
      <w:r>
        <w:rPr/>
        <w:t>          </w:t>
      </w:r>
      <w:r>
        <w:rPr>
          <w:rFonts w:ascii="Times New Roman;Times;serif" w:hAnsi="Times New Roman;Times;serif"/>
          <w:sz w:val="17"/>
        </w:rPr>
        <w:t xml:space="preserve">If for any reason the Underwriting Agreement is terminated before the applicable Delivery Date (as defined in the Underwriting Agreement), the agreement set forth above shall likewise be terminated. </w:t>
      </w:r>
    </w:p>
    <w:tbl>
      <w:tblPr>
        <w:tblW w:w="5000" w:type="pct"/>
        <w:jc w:val="left"/>
        <w:tblInd w:w="0" w:type="dxa"/>
        <w:tblCellMar>
          <w:top w:w="0" w:type="dxa"/>
          <w:left w:w="0" w:type="dxa"/>
          <w:bottom w:w="0" w:type="dxa"/>
          <w:right w:w="0" w:type="dxa"/>
        </w:tblCellMar>
      </w:tblPr>
      <w:tblGrid>
        <w:gridCol w:w="4191"/>
        <w:gridCol w:w="375"/>
        <w:gridCol w:w="1214"/>
        <w:gridCol w:w="3072"/>
        <w:gridCol w:w="1353"/>
      </w:tblGrid>
      <w:tr>
        <w:trPr/>
        <w:tc>
          <w:tcPr>
            <w:tcW w:w="4191" w:type="dxa"/>
            <w:tcBorders/>
            <w:shd w:fill="auto" w:val="clear"/>
            <w:vAlign w:val="center"/>
          </w:tcPr>
          <w:p>
            <w:pPr>
              <w:pStyle w:val="TableContents"/>
              <w:spacing w:before="0" w:after="283"/>
              <w:rPr/>
            </w:pPr>
            <w:r>
              <w:rPr/>
              <w:t> </w:t>
            </w:r>
          </w:p>
        </w:tc>
        <w:tc>
          <w:tcPr>
            <w:tcW w:w="375" w:type="dxa"/>
            <w:tcBorders/>
            <w:shd w:fill="auto" w:val="clear"/>
            <w:vAlign w:val="center"/>
          </w:tcPr>
          <w:p>
            <w:pPr>
              <w:pStyle w:val="TableContents"/>
              <w:spacing w:before="0" w:after="283"/>
              <w:rPr/>
            </w:pPr>
            <w:r>
              <w:rPr/>
              <w:t> </w:t>
            </w:r>
          </w:p>
        </w:tc>
        <w:tc>
          <w:tcPr>
            <w:tcW w:w="1214" w:type="dxa"/>
            <w:tcBorders/>
            <w:shd w:fill="auto" w:val="clear"/>
            <w:vAlign w:val="center"/>
          </w:tcPr>
          <w:p>
            <w:pPr>
              <w:pStyle w:val="TableContents"/>
              <w:spacing w:before="0" w:after="283"/>
              <w:rPr/>
            </w:pPr>
            <w:r>
              <w:rPr/>
              <w:t> </w:t>
            </w:r>
          </w:p>
        </w:tc>
        <w:tc>
          <w:tcPr>
            <w:tcW w:w="3072"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rPr/>
            </w:pPr>
            <w:r>
              <w:rPr/>
              <w:t> </w:t>
            </w:r>
          </w:p>
        </w:tc>
      </w:tr>
      <w:tr>
        <w:trPr/>
        <w:tc>
          <w:tcPr>
            <w:tcW w:w="4191" w:type="dxa"/>
            <w:tcBorders/>
            <w:shd w:fill="auto" w:val="clear"/>
          </w:tcPr>
          <w:p>
            <w:pPr>
              <w:pStyle w:val="TableContents"/>
              <w:spacing w:before="0" w:after="283"/>
              <w:jc w:val="left"/>
              <w:rPr/>
            </w:pPr>
            <w:r>
              <w:rPr/>
              <w:t> </w:t>
            </w:r>
          </w:p>
        </w:tc>
        <w:tc>
          <w:tcPr>
            <w:tcW w:w="4661" w:type="dxa"/>
            <w:gridSpan w:val="3"/>
            <w:tcBorders/>
            <w:shd w:fill="auto" w:val="clear"/>
            <w:vAlign w:val="center"/>
          </w:tcPr>
          <w:p>
            <w:pPr>
              <w:pStyle w:val="TableContents"/>
              <w:spacing w:before="0" w:after="283"/>
              <w:jc w:val="left"/>
              <w:rPr/>
            </w:pPr>
            <w:r>
              <w:rPr/>
              <w:t>Yours very truly,</w:t>
              <w:br/>
              <w:br/>
              <w:t>Vulcan Capital Private Equity I LLC</w:t>
              <w:br/>
              <w:t> </w:t>
            </w:r>
          </w:p>
        </w:tc>
        <w:tc>
          <w:tcPr>
            <w:tcW w:w="1353" w:type="dxa"/>
            <w:tcBorders/>
            <w:shd w:fill="auto" w:val="clear"/>
            <w:vAlign w:val="center"/>
          </w:tcPr>
          <w:p>
            <w:pPr>
              <w:pStyle w:val="TableContents"/>
              <w:spacing w:before="0" w:after="283"/>
              <w:rPr/>
            </w:pPr>
            <w:r>
              <w:rPr/>
              <w:t> </w:t>
            </w:r>
          </w:p>
        </w:tc>
      </w:tr>
      <w:tr>
        <w:trPr/>
        <w:tc>
          <w:tcPr>
            <w:tcW w:w="4191" w:type="dxa"/>
            <w:tcBorders/>
            <w:shd w:fill="auto" w:val="clear"/>
            <w:vAlign w:val="center"/>
          </w:tcPr>
          <w:p>
            <w:pPr>
              <w:pStyle w:val="TableContents"/>
              <w:spacing w:before="0" w:after="283"/>
              <w:jc w:val="left"/>
              <w:rPr/>
            </w:pPr>
            <w:r>
              <w:rPr/>
              <w:t> </w:t>
            </w:r>
          </w:p>
        </w:tc>
        <w:tc>
          <w:tcPr>
            <w:tcW w:w="375" w:type="dxa"/>
            <w:tcBorders/>
            <w:shd w:fill="auto" w:val="clear"/>
          </w:tcPr>
          <w:p>
            <w:pPr>
              <w:pStyle w:val="TableContents"/>
              <w:spacing w:before="0" w:after="283"/>
              <w:rPr/>
            </w:pPr>
            <w:r>
              <w:rPr/>
              <w:t>By:  </w:t>
            </w:r>
          </w:p>
        </w:tc>
        <w:tc>
          <w:tcPr>
            <w:tcW w:w="4286" w:type="dxa"/>
            <w:gridSpan w:val="2"/>
            <w:tcBorders>
              <w:bottom w:val="single" w:sz="2" w:space="0" w:color="000000"/>
            </w:tcBorders>
            <w:shd w:fill="auto" w:val="clear"/>
            <w:tcMar>
              <w:bottom w:w="28" w:type="dxa"/>
            </w:tcMar>
            <w:vAlign w:val="center"/>
          </w:tcPr>
          <w:p>
            <w:pPr>
              <w:pStyle w:val="TableContents"/>
              <w:spacing w:before="0" w:after="283"/>
              <w:jc w:val="left"/>
              <w:rPr/>
            </w:pPr>
            <w:r>
              <w:rPr/>
              <w:t>Vulcan Capital Private Equity Management I LLC,  </w:t>
            </w:r>
          </w:p>
        </w:tc>
        <w:tc>
          <w:tcPr>
            <w:tcW w:w="1353" w:type="dxa"/>
            <w:tcBorders/>
            <w:shd w:fill="auto" w:val="clear"/>
            <w:vAlign w:val="center"/>
          </w:tcPr>
          <w:p>
            <w:pPr>
              <w:pStyle w:val="TableContents"/>
              <w:spacing w:before="0" w:after="283"/>
              <w:rPr/>
            </w:pPr>
            <w:r>
              <w:rPr/>
              <w:t> </w:t>
            </w:r>
          </w:p>
        </w:tc>
      </w:tr>
      <w:tr>
        <w:trPr/>
        <w:tc>
          <w:tcPr>
            <w:tcW w:w="4191" w:type="dxa"/>
            <w:tcBorders/>
            <w:shd w:fill="auto" w:val="clear"/>
            <w:vAlign w:val="center"/>
          </w:tcPr>
          <w:p>
            <w:pPr>
              <w:pStyle w:val="TableContents"/>
              <w:spacing w:before="0" w:after="283"/>
              <w:jc w:val="left"/>
              <w:rPr/>
            </w:pPr>
            <w:r>
              <w:rPr/>
              <w:t> </w:t>
            </w:r>
          </w:p>
        </w:tc>
        <w:tc>
          <w:tcPr>
            <w:tcW w:w="375" w:type="dxa"/>
            <w:tcBorders/>
            <w:shd w:fill="auto" w:val="clear"/>
            <w:vAlign w:val="center"/>
          </w:tcPr>
          <w:p>
            <w:pPr>
              <w:pStyle w:val="TableContents"/>
              <w:spacing w:before="0" w:after="283"/>
              <w:rPr/>
            </w:pPr>
            <w:r>
              <w:rPr/>
              <w:t> </w:t>
            </w:r>
          </w:p>
        </w:tc>
        <w:tc>
          <w:tcPr>
            <w:tcW w:w="4286" w:type="dxa"/>
            <w:gridSpan w:val="2"/>
            <w:tcBorders/>
            <w:shd w:fill="auto" w:val="clear"/>
            <w:vAlign w:val="center"/>
          </w:tcPr>
          <w:p>
            <w:pPr>
              <w:pStyle w:val="TableContents"/>
              <w:spacing w:before="0" w:after="283"/>
              <w:jc w:val="left"/>
              <w:rPr/>
            </w:pPr>
            <w:r>
              <w:rPr/>
              <w:t>its Manager </w:t>
            </w:r>
          </w:p>
        </w:tc>
        <w:tc>
          <w:tcPr>
            <w:tcW w:w="1353" w:type="dxa"/>
            <w:tcBorders/>
            <w:shd w:fill="auto" w:val="clear"/>
            <w:vAlign w:val="center"/>
          </w:tcPr>
          <w:p>
            <w:pPr>
              <w:pStyle w:val="TableContents"/>
              <w:spacing w:before="0" w:after="283"/>
              <w:rPr/>
            </w:pPr>
            <w:r>
              <w:rPr/>
              <w:t> </w:t>
            </w:r>
          </w:p>
        </w:tc>
      </w:tr>
      <w:tr>
        <w:trPr/>
        <w:tc>
          <w:tcPr>
            <w:tcW w:w="4191" w:type="dxa"/>
            <w:tcBorders/>
            <w:shd w:fill="auto" w:val="clear"/>
          </w:tcPr>
          <w:p>
            <w:pPr>
              <w:pStyle w:val="TableContents"/>
              <w:spacing w:before="0" w:after="283"/>
              <w:jc w:val="left"/>
              <w:rPr/>
            </w:pPr>
            <w:r>
              <w:rPr/>
              <w:t> </w:t>
            </w:r>
          </w:p>
        </w:tc>
        <w:tc>
          <w:tcPr>
            <w:tcW w:w="4661" w:type="dxa"/>
            <w:gridSpan w:val="3"/>
            <w:tcBorders/>
            <w:shd w:fill="auto" w:val="clear"/>
            <w:vAlign w:val="center"/>
          </w:tcPr>
          <w:p>
            <w:pPr>
              <w:pStyle w:val="TableContents"/>
              <w:spacing w:before="0" w:after="283"/>
              <w:jc w:val="left"/>
              <w:rPr/>
            </w:pPr>
            <w:r>
              <w:rPr/>
              <w:t> </w:t>
            </w:r>
          </w:p>
        </w:tc>
        <w:tc>
          <w:tcPr>
            <w:tcW w:w="1353" w:type="dxa"/>
            <w:tcBorders/>
            <w:shd w:fill="auto" w:val="clear"/>
            <w:vAlign w:val="center"/>
          </w:tcPr>
          <w:p>
            <w:pPr>
              <w:pStyle w:val="TableContents"/>
              <w:spacing w:before="0" w:after="283"/>
              <w:rPr/>
            </w:pPr>
            <w:r>
              <w:rPr/>
              <w:t> </w:t>
            </w:r>
          </w:p>
        </w:tc>
      </w:tr>
      <w:tr>
        <w:trPr/>
        <w:tc>
          <w:tcPr>
            <w:tcW w:w="4191" w:type="dxa"/>
            <w:tcBorders/>
            <w:shd w:fill="auto" w:val="clear"/>
            <w:vAlign w:val="center"/>
          </w:tcPr>
          <w:p>
            <w:pPr>
              <w:pStyle w:val="TableContents"/>
              <w:spacing w:before="0" w:after="283"/>
              <w:jc w:val="left"/>
              <w:rPr/>
            </w:pPr>
            <w:r>
              <w:rPr/>
              <w:t> </w:t>
            </w:r>
          </w:p>
        </w:tc>
        <w:tc>
          <w:tcPr>
            <w:tcW w:w="375" w:type="dxa"/>
            <w:tcBorders/>
            <w:shd w:fill="auto" w:val="clear"/>
          </w:tcPr>
          <w:p>
            <w:pPr>
              <w:pStyle w:val="TableContents"/>
              <w:spacing w:before="0" w:after="283"/>
              <w:rPr/>
            </w:pPr>
            <w:r>
              <w:rPr/>
              <w:t>By:  </w:t>
            </w:r>
          </w:p>
        </w:tc>
        <w:tc>
          <w:tcPr>
            <w:tcW w:w="4286" w:type="dxa"/>
            <w:gridSpan w:val="2"/>
            <w:tcBorders>
              <w:bottom w:val="single" w:sz="2" w:space="0" w:color="000000"/>
            </w:tcBorders>
            <w:shd w:fill="auto" w:val="clear"/>
            <w:tcMar>
              <w:bottom w:w="28" w:type="dxa"/>
            </w:tcMar>
            <w:vAlign w:val="center"/>
          </w:tcPr>
          <w:p>
            <w:pPr>
              <w:pStyle w:val="TableContents"/>
              <w:spacing w:before="0" w:after="283"/>
              <w:jc w:val="left"/>
              <w:rPr/>
            </w:pPr>
            <w:r>
              <w:rPr/>
              <w:t>Vulcan Capital Private Equity Inc.,  </w:t>
            </w:r>
          </w:p>
        </w:tc>
        <w:tc>
          <w:tcPr>
            <w:tcW w:w="1353" w:type="dxa"/>
            <w:tcBorders/>
            <w:shd w:fill="auto" w:val="clear"/>
            <w:vAlign w:val="center"/>
          </w:tcPr>
          <w:p>
            <w:pPr>
              <w:pStyle w:val="TableContents"/>
              <w:spacing w:before="0" w:after="283"/>
              <w:rPr/>
            </w:pPr>
            <w:r>
              <w:rPr/>
              <w:t> </w:t>
            </w:r>
          </w:p>
        </w:tc>
      </w:tr>
      <w:tr>
        <w:trPr/>
        <w:tc>
          <w:tcPr>
            <w:tcW w:w="4191" w:type="dxa"/>
            <w:tcBorders/>
            <w:shd w:fill="auto" w:val="clear"/>
            <w:vAlign w:val="center"/>
          </w:tcPr>
          <w:p>
            <w:pPr>
              <w:pStyle w:val="TableContents"/>
              <w:spacing w:before="0" w:after="283"/>
              <w:jc w:val="left"/>
              <w:rPr/>
            </w:pPr>
            <w:r>
              <w:rPr/>
              <w:t> </w:t>
            </w:r>
          </w:p>
        </w:tc>
        <w:tc>
          <w:tcPr>
            <w:tcW w:w="375" w:type="dxa"/>
            <w:tcBorders/>
            <w:shd w:fill="auto" w:val="clear"/>
            <w:vAlign w:val="center"/>
          </w:tcPr>
          <w:p>
            <w:pPr>
              <w:pStyle w:val="TableContents"/>
              <w:spacing w:before="0" w:after="283"/>
              <w:rPr/>
            </w:pPr>
            <w:r>
              <w:rPr/>
              <w:t> </w:t>
            </w:r>
          </w:p>
        </w:tc>
        <w:tc>
          <w:tcPr>
            <w:tcW w:w="4286" w:type="dxa"/>
            <w:gridSpan w:val="2"/>
            <w:tcBorders/>
            <w:shd w:fill="auto" w:val="clear"/>
            <w:vAlign w:val="center"/>
          </w:tcPr>
          <w:p>
            <w:pPr>
              <w:pStyle w:val="TableContents"/>
              <w:spacing w:before="0" w:after="283"/>
              <w:jc w:val="left"/>
              <w:rPr/>
            </w:pPr>
            <w:r>
              <w:rPr/>
              <w:t>its Managing Member </w:t>
            </w:r>
          </w:p>
        </w:tc>
        <w:tc>
          <w:tcPr>
            <w:tcW w:w="1353" w:type="dxa"/>
            <w:tcBorders/>
            <w:shd w:fill="auto" w:val="clear"/>
            <w:vAlign w:val="center"/>
          </w:tcPr>
          <w:p>
            <w:pPr>
              <w:pStyle w:val="TableContents"/>
              <w:spacing w:before="0" w:after="283"/>
              <w:rPr/>
            </w:pPr>
            <w:r>
              <w:rPr/>
              <w:t> </w:t>
            </w:r>
          </w:p>
        </w:tc>
      </w:tr>
      <w:tr>
        <w:trPr/>
        <w:tc>
          <w:tcPr>
            <w:tcW w:w="4191" w:type="dxa"/>
            <w:tcBorders/>
            <w:shd w:fill="auto" w:val="clear"/>
            <w:vAlign w:val="center"/>
          </w:tcPr>
          <w:p>
            <w:pPr>
              <w:pStyle w:val="TableContents"/>
              <w:spacing w:before="0" w:after="283"/>
              <w:rPr/>
            </w:pPr>
            <w:r>
              <w:rPr/>
              <w:t> </w:t>
            </w:r>
          </w:p>
        </w:tc>
        <w:tc>
          <w:tcPr>
            <w:tcW w:w="6014" w:type="dxa"/>
            <w:gridSpan w:val="4"/>
            <w:tcBorders/>
            <w:shd w:fill="auto" w:val="clear"/>
          </w:tcPr>
          <w:p>
            <w:pPr>
              <w:pStyle w:val="TableContents"/>
              <w:spacing w:before="0" w:after="283"/>
              <w:rPr>
                <w:sz w:val="4"/>
                <w:szCs w:val="4"/>
              </w:rPr>
            </w:pPr>
            <w:r>
              <w:rPr>
                <w:sz w:val="4"/>
                <w:szCs w:val="4"/>
              </w:rPr>
            </w:r>
          </w:p>
        </w:tc>
      </w:tr>
      <w:tr>
        <w:trPr/>
        <w:tc>
          <w:tcPr>
            <w:tcW w:w="4191" w:type="dxa"/>
            <w:tcBorders/>
            <w:shd w:fill="auto" w:val="clear"/>
            <w:vAlign w:val="center"/>
          </w:tcPr>
          <w:p>
            <w:pPr>
              <w:pStyle w:val="TableContents"/>
              <w:spacing w:before="0" w:after="283"/>
              <w:jc w:val="left"/>
              <w:rPr/>
            </w:pPr>
            <w:r>
              <w:rPr/>
              <w:t> </w:t>
            </w:r>
          </w:p>
        </w:tc>
        <w:tc>
          <w:tcPr>
            <w:tcW w:w="375" w:type="dxa"/>
            <w:tcBorders/>
            <w:shd w:fill="auto" w:val="clear"/>
          </w:tcPr>
          <w:p>
            <w:pPr>
              <w:pStyle w:val="TableContents"/>
              <w:spacing w:before="0" w:after="283"/>
              <w:rPr/>
            </w:pPr>
            <w:r>
              <w:rPr/>
              <w:t>By:  </w:t>
            </w:r>
          </w:p>
        </w:tc>
        <w:tc>
          <w:tcPr>
            <w:tcW w:w="428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353" w:type="dxa"/>
            <w:tcBorders/>
            <w:shd w:fill="auto" w:val="clear"/>
            <w:vAlign w:val="center"/>
          </w:tcPr>
          <w:p>
            <w:pPr>
              <w:pStyle w:val="TableContents"/>
              <w:spacing w:before="0" w:after="283"/>
              <w:rPr/>
            </w:pPr>
            <w:r>
              <w:rPr/>
              <w:t> </w:t>
            </w:r>
          </w:p>
        </w:tc>
      </w:tr>
      <w:tr>
        <w:trPr/>
        <w:tc>
          <w:tcPr>
            <w:tcW w:w="4191" w:type="dxa"/>
            <w:tcBorders/>
            <w:shd w:fill="auto" w:val="clear"/>
            <w:vAlign w:val="center"/>
          </w:tcPr>
          <w:p>
            <w:pPr>
              <w:pStyle w:val="TableContents"/>
              <w:spacing w:before="0" w:after="283"/>
              <w:jc w:val="left"/>
              <w:rPr/>
            </w:pPr>
            <w:r>
              <w:rPr/>
              <w:t> </w:t>
            </w:r>
          </w:p>
        </w:tc>
        <w:tc>
          <w:tcPr>
            <w:tcW w:w="375" w:type="dxa"/>
            <w:tcBorders/>
            <w:shd w:fill="auto" w:val="clear"/>
            <w:vAlign w:val="center"/>
          </w:tcPr>
          <w:p>
            <w:pPr>
              <w:pStyle w:val="TableContents"/>
              <w:spacing w:before="0" w:after="283"/>
              <w:rPr/>
            </w:pPr>
            <w:r>
              <w:rPr/>
              <w:t> </w:t>
            </w:r>
          </w:p>
        </w:tc>
        <w:tc>
          <w:tcPr>
            <w:tcW w:w="1214" w:type="dxa"/>
            <w:tcBorders/>
            <w:shd w:fill="auto" w:val="clear"/>
          </w:tcPr>
          <w:p>
            <w:pPr>
              <w:pStyle w:val="TableContents"/>
              <w:spacing w:before="0" w:after="283"/>
              <w:rPr/>
            </w:pPr>
            <w:r>
              <w:rPr/>
              <w:t>Name:  </w:t>
            </w:r>
          </w:p>
        </w:tc>
        <w:tc>
          <w:tcPr>
            <w:tcW w:w="3072" w:type="dxa"/>
            <w:tcBorders/>
            <w:shd w:fill="auto" w:val="clear"/>
            <w:vAlign w:val="center"/>
          </w:tcPr>
          <w:p>
            <w:pPr>
              <w:pStyle w:val="TableContents"/>
              <w:spacing w:before="0" w:after="283"/>
              <w:jc w:val="left"/>
              <w:rPr/>
            </w:pPr>
            <w:r>
              <w:rPr/>
              <w:t> </w:t>
            </w:r>
          </w:p>
        </w:tc>
        <w:tc>
          <w:tcPr>
            <w:tcW w:w="1353" w:type="dxa"/>
            <w:tcBorders/>
            <w:shd w:fill="auto" w:val="clear"/>
            <w:vAlign w:val="center"/>
          </w:tcPr>
          <w:p>
            <w:pPr>
              <w:pStyle w:val="TableContents"/>
              <w:spacing w:before="0" w:after="283"/>
              <w:rPr/>
            </w:pPr>
            <w:r>
              <w:rPr/>
              <w:t> </w:t>
            </w:r>
          </w:p>
        </w:tc>
      </w:tr>
      <w:tr>
        <w:trPr/>
        <w:tc>
          <w:tcPr>
            <w:tcW w:w="4191" w:type="dxa"/>
            <w:tcBorders/>
            <w:shd w:fill="auto" w:val="clear"/>
            <w:vAlign w:val="center"/>
          </w:tcPr>
          <w:p>
            <w:pPr>
              <w:pStyle w:val="TableContents"/>
              <w:spacing w:before="0" w:after="283"/>
              <w:jc w:val="left"/>
              <w:rPr/>
            </w:pPr>
            <w:r>
              <w:rPr/>
              <w:t> </w:t>
            </w:r>
          </w:p>
        </w:tc>
        <w:tc>
          <w:tcPr>
            <w:tcW w:w="375" w:type="dxa"/>
            <w:tcBorders/>
            <w:shd w:fill="auto" w:val="clear"/>
            <w:vAlign w:val="center"/>
          </w:tcPr>
          <w:p>
            <w:pPr>
              <w:pStyle w:val="TableContents"/>
              <w:spacing w:before="0" w:after="283"/>
              <w:rPr/>
            </w:pPr>
            <w:r>
              <w:rPr/>
              <w:t> </w:t>
            </w:r>
          </w:p>
        </w:tc>
        <w:tc>
          <w:tcPr>
            <w:tcW w:w="1214" w:type="dxa"/>
            <w:tcBorders/>
            <w:shd w:fill="auto" w:val="clear"/>
          </w:tcPr>
          <w:p>
            <w:pPr>
              <w:pStyle w:val="TableContents"/>
              <w:spacing w:before="0" w:after="283"/>
              <w:rPr/>
            </w:pPr>
            <w:r>
              <w:rPr/>
              <w:t>Title:  </w:t>
            </w:r>
          </w:p>
        </w:tc>
        <w:tc>
          <w:tcPr>
            <w:tcW w:w="3072" w:type="dxa"/>
            <w:tcBorders/>
            <w:shd w:fill="auto" w:val="clear"/>
            <w:vAlign w:val="center"/>
          </w:tcPr>
          <w:p>
            <w:pPr>
              <w:pStyle w:val="TableContents"/>
              <w:spacing w:before="0" w:after="283"/>
              <w:jc w:val="left"/>
              <w:rPr/>
            </w:pPr>
            <w:r>
              <w:rPr/>
              <w:t> </w:t>
            </w:r>
          </w:p>
        </w:tc>
        <w:tc>
          <w:tcPr>
            <w:tcW w:w="1353"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379"/>
        <w:gridCol w:w="373"/>
        <w:gridCol w:w="834"/>
        <w:gridCol w:w="3209"/>
        <w:gridCol w:w="1410"/>
      </w:tblGrid>
      <w:tr>
        <w:trPr/>
        <w:tc>
          <w:tcPr>
            <w:tcW w:w="437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834" w:type="dxa"/>
            <w:tcBorders/>
            <w:shd w:fill="auto" w:val="clear"/>
            <w:vAlign w:val="center"/>
          </w:tcPr>
          <w:p>
            <w:pPr>
              <w:pStyle w:val="TableContents"/>
              <w:spacing w:before="0" w:after="283"/>
              <w:rPr/>
            </w:pPr>
            <w:r>
              <w:rPr/>
              <w:t> </w:t>
            </w:r>
          </w:p>
        </w:tc>
        <w:tc>
          <w:tcPr>
            <w:tcW w:w="3209" w:type="dxa"/>
            <w:tcBorders/>
            <w:shd w:fill="auto" w:val="clear"/>
            <w:vAlign w:val="center"/>
          </w:tcPr>
          <w:p>
            <w:pPr>
              <w:pStyle w:val="TableContents"/>
              <w:spacing w:before="0" w:after="283"/>
              <w:rPr/>
            </w:pPr>
            <w:r>
              <w:rPr/>
              <w:t> </w:t>
            </w:r>
          </w:p>
        </w:tc>
        <w:tc>
          <w:tcPr>
            <w:tcW w:w="1410" w:type="dxa"/>
            <w:tcBorders/>
            <w:shd w:fill="auto" w:val="clear"/>
            <w:vAlign w:val="center"/>
          </w:tcPr>
          <w:p>
            <w:pPr>
              <w:pStyle w:val="TableContents"/>
              <w:spacing w:before="0" w:after="283"/>
              <w:rPr/>
            </w:pPr>
            <w:r>
              <w:rPr/>
              <w:t> </w:t>
            </w:r>
          </w:p>
        </w:tc>
      </w:tr>
      <w:tr>
        <w:trPr/>
        <w:tc>
          <w:tcPr>
            <w:tcW w:w="4379" w:type="dxa"/>
            <w:tcBorders/>
            <w:shd w:fill="auto" w:val="clear"/>
          </w:tcPr>
          <w:p>
            <w:pPr>
              <w:pStyle w:val="TableContents"/>
              <w:spacing w:before="0" w:after="283"/>
              <w:jc w:val="left"/>
              <w:rPr/>
            </w:pPr>
            <w:r>
              <w:rPr/>
              <w:t> </w:t>
            </w:r>
          </w:p>
        </w:tc>
        <w:tc>
          <w:tcPr>
            <w:tcW w:w="4416" w:type="dxa"/>
            <w:gridSpan w:val="3"/>
            <w:tcBorders/>
            <w:shd w:fill="auto" w:val="clear"/>
            <w:vAlign w:val="center"/>
          </w:tcPr>
          <w:p>
            <w:pPr>
              <w:pStyle w:val="TableContents"/>
              <w:spacing w:before="0" w:after="283"/>
              <w:jc w:val="left"/>
              <w:rPr/>
            </w:pPr>
            <w:r>
              <w:rPr/>
              <w:t>Vulcan Capital Private Equity II LLC</w:t>
              <w:br/>
              <w:t> </w:t>
            </w:r>
          </w:p>
        </w:tc>
        <w:tc>
          <w:tcPr>
            <w:tcW w:w="1410" w:type="dxa"/>
            <w:tcBorders/>
            <w:shd w:fill="auto" w:val="clear"/>
            <w:vAlign w:val="center"/>
          </w:tcPr>
          <w:p>
            <w:pPr>
              <w:pStyle w:val="TableContents"/>
              <w:spacing w:before="0" w:after="283"/>
              <w:rPr/>
            </w:pPr>
            <w:r>
              <w:rPr/>
              <w:t> </w:t>
            </w:r>
          </w:p>
        </w:tc>
      </w:tr>
      <w:tr>
        <w:trPr/>
        <w:tc>
          <w:tcPr>
            <w:tcW w:w="4379" w:type="dxa"/>
            <w:tcBorders/>
            <w:shd w:fill="auto" w:val="clear"/>
            <w:vAlign w:val="center"/>
          </w:tcPr>
          <w:p>
            <w:pPr>
              <w:pStyle w:val="TableContents"/>
              <w:spacing w:before="0" w:after="283"/>
              <w:jc w:val="left"/>
              <w:rPr/>
            </w:pPr>
            <w:r>
              <w:rPr/>
              <w:t> </w:t>
            </w:r>
          </w:p>
        </w:tc>
        <w:tc>
          <w:tcPr>
            <w:tcW w:w="373" w:type="dxa"/>
            <w:tcBorders/>
            <w:shd w:fill="auto" w:val="clear"/>
          </w:tcPr>
          <w:p>
            <w:pPr>
              <w:pStyle w:val="TableContents"/>
              <w:spacing w:before="0" w:after="283"/>
              <w:rPr/>
            </w:pPr>
            <w:r>
              <w:rPr/>
              <w:t>By:  </w:t>
            </w:r>
          </w:p>
        </w:tc>
        <w:tc>
          <w:tcPr>
            <w:tcW w:w="4043" w:type="dxa"/>
            <w:gridSpan w:val="2"/>
            <w:tcBorders>
              <w:bottom w:val="single" w:sz="2" w:space="0" w:color="000000"/>
            </w:tcBorders>
            <w:shd w:fill="auto" w:val="clear"/>
            <w:tcMar>
              <w:bottom w:w="28" w:type="dxa"/>
            </w:tcMar>
            <w:vAlign w:val="center"/>
          </w:tcPr>
          <w:p>
            <w:pPr>
              <w:pStyle w:val="TableContents"/>
              <w:spacing w:before="0" w:after="283"/>
              <w:jc w:val="left"/>
              <w:rPr/>
            </w:pPr>
            <w:r>
              <w:rPr/>
              <w:t>Vulcan Capital Private Equity Inc., its Manager  </w:t>
            </w:r>
          </w:p>
        </w:tc>
        <w:tc>
          <w:tcPr>
            <w:tcW w:w="1410" w:type="dxa"/>
            <w:tcBorders/>
            <w:shd w:fill="auto" w:val="clear"/>
            <w:vAlign w:val="center"/>
          </w:tcPr>
          <w:p>
            <w:pPr>
              <w:pStyle w:val="TableContents"/>
              <w:spacing w:before="0" w:after="283"/>
              <w:rPr/>
            </w:pPr>
            <w:r>
              <w:rPr/>
              <w:t> </w:t>
            </w:r>
          </w:p>
        </w:tc>
      </w:tr>
      <w:tr>
        <w:trPr/>
        <w:tc>
          <w:tcPr>
            <w:tcW w:w="4379" w:type="dxa"/>
            <w:tcBorders/>
            <w:shd w:fill="auto" w:val="clear"/>
            <w:vAlign w:val="center"/>
          </w:tcPr>
          <w:p>
            <w:pPr>
              <w:pStyle w:val="TableContents"/>
              <w:spacing w:before="0" w:after="283"/>
              <w:jc w:val="left"/>
              <w:rPr/>
            </w:pPr>
            <w:r>
              <w:rPr/>
              <w:t> </w:t>
            </w:r>
          </w:p>
        </w:tc>
        <w:tc>
          <w:tcPr>
            <w:tcW w:w="373" w:type="dxa"/>
            <w:tcBorders/>
            <w:shd w:fill="auto" w:val="clear"/>
            <w:vAlign w:val="center"/>
          </w:tcPr>
          <w:p>
            <w:pPr>
              <w:pStyle w:val="TableContents"/>
              <w:spacing w:before="0" w:after="283"/>
              <w:rPr/>
            </w:pPr>
            <w:r>
              <w:rPr/>
              <w:t> </w:t>
            </w:r>
          </w:p>
        </w:tc>
        <w:tc>
          <w:tcPr>
            <w:tcW w:w="4043" w:type="dxa"/>
            <w:gridSpan w:val="2"/>
            <w:tcBorders/>
            <w:shd w:fill="auto" w:val="clear"/>
            <w:vAlign w:val="center"/>
          </w:tcPr>
          <w:p>
            <w:pPr>
              <w:pStyle w:val="TableContents"/>
              <w:spacing w:before="0" w:after="283"/>
              <w:jc w:val="left"/>
              <w:rPr/>
            </w:pPr>
            <w:r>
              <w:rPr/>
              <w:t> </w:t>
            </w:r>
          </w:p>
        </w:tc>
        <w:tc>
          <w:tcPr>
            <w:tcW w:w="1410" w:type="dxa"/>
            <w:tcBorders/>
            <w:shd w:fill="auto" w:val="clear"/>
            <w:vAlign w:val="center"/>
          </w:tcPr>
          <w:p>
            <w:pPr>
              <w:pStyle w:val="TableContents"/>
              <w:spacing w:before="0" w:after="283"/>
              <w:rPr/>
            </w:pPr>
            <w:r>
              <w:rPr/>
              <w:t> </w:t>
            </w:r>
          </w:p>
        </w:tc>
      </w:tr>
      <w:tr>
        <w:trPr/>
        <w:tc>
          <w:tcPr>
            <w:tcW w:w="4379" w:type="dxa"/>
            <w:tcBorders/>
            <w:shd w:fill="auto" w:val="clear"/>
            <w:vAlign w:val="center"/>
          </w:tcPr>
          <w:p>
            <w:pPr>
              <w:pStyle w:val="TableContents"/>
              <w:spacing w:before="0" w:after="283"/>
              <w:jc w:val="left"/>
              <w:rPr/>
            </w:pPr>
            <w:r>
              <w:rPr/>
              <w:t> </w:t>
            </w:r>
          </w:p>
        </w:tc>
        <w:tc>
          <w:tcPr>
            <w:tcW w:w="373" w:type="dxa"/>
            <w:tcBorders/>
            <w:shd w:fill="auto" w:val="clear"/>
          </w:tcPr>
          <w:p>
            <w:pPr>
              <w:pStyle w:val="TableContents"/>
              <w:spacing w:before="0" w:after="283"/>
              <w:rPr/>
            </w:pPr>
            <w:r>
              <w:rPr/>
              <w:t>By:  </w:t>
            </w:r>
          </w:p>
        </w:tc>
        <w:tc>
          <w:tcPr>
            <w:tcW w:w="4043"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410" w:type="dxa"/>
            <w:tcBorders/>
            <w:shd w:fill="auto" w:val="clear"/>
            <w:vAlign w:val="center"/>
          </w:tcPr>
          <w:p>
            <w:pPr>
              <w:pStyle w:val="TableContents"/>
              <w:spacing w:before="0" w:after="283"/>
              <w:rPr/>
            </w:pPr>
            <w:r>
              <w:rPr/>
              <w:t> </w:t>
            </w:r>
          </w:p>
        </w:tc>
      </w:tr>
      <w:tr>
        <w:trPr/>
        <w:tc>
          <w:tcPr>
            <w:tcW w:w="4379" w:type="dxa"/>
            <w:tcBorders/>
            <w:shd w:fill="auto" w:val="clear"/>
            <w:vAlign w:val="center"/>
          </w:tcPr>
          <w:p>
            <w:pPr>
              <w:pStyle w:val="TableContents"/>
              <w:spacing w:before="0" w:after="283"/>
              <w:jc w:val="left"/>
              <w:rPr/>
            </w:pPr>
            <w:r>
              <w:rPr/>
              <w:t> </w:t>
            </w:r>
          </w:p>
        </w:tc>
        <w:tc>
          <w:tcPr>
            <w:tcW w:w="373" w:type="dxa"/>
            <w:tcBorders/>
            <w:shd w:fill="auto" w:val="clear"/>
            <w:vAlign w:val="center"/>
          </w:tcPr>
          <w:p>
            <w:pPr>
              <w:pStyle w:val="TableContents"/>
              <w:spacing w:before="0" w:after="283"/>
              <w:rPr/>
            </w:pPr>
            <w:r>
              <w:rPr/>
              <w:t> </w:t>
            </w:r>
          </w:p>
        </w:tc>
        <w:tc>
          <w:tcPr>
            <w:tcW w:w="834" w:type="dxa"/>
            <w:tcBorders/>
            <w:shd w:fill="auto" w:val="clear"/>
          </w:tcPr>
          <w:p>
            <w:pPr>
              <w:pStyle w:val="TableContents"/>
              <w:spacing w:before="0" w:after="283"/>
              <w:rPr/>
            </w:pPr>
            <w:r>
              <w:rPr/>
              <w:t>Name:  </w:t>
            </w:r>
          </w:p>
        </w:tc>
        <w:tc>
          <w:tcPr>
            <w:tcW w:w="3209" w:type="dxa"/>
            <w:tcBorders/>
            <w:shd w:fill="auto" w:val="clear"/>
            <w:vAlign w:val="center"/>
          </w:tcPr>
          <w:p>
            <w:pPr>
              <w:pStyle w:val="TableContents"/>
              <w:spacing w:before="0" w:after="283"/>
              <w:jc w:val="left"/>
              <w:rPr/>
            </w:pPr>
            <w:r>
              <w:rPr/>
              <w:t> </w:t>
            </w:r>
          </w:p>
        </w:tc>
        <w:tc>
          <w:tcPr>
            <w:tcW w:w="1410" w:type="dxa"/>
            <w:tcBorders/>
            <w:shd w:fill="auto" w:val="clear"/>
            <w:vAlign w:val="center"/>
          </w:tcPr>
          <w:p>
            <w:pPr>
              <w:pStyle w:val="TableContents"/>
              <w:spacing w:before="0" w:after="283"/>
              <w:rPr/>
            </w:pPr>
            <w:r>
              <w:rPr/>
              <w:t> </w:t>
            </w:r>
          </w:p>
        </w:tc>
      </w:tr>
      <w:tr>
        <w:trPr/>
        <w:tc>
          <w:tcPr>
            <w:tcW w:w="4379" w:type="dxa"/>
            <w:tcBorders/>
            <w:shd w:fill="auto" w:val="clear"/>
            <w:vAlign w:val="center"/>
          </w:tcPr>
          <w:p>
            <w:pPr>
              <w:pStyle w:val="TableContents"/>
              <w:spacing w:before="0" w:after="283"/>
              <w:jc w:val="left"/>
              <w:rPr/>
            </w:pPr>
            <w:r>
              <w:rPr/>
              <w:t> </w:t>
            </w:r>
          </w:p>
        </w:tc>
        <w:tc>
          <w:tcPr>
            <w:tcW w:w="373" w:type="dxa"/>
            <w:tcBorders/>
            <w:shd w:fill="auto" w:val="clear"/>
            <w:vAlign w:val="center"/>
          </w:tcPr>
          <w:p>
            <w:pPr>
              <w:pStyle w:val="TableContents"/>
              <w:spacing w:before="0" w:after="283"/>
              <w:rPr/>
            </w:pPr>
            <w:r>
              <w:rPr/>
              <w:t> </w:t>
            </w:r>
          </w:p>
        </w:tc>
        <w:tc>
          <w:tcPr>
            <w:tcW w:w="834" w:type="dxa"/>
            <w:tcBorders/>
            <w:shd w:fill="auto" w:val="clear"/>
          </w:tcPr>
          <w:p>
            <w:pPr>
              <w:pStyle w:val="TableContents"/>
              <w:spacing w:before="0" w:after="283"/>
              <w:rPr/>
            </w:pPr>
            <w:r>
              <w:rPr/>
              <w:t>Title:  </w:t>
            </w:r>
          </w:p>
        </w:tc>
        <w:tc>
          <w:tcPr>
            <w:tcW w:w="3209" w:type="dxa"/>
            <w:tcBorders/>
            <w:shd w:fill="auto" w:val="clear"/>
            <w:vAlign w:val="center"/>
          </w:tcPr>
          <w:p>
            <w:pPr>
              <w:pStyle w:val="TableContents"/>
              <w:spacing w:before="0" w:after="283"/>
              <w:jc w:val="left"/>
              <w:rPr/>
            </w:pPr>
            <w:r>
              <w:rPr/>
              <w:t> </w:t>
            </w:r>
          </w:p>
        </w:tc>
        <w:tc>
          <w:tcPr>
            <w:tcW w:w="141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120" w:after="283"/>
        <w:jc w:val="center"/>
        <w:rPr>
          <w:rFonts w:ascii="Times New Roman;Times;serif" w:hAnsi="Times New Roman;Times;serif"/>
          <w:sz w:val="17"/>
        </w:rPr>
      </w:pPr>
      <w:r>
        <w:rPr>
          <w:rFonts w:ascii="Times New Roman;Times;serif" w:hAnsi="Times New Roman;Times;serif"/>
          <w:i/>
          <w:sz w:val="17"/>
        </w:rPr>
        <w:t>Exhibit D-2</w:t>
      </w:r>
      <w:r>
        <w:rPr>
          <w:rFonts w:ascii="Times New Roman;Times;serif" w:hAnsi="Times New Roman;Times;serif"/>
          <w:sz w:val="17"/>
        </w:rPr>
        <w:t xml:space="preserve"> </w:t>
      </w:r>
    </w:p>
    <w:p>
      <w:pPr>
        <w:pStyle w:val="TextBody"/>
        <w:jc w:val="center"/>
        <w:rPr/>
      </w:pPr>
      <w:r>
        <w:rPr/>
        <w:t xml:space="preserve">  </w:t>
      </w:r>
      <w:r>
        <w:br w:type="page"/>
      </w:r>
    </w:p>
    <w:p>
      <w:pPr>
        <w:pStyle w:val="TextBody"/>
        <w:spacing w:before="240" w:after="283"/>
        <w:jc w:val="right"/>
        <w:rPr>
          <w:rFonts w:ascii="Times New Roman;Times;serif" w:hAnsi="Times New Roman;Times;serif"/>
          <w:sz w:val="17"/>
        </w:rPr>
      </w:pPr>
      <w:bookmarkStart w:id="4" w:name="h84202exv5w1.htm"/>
      <w:bookmarkStart w:id="5" w:name="ksh84202exv5w1"/>
      <w:bookmarkEnd w:id="4"/>
      <w:bookmarkEnd w:id="5"/>
      <w:r>
        <w:rPr>
          <w:rFonts w:ascii="Times New Roman;Times;serif" w:hAnsi="Times New Roman;Times;serif"/>
          <w:b/>
          <w:sz w:val="17"/>
        </w:rPr>
        <w:t>Exhibit 5.1</w:t>
      </w:r>
      <w:r>
        <w:rPr>
          <w:rFonts w:ascii="Times New Roman;Times;serif" w:hAnsi="Times New Roman;Times;serif"/>
          <w:sz w:val="17"/>
        </w:rPr>
        <w:t xml:space="preserve"> </w:t>
      </w:r>
    </w:p>
    <w:p>
      <w:pPr>
        <w:pStyle w:val="TextBody"/>
        <w:spacing w:before="120" w:after="283"/>
        <w:jc w:val="left"/>
        <w:rPr/>
      </w:pPr>
      <w:r>
        <w:rPr/>
        <w:drawing>
          <wp:inline distT="0" distB="0" distL="0" distR="0">
            <wp:extent cx="1533525"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190500"/>
                    </a:xfrm>
                    <a:prstGeom prst="rect">
                      <a:avLst/>
                    </a:prstGeom>
                  </pic:spPr>
                </pic:pic>
              </a:graphicData>
            </a:graphic>
          </wp:inline>
        </w:drawing>
      </w:r>
      <w:r>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August 17,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We have acted as counsel for Plains All American Pipeline, L.P., a Delaware limited partnership (the Partnership), with respect to certain legal matters in connection with the registration by the Partnership under the Securities Act of 1933, as amended (the Securities Act), of the offer and sale by a certain unitholder (the Selling Unitholder) of the Partnership of up to 9,879,612 common units representing limited partner interests in the Partnership (the Units). We have participated in the preparation of a Prospectus Supplement dated August 12, 2011 (the Prospectus Supplement) and the Prospectus dated December 11, 2008 (the Prospectus) forming part of the Registration Statement on Form S-3 (No. 333-155673) (the Registration Statement) to which this opinion is an exhibit. The Prospectus Supplement has been filed pursuant to Rule 424(b) promulgated under the Securities Act. </w:t>
      </w:r>
    </w:p>
    <w:p>
      <w:pPr>
        <w:pStyle w:val="TextBody"/>
        <w:spacing w:before="120" w:after="283"/>
        <w:jc w:val="left"/>
        <w:rPr/>
      </w:pPr>
      <w:r>
        <w:rPr/>
        <w:t>          </w:t>
      </w:r>
      <w:r>
        <w:rPr>
          <w:rFonts w:ascii="Times New Roman;Times;serif" w:hAnsi="Times New Roman;Times;serif"/>
          <w:sz w:val="17"/>
        </w:rPr>
        <w:t xml:space="preserve">In rendering the opinions set forth below, we have examined and relied upon (i) the Registration Statement, the Prospectus Supplement and the Prospectus; (ii) the Third Amended and Restated Agreement of Limited Partnership of the Partnership, dated as of June 27, 2001, as amended as of the date hereof; (iii) an Underwriting Agreement, dated August 12, 2011 relating to the offering and sale of up to 8,625,000 of the Units (the Underwriting Agreement), a copy of which is being filed with the Securities and Exchange Commission as an exhibit to the Partnerships Current Report on Form 8-K prior to the closing of the sale of the Units; (iv) the purchase agreements, dated August 12, 2011, between the Selling Unitholder and the purchasers named therein relating to the offering and sale of up to 1,254,612 of the Units (the Purchase Agreements) and (v) such other certificates, statutes and other instruments and documents as we consider appropriate for purposes of the opinions hereafter expressed. </w:t>
      </w:r>
    </w:p>
    <w:p>
      <w:pPr>
        <w:pStyle w:val="TextBody"/>
        <w:spacing w:before="120" w:after="283"/>
        <w:jc w:val="left"/>
        <w:rPr/>
      </w:pPr>
      <w:r>
        <w:rPr/>
        <w:t>          </w:t>
      </w:r>
      <w:r>
        <w:rPr>
          <w:rFonts w:ascii="Times New Roman;Times;serif" w:hAnsi="Times New Roman;Times;serif"/>
          <w:sz w:val="17"/>
        </w:rPr>
        <w:t xml:space="preserve">In connection with this opinion, we have assumed that all Units will be transferred and sold in compliance with the manner stated in the Prospectus Supplement, the Prospectus, the Underwriting Agreement and the Purchase Agreements. </w:t>
      </w:r>
    </w:p>
    <w:p>
      <w:pPr>
        <w:pStyle w:val="TextBody"/>
        <w:spacing w:before="120" w:after="283"/>
        <w:jc w:val="left"/>
        <w:rPr/>
      </w:pPr>
      <w:r>
        <w:rPr/>
        <w:t>          </w:t>
      </w:r>
      <w:r>
        <w:rPr>
          <w:rFonts w:ascii="Times New Roman;Times;serif" w:hAnsi="Times New Roman;Times;serif"/>
          <w:sz w:val="17"/>
        </w:rPr>
        <w:t xml:space="preserve">Based upon and subject to the foregoing and the assumptions, limitations and qualifications set forth herein, we are of the opinion that the Units have been validly issued, fully paid and non-assessable, except as described in the Prospectus Supplement and the Prospectus. </w:t>
      </w:r>
    </w:p>
    <w:p>
      <w:pPr>
        <w:pStyle w:val="TextBody"/>
        <w:spacing w:before="120" w:after="283"/>
        <w:jc w:val="left"/>
        <w:rPr/>
      </w:pPr>
      <w:r>
        <w:rPr/>
        <w:t>          </w:t>
      </w:r>
      <w:r>
        <w:rPr>
          <w:rFonts w:ascii="Times New Roman;Times;serif" w:hAnsi="Times New Roman;Times;serif"/>
          <w:sz w:val="17"/>
        </w:rPr>
        <w:t xml:space="preserve">The opinions expressed herein are qualified in the following respects: </w:t>
      </w:r>
    </w:p>
    <w:tbl>
      <w:tblPr>
        <w:tblW w:w="5000" w:type="pct"/>
        <w:jc w:val="left"/>
        <w:tblInd w:w="0" w:type="dxa"/>
        <w:tblCellMar>
          <w:top w:w="0" w:type="dxa"/>
          <w:left w:w="0" w:type="dxa"/>
          <w:bottom w:w="0" w:type="dxa"/>
          <w:right w:w="0" w:type="dxa"/>
        </w:tblCellMar>
      </w:tblPr>
      <w:tblGrid>
        <w:gridCol w:w="310"/>
        <w:gridCol w:w="268"/>
        <w:gridCol w:w="131"/>
        <w:gridCol w:w="9496"/>
      </w:tblGrid>
      <w:tr>
        <w:trPr/>
        <w:tc>
          <w:tcPr>
            <w:tcW w:w="310" w:type="dxa"/>
            <w:tcBorders/>
            <w:shd w:fill="auto" w:val="clear"/>
          </w:tcPr>
          <w:p>
            <w:pPr>
              <w:pStyle w:val="TableContents"/>
              <w:spacing w:before="0" w:after="283"/>
              <w:rPr/>
            </w:pPr>
            <w:r>
              <w:rPr/>
              <w:t> </w:t>
            </w:r>
          </w:p>
        </w:tc>
        <w:tc>
          <w:tcPr>
            <w:tcW w:w="268" w:type="dxa"/>
            <w:tcBorders/>
            <w:shd w:fill="auto" w:val="clear"/>
          </w:tcPr>
          <w:p>
            <w:pPr>
              <w:pStyle w:val="TableContents"/>
              <w:spacing w:before="0" w:after="283"/>
              <w:jc w:val="left"/>
              <w:rPr/>
            </w:pPr>
            <w:r>
              <w:rPr/>
              <w:t>A.</w:t>
            </w:r>
          </w:p>
        </w:tc>
        <w:tc>
          <w:tcPr>
            <w:tcW w:w="131"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rPr/>
            </w:pPr>
            <w:r>
              <w:rPr/>
              <w:t>We have assumed, without independent verification, that the certificates for the Units will conform to the specimens thereof examined by us and will have been duly countersigned by a transfer agent and duly registered by a registrar of the Units.</w:t>
            </w:r>
          </w:p>
        </w:tc>
      </w:tr>
      <w:tr>
        <w:trPr/>
        <w:tc>
          <w:tcPr>
            <w:tcW w:w="310" w:type="dxa"/>
            <w:tcBorders/>
            <w:shd w:fill="auto" w:val="clear"/>
            <w:vAlign w:val="center"/>
          </w:tcPr>
          <w:p>
            <w:pPr>
              <w:pStyle w:val="TableContents"/>
              <w:spacing w:before="0" w:after="283"/>
              <w:rPr/>
            </w:pPr>
            <w:r>
              <w:rPr/>
              <w:t> </w:t>
            </w:r>
          </w:p>
        </w:tc>
        <w:tc>
          <w:tcPr>
            <w:tcW w:w="9895" w:type="dxa"/>
            <w:gridSpan w:val="3"/>
            <w:tcBorders/>
            <w:shd w:fill="auto" w:val="clear"/>
          </w:tcPr>
          <w:p>
            <w:pPr>
              <w:pStyle w:val="TableContents"/>
              <w:spacing w:before="0" w:after="283"/>
              <w:rPr>
                <w:sz w:val="4"/>
                <w:szCs w:val="4"/>
              </w:rPr>
            </w:pPr>
            <w:r>
              <w:rPr>
                <w:sz w:val="4"/>
                <w:szCs w:val="4"/>
              </w:rPr>
            </w:r>
          </w:p>
        </w:tc>
      </w:tr>
      <w:tr>
        <w:trPr/>
        <w:tc>
          <w:tcPr>
            <w:tcW w:w="310" w:type="dxa"/>
            <w:tcBorders/>
            <w:shd w:fill="auto" w:val="clear"/>
          </w:tcPr>
          <w:p>
            <w:pPr>
              <w:pStyle w:val="TableContents"/>
              <w:spacing w:before="0" w:after="283"/>
              <w:rPr/>
            </w:pPr>
            <w:r>
              <w:rPr/>
              <w:t> </w:t>
            </w:r>
          </w:p>
        </w:tc>
        <w:tc>
          <w:tcPr>
            <w:tcW w:w="268" w:type="dxa"/>
            <w:tcBorders/>
            <w:shd w:fill="auto" w:val="clear"/>
          </w:tcPr>
          <w:p>
            <w:pPr>
              <w:pStyle w:val="TableContents"/>
              <w:spacing w:before="0" w:after="283"/>
              <w:jc w:val="left"/>
              <w:rPr/>
            </w:pPr>
            <w:r>
              <w:rPr/>
              <w:t>B.</w:t>
            </w:r>
          </w:p>
        </w:tc>
        <w:tc>
          <w:tcPr>
            <w:tcW w:w="131"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rPr/>
            </w:pPr>
            <w:r>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tc>
      </w:tr>
      <w:tr>
        <w:trPr/>
        <w:tc>
          <w:tcPr>
            <w:tcW w:w="310" w:type="dxa"/>
            <w:tcBorders/>
            <w:shd w:fill="auto" w:val="clear"/>
            <w:vAlign w:val="center"/>
          </w:tcPr>
          <w:p>
            <w:pPr>
              <w:pStyle w:val="TableContents"/>
              <w:spacing w:before="0" w:after="283"/>
              <w:rPr/>
            </w:pPr>
            <w:r>
              <w:rPr/>
              <w:t> </w:t>
            </w:r>
          </w:p>
        </w:tc>
        <w:tc>
          <w:tcPr>
            <w:tcW w:w="9895" w:type="dxa"/>
            <w:gridSpan w:val="3"/>
            <w:tcBorders/>
            <w:shd w:fill="auto" w:val="clear"/>
          </w:tcPr>
          <w:p>
            <w:pPr>
              <w:pStyle w:val="TableContents"/>
              <w:spacing w:before="0" w:after="283"/>
              <w:rPr>
                <w:sz w:val="4"/>
                <w:szCs w:val="4"/>
              </w:rPr>
            </w:pPr>
            <w:r>
              <w:rPr>
                <w:sz w:val="4"/>
                <w:szCs w:val="4"/>
              </w:rPr>
            </w:r>
          </w:p>
        </w:tc>
      </w:tr>
      <w:tr>
        <w:trPr/>
        <w:tc>
          <w:tcPr>
            <w:tcW w:w="310" w:type="dxa"/>
            <w:tcBorders/>
            <w:shd w:fill="auto" w:val="clear"/>
          </w:tcPr>
          <w:p>
            <w:pPr>
              <w:pStyle w:val="TableContents"/>
              <w:spacing w:before="0" w:after="283"/>
              <w:rPr/>
            </w:pPr>
            <w:r>
              <w:rPr/>
              <w:t> </w:t>
            </w:r>
          </w:p>
        </w:tc>
        <w:tc>
          <w:tcPr>
            <w:tcW w:w="268" w:type="dxa"/>
            <w:tcBorders/>
            <w:shd w:fill="auto" w:val="clear"/>
          </w:tcPr>
          <w:p>
            <w:pPr>
              <w:pStyle w:val="TableContents"/>
              <w:spacing w:before="0" w:after="283"/>
              <w:jc w:val="left"/>
              <w:rPr/>
            </w:pPr>
            <w:r>
              <w:rPr/>
              <w:t>C.</w:t>
            </w:r>
          </w:p>
        </w:tc>
        <w:tc>
          <w:tcPr>
            <w:tcW w:w="131" w:type="dxa"/>
            <w:tcBorders/>
            <w:shd w:fill="auto" w:val="clear"/>
          </w:tcPr>
          <w:p>
            <w:pPr>
              <w:pStyle w:val="TableContents"/>
              <w:spacing w:before="0" w:after="283"/>
              <w:rPr/>
            </w:pPr>
            <w:r>
              <w:rPr/>
              <w:t> </w:t>
            </w:r>
          </w:p>
        </w:tc>
        <w:tc>
          <w:tcPr>
            <w:tcW w:w="9496" w:type="dxa"/>
            <w:tcBorders/>
            <w:shd w:fill="auto" w:val="clear"/>
          </w:tcPr>
          <w:p>
            <w:pPr>
              <w:pStyle w:val="TableContents"/>
              <w:spacing w:before="0" w:after="283"/>
              <w:rPr/>
            </w:pPr>
            <w:r>
              <w:rPr/>
              <w:t>This opinion is limited in all respects to federal laws, the Delaware Revised Uniform Limited Partnership Act and the Constitution of the State of Delaware, as interpreted by the courts of the State of Delaware and of the United States.</w:t>
            </w:r>
          </w:p>
        </w:tc>
      </w:tr>
    </w:tbl>
    <w:p>
      <w:pPr>
        <w:pStyle w:val="TextBody"/>
        <w:spacing w:before="120" w:after="283"/>
        <w:jc w:val="left"/>
        <w:rPr/>
      </w:pPr>
      <w:r>
        <w:rPr/>
        <w:t>          </w:t>
      </w:r>
      <w:r>
        <w:rPr>
          <w:rFonts w:ascii="Times New Roman;Times;serif" w:hAnsi="Times New Roman;Times;serif"/>
          <w:sz w:val="17"/>
        </w:rPr>
        <w:t xml:space="preserve">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 </w:t>
      </w:r>
    </w:p>
    <w:tbl>
      <w:tblPr>
        <w:tblW w:w="5000" w:type="pct"/>
        <w:jc w:val="left"/>
        <w:tblInd w:w="0" w:type="dxa"/>
        <w:tblCellMar>
          <w:top w:w="0" w:type="dxa"/>
          <w:left w:w="0" w:type="dxa"/>
          <w:bottom w:w="0" w:type="dxa"/>
          <w:right w:w="0" w:type="dxa"/>
        </w:tblCellMar>
      </w:tblPr>
      <w:tblGrid>
        <w:gridCol w:w="4526"/>
        <w:gridCol w:w="542"/>
        <w:gridCol w:w="256"/>
        <w:gridCol w:w="3426"/>
        <w:gridCol w:w="1455"/>
      </w:tblGrid>
      <w:tr>
        <w:trPr/>
        <w:tc>
          <w:tcPr>
            <w:tcW w:w="4526"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283"/>
              <w:rPr/>
            </w:pPr>
            <w:r>
              <w:rPr/>
              <w:t> </w:t>
            </w:r>
          </w:p>
        </w:tc>
        <w:tc>
          <w:tcPr>
            <w:tcW w:w="3426"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Very truly yours,</w:t>
              <w:b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bottom w:val="single" w:sz="2" w:space="0" w:color="000000"/>
            </w:tcBorders>
            <w:shd w:fill="auto" w:val="clear"/>
            <w:tcMar>
              <w:bottom w:w="28" w:type="dxa"/>
            </w:tcMar>
            <w:vAlign w:val="center"/>
          </w:tcPr>
          <w:p>
            <w:pPr>
              <w:pStyle w:val="TableContents"/>
              <w:spacing w:before="0" w:after="283"/>
              <w:jc w:val="left"/>
              <w:rPr/>
            </w:pPr>
            <w:r>
              <w:rPr/>
              <w:t>/s/ Vinson &amp; Elkins L.L.P.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Normal"/>
        <w:spacing w:before="0" w:after="0"/>
        <w:rPr>
          <w:sz w:val="4"/>
          <w:szCs w:val="4"/>
        </w:rPr>
      </w:pPr>
      <w:r>
        <w:rPr>
          <w:sz w:val="4"/>
          <w:szCs w:val="4"/>
        </w:rPr>
      </w:r>
      <w:bookmarkStart w:id="6" w:name="h84202exv8w1.htm"/>
      <w:bookmarkStart w:id="7" w:name="ksh84202exv8w1"/>
      <w:bookmarkStart w:id="8" w:name="h84202exv8w1.htm"/>
      <w:bookmarkStart w:id="9" w:name="ksh84202exv8w1"/>
      <w:bookmarkEnd w:id="8"/>
      <w:bookmarkEnd w:id="9"/>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8.1</w:t>
      </w:r>
      <w:r>
        <w:rPr>
          <w:rFonts w:ascii="Times New Roman;Times;serif" w:hAnsi="Times New Roman;Times;serif"/>
          <w:sz w:val="17"/>
        </w:rPr>
        <w:t xml:space="preserve"> </w:t>
      </w:r>
    </w:p>
    <w:p>
      <w:pPr>
        <w:pStyle w:val="TextBody"/>
        <w:spacing w:before="120" w:after="283"/>
        <w:jc w:val="left"/>
        <w:rPr/>
      </w:pPr>
      <w:r>
        <w:rPr/>
        <w:drawing>
          <wp:inline distT="0" distB="0" distL="0" distR="0">
            <wp:extent cx="1533525"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33525" cy="190500"/>
                    </a:xfrm>
                    <a:prstGeom prst="rect">
                      <a:avLst/>
                    </a:prstGeom>
                  </pic:spPr>
                </pic:pic>
              </a:graphicData>
            </a:graphic>
          </wp:inline>
        </w:drawing>
      </w:r>
      <w:r>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August 17, 2011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      Plains All American Pipeline, L.P.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We have acted as counsel for Plains All American Pipeline, L.P., a Delaware limited partnership (the </w:t>
      </w:r>
      <w:r>
        <w:rPr>
          <w:rFonts w:ascii="Times New Roman;Times;serif" w:hAnsi="Times New Roman;Times;serif"/>
          <w:b/>
          <w:sz w:val="17"/>
        </w:rPr>
        <w:t>Partnership</w:t>
      </w:r>
      <w:r>
        <w:rPr>
          <w:rFonts w:ascii="Times New Roman;Times;serif" w:hAnsi="Times New Roman;Times;serif"/>
          <w:sz w:val="17"/>
        </w:rPr>
        <w:t>), with respect to certain legal matters in connection with the offer and sale by certain selling unitholders of common units representing limited partner interests in the Partnership. We have also participated in the preparation of a prospectus dated December 11, 2008 (the </w:t>
      </w:r>
      <w:r>
        <w:rPr>
          <w:rFonts w:ascii="Times New Roman;Times;serif" w:hAnsi="Times New Roman;Times;serif"/>
          <w:b/>
          <w:sz w:val="17"/>
        </w:rPr>
        <w:t>Prospectus</w:t>
      </w:r>
      <w:r>
        <w:rPr>
          <w:rFonts w:ascii="Times New Roman;Times;serif" w:hAnsi="Times New Roman;Times;serif"/>
          <w:sz w:val="17"/>
        </w:rPr>
        <w:t>) and the prospectus supplement dated August 12, 2011 (</w:t>
      </w:r>
      <w:r>
        <w:rPr>
          <w:rFonts w:ascii="Times New Roman;Times;serif" w:hAnsi="Times New Roman;Times;serif"/>
          <w:b/>
          <w:sz w:val="17"/>
        </w:rPr>
        <w:t>Prospectus Supplement</w:t>
      </w:r>
      <w:r>
        <w:rPr>
          <w:rFonts w:ascii="Times New Roman;Times;serif" w:hAnsi="Times New Roman;Times;serif"/>
          <w:sz w:val="17"/>
        </w:rPr>
        <w:t>) forming part of the Registration Statement on Form S-3 (No. 333-155673) (the </w:t>
      </w:r>
      <w:r>
        <w:rPr>
          <w:rFonts w:ascii="Times New Roman;Times;serif" w:hAnsi="Times New Roman;Times;serif"/>
          <w:b/>
          <w:sz w:val="17"/>
        </w:rPr>
        <w:t>Registration Statement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In connection therewith, we prepared the discussion set forth under the captions Material Income Tax Considerations in the Prospectus and the discussion set forth under the caption Material U.S. Federal Income Tax Consequences in the Prospectus Supplement (together, the </w:t>
      </w:r>
      <w:r>
        <w:rPr>
          <w:rFonts w:ascii="Times New Roman;Times;serif" w:hAnsi="Times New Roman;Times;serif"/>
          <w:b/>
          <w:sz w:val="17"/>
        </w:rPr>
        <w:t>Discussions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statements of legal conclusions contained in the Discussions, unless otherwise noted, are our opinion with respect to the matters set forth in the discussion under the caption Material Income Tax Considerations in the Prospectus as updated by the discussion set forth under the caption Material U.S. Federal Income Tax Consequences in the Prospectus Supplement qualified by the limitations contained in the Discussions. In addition, we are of the opinion that the Discussions with respect to those matters as to which no legal conclusions are provided are accurate discussions of such federal income tax matters (except for the representations and statements of fact by the Partnership and its general partner, included in the Discussions, as to which we express no opinion). </w:t>
      </w:r>
    </w:p>
    <w:p>
      <w:pPr>
        <w:pStyle w:val="TextBody"/>
        <w:spacing w:before="120" w:after="283"/>
        <w:jc w:val="left"/>
        <w:rPr/>
      </w:pPr>
      <w:r>
        <w:rPr/>
        <w:t>     </w:t>
      </w:r>
      <w:r>
        <w:rPr>
          <w:rFonts w:ascii="Times New Roman;Times;serif" w:hAnsi="Times New Roman;Times;serif"/>
          <w:sz w:val="17"/>
        </w:rPr>
        <w:t xml:space="preserve">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Supplement and the Prospectus. In giving such consent, we do not admit that we are within the category of persons whose consent is required under Section 7 of the Securities Act or the rules and regulations of the Securities and Exchange Commission issued thereunder. </w:t>
      </w:r>
    </w:p>
    <w:tbl>
      <w:tblPr>
        <w:tblW w:w="5000" w:type="pct"/>
        <w:jc w:val="left"/>
        <w:tblInd w:w="0" w:type="dxa"/>
        <w:tblCellMar>
          <w:top w:w="0" w:type="dxa"/>
          <w:left w:w="0" w:type="dxa"/>
          <w:bottom w:w="0" w:type="dxa"/>
          <w:right w:w="0" w:type="dxa"/>
        </w:tblCellMar>
      </w:tblPr>
      <w:tblGrid>
        <w:gridCol w:w="4526"/>
        <w:gridCol w:w="542"/>
        <w:gridCol w:w="256"/>
        <w:gridCol w:w="3426"/>
        <w:gridCol w:w="1455"/>
      </w:tblGrid>
      <w:tr>
        <w:trPr/>
        <w:tc>
          <w:tcPr>
            <w:tcW w:w="4526"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283"/>
              <w:rPr/>
            </w:pPr>
            <w:r>
              <w:rPr/>
              <w:t> </w:t>
            </w:r>
          </w:p>
        </w:tc>
        <w:tc>
          <w:tcPr>
            <w:tcW w:w="3426"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Very truly yours,</w:t>
              <w:b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bottom w:val="single" w:sz="2" w:space="0" w:color="000000"/>
            </w:tcBorders>
            <w:shd w:fill="auto" w:val="clear"/>
            <w:tcMar>
              <w:bottom w:w="28" w:type="dxa"/>
            </w:tcMar>
            <w:vAlign w:val="center"/>
          </w:tcPr>
          <w:p>
            <w:pPr>
              <w:pStyle w:val="TableContents"/>
              <w:spacing w:before="0" w:after="283"/>
              <w:jc w:val="left"/>
              <w:rPr/>
            </w:pPr>
            <w:r>
              <w:rPr/>
              <w:t>/s/ Vinson &amp; Elkins LLP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60</Pages>
  <Words>26843</Words>
  <CharactersWithSpaces>170635</CharactersWithSpaces>
  <Paragraphs>1113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exv8w1</dc:title>
</cp:coreProperties>
</file>