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tabs>
          <w:tab w:leader="none" w:pos="28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43"/>
          <w:szCs w:val="43"/>
          <w:u w:val="single" w:color="auto"/>
          <w:color w:val="auto"/>
        </w:rPr>
        <w:t>Plains G.P. Holdings, L.P</w:t>
      </w:r>
      <w:r>
        <w:rPr>
          <w:rFonts w:ascii="Arial" w:cs="Arial" w:eastAsia="Arial" w:hAnsi="Arial"/>
          <w:sz w:val="43"/>
          <w:szCs w:val="43"/>
          <w:color w:val="auto"/>
        </w:rPr>
        <w:t>.</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Common Units Representing Limited Partner Interests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72651A207</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December 31, 2017</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40" w:right="9260" w:hanging="5"/>
        <w:spacing w:after="0" w:line="228" w:lineRule="exact"/>
        <w:tabs>
          <w:tab w:leader="none" w:pos="113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210"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ind w:left="20"/>
              <w:spacing w:after="0"/>
              <w:rPr>
                <w:sz w:val="20"/>
                <w:szCs w:val="20"/>
                <w:color w:val="auto"/>
              </w:rPr>
            </w:pPr>
            <w:r>
              <w:rPr>
                <w:rFonts w:ascii="Arial" w:cs="Arial" w:eastAsia="Arial" w:hAnsi="Arial"/>
                <w:sz w:val="18"/>
                <w:szCs w:val="18"/>
                <w:color w:val="auto"/>
              </w:rPr>
              <w:t>CUSIP No. 72651A207</w:t>
            </w:r>
          </w:p>
        </w:tc>
        <w:tc>
          <w:tcPr>
            <w:tcW w:w="500" w:type="dxa"/>
            <w:vAlign w:val="bottom"/>
          </w:tcPr>
          <w:p>
            <w:pPr>
              <w:spacing w:after="0"/>
              <w:rPr>
                <w:sz w:val="20"/>
                <w:szCs w:val="20"/>
                <w:color w:val="auto"/>
              </w:rPr>
            </w:pPr>
          </w:p>
        </w:tc>
        <w:tc>
          <w:tcPr>
            <w:tcW w:w="6520" w:type="dxa"/>
            <w:vAlign w:val="bottom"/>
          </w:tcPr>
          <w:p>
            <w:pPr>
              <w:ind w:left="2840"/>
              <w:spacing w:after="0"/>
              <w:rPr>
                <w:sz w:val="20"/>
                <w:szCs w:val="20"/>
                <w:color w:val="auto"/>
              </w:rPr>
            </w:pPr>
            <w:r>
              <w:rPr>
                <w:rFonts w:ascii="Arial" w:cs="Arial" w:eastAsia="Arial" w:hAnsi="Arial"/>
                <w:sz w:val="18"/>
                <w:szCs w:val="18"/>
                <w:color w:val="auto"/>
              </w:rPr>
              <w:t>13G</w:t>
            </w:r>
          </w:p>
        </w:tc>
        <w:tc>
          <w:tcPr>
            <w:tcW w:w="2180" w:type="dxa"/>
            <w:vAlign w:val="bottom"/>
          </w:tcPr>
          <w:p>
            <w:pPr>
              <w:ind w:left="900"/>
              <w:spacing w:after="0"/>
              <w:rPr>
                <w:sz w:val="20"/>
                <w:szCs w:val="20"/>
                <w:color w:val="auto"/>
              </w:rPr>
            </w:pPr>
            <w:r>
              <w:rPr>
                <w:rFonts w:ascii="Arial" w:cs="Arial" w:eastAsia="Arial" w:hAnsi="Arial"/>
                <w:sz w:val="18"/>
                <w:szCs w:val="18"/>
                <w:color w:val="auto"/>
                <w:w w:val="83"/>
              </w:rPr>
              <w:t>Page 2 of 5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840" w:type="dxa"/>
            <w:vAlign w:val="bottom"/>
            <w:tcBorders>
              <w:bottom w:val="single" w:sz="8" w:color="auto"/>
            </w:tcBorders>
            <w:gridSpan w:val="4"/>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40" w:type="dxa"/>
            <w:vAlign w:val="bottom"/>
            <w:gridSpan w:val="4"/>
          </w:tcPr>
          <w:p>
            <w:pPr>
              <w:ind w:left="40"/>
              <w:spacing w:after="0"/>
              <w:rPr>
                <w:sz w:val="20"/>
                <w:szCs w:val="20"/>
                <w:color w:val="auto"/>
              </w:rPr>
            </w:pPr>
            <w:r>
              <w:rPr>
                <w:rFonts w:ascii="Arial" w:cs="Arial" w:eastAsia="Arial" w:hAnsi="Arial"/>
                <w:sz w:val="18"/>
                <w:szCs w:val="18"/>
                <w:color w:val="auto"/>
              </w:rPr>
              <w:t>Tortoise Capital Advisors, L.L.C.</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84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right w:val="single" w:sz="8" w:color="auto"/>
            </w:tcBorders>
            <w:vMerge w:val="continue"/>
          </w:tcPr>
          <w:p>
            <w:pPr>
              <w:spacing w:after="0"/>
              <w:rPr>
                <w:sz w:val="15"/>
                <w:szCs w:val="15"/>
                <w:color w:val="auto"/>
              </w:rPr>
            </w:pPr>
          </w:p>
        </w:tc>
        <w:tc>
          <w:tcPr>
            <w:tcW w:w="82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0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1400" w:type="dxa"/>
            <w:vAlign w:val="bottom"/>
            <w:tcBorders>
              <w:left w:val="single" w:sz="8" w:color="auto"/>
              <w:right w:val="single" w:sz="8" w:color="auto"/>
            </w:tcBorders>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6520" w:type="dxa"/>
            <w:vAlign w:val="bottom"/>
          </w:tcPr>
          <w:p>
            <w:pPr>
              <w:spacing w:after="0"/>
              <w:rPr>
                <w:sz w:val="5"/>
                <w:szCs w:val="5"/>
                <w:color w:val="auto"/>
              </w:rPr>
            </w:pP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89"/>
              </w:rPr>
              <w:t>(See Instructions)</w:t>
            </w:r>
          </w:p>
        </w:tc>
        <w:tc>
          <w:tcPr>
            <w:tcW w:w="6520" w:type="dxa"/>
            <w:vAlign w:val="bottom"/>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652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652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520" w:type="dxa"/>
            <w:vAlign w:val="bottom"/>
            <w:tcBorders>
              <w:bottom w:val="single" w:sz="8" w:color="auto"/>
            </w:tcBorders>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9"/>
              </w:rPr>
              <w:t>Delaware</w:t>
            </w:r>
          </w:p>
        </w:tc>
        <w:tc>
          <w:tcPr>
            <w:tcW w:w="5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0</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8,227,530 (see Item 4)</w:t>
            </w: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6520" w:type="dxa"/>
            <w:vAlign w:val="bottom"/>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6520" w:type="dxa"/>
            <w:vAlign w:val="bottom"/>
            <w:tcBorders>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6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6520" w:type="dxa"/>
            <w:vAlign w:val="bottom"/>
            <w:vMerge w:val="continue"/>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6520" w:type="dxa"/>
            <w:vAlign w:val="bottom"/>
            <w:vMerge w:val="continue"/>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652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8,227,530 (see Item 4)</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40" w:type="dxa"/>
            <w:vAlign w:val="bottom"/>
            <w:gridSpan w:val="4"/>
          </w:tcPr>
          <w:p>
            <w:pPr>
              <w:ind w:left="40"/>
              <w:spacing w:after="0"/>
              <w:rPr>
                <w:sz w:val="20"/>
                <w:szCs w:val="20"/>
                <w:color w:val="auto"/>
              </w:rPr>
            </w:pPr>
            <w:r>
              <w:rPr>
                <w:rFonts w:ascii="Arial" w:cs="Arial" w:eastAsia="Arial" w:hAnsi="Arial"/>
                <w:sz w:val="18"/>
                <w:szCs w:val="18"/>
                <w:color w:val="auto"/>
              </w:rPr>
              <w:t>8,227,530 (see Item 4)</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Not Applicable</w:t>
            </w: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87"/>
              </w:rPr>
              <w:t>5.3% (see Item 4)</w:t>
            </w: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IA</w:t>
            </w:r>
          </w:p>
        </w:tc>
        <w:tc>
          <w:tcPr>
            <w:tcW w:w="5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 of 5 Pages</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1(a)</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u w:val="single" w:color="auto"/>
          <w:color w:val="auto"/>
        </w:rPr>
        <w:t>Name of Issuer</w:t>
      </w:r>
      <w:r>
        <w:rPr>
          <w:rFonts w:ascii="Arial" w:cs="Arial" w:eastAsia="Arial" w:hAnsi="Arial"/>
          <w:sz w:val="15"/>
          <w:szCs w:val="15"/>
          <w:b w:val="1"/>
          <w:bCs w:val="1"/>
          <w:color w:val="auto"/>
        </w:rPr>
        <w: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Plains GP Holdings, L.P.</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1(b)</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333 Clay Street, Suite 1600, Houston, Texas 77002</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2(a)</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13G is being filed by Tortoise Capital Advisors, L.L.C., a Delaware limited liability company (“TCA”).</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2(b)</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principal business address is 11550 Ash Street, Suite 300, Leawood, Kansas 66211.</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2(c)</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TCA is a Delaware limited liability company.</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2(d)</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u w:val="single" w:color="auto"/>
          <w:color w:val="auto"/>
        </w:rPr>
        <w:t>Title of Class of Securities</w:t>
      </w:r>
      <w:r>
        <w:rPr>
          <w:rFonts w:ascii="Arial" w:cs="Arial" w:eastAsia="Arial" w:hAnsi="Arial"/>
          <w:sz w:val="15"/>
          <w:szCs w:val="15"/>
          <w:b w:val="1"/>
          <w:bCs w:val="1"/>
          <w:color w:val="auto"/>
        </w:rPr>
        <w: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Common Units Representing Limited Partner Interests</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2(e)</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72651A207</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3</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The Reporting Person is</w:t>
      </w:r>
      <w:r>
        <w:rPr>
          <w:rFonts w:ascii="Arial" w:cs="Arial" w:eastAsia="Arial" w:hAnsi="Arial"/>
          <w:sz w:val="16"/>
          <w:szCs w:val="16"/>
          <w:b w:val="1"/>
          <w:bCs w:val="1"/>
          <w:color w:val="auto"/>
        </w:rPr>
        <w: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TCA is an investment adviser in accordance with Rule 13d-1(b)(1)(ii)(E).</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4</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TCA acts as an investment adviser to certain investment companies, including investment companies registered under the Investment Company Act of 1940.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owners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TCA may be deemed the beneficial owner of the securities covered by this statement under Rule 13d-3 of the Act that are held by its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Page 4 of 5 Pages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 Amount beneficially owned:</w:t>
            </w:r>
          </w:p>
        </w:tc>
        <w:tc>
          <w:tcPr>
            <w:tcW w:w="1220" w:type="dxa"/>
            <w:vAlign w:val="bottom"/>
          </w:tcPr>
          <w:p>
            <w:pPr>
              <w:ind w:left="500"/>
              <w:spacing w:after="0"/>
              <w:rPr>
                <w:sz w:val="20"/>
                <w:szCs w:val="20"/>
                <w:color w:val="auto"/>
              </w:rPr>
            </w:pPr>
            <w:r>
              <w:rPr>
                <w:rFonts w:ascii="Arial" w:cs="Arial" w:eastAsia="Arial" w:hAnsi="Arial"/>
                <w:sz w:val="18"/>
                <w:szCs w:val="18"/>
                <w:color w:val="auto"/>
                <w:w w:val="87"/>
              </w:rPr>
              <w:t>8,227,530</w:t>
            </w:r>
          </w:p>
        </w:tc>
      </w:tr>
      <w:tr>
        <w:trPr>
          <w:trHeight w:val="432"/>
        </w:trPr>
        <w:tc>
          <w:tcPr>
            <w:tcW w:w="5120" w:type="dxa"/>
            <w:vAlign w:val="bottom"/>
          </w:tcPr>
          <w:p>
            <w:pPr>
              <w:spacing w:after="0"/>
              <w:rPr>
                <w:sz w:val="20"/>
                <w:szCs w:val="20"/>
                <w:color w:val="auto"/>
              </w:rPr>
            </w:pPr>
            <w:r>
              <w:rPr>
                <w:rFonts w:ascii="Arial" w:cs="Arial" w:eastAsia="Arial" w:hAnsi="Arial"/>
                <w:sz w:val="18"/>
                <w:szCs w:val="18"/>
                <w:color w:val="auto"/>
              </w:rPr>
              <w:t>(b) Percent of class:</w:t>
            </w:r>
          </w:p>
        </w:tc>
        <w:tc>
          <w:tcPr>
            <w:tcW w:w="1220" w:type="dxa"/>
            <w:vAlign w:val="bottom"/>
          </w:tcPr>
          <w:p>
            <w:pPr>
              <w:ind w:left="500"/>
              <w:spacing w:after="0"/>
              <w:rPr>
                <w:sz w:val="20"/>
                <w:szCs w:val="20"/>
                <w:color w:val="auto"/>
              </w:rPr>
            </w:pPr>
            <w:r>
              <w:rPr>
                <w:rFonts w:ascii="Arial" w:cs="Arial" w:eastAsia="Arial" w:hAnsi="Arial"/>
                <w:sz w:val="18"/>
                <w:szCs w:val="18"/>
                <w:color w:val="auto"/>
              </w:rPr>
              <w:t>5.3%</w:t>
            </w:r>
          </w:p>
        </w:tc>
      </w:tr>
      <w:tr>
        <w:trPr>
          <w:trHeight w:val="432"/>
        </w:trPr>
        <w:tc>
          <w:tcPr>
            <w:tcW w:w="5120" w:type="dxa"/>
            <w:vAlign w:val="bottom"/>
          </w:tcPr>
          <w:p>
            <w:pPr>
              <w:spacing w:after="0"/>
              <w:rPr>
                <w:sz w:val="20"/>
                <w:szCs w:val="20"/>
                <w:color w:val="auto"/>
              </w:rPr>
            </w:pPr>
            <w:r>
              <w:rPr>
                <w:rFonts w:ascii="Arial" w:cs="Arial" w:eastAsia="Arial" w:hAnsi="Arial"/>
                <w:sz w:val="18"/>
                <w:szCs w:val="18"/>
                <w:color w:val="auto"/>
              </w:rPr>
              <w:t>(c) Number of shares as to which the person  has:</w:t>
            </w:r>
          </w:p>
        </w:tc>
        <w:tc>
          <w:tcPr>
            <w:tcW w:w="1220" w:type="dxa"/>
            <w:vAlign w:val="bottom"/>
          </w:tcPr>
          <w:p>
            <w:pPr>
              <w:spacing w:after="0"/>
              <w:rPr>
                <w:sz w:val="24"/>
                <w:szCs w:val="24"/>
                <w:color w:val="auto"/>
              </w:rPr>
            </w:pPr>
          </w:p>
        </w:tc>
      </w:tr>
      <w:tr>
        <w:trPr>
          <w:trHeight w:val="432"/>
        </w:trPr>
        <w:tc>
          <w:tcPr>
            <w:tcW w:w="5120" w:type="dxa"/>
            <w:vAlign w:val="bottom"/>
          </w:tcPr>
          <w:p>
            <w:pPr>
              <w:ind w:left="300"/>
              <w:spacing w:after="0"/>
              <w:rPr>
                <w:sz w:val="20"/>
                <w:szCs w:val="20"/>
                <w:color w:val="auto"/>
              </w:rPr>
            </w:pPr>
            <w:r>
              <w:rPr>
                <w:rFonts w:ascii="Arial" w:cs="Arial" w:eastAsia="Arial" w:hAnsi="Arial"/>
                <w:sz w:val="18"/>
                <w:szCs w:val="18"/>
                <w:color w:val="auto"/>
              </w:rPr>
              <w:t>(i) Sole power to vote or to direct the vote:</w:t>
            </w:r>
          </w:p>
        </w:tc>
        <w:tc>
          <w:tcPr>
            <w:tcW w:w="1220" w:type="dxa"/>
            <w:vAlign w:val="bottom"/>
          </w:tcPr>
          <w:p>
            <w:pPr>
              <w:ind w:left="500"/>
              <w:spacing w:after="0"/>
              <w:rPr>
                <w:sz w:val="20"/>
                <w:szCs w:val="20"/>
                <w:color w:val="auto"/>
              </w:rPr>
            </w:pPr>
            <w:r>
              <w:rPr>
                <w:rFonts w:ascii="Arial" w:cs="Arial" w:eastAsia="Arial" w:hAnsi="Arial"/>
                <w:sz w:val="18"/>
                <w:szCs w:val="18"/>
                <w:color w:val="auto"/>
              </w:rPr>
              <w:t>0</w:t>
            </w:r>
          </w:p>
        </w:tc>
      </w:tr>
      <w:tr>
        <w:trPr>
          <w:trHeight w:val="432"/>
        </w:trPr>
        <w:tc>
          <w:tcPr>
            <w:tcW w:w="5120" w:type="dxa"/>
            <w:vAlign w:val="bottom"/>
          </w:tcPr>
          <w:p>
            <w:pPr>
              <w:ind w:left="300"/>
              <w:spacing w:after="0"/>
              <w:rPr>
                <w:sz w:val="20"/>
                <w:szCs w:val="20"/>
                <w:color w:val="auto"/>
              </w:rPr>
            </w:pPr>
            <w:r>
              <w:rPr>
                <w:rFonts w:ascii="Arial" w:cs="Arial" w:eastAsia="Arial" w:hAnsi="Arial"/>
                <w:sz w:val="18"/>
                <w:szCs w:val="18"/>
                <w:color w:val="auto"/>
              </w:rPr>
              <w:t>(ii) Shared power to vote or direct the vote:</w:t>
            </w:r>
          </w:p>
        </w:tc>
        <w:tc>
          <w:tcPr>
            <w:tcW w:w="1220" w:type="dxa"/>
            <w:vAlign w:val="bottom"/>
          </w:tcPr>
          <w:p>
            <w:pPr>
              <w:ind w:left="500"/>
              <w:spacing w:after="0"/>
              <w:rPr>
                <w:sz w:val="20"/>
                <w:szCs w:val="20"/>
                <w:color w:val="auto"/>
              </w:rPr>
            </w:pPr>
            <w:r>
              <w:rPr>
                <w:rFonts w:ascii="Arial" w:cs="Arial" w:eastAsia="Arial" w:hAnsi="Arial"/>
                <w:sz w:val="18"/>
                <w:szCs w:val="18"/>
                <w:color w:val="auto"/>
                <w:w w:val="87"/>
              </w:rPr>
              <w:t>8,227,530</w:t>
            </w:r>
          </w:p>
        </w:tc>
      </w:tr>
      <w:tr>
        <w:trPr>
          <w:trHeight w:val="432"/>
        </w:trPr>
        <w:tc>
          <w:tcPr>
            <w:tcW w:w="5120" w:type="dxa"/>
            <w:vAlign w:val="bottom"/>
          </w:tcPr>
          <w:p>
            <w:pPr>
              <w:ind w:left="300"/>
              <w:spacing w:after="0"/>
              <w:rPr>
                <w:sz w:val="20"/>
                <w:szCs w:val="20"/>
                <w:color w:val="auto"/>
              </w:rPr>
            </w:pPr>
            <w:r>
              <w:rPr>
                <w:rFonts w:ascii="Arial" w:cs="Arial" w:eastAsia="Arial" w:hAnsi="Arial"/>
                <w:sz w:val="18"/>
                <w:szCs w:val="18"/>
                <w:color w:val="auto"/>
              </w:rPr>
              <w:t>(iii) Sole power to dispose or to direct the disposition of:</w:t>
            </w:r>
          </w:p>
        </w:tc>
        <w:tc>
          <w:tcPr>
            <w:tcW w:w="1220" w:type="dxa"/>
            <w:vAlign w:val="bottom"/>
          </w:tcPr>
          <w:p>
            <w:pPr>
              <w:ind w:left="500"/>
              <w:spacing w:after="0"/>
              <w:rPr>
                <w:sz w:val="20"/>
                <w:szCs w:val="20"/>
                <w:color w:val="auto"/>
              </w:rPr>
            </w:pPr>
            <w:r>
              <w:rPr>
                <w:rFonts w:ascii="Arial" w:cs="Arial" w:eastAsia="Arial" w:hAnsi="Arial"/>
                <w:sz w:val="18"/>
                <w:szCs w:val="18"/>
                <w:color w:val="auto"/>
              </w:rPr>
              <w:t>0</w:t>
            </w:r>
          </w:p>
        </w:tc>
      </w:tr>
      <w:tr>
        <w:trPr>
          <w:trHeight w:val="432"/>
        </w:trPr>
        <w:tc>
          <w:tcPr>
            <w:tcW w:w="5120" w:type="dxa"/>
            <w:vAlign w:val="bottom"/>
          </w:tcPr>
          <w:p>
            <w:pPr>
              <w:ind w:left="300"/>
              <w:spacing w:after="0"/>
              <w:rPr>
                <w:sz w:val="20"/>
                <w:szCs w:val="20"/>
                <w:color w:val="auto"/>
              </w:rPr>
            </w:pPr>
            <w:r>
              <w:rPr>
                <w:rFonts w:ascii="Arial" w:cs="Arial" w:eastAsia="Arial" w:hAnsi="Arial"/>
                <w:sz w:val="18"/>
                <w:szCs w:val="18"/>
                <w:color w:val="auto"/>
              </w:rPr>
              <w:t>(iv) Shared power to dispose or to direct the disposition  of:</w:t>
            </w:r>
          </w:p>
        </w:tc>
        <w:tc>
          <w:tcPr>
            <w:tcW w:w="1220" w:type="dxa"/>
            <w:vAlign w:val="bottom"/>
          </w:tcPr>
          <w:p>
            <w:pPr>
              <w:ind w:left="500"/>
              <w:spacing w:after="0"/>
              <w:rPr>
                <w:sz w:val="20"/>
                <w:szCs w:val="20"/>
                <w:color w:val="auto"/>
              </w:rPr>
            </w:pPr>
            <w:r>
              <w:rPr>
                <w:rFonts w:ascii="Arial" w:cs="Arial" w:eastAsia="Arial" w:hAnsi="Arial"/>
                <w:sz w:val="18"/>
                <w:szCs w:val="18"/>
                <w:color w:val="auto"/>
                <w:w w:val="87"/>
              </w:rPr>
              <w:t>8,227,530</w:t>
            </w:r>
          </w:p>
        </w:tc>
      </w:tr>
    </w:tbl>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5</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6</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56"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TCA’s clients have the right to receive all dividends from, and the proceeds from the sale of, the securities held in their respective accounts. The interest of any one such person does not exceed 5% of the class of securities.</w:t>
      </w:r>
    </w:p>
    <w:p>
      <w:pPr>
        <w:spacing w:after="0" w:line="193" w:lineRule="exact"/>
        <w:rPr>
          <w:sz w:val="20"/>
          <w:szCs w:val="20"/>
          <w:color w:val="auto"/>
        </w:rPr>
      </w:pPr>
    </w:p>
    <w:p>
      <w:pPr>
        <w:ind w:left="1220" w:right="60" w:hanging="1201"/>
        <w:spacing w:after="0" w:line="282" w:lineRule="auto"/>
        <w:tabs>
          <w:tab w:leader="none" w:pos="1200" w:val="left"/>
        </w:tabs>
        <w:rPr>
          <w:sz w:val="20"/>
          <w:szCs w:val="20"/>
          <w:color w:val="auto"/>
        </w:rPr>
      </w:pPr>
      <w:r>
        <w:rPr>
          <w:rFonts w:ascii="Arial" w:cs="Arial" w:eastAsia="Arial" w:hAnsi="Arial"/>
          <w:sz w:val="18"/>
          <w:szCs w:val="18"/>
          <w:b w:val="1"/>
          <w:bCs w:val="1"/>
          <w:u w:val="single" w:color="auto"/>
          <w:color w:val="auto"/>
        </w:rPr>
        <w:t>Item 7</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8</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9</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10</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Certifications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5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TORTOISE CAPITAL ADVISORS, L.L.C.</w:t>
      </w:r>
    </w:p>
    <w:p>
      <w:pPr>
        <w:spacing w:after="0" w:line="229" w:lineRule="exact"/>
        <w:rPr>
          <w:sz w:val="20"/>
          <w:szCs w:val="20"/>
          <w:color w:val="auto"/>
        </w:rPr>
      </w:pPr>
    </w:p>
    <w:p>
      <w:pPr>
        <w:spacing w:after="0"/>
        <w:tabs>
          <w:tab w:leader="none" w:pos="6280" w:val="left"/>
        </w:tabs>
        <w:rPr>
          <w:sz w:val="20"/>
          <w:szCs w:val="20"/>
          <w:color w:val="auto"/>
        </w:rPr>
      </w:pPr>
      <w:r>
        <w:rPr>
          <w:rFonts w:ascii="Arial" w:cs="Arial" w:eastAsia="Arial" w:hAnsi="Arial"/>
          <w:sz w:val="18"/>
          <w:szCs w:val="18"/>
          <w:color w:val="auto"/>
        </w:rPr>
        <w:t>Dated: February 12, 2018</w:t>
      </w:r>
      <w:r>
        <w:rPr>
          <w:sz w:val="20"/>
          <w:szCs w:val="20"/>
          <w:color w:val="auto"/>
        </w:rPr>
        <w:tab/>
      </w:r>
      <w:r>
        <w:rPr>
          <w:rFonts w:ascii="Arial" w:cs="Arial" w:eastAsia="Arial" w:hAnsi="Arial"/>
          <w:sz w:val="16"/>
          <w:szCs w:val="16"/>
          <w:color w:val="auto"/>
        </w:rPr>
        <w:t>/s/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2675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7" w:lineRule="exact"/>
        <w:rPr>
          <w:sz w:val="20"/>
          <w:szCs w:val="20"/>
          <w:color w:val="auto"/>
        </w:rPr>
      </w:pPr>
    </w:p>
    <w:p>
      <w:pPr>
        <w:ind w:left="6300"/>
        <w:spacing w:after="0"/>
        <w:tabs>
          <w:tab w:leader="none" w:pos="6740" w:val="left"/>
        </w:tabs>
        <w:rPr>
          <w:sz w:val="20"/>
          <w:szCs w:val="20"/>
          <w:color w:val="auto"/>
        </w:rPr>
      </w:pPr>
      <w:r>
        <w:rPr>
          <w:rFonts w:ascii="Arial" w:cs="Arial" w:eastAsia="Arial" w:hAnsi="Arial"/>
          <w:sz w:val="18"/>
          <w:szCs w:val="18"/>
          <w:color w:val="auto"/>
        </w:rPr>
        <w:t>By:</w:t>
        <w:tab/>
        <w:t>Diane Bono</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Managing Director and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2020-01-14T08:28:38Z</dcterms:created>
  <dcterms:modified xsi:type="dcterms:W3CDTF">2020-01-14T08:28:38Z</dcterms:modified>
</cp:coreProperties>
</file>