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5"/>
          <w:szCs w:val="25"/>
          <w:color w:val="auto"/>
        </w:rPr>
        <w:drawing>
          <wp:anchor simplePos="0" relativeHeight="251657728" behindDoc="1" locked="0" layoutInCell="0" allowOverlap="1">
            <wp:simplePos x="0" y="0"/>
            <wp:positionH relativeFrom="page">
              <wp:posOffset>144780</wp:posOffset>
            </wp:positionH>
            <wp:positionV relativeFrom="page">
              <wp:posOffset>367665</wp:posOffset>
            </wp:positionV>
            <wp:extent cx="7272020" cy="1543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154305"/>
                    </a:xfrm>
                    <a:prstGeom prst="rect">
                      <a:avLst/>
                    </a:prstGeom>
                    <a:noFill/>
                  </pic:spPr>
                </pic:pic>
              </a:graphicData>
            </a:graphic>
          </wp:anchor>
        </w:drawing>
        <w:t>SECURITIES AND EXCHANGE COMMISSION</w:t>
      </w:r>
    </w:p>
    <w:p>
      <w:pPr>
        <w:spacing w:after="0" w:line="23"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WASHINGTON, D.C. 20549</w:t>
      </w:r>
    </w:p>
    <w:p>
      <w:pPr>
        <w:spacing w:after="0" w:line="203" w:lineRule="exact"/>
        <w:rPr>
          <w:sz w:val="24"/>
          <w:szCs w:val="24"/>
          <w:color w:val="auto"/>
        </w:rPr>
      </w:pPr>
    </w:p>
    <w:p>
      <w:pPr>
        <w:jc w:val="center"/>
        <w:ind w:right="-79"/>
        <w:spacing w:after="0"/>
        <w:rPr>
          <w:sz w:val="20"/>
          <w:szCs w:val="20"/>
          <w:color w:val="auto"/>
        </w:rPr>
      </w:pPr>
      <w:r>
        <w:rPr>
          <w:rFonts w:ascii="Arial" w:cs="Arial" w:eastAsia="Arial" w:hAnsi="Arial"/>
          <w:sz w:val="32"/>
          <w:szCs w:val="32"/>
          <w:color w:val="auto"/>
        </w:rPr>
        <w:t>SCHEDULE 13G*</w:t>
      </w:r>
    </w:p>
    <w:p>
      <w:pPr>
        <w:spacing w:after="0" w:line="32"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(Rule 13d-102)</w:t>
      </w:r>
    </w:p>
    <w:p>
      <w:pPr>
        <w:spacing w:after="0" w:line="236"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INFORMATION TO BE INCLUDED</w:t>
      </w:r>
    </w:p>
    <w:p>
      <w:pPr>
        <w:spacing w:after="0" w:line="23"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IN STATEMENTS FILED PURSUANT</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TO RULES 13d-1(b), (c), AND</w:t>
      </w:r>
    </w:p>
    <w:p>
      <w:pPr>
        <w:spacing w:after="0" w:line="9" w:lineRule="exact"/>
        <w:rPr>
          <w:sz w:val="24"/>
          <w:szCs w:val="24"/>
          <w:color w:val="auto"/>
        </w:rPr>
      </w:pPr>
    </w:p>
    <w:p>
      <w:pPr>
        <w:jc w:val="both"/>
        <w:ind w:left="4340" w:right="4240" w:hanging="37"/>
        <w:spacing w:after="0" w:line="265" w:lineRule="auto"/>
        <w:tabs>
          <w:tab w:leader="none" w:pos="4568" w:val="left"/>
        </w:tabs>
        <w:numPr>
          <w:ilvl w:val="0"/>
          <w:numId w:val="1"/>
        </w:numPr>
        <w:rPr>
          <w:rFonts w:ascii="Arial" w:cs="Arial" w:eastAsia="Arial" w:hAnsi="Arial"/>
          <w:sz w:val="17"/>
          <w:szCs w:val="17"/>
          <w:color w:val="auto"/>
        </w:rPr>
      </w:pPr>
      <w:r>
        <w:rPr>
          <w:rFonts w:ascii="Arial" w:cs="Arial" w:eastAsia="Arial" w:hAnsi="Arial"/>
          <w:sz w:val="17"/>
          <w:szCs w:val="17"/>
          <w:color w:val="auto"/>
        </w:rPr>
        <w:t>AND AMENDMENTS THERETO FILED PURSUANT TO RULE 13d-2</w:t>
      </w:r>
    </w:p>
    <w:p>
      <w:pPr>
        <w:ind w:left="4600"/>
        <w:spacing w:after="0"/>
        <w:rPr>
          <w:rFonts w:ascii="Arial" w:cs="Arial" w:eastAsia="Arial" w:hAnsi="Arial"/>
          <w:sz w:val="17"/>
          <w:szCs w:val="17"/>
          <w:color w:val="auto"/>
        </w:rPr>
      </w:pPr>
      <w:r>
        <w:rPr>
          <w:rFonts w:ascii="Arial" w:cs="Arial" w:eastAsia="Arial" w:hAnsi="Arial"/>
          <w:sz w:val="18"/>
          <w:szCs w:val="18"/>
          <w:color w:val="auto"/>
        </w:rPr>
        <w:t>(AMENDMENT NO. TWO )*</w:t>
      </w:r>
    </w:p>
    <w:p>
      <w:pPr>
        <w:spacing w:after="0" w:line="221" w:lineRule="exact"/>
        <w:rPr>
          <w:sz w:val="24"/>
          <w:szCs w:val="24"/>
          <w:color w:val="auto"/>
        </w:rPr>
      </w:pPr>
    </w:p>
    <w:p>
      <w:pPr>
        <w:jc w:val="center"/>
        <w:ind w:right="-79"/>
        <w:spacing w:after="0"/>
        <w:rPr>
          <w:sz w:val="20"/>
          <w:szCs w:val="20"/>
          <w:color w:val="auto"/>
        </w:rPr>
      </w:pPr>
      <w:r>
        <w:rPr>
          <w:rFonts w:ascii="Arial" w:cs="Arial" w:eastAsia="Arial" w:hAnsi="Arial"/>
          <w:sz w:val="43"/>
          <w:szCs w:val="43"/>
          <w:u w:val="single" w:color="auto"/>
          <w:color w:val="auto"/>
        </w:rPr>
        <w:t>Plains GP Holdings, 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9"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3613785</wp:posOffset>
            </wp:positionH>
            <wp:positionV relativeFrom="paragraph">
              <wp:posOffset>120650</wp:posOffset>
            </wp:positionV>
            <wp:extent cx="285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96" w:lineRule="exact"/>
        <w:rPr>
          <w:sz w:val="24"/>
          <w:szCs w:val="24"/>
          <w:color w:val="auto"/>
        </w:rPr>
      </w:pPr>
    </w:p>
    <w:p>
      <w:pPr>
        <w:jc w:val="center"/>
        <w:ind w:right="-79"/>
        <w:spacing w:after="0"/>
        <w:rPr>
          <w:sz w:val="20"/>
          <w:szCs w:val="20"/>
          <w:color w:val="auto"/>
        </w:rPr>
      </w:pPr>
      <w:r>
        <w:rPr>
          <w:rFonts w:ascii="Arial" w:cs="Arial" w:eastAsia="Arial" w:hAnsi="Arial"/>
          <w:sz w:val="18"/>
          <w:szCs w:val="18"/>
          <w:u w:val="single" w:color="auto"/>
          <w:color w:val="auto"/>
        </w:rPr>
        <w:t>Common Units Representing Limited Partner Interests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(Title of Class of Securities)</w:t>
      </w:r>
    </w:p>
    <w:p>
      <w:pPr>
        <w:spacing w:after="0" w:line="225" w:lineRule="exact"/>
        <w:rPr>
          <w:sz w:val="24"/>
          <w:szCs w:val="24"/>
          <w:color w:val="auto"/>
        </w:rPr>
      </w:pPr>
    </w:p>
    <w:p>
      <w:pPr>
        <w:jc w:val="center"/>
        <w:ind w:right="-79"/>
        <w:spacing w:after="0"/>
        <w:rPr>
          <w:sz w:val="20"/>
          <w:szCs w:val="20"/>
          <w:color w:val="auto"/>
        </w:rPr>
      </w:pPr>
      <w:r>
        <w:rPr>
          <w:rFonts w:ascii="Arial" w:cs="Arial" w:eastAsia="Arial" w:hAnsi="Arial"/>
          <w:sz w:val="18"/>
          <w:szCs w:val="18"/>
          <w:u w:val="single" w:color="auto"/>
          <w:color w:val="auto"/>
        </w:rPr>
        <w:t>72651A207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(CUSIP Number)</w:t>
      </w:r>
    </w:p>
    <w:p>
      <w:pPr>
        <w:spacing w:after="0" w:line="225" w:lineRule="exact"/>
        <w:rPr>
          <w:sz w:val="24"/>
          <w:szCs w:val="24"/>
          <w:color w:val="auto"/>
        </w:rPr>
      </w:pPr>
    </w:p>
    <w:p>
      <w:pPr>
        <w:jc w:val="center"/>
        <w:ind w:right="-79"/>
        <w:spacing w:after="0"/>
        <w:rPr>
          <w:sz w:val="20"/>
          <w:szCs w:val="20"/>
          <w:color w:val="auto"/>
        </w:rPr>
      </w:pPr>
      <w:r>
        <w:rPr>
          <w:rFonts w:ascii="Arial" w:cs="Arial" w:eastAsia="Arial" w:hAnsi="Arial"/>
          <w:sz w:val="18"/>
          <w:szCs w:val="18"/>
          <w:u w:val="single" w:color="auto"/>
          <w:color w:val="auto"/>
        </w:rPr>
        <w:t>December 31,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(Date of Event Which Requires Filing of this Statement)</w:t>
      </w:r>
    </w:p>
    <w:p>
      <w:pPr>
        <w:spacing w:after="0" w:line="245"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33" w:lineRule="exact"/>
        <w:rPr>
          <w:sz w:val="24"/>
          <w:szCs w:val="24"/>
          <w:color w:val="auto"/>
        </w:rPr>
      </w:pPr>
    </w:p>
    <w:p>
      <w:pPr>
        <w:jc w:val="both"/>
        <w:ind w:right="9820" w:firstLine="8"/>
        <w:spacing w:after="0" w:line="271" w:lineRule="exact"/>
        <w:tabs>
          <w:tab w:leader="none" w:pos="306" w:val="left"/>
        </w:tabs>
        <w:numPr>
          <w:ilvl w:val="0"/>
          <w:numId w:val="2"/>
        </w:numPr>
        <w:rPr>
          <w:rFonts w:ascii="Arial" w:cs="Arial" w:eastAsia="Arial" w:hAnsi="Arial"/>
          <w:sz w:val="19"/>
          <w:szCs w:val="19"/>
          <w:color w:val="auto"/>
        </w:rPr>
      </w:pPr>
      <w:r>
        <w:rPr>
          <w:rFonts w:ascii="Arial" w:cs="Arial" w:eastAsia="Arial" w:hAnsi="Arial"/>
          <w:sz w:val="19"/>
          <w:szCs w:val="19"/>
          <w:color w:val="auto"/>
        </w:rPr>
        <w:t xml:space="preserve">Rule 13d-1(b) </w:t>
      </w:r>
      <w:r>
        <w:rPr>
          <w:rFonts w:ascii="MS PGothic" w:cs="MS PGothic" w:eastAsia="MS PGothic" w:hAnsi="MS PGothic"/>
          <w:sz w:val="19"/>
          <w:szCs w:val="19"/>
          <w:color w:val="auto"/>
        </w:rPr>
        <w:t>☐</w:t>
      </w:r>
      <w:r>
        <w:rPr>
          <w:rFonts w:ascii="Arial" w:cs="Arial" w:eastAsia="Arial" w:hAnsi="Arial"/>
          <w:sz w:val="19"/>
          <w:szCs w:val="19"/>
          <w:color w:val="auto"/>
        </w:rPr>
        <w:t xml:space="preserve"> Rule 13d-1(c) </w:t>
      </w:r>
      <w:r>
        <w:rPr>
          <w:rFonts w:ascii="MS PGothic" w:cs="MS PGothic" w:eastAsia="MS PGothic" w:hAnsi="MS PGothic"/>
          <w:sz w:val="19"/>
          <w:szCs w:val="19"/>
          <w:color w:val="auto"/>
        </w:rPr>
        <w:t>☐</w:t>
      </w:r>
      <w:r>
        <w:rPr>
          <w:rFonts w:ascii="Arial" w:cs="Arial" w:eastAsia="Arial" w:hAnsi="Arial"/>
          <w:sz w:val="19"/>
          <w:szCs w:val="19"/>
          <w:color w:val="auto"/>
        </w:rPr>
        <w:t xml:space="preserve"> Rule 13d-1(d)</w:t>
      </w:r>
    </w:p>
    <w:p>
      <w:pPr>
        <w:spacing w:after="0" w:line="188" w:lineRule="exact"/>
        <w:rPr>
          <w:sz w:val="24"/>
          <w:szCs w:val="24"/>
          <w:color w:val="auto"/>
        </w:rPr>
      </w:pPr>
    </w:p>
    <w:p>
      <w:pPr>
        <w:spacing w:after="0"/>
        <w:rPr>
          <w:sz w:val="20"/>
          <w:szCs w:val="20"/>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13" w:lineRule="exact"/>
        <w:rPr>
          <w:sz w:val="24"/>
          <w:szCs w:val="24"/>
          <w:color w:val="auto"/>
        </w:rPr>
      </w:pPr>
    </w:p>
    <w:p>
      <w:pPr>
        <w:ind w:right="10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205105</wp:posOffset>
            </wp:positionV>
            <wp:extent cx="7272020" cy="1543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680720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892" w:right="299" w:bottom="1440" w:gutter="0" w:footer="0" w:header="0"/>
        </w:sectPr>
      </w:pPr>
    </w:p>
    <w:bookmarkStart w:id="1" w:name="page2"/>
    <w:bookmarkEnd w:id="1"/>
    <w:p>
      <w:pPr>
        <w:ind w:left="14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7246620" cy="64573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6457315"/>
                    </a:xfrm>
                    <a:prstGeom prst="rect">
                      <a:avLst/>
                    </a:prstGeom>
                    <a:noFill/>
                  </pic:spPr>
                </pic:pic>
              </a:graphicData>
            </a:graphic>
          </wp:anchor>
        </w:drawing>
        <w:t>NAMES OF REPORTING PERSONS</w:t>
      </w:r>
    </w:p>
    <w:p>
      <w:pPr>
        <w:spacing w:after="0" w:line="63" w:lineRule="exact"/>
        <w:rPr>
          <w:sz w:val="20"/>
          <w:szCs w:val="20"/>
          <w:color w:val="auto"/>
        </w:rPr>
      </w:pPr>
    </w:p>
    <w:p>
      <w:pPr>
        <w:ind w:left="1440" w:right="4100" w:hanging="817"/>
        <w:spacing w:after="0" w:line="180" w:lineRule="auto"/>
        <w:tabs>
          <w:tab w:leader="none" w:pos="1431" w:val="left"/>
        </w:tabs>
        <w:numPr>
          <w:ilvl w:val="0"/>
          <w:numId w:val="3"/>
        </w:numPr>
        <w:rPr>
          <w:rFonts w:ascii="Arial" w:cs="Arial" w:eastAsia="Arial" w:hAnsi="Arial"/>
          <w:sz w:val="57"/>
          <w:szCs w:val="57"/>
          <w:b w:val="1"/>
          <w:bCs w:val="1"/>
          <w:color w:val="auto"/>
          <w:vertAlign w:val="subscript"/>
        </w:rPr>
      </w:pPr>
      <w:r>
        <w:rPr>
          <w:rFonts w:ascii="Arial" w:cs="Arial" w:eastAsia="Arial" w:hAnsi="Arial"/>
          <w:sz w:val="17"/>
          <w:szCs w:val="17"/>
          <w:b w:val="1"/>
          <w:bCs w:val="1"/>
          <w:color w:val="auto"/>
        </w:rPr>
        <w:t xml:space="preserve">I.R.S. IDENTIFICATION NOS. OF ABOVE PERSONS (ENTITIES ONLY) </w:t>
      </w:r>
      <w:r>
        <w:rPr>
          <w:rFonts w:ascii="Arial" w:cs="Arial" w:eastAsia="Arial" w:hAnsi="Arial"/>
          <w:sz w:val="17"/>
          <w:szCs w:val="17"/>
          <w:color w:val="auto"/>
        </w:rPr>
        <w:t>Tortoise Capital Advisors, L.L.C.</w:t>
      </w:r>
    </w:p>
    <w:p>
      <w:pPr>
        <w:spacing w:after="0" w:line="181"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CHECK THE APPROPRIATE BOX IF A MEMBER OF A GROUP</w:t>
      </w:r>
    </w:p>
    <w:p>
      <w:pPr>
        <w:spacing w:after="0" w:line="39" w:lineRule="exact"/>
        <w:rPr>
          <w:sz w:val="20"/>
          <w:szCs w:val="20"/>
          <w:color w:val="auto"/>
        </w:rPr>
      </w:pPr>
    </w:p>
    <w:p>
      <w:pPr>
        <w:jc w:val="both"/>
        <w:ind w:left="1420" w:right="9580" w:hanging="797"/>
        <w:spacing w:after="0" w:line="266" w:lineRule="exact"/>
        <w:tabs>
          <w:tab w:leader="none" w:pos="1420" w:val="left"/>
        </w:tabs>
        <w:numPr>
          <w:ilvl w:val="0"/>
          <w:numId w:val="4"/>
        </w:numPr>
        <w:rPr>
          <w:rFonts w:ascii="Arial" w:cs="Arial" w:eastAsia="Arial" w:hAnsi="Arial"/>
          <w:sz w:val="32"/>
          <w:szCs w:val="32"/>
          <w:b w:val="1"/>
          <w:bCs w:val="1"/>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r>
        <w:rPr>
          <w:rFonts w:ascii="Arial" w:cs="Arial" w:eastAsia="Arial" w:hAnsi="Arial"/>
          <w:sz w:val="18"/>
          <w:szCs w:val="18"/>
          <w:color w:val="auto"/>
        </w:rPr>
        <w:t xml:space="preserve"> (b)[x]</w:t>
      </w:r>
    </w:p>
    <w:p>
      <w:pPr>
        <w:spacing w:after="0" w:line="45" w:lineRule="exact"/>
        <w:rPr>
          <w:rFonts w:ascii="Arial" w:cs="Arial" w:eastAsia="Arial" w:hAnsi="Arial"/>
          <w:sz w:val="32"/>
          <w:szCs w:val="32"/>
          <w:b w:val="1"/>
          <w:bCs w:val="1"/>
          <w:color w:val="auto"/>
        </w:rPr>
      </w:pPr>
    </w:p>
    <w:p>
      <w:pPr>
        <w:ind w:left="1420"/>
        <w:spacing w:after="0"/>
        <w:rPr>
          <w:rFonts w:ascii="Arial" w:cs="Arial" w:eastAsia="Arial" w:hAnsi="Arial"/>
          <w:sz w:val="32"/>
          <w:szCs w:val="32"/>
          <w:b w:val="1"/>
          <w:bCs w:val="1"/>
          <w:color w:val="auto"/>
        </w:rPr>
      </w:pPr>
      <w:r>
        <w:rPr>
          <w:rFonts w:ascii="Arial" w:cs="Arial" w:eastAsia="Arial" w:hAnsi="Arial"/>
          <w:sz w:val="18"/>
          <w:szCs w:val="18"/>
          <w:b w:val="1"/>
          <w:bCs w:val="1"/>
          <w:color w:val="auto"/>
        </w:rPr>
        <w:t>SEC USE ONLY</w:t>
      </w:r>
    </w:p>
    <w:p>
      <w:pPr>
        <w:ind w:left="620"/>
        <w:spacing w:after="0"/>
        <w:rPr>
          <w:sz w:val="20"/>
          <w:szCs w:val="20"/>
          <w:color w:val="auto"/>
        </w:rPr>
      </w:pPr>
      <w:r>
        <w:rPr>
          <w:rFonts w:ascii="Arial" w:cs="Arial" w:eastAsia="Arial" w:hAnsi="Arial"/>
          <w:sz w:val="32"/>
          <w:szCs w:val="32"/>
          <w:b w:val="1"/>
          <w:bCs w:val="1"/>
          <w:color w:val="auto"/>
        </w:rPr>
        <w:t>3</w:t>
      </w:r>
    </w:p>
    <w:p>
      <w:pPr>
        <w:spacing w:after="0" w:line="249"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CITIZENSHIP OR PLACE OF ORGANIZATION</w:t>
      </w:r>
    </w:p>
    <w:p>
      <w:pPr>
        <w:ind w:left="1440" w:hanging="817"/>
        <w:spacing w:after="0" w:line="182" w:lineRule="auto"/>
        <w:tabs>
          <w:tab w:leader="none" w:pos="1440" w:val="left"/>
        </w:tabs>
        <w:numPr>
          <w:ilvl w:val="0"/>
          <w:numId w:val="5"/>
        </w:numPr>
        <w:rPr>
          <w:rFonts w:ascii="Arial" w:cs="Arial" w:eastAsia="Arial" w:hAnsi="Arial"/>
          <w:sz w:val="50"/>
          <w:szCs w:val="50"/>
          <w:b w:val="1"/>
          <w:bCs w:val="1"/>
          <w:color w:val="auto"/>
          <w:vertAlign w:val="superscript"/>
        </w:rPr>
      </w:pPr>
      <w:r>
        <w:rPr>
          <w:rFonts w:ascii="Arial" w:cs="Arial" w:eastAsia="Arial" w:hAnsi="Arial"/>
          <w:sz w:val="16"/>
          <w:szCs w:val="16"/>
          <w:color w:val="auto"/>
        </w:rPr>
        <w:t>Delaware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400" w:type="dxa"/>
            <w:vAlign w:val="bottom"/>
            <w:tcBorders>
              <w:top w:val="single" w:sz="8" w:color="auto"/>
            </w:tcBorders>
          </w:tcPr>
          <w:p>
            <w:pPr>
              <w:spacing w:after="0"/>
              <w:rPr>
                <w:sz w:val="20"/>
                <w:szCs w:val="20"/>
                <w:color w:val="auto"/>
              </w:rPr>
            </w:pPr>
          </w:p>
        </w:tc>
        <w:tc>
          <w:tcPr>
            <w:tcW w:w="660" w:type="dxa"/>
            <w:vAlign w:val="bottom"/>
            <w:tcBorders>
              <w:top w:val="single" w:sz="8" w:color="auto"/>
              <w:right w:val="single" w:sz="8" w:color="auto"/>
            </w:tcBorders>
          </w:tcPr>
          <w:p>
            <w:pPr>
              <w:spacing w:after="0"/>
              <w:rPr>
                <w:sz w:val="20"/>
                <w:szCs w:val="20"/>
                <w:color w:val="auto"/>
              </w:rPr>
            </w:pPr>
          </w:p>
        </w:tc>
        <w:tc>
          <w:tcPr>
            <w:tcW w:w="680" w:type="dxa"/>
            <w:vAlign w:val="bottom"/>
            <w:tcBorders>
              <w:top w:val="single" w:sz="8" w:color="auto"/>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5</w:t>
            </w:r>
          </w:p>
        </w:tc>
        <w:tc>
          <w:tcPr>
            <w:tcW w:w="868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353"/>
        </w:trPr>
        <w:tc>
          <w:tcPr>
            <w:tcW w:w="140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vMerge w:val="continue"/>
          </w:tcPr>
          <w:p>
            <w:pPr>
              <w:spacing w:after="0"/>
              <w:rPr>
                <w:sz w:val="24"/>
                <w:szCs w:val="24"/>
                <w:color w:val="auto"/>
              </w:rPr>
            </w:pPr>
          </w:p>
        </w:tc>
        <w:tc>
          <w:tcPr>
            <w:tcW w:w="8680" w:type="dxa"/>
            <w:vAlign w:val="bottom"/>
            <w:vMerge w:val="restart"/>
          </w:tcPr>
          <w:p>
            <w:pPr>
              <w:ind w:lef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61"/>
        </w:trPr>
        <w:tc>
          <w:tcPr>
            <w:tcW w:w="1400" w:type="dxa"/>
            <w:vAlign w:val="bottom"/>
          </w:tcPr>
          <w:p>
            <w:pPr>
              <w:spacing w:after="0"/>
              <w:rPr>
                <w:sz w:val="13"/>
                <w:szCs w:val="13"/>
                <w:color w:val="auto"/>
              </w:rPr>
            </w:pPr>
          </w:p>
        </w:tc>
        <w:tc>
          <w:tcPr>
            <w:tcW w:w="660" w:type="dxa"/>
            <w:vAlign w:val="bottom"/>
            <w:tcBorders>
              <w:right w:val="single" w:sz="8" w:color="auto"/>
            </w:tcBorders>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86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1400" w:type="dxa"/>
            <w:vAlign w:val="bottom"/>
          </w:tcPr>
          <w:p>
            <w:pPr>
              <w:spacing w:after="0"/>
              <w:rPr>
                <w:sz w:val="4"/>
                <w:szCs w:val="4"/>
                <w:color w:val="auto"/>
              </w:rPr>
            </w:pPr>
          </w:p>
        </w:tc>
        <w:tc>
          <w:tcPr>
            <w:tcW w:w="660" w:type="dxa"/>
            <w:vAlign w:val="bottom"/>
            <w:tcBorders>
              <w:right w:val="single" w:sz="8" w:color="auto"/>
            </w:tcBorders>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86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6</w:t>
            </w:r>
          </w:p>
        </w:tc>
        <w:tc>
          <w:tcPr>
            <w:tcW w:w="8680" w:type="dxa"/>
            <w:vAlign w:val="bottom"/>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25"/>
        </w:trPr>
        <w:tc>
          <w:tcPr>
            <w:tcW w:w="20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680" w:type="dxa"/>
            <w:vAlign w:val="bottom"/>
            <w:tcBorders>
              <w:right w:val="single" w:sz="8" w:color="auto"/>
            </w:tcBorders>
            <w:vMerge w:val="continue"/>
          </w:tcPr>
          <w:p>
            <w:pPr>
              <w:spacing w:after="0"/>
              <w:rPr>
                <w:sz w:val="19"/>
                <w:szCs w:val="19"/>
                <w:color w:val="auto"/>
              </w:rPr>
            </w:pPr>
          </w:p>
        </w:tc>
        <w:tc>
          <w:tcPr>
            <w:tcW w:w="8680" w:type="dxa"/>
            <w:vAlign w:val="bottom"/>
            <w:vMerge w:val="restart"/>
          </w:tcPr>
          <w:p>
            <w:pPr>
              <w:ind w:left="40"/>
              <w:spacing w:after="0"/>
              <w:rPr>
                <w:sz w:val="20"/>
                <w:szCs w:val="20"/>
                <w:color w:val="auto"/>
              </w:rPr>
            </w:pPr>
            <w:r>
              <w:rPr>
                <w:rFonts w:ascii="Arial" w:cs="Arial" w:eastAsia="Arial" w:hAnsi="Arial"/>
                <w:sz w:val="18"/>
                <w:szCs w:val="18"/>
                <w:color w:val="auto"/>
              </w:rPr>
              <w:t>10,393,937 (See Item 4)</w:t>
            </w:r>
          </w:p>
        </w:tc>
        <w:tc>
          <w:tcPr>
            <w:tcW w:w="0" w:type="dxa"/>
            <w:vAlign w:val="bottom"/>
          </w:tcPr>
          <w:p>
            <w:pPr>
              <w:spacing w:after="0"/>
              <w:rPr>
                <w:sz w:val="1"/>
                <w:szCs w:val="1"/>
                <w:color w:val="auto"/>
              </w:rPr>
            </w:pPr>
          </w:p>
        </w:tc>
      </w:tr>
      <w:tr>
        <w:trPr>
          <w:trHeight w:val="216"/>
        </w:trPr>
        <w:tc>
          <w:tcPr>
            <w:tcW w:w="20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680" w:type="dxa"/>
            <w:vAlign w:val="bottom"/>
            <w:tcBorders>
              <w:right w:val="single" w:sz="8" w:color="auto"/>
            </w:tcBorders>
          </w:tcPr>
          <w:p>
            <w:pPr>
              <w:spacing w:after="0"/>
              <w:rPr>
                <w:sz w:val="18"/>
                <w:szCs w:val="18"/>
                <w:color w:val="auto"/>
              </w:rPr>
            </w:pPr>
          </w:p>
        </w:tc>
        <w:tc>
          <w:tcPr>
            <w:tcW w:w="86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680" w:type="dxa"/>
            <w:vAlign w:val="bottom"/>
            <w:tcBorders>
              <w:bottom w:val="single" w:sz="8" w:color="auto"/>
              <w:right w:val="single" w:sz="8" w:color="auto"/>
            </w:tcBorders>
          </w:tcPr>
          <w:p>
            <w:pPr>
              <w:spacing w:after="0"/>
              <w:rPr>
                <w:sz w:val="10"/>
                <w:szCs w:val="10"/>
                <w:color w:val="auto"/>
              </w:rPr>
            </w:pPr>
          </w:p>
        </w:tc>
        <w:tc>
          <w:tcPr>
            <w:tcW w:w="86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60" w:type="dxa"/>
            <w:vAlign w:val="bottom"/>
            <w:tcBorders>
              <w:right w:val="single" w:sz="8" w:color="auto"/>
            </w:tcBorders>
            <w:gridSpan w:val="2"/>
            <w:vMerge w:val="continue"/>
          </w:tcPr>
          <w:p>
            <w:pPr>
              <w:spacing w:after="0"/>
              <w:rPr>
                <w:sz w:val="6"/>
                <w:szCs w:val="6"/>
                <w:color w:val="auto"/>
              </w:rPr>
            </w:pPr>
          </w:p>
        </w:tc>
        <w:tc>
          <w:tcPr>
            <w:tcW w:w="680" w:type="dxa"/>
            <w:vAlign w:val="bottom"/>
            <w:tcBorders>
              <w:right w:val="single" w:sz="8" w:color="auto"/>
            </w:tcBorders>
          </w:tcPr>
          <w:p>
            <w:pPr>
              <w:spacing w:after="0"/>
              <w:rPr>
                <w:sz w:val="6"/>
                <w:szCs w:val="6"/>
                <w:color w:val="auto"/>
              </w:rPr>
            </w:pPr>
          </w:p>
        </w:tc>
        <w:tc>
          <w:tcPr>
            <w:tcW w:w="86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67"/>
        </w:trPr>
        <w:tc>
          <w:tcPr>
            <w:tcW w:w="20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8"/>
              </w:rPr>
              <w:t>REPORTING PERSON</w:t>
            </w:r>
          </w:p>
        </w:tc>
        <w:tc>
          <w:tcPr>
            <w:tcW w:w="68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7</w:t>
            </w:r>
          </w:p>
        </w:tc>
        <w:tc>
          <w:tcPr>
            <w:tcW w:w="8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60" w:type="dxa"/>
            <w:vAlign w:val="bottom"/>
            <w:tcBorders>
              <w:right w:val="single" w:sz="8" w:color="auto"/>
            </w:tcBorders>
            <w:gridSpan w:val="2"/>
            <w:vMerge w:val="continue"/>
          </w:tcPr>
          <w:p>
            <w:pPr>
              <w:spacing w:after="0"/>
              <w:rPr>
                <w:sz w:val="4"/>
                <w:szCs w:val="4"/>
                <w:color w:val="auto"/>
              </w:rPr>
            </w:pPr>
          </w:p>
        </w:tc>
        <w:tc>
          <w:tcPr>
            <w:tcW w:w="680" w:type="dxa"/>
            <w:vAlign w:val="bottom"/>
            <w:tcBorders>
              <w:right w:val="single" w:sz="8" w:color="auto"/>
            </w:tcBorders>
            <w:vMerge w:val="continue"/>
          </w:tcPr>
          <w:p>
            <w:pPr>
              <w:spacing w:after="0"/>
              <w:rPr>
                <w:sz w:val="4"/>
                <w:szCs w:val="4"/>
                <w:color w:val="auto"/>
              </w:rPr>
            </w:pPr>
          </w:p>
        </w:tc>
        <w:tc>
          <w:tcPr>
            <w:tcW w:w="8680" w:type="dxa"/>
            <w:vAlign w:val="bottom"/>
            <w:vMerge w:val="restart"/>
          </w:tcPr>
          <w:p>
            <w:pPr>
              <w:ind w:lef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80"/>
        </w:trPr>
        <w:tc>
          <w:tcPr>
            <w:tcW w:w="1400" w:type="dxa"/>
            <w:vAlign w:val="bottom"/>
            <w:vMerge w:val="restart"/>
          </w:tcPr>
          <w:p>
            <w:pPr>
              <w:jc w:val="center"/>
              <w:ind w:left="538"/>
              <w:spacing w:after="0"/>
              <w:rPr>
                <w:sz w:val="20"/>
                <w:szCs w:val="20"/>
                <w:color w:val="auto"/>
              </w:rPr>
            </w:pPr>
            <w:r>
              <w:rPr>
                <w:rFonts w:ascii="Arial" w:cs="Arial" w:eastAsia="Arial" w:hAnsi="Arial"/>
                <w:sz w:val="18"/>
                <w:szCs w:val="18"/>
                <w:b w:val="1"/>
                <w:bCs w:val="1"/>
                <w:color w:val="auto"/>
              </w:rPr>
              <w:t>WITH</w:t>
            </w:r>
          </w:p>
        </w:tc>
        <w:tc>
          <w:tcPr>
            <w:tcW w:w="660" w:type="dxa"/>
            <w:vAlign w:val="bottom"/>
            <w:tcBorders>
              <w:right w:val="single" w:sz="8" w:color="auto"/>
            </w:tcBorders>
          </w:tcPr>
          <w:p>
            <w:pPr>
              <w:spacing w:after="0"/>
              <w:rPr>
                <w:sz w:val="15"/>
                <w:szCs w:val="15"/>
                <w:color w:val="auto"/>
              </w:rPr>
            </w:pPr>
          </w:p>
        </w:tc>
        <w:tc>
          <w:tcPr>
            <w:tcW w:w="680" w:type="dxa"/>
            <w:vAlign w:val="bottom"/>
            <w:tcBorders>
              <w:right w:val="single" w:sz="8" w:color="auto"/>
            </w:tcBorders>
            <w:vMerge w:val="continue"/>
          </w:tcPr>
          <w:p>
            <w:pPr>
              <w:spacing w:after="0"/>
              <w:rPr>
                <w:sz w:val="15"/>
                <w:szCs w:val="15"/>
                <w:color w:val="auto"/>
              </w:rPr>
            </w:pPr>
          </w:p>
        </w:tc>
        <w:tc>
          <w:tcPr>
            <w:tcW w:w="8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400" w:type="dxa"/>
            <w:vAlign w:val="bottom"/>
            <w:vMerge w:val="continue"/>
          </w:tcPr>
          <w:p>
            <w:pPr>
              <w:spacing w:after="0"/>
              <w:rPr>
                <w:sz w:val="4"/>
                <w:szCs w:val="4"/>
                <w:color w:val="auto"/>
              </w:rPr>
            </w:pPr>
          </w:p>
        </w:tc>
        <w:tc>
          <w:tcPr>
            <w:tcW w:w="660" w:type="dxa"/>
            <w:vAlign w:val="bottom"/>
            <w:tcBorders>
              <w:right w:val="single" w:sz="8" w:color="auto"/>
            </w:tcBorders>
          </w:tcPr>
          <w:p>
            <w:pPr>
              <w:spacing w:after="0"/>
              <w:rPr>
                <w:sz w:val="4"/>
                <w:szCs w:val="4"/>
                <w:color w:val="auto"/>
              </w:rPr>
            </w:pPr>
          </w:p>
        </w:tc>
        <w:tc>
          <w:tcPr>
            <w:tcW w:w="680" w:type="dxa"/>
            <w:vAlign w:val="bottom"/>
            <w:tcBorders>
              <w:right w:val="single" w:sz="8" w:color="auto"/>
            </w:tcBorders>
          </w:tcPr>
          <w:p>
            <w:pPr>
              <w:spacing w:after="0"/>
              <w:rPr>
                <w:sz w:val="4"/>
                <w:szCs w:val="4"/>
                <w:color w:val="auto"/>
              </w:rPr>
            </w:pPr>
          </w:p>
        </w:tc>
        <w:tc>
          <w:tcPr>
            <w:tcW w:w="8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140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8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8</w:t>
            </w:r>
          </w:p>
        </w:tc>
        <w:tc>
          <w:tcPr>
            <w:tcW w:w="8680" w:type="dxa"/>
            <w:vAlign w:val="bottom"/>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vMerge w:val="continue"/>
          </w:tcPr>
          <w:p>
            <w:pPr>
              <w:spacing w:after="0"/>
              <w:rPr>
                <w:sz w:val="24"/>
                <w:szCs w:val="24"/>
                <w:color w:val="auto"/>
              </w:rPr>
            </w:pPr>
          </w:p>
        </w:tc>
        <w:tc>
          <w:tcPr>
            <w:tcW w:w="8680" w:type="dxa"/>
            <w:vAlign w:val="bottom"/>
          </w:tcPr>
          <w:p>
            <w:pPr>
              <w:ind w:left="40"/>
              <w:spacing w:after="0"/>
              <w:rPr>
                <w:sz w:val="20"/>
                <w:szCs w:val="20"/>
                <w:color w:val="auto"/>
              </w:rPr>
            </w:pPr>
            <w:r>
              <w:rPr>
                <w:rFonts w:ascii="Arial" w:cs="Arial" w:eastAsia="Arial" w:hAnsi="Arial"/>
                <w:sz w:val="18"/>
                <w:szCs w:val="18"/>
                <w:color w:val="auto"/>
              </w:rPr>
              <w:t>12,708,176 (See Item 4)</w:t>
            </w: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8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10020" w:type="dxa"/>
            <w:vAlign w:val="bottom"/>
            <w:gridSpan w:val="3"/>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10020" w:type="dxa"/>
            <w:vAlign w:val="bottom"/>
            <w:gridSpan w:val="3"/>
          </w:tcPr>
          <w:p>
            <w:pPr>
              <w:ind w:left="40"/>
              <w:spacing w:after="0"/>
              <w:rPr>
                <w:sz w:val="20"/>
                <w:szCs w:val="20"/>
                <w:color w:val="auto"/>
              </w:rPr>
            </w:pPr>
            <w:r>
              <w:rPr>
                <w:rFonts w:ascii="Arial" w:cs="Arial" w:eastAsia="Arial" w:hAnsi="Arial"/>
                <w:sz w:val="18"/>
                <w:szCs w:val="18"/>
                <w:color w:val="auto"/>
              </w:rPr>
              <w:t>12,708,176 (See Item 4)</w:t>
            </w: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10020" w:type="dxa"/>
            <w:vAlign w:val="bottom"/>
            <w:gridSpan w:val="3"/>
          </w:tcPr>
          <w:p>
            <w:pPr>
              <w:ind w:left="20"/>
              <w:spacing w:after="0"/>
              <w:rPr>
                <w:sz w:val="20"/>
                <w:szCs w:val="20"/>
                <w:color w:val="auto"/>
              </w:rPr>
            </w:pPr>
            <w:r>
              <w:rPr>
                <w:rFonts w:ascii="Arial" w:cs="Arial" w:eastAsia="Arial" w:hAnsi="Arial"/>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color w:val="auto"/>
              </w:rPr>
              <w:t>Not Applicable</w:t>
            </w:r>
          </w:p>
        </w:tc>
        <w:tc>
          <w:tcPr>
            <w:tcW w:w="8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10020" w:type="dxa"/>
            <w:vAlign w:val="bottom"/>
            <w:gridSpan w:val="3"/>
          </w:tcPr>
          <w:p>
            <w:pPr>
              <w:ind w:left="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660" w:type="dxa"/>
            <w:vAlign w:val="bottom"/>
          </w:tcPr>
          <w:p>
            <w:pPr>
              <w:ind w:left="40"/>
              <w:spacing w:after="0"/>
              <w:rPr>
                <w:sz w:val="20"/>
                <w:szCs w:val="20"/>
                <w:color w:val="auto"/>
              </w:rPr>
            </w:pPr>
            <w:r>
              <w:rPr>
                <w:rFonts w:ascii="Arial" w:cs="Arial" w:eastAsia="Arial" w:hAnsi="Arial"/>
                <w:sz w:val="18"/>
                <w:szCs w:val="18"/>
                <w:color w:val="auto"/>
              </w:rPr>
              <w:t>7.0%</w:t>
            </w:r>
          </w:p>
        </w:tc>
        <w:tc>
          <w:tcPr>
            <w:tcW w:w="680" w:type="dxa"/>
            <w:vAlign w:val="bottom"/>
          </w:tcPr>
          <w:p>
            <w:pPr>
              <w:spacing w:after="0"/>
              <w:rPr>
                <w:sz w:val="24"/>
                <w:szCs w:val="24"/>
                <w:color w:val="auto"/>
              </w:rPr>
            </w:pPr>
          </w:p>
        </w:tc>
        <w:tc>
          <w:tcPr>
            <w:tcW w:w="8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10020" w:type="dxa"/>
            <w:vAlign w:val="bottom"/>
            <w:gridSpan w:val="3"/>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660" w:type="dxa"/>
            <w:vAlign w:val="bottom"/>
          </w:tcPr>
          <w:p>
            <w:pPr>
              <w:ind w:left="40"/>
              <w:spacing w:after="0"/>
              <w:rPr>
                <w:sz w:val="20"/>
                <w:szCs w:val="20"/>
                <w:color w:val="auto"/>
              </w:rPr>
            </w:pPr>
            <w:r>
              <w:rPr>
                <w:rFonts w:ascii="Arial" w:cs="Arial" w:eastAsia="Arial" w:hAnsi="Arial"/>
                <w:sz w:val="18"/>
                <w:szCs w:val="18"/>
                <w:color w:val="auto"/>
              </w:rPr>
              <w:t>IA</w:t>
            </w:r>
          </w:p>
        </w:tc>
        <w:tc>
          <w:tcPr>
            <w:tcW w:w="680" w:type="dxa"/>
            <w:vAlign w:val="bottom"/>
          </w:tcPr>
          <w:p>
            <w:pPr>
              <w:spacing w:after="0"/>
              <w:rPr>
                <w:sz w:val="24"/>
                <w:szCs w:val="24"/>
                <w:color w:val="auto"/>
              </w:rPr>
            </w:pPr>
          </w:p>
        </w:tc>
        <w:tc>
          <w:tcPr>
            <w:tcW w:w="8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19"/>
        </w:trPr>
        <w:tc>
          <w:tcPr>
            <w:tcW w:w="14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05" w:right="239" w:bottom="1440" w:gutter="0" w:footer="0" w:header="0"/>
        </w:sectPr>
      </w:pPr>
    </w:p>
    <w:bookmarkStart w:id="2" w:name="page3"/>
    <w:bookmarkEnd w:id="2"/>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Name of Issuer:</w:t>
      </w:r>
    </w:p>
    <w:p>
      <w:pPr>
        <w:spacing w:after="0" w:line="249" w:lineRule="exact"/>
        <w:rPr>
          <w:sz w:val="20"/>
          <w:szCs w:val="20"/>
          <w:color w:val="auto"/>
        </w:rPr>
      </w:pPr>
    </w:p>
    <w:p>
      <w:pPr>
        <w:ind w:left="980"/>
        <w:spacing w:after="0"/>
        <w:rPr>
          <w:sz w:val="20"/>
          <w:szCs w:val="20"/>
          <w:color w:val="auto"/>
        </w:rPr>
      </w:pPr>
      <w:r>
        <w:rPr>
          <w:rFonts w:ascii="Arial" w:cs="Arial" w:eastAsia="Arial" w:hAnsi="Arial"/>
          <w:sz w:val="22"/>
          <w:szCs w:val="22"/>
          <w:color w:val="auto"/>
        </w:rPr>
        <w:t>Plains GP Holdings, L.P.</w:t>
      </w:r>
    </w:p>
    <w:p>
      <w:pPr>
        <w:spacing w:after="0" w:line="23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Address of Issuer's Principal Executive Offices:</w:t>
      </w:r>
    </w:p>
    <w:p>
      <w:pPr>
        <w:spacing w:after="0" w:line="25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333 Clay Street, Suite 1600, Houston, TX 77002</w:t>
      </w:r>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6"/>
          <w:szCs w:val="16"/>
          <w:b w:val="1"/>
          <w:bCs w:val="1"/>
          <w:color w:val="auto"/>
        </w:rPr>
        <w:t>Name of Person Filing:</w:t>
      </w:r>
    </w:p>
    <w:p>
      <w:pPr>
        <w:spacing w:after="0" w:line="256" w:lineRule="exact"/>
        <w:rPr>
          <w:sz w:val="20"/>
          <w:szCs w:val="20"/>
          <w:color w:val="auto"/>
        </w:rPr>
      </w:pPr>
    </w:p>
    <w:p>
      <w:pPr>
        <w:ind w:left="980"/>
        <w:spacing w:after="0"/>
        <w:rPr>
          <w:sz w:val="20"/>
          <w:szCs w:val="20"/>
          <w:color w:val="auto"/>
        </w:rPr>
      </w:pPr>
      <w:r>
        <w:rPr>
          <w:rFonts w:ascii="Arial" w:cs="Arial" w:eastAsia="Arial" w:hAnsi="Arial"/>
          <w:sz w:val="16"/>
          <w:szCs w:val="16"/>
          <w:color w:val="auto"/>
        </w:rPr>
        <w:t>This 13G is being filed by Tortoise Capital Advisors, L.L.C., a Delaware limited liability company ("TCA").</w:t>
      </w:r>
    </w:p>
    <w:p>
      <w:pPr>
        <w:spacing w:after="0" w:line="27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5"/>
          <w:szCs w:val="15"/>
          <w:b w:val="1"/>
          <w:bCs w:val="1"/>
          <w:color w:val="auto"/>
        </w:rPr>
        <w:t>Address of Principal Business Office or, if none, Residence:</w:t>
      </w:r>
    </w:p>
    <w:p>
      <w:pPr>
        <w:spacing w:after="0" w:line="25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principal business address is 5100 W 115th Place, Leawood, KS 66211</w:t>
      </w:r>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2(c).</w:t>
      </w:r>
      <w:r>
        <w:rPr>
          <w:sz w:val="20"/>
          <w:szCs w:val="20"/>
          <w:color w:val="auto"/>
        </w:rPr>
        <w:tab/>
      </w:r>
      <w:r>
        <w:rPr>
          <w:rFonts w:ascii="Arial" w:cs="Arial" w:eastAsia="Arial" w:hAnsi="Arial"/>
          <w:sz w:val="16"/>
          <w:szCs w:val="16"/>
          <w:b w:val="1"/>
          <w:bCs w:val="1"/>
          <w:color w:val="auto"/>
        </w:rPr>
        <w:t>Citizenship:</w:t>
      </w:r>
    </w:p>
    <w:p>
      <w:pPr>
        <w:spacing w:after="0" w:line="25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TCA is a Delaware limited liability company.</w:t>
      </w:r>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2(d).</w:t>
      </w:r>
      <w:r>
        <w:rPr>
          <w:sz w:val="20"/>
          <w:szCs w:val="20"/>
          <w:color w:val="auto"/>
        </w:rPr>
        <w:tab/>
      </w:r>
      <w:r>
        <w:rPr>
          <w:rFonts w:ascii="Arial" w:cs="Arial" w:eastAsia="Arial" w:hAnsi="Arial"/>
          <w:sz w:val="16"/>
          <w:szCs w:val="16"/>
          <w:b w:val="1"/>
          <w:bCs w:val="1"/>
          <w:color w:val="auto"/>
        </w:rPr>
        <w:t>Title of Class of Securities:</w:t>
      </w:r>
    </w:p>
    <w:p>
      <w:pPr>
        <w:spacing w:after="0" w:line="25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Common Units Representing Limited Partner Interests</w:t>
      </w:r>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7"/>
          <w:szCs w:val="17"/>
          <w:b w:val="1"/>
          <w:bCs w:val="1"/>
          <w:color w:val="auto"/>
        </w:rPr>
        <w:t>CUSIP Number:</w:t>
      </w:r>
    </w:p>
    <w:p>
      <w:pPr>
        <w:spacing w:after="0" w:line="25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72651A207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121" w:right="1440" w:bottom="1440" w:gutter="0" w:footer="0" w:header="0"/>
        </w:sectPr>
      </w:pPr>
    </w:p>
    <w:bookmarkStart w:id="3" w:name="page4"/>
    <w:bookmarkEnd w:id="3"/>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Sections 240.13d-1(b) or</w:t>
      </w:r>
    </w:p>
    <w:p>
      <w:pPr>
        <w:spacing w:after="0" w:line="24" w:lineRule="exact"/>
        <w:rPr>
          <w:sz w:val="20"/>
          <w:szCs w:val="20"/>
          <w:color w:val="auto"/>
        </w:rPr>
      </w:pPr>
    </w:p>
    <w:p>
      <w:pPr>
        <w:ind w:left="980"/>
        <w:spacing w:after="0"/>
        <w:rPr>
          <w:sz w:val="20"/>
          <w:szCs w:val="20"/>
          <w:color w:val="auto"/>
        </w:rPr>
      </w:pPr>
      <w:r>
        <w:rPr>
          <w:rFonts w:ascii="Arial" w:cs="Arial" w:eastAsia="Arial" w:hAnsi="Arial"/>
          <w:sz w:val="22"/>
          <w:szCs w:val="22"/>
          <w:b w:val="1"/>
          <w:bCs w:val="1"/>
          <w:color w:val="auto"/>
        </w:rPr>
        <w:t>240.13d-2(b) or (c), Check Whether the Person Filing Is a(n):</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TCA is an investment adviser in accordance with Rule 13d-1(b)(1)(ii)(E).</w:t>
      </w:r>
    </w:p>
    <w:p>
      <w:pPr>
        <w:spacing w:after="0" w:line="200" w:lineRule="exact"/>
        <w:rPr>
          <w:sz w:val="20"/>
          <w:szCs w:val="20"/>
          <w:color w:val="auto"/>
        </w:rPr>
      </w:pPr>
    </w:p>
    <w:p>
      <w:pPr>
        <w:spacing w:after="0" w:line="29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00" w:lineRule="exact"/>
        <w:rPr>
          <w:sz w:val="20"/>
          <w:szCs w:val="20"/>
          <w:color w:val="auto"/>
        </w:rPr>
      </w:pPr>
    </w:p>
    <w:p>
      <w:pPr>
        <w:spacing w:after="0" w:line="299" w:lineRule="exact"/>
        <w:rPr>
          <w:sz w:val="20"/>
          <w:szCs w:val="20"/>
          <w:color w:val="auto"/>
        </w:rPr>
      </w:pPr>
    </w:p>
    <w:p>
      <w:pPr>
        <w:ind w:right="340"/>
        <w:spacing w:after="0" w:line="258" w:lineRule="auto"/>
        <w:rPr>
          <w:sz w:val="20"/>
          <w:szCs w:val="20"/>
          <w:color w:val="auto"/>
        </w:rPr>
      </w:pPr>
      <w:r>
        <w:rPr>
          <w:rFonts w:ascii="Arial" w:cs="Arial" w:eastAsia="Arial" w:hAnsi="Arial"/>
          <w:sz w:val="18"/>
          <w:szCs w:val="18"/>
          <w:color w:val="auto"/>
        </w:rPr>
        <w:t>TCA acts as an investment adviser to certain investment companies registered under the Investment Company Act of 1940. TCA, by virtue of investment advisory agreements</w:t>
      </w:r>
    </w:p>
    <w:p>
      <w:pPr>
        <w:spacing w:after="0" w:line="1"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with these investment companies, has all investment and voting power over securities owned of record by these investment companies. However, despite their delegation of</w:t>
      </w:r>
    </w:p>
    <w:p>
      <w:pPr>
        <w:spacing w:after="0" w:line="1" w:lineRule="exact"/>
        <w:rPr>
          <w:sz w:val="20"/>
          <w:szCs w:val="20"/>
          <w:color w:val="auto"/>
        </w:rPr>
      </w:pPr>
    </w:p>
    <w:p>
      <w:pPr>
        <w:ind w:right="140"/>
        <w:spacing w:after="0" w:line="250" w:lineRule="auto"/>
        <w:rPr>
          <w:sz w:val="20"/>
          <w:szCs w:val="20"/>
          <w:color w:val="auto"/>
        </w:rPr>
      </w:pPr>
      <w:r>
        <w:rPr>
          <w:rFonts w:ascii="Arial" w:cs="Arial" w:eastAsia="Arial" w:hAnsi="Arial"/>
          <w:sz w:val="18"/>
          <w:szCs w:val="18"/>
          <w:color w:val="auto"/>
        </w:rPr>
        <w:t>investment and voting power to TCA, these investment companies may be deemed to be the beneficial owners under Rule 13d-3 of the Act, of the securities they own of record</w:t>
      </w:r>
    </w:p>
    <w:p>
      <w:pPr>
        <w:spacing w:after="0" w:line="1" w:lineRule="exact"/>
        <w:rPr>
          <w:sz w:val="20"/>
          <w:szCs w:val="20"/>
          <w:color w:val="auto"/>
        </w:rPr>
      </w:pPr>
    </w:p>
    <w:p>
      <w:pPr>
        <w:ind w:right="240"/>
        <w:spacing w:after="0" w:line="250" w:lineRule="auto"/>
        <w:rPr>
          <w:sz w:val="20"/>
          <w:szCs w:val="20"/>
          <w:color w:val="auto"/>
        </w:rPr>
      </w:pPr>
      <w:r>
        <w:rPr>
          <w:rFonts w:ascii="Arial" w:cs="Arial" w:eastAsia="Arial" w:hAnsi="Arial"/>
          <w:sz w:val="18"/>
          <w:szCs w:val="18"/>
          <w:color w:val="auto"/>
        </w:rPr>
        <w:t>because they have the right to acquire investment and voting power through termination of their investment advisory agreement with TCA. Thus, TCA has reported that it shares</w:t>
      </w:r>
    </w:p>
    <w:p>
      <w:pPr>
        <w:spacing w:after="0" w:line="1" w:lineRule="exact"/>
        <w:rPr>
          <w:sz w:val="20"/>
          <w:szCs w:val="20"/>
          <w:color w:val="auto"/>
        </w:rPr>
      </w:pPr>
    </w:p>
    <w:p>
      <w:pPr>
        <w:ind w:right="300"/>
        <w:spacing w:after="0" w:line="250" w:lineRule="auto"/>
        <w:rPr>
          <w:sz w:val="20"/>
          <w:szCs w:val="20"/>
          <w:color w:val="auto"/>
        </w:rPr>
      </w:pPr>
      <w:r>
        <w:rPr>
          <w:rFonts w:ascii="Arial" w:cs="Arial" w:eastAsia="Arial" w:hAnsi="Arial"/>
          <w:sz w:val="18"/>
          <w:szCs w:val="18"/>
          <w:color w:val="auto"/>
        </w:rPr>
        <w:t>voting power and dispositive power over the securities owned of record by these investment companies. TCA also acts as an investment adviser to certain managed accounts. Under</w:t>
      </w:r>
    </w:p>
    <w:p>
      <w:pPr>
        <w:spacing w:after="0" w:line="1"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contractual agreements with these managed account clients, TCA, with respect to the securities held in these client accounts, has investment and voting power with respect to</w:t>
      </w:r>
    </w:p>
    <w:p>
      <w:pPr>
        <w:spacing w:after="0" w:line="1" w:lineRule="exact"/>
        <w:rPr>
          <w:sz w:val="20"/>
          <w:szCs w:val="20"/>
          <w:color w:val="auto"/>
        </w:rPr>
      </w:pPr>
    </w:p>
    <w:p>
      <w:pPr>
        <w:ind w:right="80"/>
        <w:spacing w:after="0" w:line="250" w:lineRule="auto"/>
        <w:rPr>
          <w:sz w:val="20"/>
          <w:szCs w:val="20"/>
          <w:color w:val="auto"/>
        </w:rPr>
      </w:pPr>
      <w:r>
        <w:rPr>
          <w:rFonts w:ascii="Arial" w:cs="Arial" w:eastAsia="Arial" w:hAnsi="Arial"/>
          <w:sz w:val="18"/>
          <w:szCs w:val="18"/>
          <w:color w:val="auto"/>
        </w:rPr>
        <w:t>certain of these client accounts, and has investment power but no voting power with respect to certain other of these client accounts. TCA has reported that it shares voting and/or</w:t>
      </w:r>
    </w:p>
    <w:p>
      <w:pPr>
        <w:spacing w:after="0" w:line="1" w:lineRule="exact"/>
        <w:rPr>
          <w:sz w:val="20"/>
          <w:szCs w:val="20"/>
          <w:color w:val="auto"/>
        </w:rPr>
      </w:pPr>
    </w:p>
    <w:p>
      <w:pPr>
        <w:ind w:right="460"/>
        <w:spacing w:after="0" w:line="250" w:lineRule="auto"/>
        <w:rPr>
          <w:sz w:val="20"/>
          <w:szCs w:val="20"/>
          <w:color w:val="auto"/>
        </w:rPr>
      </w:pPr>
      <w:r>
        <w:rPr>
          <w:rFonts w:ascii="Arial" w:cs="Arial" w:eastAsia="Arial" w:hAnsi="Arial"/>
          <w:sz w:val="18"/>
          <w:szCs w:val="18"/>
          <w:color w:val="auto"/>
        </w:rPr>
        <w:t>investment power over the securities held by these client managed accounts despite a delegation of voting and/or investment power to TCA because the clients have the right to</w:t>
      </w:r>
    </w:p>
    <w:p>
      <w:pPr>
        <w:spacing w:after="0" w:line="1" w:lineRule="exact"/>
        <w:rPr>
          <w:sz w:val="20"/>
          <w:szCs w:val="20"/>
          <w:color w:val="auto"/>
        </w:rPr>
      </w:pPr>
    </w:p>
    <w:p>
      <w:pPr>
        <w:ind w:right="100"/>
        <w:spacing w:after="0" w:line="250" w:lineRule="auto"/>
        <w:rPr>
          <w:sz w:val="20"/>
          <w:szCs w:val="20"/>
          <w:color w:val="auto"/>
        </w:rPr>
      </w:pPr>
      <w:r>
        <w:rPr>
          <w:rFonts w:ascii="Arial" w:cs="Arial" w:eastAsia="Arial" w:hAnsi="Arial"/>
          <w:sz w:val="18"/>
          <w:szCs w:val="18"/>
          <w:color w:val="auto"/>
        </w:rPr>
        <w:t>acquire investment and voting power through termination of their agreements with TCA. TCA may be deemed the beneficial owner of the securities covered by this statement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under Rule 13d-3 of the Act that are held by its clients.</w:t>
      </w:r>
    </w:p>
    <w:p>
      <w:pPr>
        <w:spacing w:after="0" w:line="238" w:lineRule="exact"/>
        <w:rPr>
          <w:sz w:val="20"/>
          <w:szCs w:val="20"/>
          <w:color w:val="auto"/>
        </w:rPr>
      </w:pPr>
    </w:p>
    <w:p>
      <w:pPr>
        <w:ind w:left="1300" w:right="8040" w:hanging="320"/>
        <w:spacing w:after="0" w:line="277"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Amount beneficially owned: 12,708,176</w:t>
      </w:r>
    </w:p>
    <w:p>
      <w:pPr>
        <w:spacing w:after="0" w:line="197" w:lineRule="exact"/>
        <w:rPr>
          <w:rFonts w:ascii="Arial" w:cs="Arial" w:eastAsia="Arial" w:hAnsi="Arial"/>
          <w:sz w:val="18"/>
          <w:szCs w:val="18"/>
          <w:color w:val="auto"/>
        </w:rPr>
      </w:pPr>
    </w:p>
    <w:p>
      <w:pPr>
        <w:ind w:left="1300" w:hanging="320"/>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7.0%</w:t>
      </w:r>
    </w:p>
    <w:p>
      <w:pPr>
        <w:spacing w:after="0" w:line="237" w:lineRule="exact"/>
        <w:rPr>
          <w:rFonts w:ascii="Arial" w:cs="Arial" w:eastAsia="Arial" w:hAnsi="Arial"/>
          <w:sz w:val="18"/>
          <w:szCs w:val="18"/>
          <w:color w:val="auto"/>
        </w:rPr>
      </w:pPr>
    </w:p>
    <w:p>
      <w:pPr>
        <w:ind w:left="1300" w:hanging="320"/>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52" w:lineRule="exact"/>
        <w:rPr>
          <w:rFonts w:ascii="Arial" w:cs="Arial" w:eastAsia="Arial" w:hAnsi="Arial"/>
          <w:sz w:val="18"/>
          <w:szCs w:val="18"/>
          <w:color w:val="auto"/>
        </w:rPr>
      </w:pPr>
    </w:p>
    <w:p>
      <w:pPr>
        <w:ind w:left="1620" w:right="6920" w:hanging="315"/>
        <w:spacing w:after="0" w:line="277" w:lineRule="auto"/>
        <w:tabs>
          <w:tab w:leader="none" w:pos="1620" w:val="left"/>
        </w:tabs>
        <w:numPr>
          <w:ilvl w:val="1"/>
          <w:numId w:val="6"/>
        </w:numPr>
        <w:rPr>
          <w:rFonts w:ascii="Arial" w:cs="Arial" w:eastAsia="Arial" w:hAnsi="Arial"/>
          <w:sz w:val="18"/>
          <w:szCs w:val="18"/>
          <w:color w:val="auto"/>
        </w:rPr>
      </w:pPr>
      <w:r>
        <w:rPr>
          <w:rFonts w:ascii="Arial" w:cs="Arial" w:eastAsia="Arial" w:hAnsi="Arial"/>
          <w:sz w:val="18"/>
          <w:szCs w:val="18"/>
          <w:color w:val="auto"/>
        </w:rPr>
        <w:t>Sole power to vote or to direct the vote: 19</w:t>
      </w:r>
    </w:p>
    <w:p>
      <w:pPr>
        <w:spacing w:after="0" w:line="197" w:lineRule="exact"/>
        <w:rPr>
          <w:rFonts w:ascii="Arial" w:cs="Arial" w:eastAsia="Arial" w:hAnsi="Arial"/>
          <w:sz w:val="18"/>
          <w:szCs w:val="18"/>
          <w:color w:val="auto"/>
        </w:rPr>
      </w:pPr>
    </w:p>
    <w:p>
      <w:pPr>
        <w:ind w:left="1620" w:right="6740" w:hanging="315"/>
        <w:spacing w:after="0" w:line="277" w:lineRule="auto"/>
        <w:tabs>
          <w:tab w:leader="none" w:pos="1620" w:val="left"/>
        </w:tabs>
        <w:numPr>
          <w:ilvl w:val="1"/>
          <w:numId w:val="6"/>
        </w:numPr>
        <w:rPr>
          <w:rFonts w:ascii="Arial" w:cs="Arial" w:eastAsia="Arial" w:hAnsi="Arial"/>
          <w:sz w:val="18"/>
          <w:szCs w:val="18"/>
          <w:color w:val="auto"/>
        </w:rPr>
      </w:pPr>
      <w:r>
        <w:rPr>
          <w:rFonts w:ascii="Arial" w:cs="Arial" w:eastAsia="Arial" w:hAnsi="Arial"/>
          <w:sz w:val="18"/>
          <w:szCs w:val="18"/>
          <w:color w:val="auto"/>
        </w:rPr>
        <w:t>Shared power to vote or to direct the vote: 10,393,937</w:t>
      </w:r>
    </w:p>
    <w:p>
      <w:pPr>
        <w:spacing w:after="0" w:line="197" w:lineRule="exact"/>
        <w:rPr>
          <w:rFonts w:ascii="Arial" w:cs="Arial" w:eastAsia="Arial" w:hAnsi="Arial"/>
          <w:sz w:val="18"/>
          <w:szCs w:val="18"/>
          <w:color w:val="auto"/>
        </w:rPr>
      </w:pPr>
    </w:p>
    <w:p>
      <w:pPr>
        <w:ind w:left="1620" w:right="6000" w:hanging="315"/>
        <w:spacing w:after="0" w:line="277" w:lineRule="auto"/>
        <w:tabs>
          <w:tab w:leader="none" w:pos="1620" w:val="left"/>
        </w:tabs>
        <w:numPr>
          <w:ilvl w:val="1"/>
          <w:numId w:val="6"/>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19</w:t>
      </w:r>
    </w:p>
    <w:p>
      <w:pPr>
        <w:spacing w:after="0" w:line="197" w:lineRule="exact"/>
        <w:rPr>
          <w:rFonts w:ascii="Arial" w:cs="Arial" w:eastAsia="Arial" w:hAnsi="Arial"/>
          <w:sz w:val="18"/>
          <w:szCs w:val="18"/>
          <w:color w:val="auto"/>
        </w:rPr>
      </w:pPr>
    </w:p>
    <w:p>
      <w:pPr>
        <w:ind w:left="1620" w:right="5820" w:hanging="315"/>
        <w:spacing w:after="0" w:line="277" w:lineRule="auto"/>
        <w:tabs>
          <w:tab w:leader="none" w:pos="1620" w:val="left"/>
        </w:tabs>
        <w:numPr>
          <w:ilvl w:val="1"/>
          <w:numId w:val="6"/>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12,708,157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4" w:name="page5"/>
    <w:bookmarkEnd w:id="4"/>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49" w:lineRule="exact"/>
        <w:rPr>
          <w:sz w:val="20"/>
          <w:szCs w:val="20"/>
          <w:color w:val="auto"/>
        </w:rPr>
      </w:pPr>
    </w:p>
    <w:p>
      <w:pPr>
        <w:ind w:left="980"/>
        <w:spacing w:after="0"/>
        <w:rPr>
          <w:sz w:val="20"/>
          <w:szCs w:val="20"/>
          <w:color w:val="auto"/>
        </w:rPr>
      </w:pPr>
      <w:r>
        <w:rPr>
          <w:rFonts w:ascii="Arial" w:cs="Arial" w:eastAsia="Arial" w:hAnsi="Arial"/>
          <w:sz w:val="22"/>
          <w:szCs w:val="22"/>
          <w:color w:val="auto"/>
        </w:rPr>
        <w:t>Not Applicable</w:t>
      </w:r>
    </w:p>
    <w:p>
      <w:pPr>
        <w:spacing w:after="0" w:line="23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56" w:lineRule="exact"/>
        <w:rPr>
          <w:sz w:val="20"/>
          <w:szCs w:val="20"/>
          <w:color w:val="auto"/>
        </w:rPr>
      </w:pPr>
    </w:p>
    <w:p>
      <w:pPr>
        <w:ind w:left="980"/>
        <w:spacing w:after="0" w:line="258" w:lineRule="auto"/>
        <w:rPr>
          <w:sz w:val="20"/>
          <w:szCs w:val="20"/>
          <w:color w:val="auto"/>
        </w:rPr>
      </w:pPr>
      <w:r>
        <w:rPr>
          <w:rFonts w:ascii="Arial" w:cs="Arial" w:eastAsia="Arial" w:hAnsi="Arial"/>
          <w:sz w:val="18"/>
          <w:szCs w:val="18"/>
          <w:color w:val="auto"/>
        </w:rPr>
        <w:t>TCA's clients have the right to receive all dividends from, and the proceeds from the sale of, the securities held in their respective accounts. The interest of any one such</w:t>
      </w:r>
    </w:p>
    <w:p>
      <w:pPr>
        <w:spacing w:after="0" w:line="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person does not exceed 5% of the class of securities.</w:t>
      </w:r>
    </w:p>
    <w:p>
      <w:pPr>
        <w:spacing w:after="0" w:line="200" w:lineRule="exact"/>
        <w:rPr>
          <w:sz w:val="20"/>
          <w:szCs w:val="20"/>
          <w:color w:val="auto"/>
        </w:rPr>
      </w:pPr>
    </w:p>
    <w:p>
      <w:pPr>
        <w:spacing w:after="0" w:line="27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Identification and Classification of the Subsidiary Which Acquired the Security Being Reported on by the Parent Holding Company.</w:t>
      </w:r>
    </w:p>
    <w:p>
      <w:pPr>
        <w:spacing w:after="0" w:line="249" w:lineRule="exact"/>
        <w:rPr>
          <w:sz w:val="20"/>
          <w:szCs w:val="20"/>
          <w:color w:val="auto"/>
        </w:rPr>
      </w:pPr>
    </w:p>
    <w:p>
      <w:pPr>
        <w:ind w:left="980"/>
        <w:spacing w:after="0"/>
        <w:rPr>
          <w:sz w:val="20"/>
          <w:szCs w:val="20"/>
          <w:color w:val="auto"/>
        </w:rPr>
      </w:pPr>
      <w:r>
        <w:rPr>
          <w:rFonts w:ascii="Arial" w:cs="Arial" w:eastAsia="Arial" w:hAnsi="Arial"/>
          <w:sz w:val="22"/>
          <w:szCs w:val="22"/>
          <w:color w:val="auto"/>
        </w:rPr>
        <w:t>Not Applicable</w:t>
      </w:r>
    </w:p>
    <w:p>
      <w:pPr>
        <w:spacing w:after="0" w:line="23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49" w:lineRule="exact"/>
        <w:rPr>
          <w:sz w:val="20"/>
          <w:szCs w:val="20"/>
          <w:color w:val="auto"/>
        </w:rPr>
      </w:pPr>
    </w:p>
    <w:p>
      <w:pPr>
        <w:jc w:val="center"/>
        <w:ind w:right="8080"/>
        <w:spacing w:after="0"/>
        <w:rPr>
          <w:sz w:val="20"/>
          <w:szCs w:val="20"/>
          <w:color w:val="auto"/>
        </w:rPr>
      </w:pPr>
      <w:r>
        <w:rPr>
          <w:rFonts w:ascii="Arial" w:cs="Arial" w:eastAsia="Arial" w:hAnsi="Arial"/>
          <w:sz w:val="22"/>
          <w:szCs w:val="22"/>
          <w:color w:val="auto"/>
        </w:rPr>
        <w:t>Not Applicable</w:t>
      </w:r>
    </w:p>
    <w:p>
      <w:pPr>
        <w:spacing w:after="0" w:line="23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49" w:lineRule="exact"/>
        <w:rPr>
          <w:sz w:val="20"/>
          <w:szCs w:val="20"/>
          <w:color w:val="auto"/>
        </w:rPr>
      </w:pPr>
    </w:p>
    <w:p>
      <w:pPr>
        <w:ind w:left="980"/>
        <w:spacing w:after="0"/>
        <w:rPr>
          <w:sz w:val="20"/>
          <w:szCs w:val="20"/>
          <w:color w:val="auto"/>
        </w:rPr>
      </w:pPr>
      <w:r>
        <w:rPr>
          <w:rFonts w:ascii="Arial" w:cs="Arial" w:eastAsia="Arial" w:hAnsi="Arial"/>
          <w:sz w:val="22"/>
          <w:szCs w:val="22"/>
          <w:color w:val="auto"/>
        </w:rPr>
        <w:t>Not Applicable</w:t>
      </w:r>
    </w:p>
    <w:p>
      <w:pPr>
        <w:spacing w:after="0" w:line="23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249" w:lineRule="exact"/>
        <w:rPr>
          <w:sz w:val="20"/>
          <w:szCs w:val="20"/>
          <w:color w:val="auto"/>
        </w:rPr>
      </w:pPr>
    </w:p>
    <w:p>
      <w:pPr>
        <w:ind w:right="80" w:firstLine="972"/>
        <w:spacing w:after="0" w:line="238" w:lineRule="auto"/>
        <w:rPr>
          <w:sz w:val="20"/>
          <w:szCs w:val="20"/>
          <w:color w:val="auto"/>
        </w:rPr>
      </w:pPr>
      <w:r>
        <w:rPr>
          <w:rFonts w:ascii="Arial" w:cs="Arial" w:eastAsia="Arial" w:hAnsi="Arial"/>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sectPr>
      </w:pPr>
    </w:p>
    <w:bookmarkStart w:id="5" w:name="page6"/>
    <w:bookmarkEnd w:id="5"/>
    <w:p>
      <w:pPr>
        <w:jc w:val="center"/>
        <w:ind w:right="-619"/>
        <w:spacing w:after="0"/>
        <w:rPr>
          <w:sz w:val="20"/>
          <w:szCs w:val="20"/>
          <w:color w:val="auto"/>
        </w:rPr>
      </w:pPr>
      <w:r>
        <w:rPr>
          <w:rFonts w:ascii="Arial" w:cs="Arial" w:eastAsia="Arial" w:hAnsi="Arial"/>
          <w:sz w:val="22"/>
          <w:szCs w:val="22"/>
          <w:b w:val="1"/>
          <w:bCs w:val="1"/>
          <w:color w:val="auto"/>
        </w:rPr>
        <w:t>SIGNATURE</w:t>
      </w:r>
    </w:p>
    <w:p>
      <w:pPr>
        <w:spacing w:after="0" w:line="240" w:lineRule="exact"/>
        <w:rPr>
          <w:sz w:val="20"/>
          <w:szCs w:val="20"/>
          <w:color w:val="auto"/>
        </w:rPr>
      </w:pPr>
    </w:p>
    <w:p>
      <w:pPr>
        <w:ind w:firstLine="972"/>
        <w:spacing w:after="0" w:line="251"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Dated: February 14, 2020</w:t>
      </w:r>
    </w:p>
    <w:p>
      <w:pPr>
        <w:spacing w:after="0" w:line="24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TORTOISE CAPITAL ADVISORS, L.L.C.</w:t>
      </w:r>
    </w:p>
    <w:p>
      <w:pPr>
        <w:spacing w:after="0" w:line="27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Diane Bono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23495</wp:posOffset>
            </wp:positionV>
            <wp:extent cx="340487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Name:  Diane Bono</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Title:  Chief Compliance Officer and 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535305</wp:posOffset>
            </wp:positionV>
            <wp:extent cx="72504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sectPr>
      <w:pgSz w:w="11900" w:h="16838" w:orient="portrait"/>
      <w:cols w:equalWidth="0" w:num="1">
        <w:col w:w="10800"/>
      </w:cols>
      <w:pgMar w:left="240" w:top="111" w:right="8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lowerLetter"/>
      <w:start w:val="4"/>
    </w:lvl>
  </w:abstractNum>
  <w:abstractNum w:abstractNumId="1">
    <w:nsid w:val="625558EC"/>
    <w:multiLevelType w:val="hybridMultilevel"/>
    <w:lvl w:ilvl="0">
      <w:lvlJc w:val="left"/>
      <w:lvlText w:val="[%1]"/>
      <w:numFmt w:val="lowerRoman"/>
      <w:start w:val="10"/>
    </w:lvl>
  </w:abstractNum>
  <w:abstractNum w:abstractNumId="2">
    <w:nsid w:val="238E1F29"/>
    <w:multiLevelType w:val="hybridMultilevel"/>
    <w:lvl w:ilvl="0">
      <w:lvlJc w:val="left"/>
      <w:lvlText w:val="1"/>
      <w:numFmt w:val="bullet"/>
      <w:start w:val="1"/>
    </w:lvl>
  </w:abstractNum>
  <w:abstractNum w:abstractNumId="3">
    <w:nsid w:val="46E87CCD"/>
    <w:multiLevelType w:val="hybridMultilevel"/>
    <w:lvl w:ilvl="0">
      <w:lvlJc w:val="left"/>
      <w:lvlText w:val="2"/>
      <w:numFmt w:val="bullet"/>
      <w:start w:val="1"/>
    </w:lvl>
  </w:abstractNum>
  <w:abstractNum w:abstractNumId="4">
    <w:nsid w:val="3D1B58BA"/>
    <w:multiLevelType w:val="hybridMultilevel"/>
    <w:lvl w:ilvl="0">
      <w:lvlJc w:val="left"/>
      <w:lvlText w:val="4"/>
      <w:numFmt w:val="bullet"/>
      <w:start w:val="1"/>
    </w:lvl>
  </w:abstractNum>
  <w:abstractNum w:abstractNumId="5">
    <w:nsid w:val="507ED7AB"/>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2020-02-14T15:52:52Z</dcterms:created>
  <dcterms:modified xsi:type="dcterms:W3CDTF">2020-02-14T15:52:52Z</dcterms:modified>
</cp:coreProperties>
</file>