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November 5, 2025</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November 5, 2025, the Registrant issued a press release reporting its third-quarter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40" w:type="dxa"/>
            <w:vAlign w:val="bottom"/>
            <w:tcBorders>
              <w:top w:val="single" w:sz="8" w:color="auto"/>
            </w:tcBorders>
            <w:gridSpan w:val="2"/>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November 5, 2025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7600" w:type="dxa"/>
            <w:vAlign w:val="bottom"/>
            <w:gridSpan w:val="3"/>
          </w:tcPr>
          <w:p>
            <w:pPr>
              <w:ind w:left="14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10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18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51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Third-Quarter 2025 Results 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Announces Closing of Acquisitions Totaling 100% Equity Interest in EPIC</w:t>
      </w:r>
    </w:p>
    <w:p>
      <w:pPr>
        <w:spacing w:after="0" w:line="21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Houston, TX – November 5, 2025 – Plains All American Pipeline, L.P. (Nasdaq: PAA) and Plains GP Holdings (Nasdaq: PAGP) today reported third-quarter 2025 results and provided the following highlights and recent developments: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Third-Quarter Results and Highlights</w:t>
      </w:r>
    </w:p>
    <w:p>
      <w:pPr>
        <w:spacing w:after="0" w:line="261"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$441 million and net cash provided by operating activities of $817 million.</w:t>
      </w:r>
    </w:p>
    <w:p>
      <w:pPr>
        <w:spacing w:after="0" w:line="20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solid Adjusted EBITDA attributable to PAA of $669 million.</w:t>
      </w:r>
    </w:p>
    <w:p>
      <w:pPr>
        <w:spacing w:after="0" w:line="20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Exited the quarter with 3.3x leverage ratio, toward the low-end of our target range of 3.25x - 3.75x.</w:t>
      </w:r>
    </w:p>
    <w:p>
      <w:pPr>
        <w:spacing w:after="0" w:line="101"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Plains successfully raised $1.25 billion in aggregate senior unsecured notes with proceeds allocated toward redeeming senior notes maturing in October 2025 and to partially fund recently announced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8" w:lineRule="exact"/>
        <w:rPr>
          <w:sz w:val="20"/>
          <w:szCs w:val="20"/>
          <w:color w:val="auto"/>
        </w:rPr>
      </w:pPr>
    </w:p>
    <w:p>
      <w:pPr>
        <w:ind w:left="620" w:right="220" w:hanging="307"/>
        <w:spacing w:after="0" w:line="23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Plains completed the previously announced acquisition of a 55% equity interest in EPIC Crude Holdings, LP (“EPIC”), the entity that owns and operates the EPIC Crude Oil Pipeline (the “EPIC Pipeline”), from subsidiaries of Diamondback Energy, Inc. and Kinetik Holdings Inc.</w:t>
      </w:r>
    </w:p>
    <w:p>
      <w:pPr>
        <w:spacing w:after="0" w:line="216" w:lineRule="exact"/>
        <w:rPr>
          <w:rFonts w:ascii="Times New Roman" w:cs="Times New Roman" w:eastAsia="Times New Roman" w:hAnsi="Times New Roman"/>
          <w:sz w:val="17"/>
          <w:szCs w:val="17"/>
          <w:color w:val="auto"/>
        </w:rPr>
      </w:pPr>
    </w:p>
    <w:p>
      <w:pPr>
        <w:ind w:left="620" w:right="40" w:hanging="307"/>
        <w:spacing w:after="0" w:line="24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November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Plains completed the acquisition of the remaining 45% operated equity interest in EPIC, from a portfolio company of Ares Private Equity funds for a purchase price of approximately $1.33 billion, inclusive of approximately $500 million of debt. Additionally, Plains has agreed to a potential earnout payment of up to $157 million tied to certain expansions of the pipeline system by 2028. This transaction, along with the transaction described above, results in PAA owning a 100% equity interest in EPIC.</w:t>
      </w:r>
    </w:p>
    <w:p>
      <w:pPr>
        <w:spacing w:after="0" w:line="216"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the remaining 45% interest in EPIC allows us to accelerate and increase synergy capture on the full system, including meaningful 2026 cost savings. We expect solid mid-teens returns with a 2026 EBITDA multiple of ~10x, improving significantly over the next few years. Going forward we intend to rename the system Cactus III, reflecting integration with our existing Cactus long-haul systems that we have operated for years.</w:t>
      </w:r>
    </w:p>
    <w:p>
      <w:pPr>
        <w:spacing w:after="0" w:line="193" w:lineRule="exact"/>
        <w:rPr>
          <w:rFonts w:ascii="Times New Roman" w:cs="Times New Roman" w:eastAsia="Times New Roman" w:hAnsi="Times New Roman"/>
          <w:sz w:val="17"/>
          <w:szCs w:val="17"/>
          <w:color w:val="auto"/>
        </w:rPr>
      </w:pPr>
    </w:p>
    <w:p>
      <w:pPr>
        <w:ind w:left="620" w:right="4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leverage ratio toward the midpoint of the target range (~3.5x) post announced acquisitions and upon closing our previously announced NGL divestiture (expected by the end of the first quarter 2026).</w:t>
      </w:r>
    </w:p>
    <w:p>
      <w:pPr>
        <w:spacing w:after="0" w:line="176"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Forecasting full-year 2025 Adjusted EBITDA attributable to Plains to be in the range of $2.84 to $2.89 billion, which includes approximately $40 million of contribution from our acquisition of EPIC.</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have made significant progress in our journey of becoming the premier crude oil midstream provider. The pending divestiture of our NGL business, acquisition of EPIC, and streamlining efforts across the broader organization will provide tailwinds for the business despite near term macro volatility. We remain committed to our capital allocation framework and returning cash to unitholders. Our approximately 9.5% distribution yield is well supported with distribution coverage and offers an attractive opportunity to participate in energy markets where we expect improving oil market fundamentals” said Willie Chiang, Chairman, 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Reporting Considerations for Pending Sale of Canadian NGL Business</w:t>
      </w:r>
    </w:p>
    <w:p>
      <w:pPr>
        <w:spacing w:after="0" w:line="144"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On June 17, 2025, we entered into a definitive agreement to sell substantially all of our NGL business in Canada (the “Canadian NGL Business”) to Keyera Corp. This transaction is expected to close in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19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6"/>
                <w:szCs w:val="16"/>
                <w:b w:val="1"/>
                <w:bCs w:val="1"/>
                <w:i w:val="1"/>
                <w:iCs w:val="1"/>
                <w:color w:val="auto"/>
              </w:rPr>
              <w:t xml:space="preserve">GAAP Results </w:t>
            </w:r>
            <w:r>
              <w:rPr>
                <w:rFonts w:ascii="Times New Roman" w:cs="Times New Roman" w:eastAsia="Times New Roman" w:hAnsi="Times New Roman"/>
                <w:sz w:val="20"/>
                <w:szCs w:val="20"/>
                <w:b w:val="1"/>
                <w:bCs w:val="1"/>
                <w:i w:val="1"/>
                <w:iCs w:val="1"/>
                <w:color w:val="auto"/>
                <w:vertAlign w:val="superscript"/>
              </w:rPr>
              <w:t>(1)</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gridSpan w:val="3"/>
          </w:tcPr>
          <w:p>
            <w:pPr>
              <w:spacing w:after="0" w:line="194" w:lineRule="exact"/>
              <w:rPr>
                <w:sz w:val="20"/>
                <w:szCs w:val="20"/>
                <w:color w:val="auto"/>
              </w:rPr>
            </w:pPr>
            <w:r>
              <w:rPr>
                <w:rFonts w:ascii="Times New Roman" w:cs="Times New Roman" w:eastAsia="Times New Roman" w:hAnsi="Times New Roman"/>
                <w:sz w:val="16"/>
                <w:szCs w:val="16"/>
                <w:b w:val="1"/>
                <w:bCs w:val="1"/>
                <w:i w:val="1"/>
                <w:iCs w:val="1"/>
                <w:color w:val="auto"/>
              </w:rPr>
              <w:t xml:space="preserve">Non-GAAP Results </w:t>
            </w:r>
            <w:r>
              <w:rPr>
                <w:rFonts w:ascii="Times New Roman" w:cs="Times New Roman" w:eastAsia="Times New Roman" w:hAnsi="Times New Roman"/>
                <w:sz w:val="20"/>
                <w:szCs w:val="20"/>
                <w:b w:val="1"/>
                <w:bCs w:val="1"/>
                <w:i w:val="1"/>
                <w:iCs w:val="1"/>
                <w:color w:val="auto"/>
                <w:vertAlign w:val="superscript"/>
              </w:rPr>
              <w:t>(1) (3)</w:t>
            </w: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5100" w:type="dxa"/>
            <w:vAlign w:val="bottom"/>
            <w:tcBorders>
              <w:top w:val="single" w:sz="8" w:color="auto"/>
            </w:tcBorders>
            <w:gridSpan w:val="2"/>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(4)</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16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160" w:type="dxa"/>
            <w:vAlign w:val="bottom"/>
            <w:gridSpan w:val="3"/>
            <w:shd w:val="clear" w:color="auto" w:fill="CCEEFF"/>
          </w:tcPr>
          <w:p>
            <w:pPr>
              <w:ind w:left="80"/>
              <w:spacing w:after="0" w:line="232" w:lineRule="exact"/>
              <w:rPr>
                <w:sz w:val="20"/>
                <w:szCs w:val="20"/>
                <w:color w:val="auto"/>
              </w:rPr>
            </w:pPr>
            <w:r>
              <w:rPr>
                <w:rFonts w:ascii="Times New Roman" w:cs="Times New Roman" w:eastAsia="Times New Roman" w:hAnsi="Times New Roman"/>
                <w:sz w:val="17"/>
                <w:szCs w:val="17"/>
                <w:color w:val="auto"/>
              </w:rPr>
              <w:t xml:space="preserve">Assets &amp; Liabilities) </w:t>
            </w:r>
            <w:r>
              <w:rPr>
                <w:rFonts w:ascii="Times New Roman" w:cs="Times New Roman" w:eastAsia="Times New Roman" w:hAnsi="Times New Roman"/>
                <w:sz w:val="22"/>
                <w:szCs w:val="22"/>
                <w:color w:val="auto"/>
                <w:vertAlign w:val="superscript"/>
              </w:rPr>
              <w:t>(4)</w:t>
            </w: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3"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 See the tables attached hereto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320" w:right="200" w:hanging="317"/>
        <w:spacing w:after="0" w:line="22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(the “Permian JV”), Cactus II Pipeline LLC and Red River Pipeline LLC joint ventures.</w:t>
      </w:r>
    </w:p>
    <w:p>
      <w:pPr>
        <w:spacing w:after="0" w:line="36"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nine months ended September 30, 2025 includes the impact of a net cash outflow of $865 million for bolt-on acquisitions.</w:t>
      </w:r>
    </w:p>
    <w:p>
      <w:pPr>
        <w:spacing w:after="0" w:line="151"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Disaggregation of Adjusted EBITDA by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color w:val="auto"/>
          <w:vertAlign w:val="superscript"/>
        </w:rPr>
        <w:t>(1)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68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September 30, 2024</w:t>
            </w: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577</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1,733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68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Nine Months Ended September 30, 2024</w:t>
            </w: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1,707</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6 %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3"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160" w:hanging="317"/>
        <w:spacing w:after="0" w:line="23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69"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Third-quarter 2025 Adjusted EBITDA from Crude Oil increased 3% versus comparable 2024 results. Favorable results in the 2025 period from (i) contributions from recently completed bolt-on acquisitions, (ii) higher volumes on our pipelines and (iii) tariff escalations were offset by the impact of (iv) certain Permian long-haul pipeline contract rate resets and (v) lower commodity prices.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Third-quarter 2025 Adjusted EBITDA from NGL decreased 4% versus comparable 2024 results primarily due to lower sales volumes.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Wednesday, November 5, 2025 to discuss third-quarter performance and related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https://edge.media-server.com/mmc/p/6uxwghj4/</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96"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 amounts related to Other income/(expense).</w:t>
      </w:r>
    </w:p>
    <w:p>
      <w:pPr>
        <w:spacing w:after="0" w:line="141"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50"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8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51"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Measures and Discontinued Operations</w:t>
      </w:r>
    </w:p>
    <w:p>
      <w:pPr>
        <w:spacing w:after="0" w:line="18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56"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36,854</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34,086</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2"/>
        </w:trPr>
        <w:tc>
          <w:tcPr>
            <w:tcW w:w="63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35,971</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7"/>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7"/>
        </w:trPr>
        <w:tc>
          <w:tcPr>
            <w:tcW w:w="63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7"/>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0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10"/>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8"/>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UNIT: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8"/>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4"/>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7"/>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2"/>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4"/>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0"/>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4"/>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04"/>
        </w:trPr>
        <w:tc>
          <w:tcPr>
            <w:tcW w:w="6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27"/>
        </w:trPr>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122" w:lineRule="exact"/>
        <w:rPr>
          <w:sz w:val="20"/>
          <w:szCs w:val="20"/>
          <w:color w:val="auto"/>
        </w:rPr>
      </w:pPr>
    </w:p>
    <w:p>
      <w:pPr>
        <w:ind w:left="320" w:right="60" w:hanging="317"/>
        <w:spacing w:after="0" w:line="233"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Plains entities have issued promissory notes by and among such entities to facilitate financing. “Interest expense, net” and “Other income, net” each include $23 million and $65 million for the three and nine months ended September 30, 2025, respectively, and $16 million and $31 million for the three and nine months ended September 30, 2024, respectively, related to interest on such related party promissory notes. These amounts offset and do not impact Net Income or Non-GAAP metrics such as Adjusted EBITDA, Implied DCF and Adjusted Free Cash Flow.</w:t>
      </w:r>
    </w:p>
    <w:p>
      <w:pPr>
        <w:spacing w:after="0" w:line="162" w:lineRule="exact"/>
        <w:rPr>
          <w:rFonts w:ascii="Times New Roman" w:cs="Times New Roman" w:eastAsia="Times New Roman" w:hAnsi="Times New Roman"/>
          <w:sz w:val="18"/>
          <w:szCs w:val="18"/>
          <w:color w:val="auto"/>
          <w:vertAlign w:val="superscript"/>
        </w:rPr>
      </w:pP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$1,180 and $348, respectively) </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04"/>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0"/>
                <w:szCs w:val="20"/>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58"/>
        </w:trPr>
        <w:tc>
          <w:tcPr>
            <w:tcW w:w="3880" w:type="dxa"/>
            <w:vAlign w:val="bottom"/>
            <w:shd w:val="clear" w:color="auto" w:fill="CCEEFF"/>
          </w:tcPr>
          <w:p>
            <w:pPr>
              <w:spacing w:after="0"/>
              <w:rPr>
                <w:sz w:val="13"/>
                <w:szCs w:val="13"/>
                <w:color w:val="auto"/>
              </w:rPr>
            </w:pPr>
          </w:p>
        </w:tc>
        <w:tc>
          <w:tcPr>
            <w:tcW w:w="4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197"/>
        </w:trPr>
        <w:tc>
          <w:tcPr>
            <w:tcW w:w="8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2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122" w:lineRule="exact"/>
        <w:rPr>
          <w:sz w:val="20"/>
          <w:szCs w:val="20"/>
          <w:color w:val="auto"/>
        </w:rPr>
      </w:pPr>
    </w:p>
    <w:p>
      <w:pPr>
        <w:ind w:left="320" w:right="40" w:hanging="317"/>
        <w:spacing w:after="0" w:line="226" w:lineRule="auto"/>
        <w:tabs>
          <w:tab w:leader="none" w:pos="308"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on hand at September 30, 2025 was utilized to redeem senior notes on October 3, 2025. Includes current assets of discontinued operations of $434 million and $415 million as of September 30, 2025 and December 31, 2024, respectively.</w:t>
      </w:r>
    </w:p>
    <w:p>
      <w:pPr>
        <w:spacing w:after="0" w:line="12"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current liabilities of discontinued operations of $283 million and $350 million as of September 30, 2025 and December 31,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DEBT CAPITALIZATION RATIOS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percentages)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7"/>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7,213</w:t>
            </w:r>
          </w:p>
        </w:tc>
      </w:tr>
      <w:tr>
        <w:trPr>
          <w:trHeight w:val="238"/>
        </w:trPr>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w:t>
            </w:r>
          </w:p>
        </w:tc>
      </w:tr>
      <w:tr>
        <w:trPr>
          <w:trHeight w:val="22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9,813</w:t>
            </w:r>
          </w:p>
        </w:tc>
      </w:tr>
      <w:tr>
        <w:trPr>
          <w:trHeight w:val="238"/>
        </w:trPr>
        <w:tc>
          <w:tcPr>
            <w:tcW w:w="8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7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19,215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17,434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1"/>
        </w:trPr>
        <w:tc>
          <w:tcPr>
            <w:tcW w:w="8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20"/>
        </w:trPr>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2461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w w:val="75"/>
              </w:rPr>
              <w:t>(1)</w:t>
            </w:r>
          </w:p>
        </w:tc>
        <w:tc>
          <w:tcPr>
            <w:tcW w:w="6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tc>
        <w:tc>
          <w:tcPr>
            <w:tcW w:w="4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760" w:type="dxa"/>
            <w:vAlign w:val="bottom"/>
            <w:gridSpan w:val="2"/>
            <w:vMerge w:val="continue"/>
          </w:tcPr>
          <w:p>
            <w:pPr>
              <w:spacing w:after="0"/>
              <w:rPr>
                <w:sz w:val="5"/>
                <w:szCs w:val="5"/>
                <w:color w:val="auto"/>
              </w:rPr>
            </w:pPr>
          </w:p>
        </w:tc>
        <w:tc>
          <w:tcPr>
            <w:tcW w:w="4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more -</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ind w:left="154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4280" w:type="dxa"/>
            <w:vAlign w:val="bottom"/>
          </w:tcPr>
          <w:p>
            <w:pPr>
              <w:jc w:val="right"/>
              <w:ind w:right="1574"/>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ind w:right="4920"/>
        <w:spacing w:after="0" w:line="275"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COMMON UNIT </w:t>
      </w:r>
      <w:r>
        <w:rPr>
          <w:rFonts w:ascii="Times New Roman" w:cs="Times New Roman" w:eastAsia="Times New Roman" w:hAnsi="Times New Roman"/>
          <w:sz w:val="17"/>
          <w:szCs w:val="17"/>
          <w:color w:val="auto"/>
        </w:rPr>
        <w:t>(in millions, except per unit data)</w:t>
      </w:r>
    </w:p>
    <w:tbl>
      <w:tblPr>
        <w:tblLayout w:type="fixed"/>
        <w:tblInd w:w="0" w:type="dxa"/>
        <w:tblCellMar>
          <w:top w:w="0" w:type="dxa"/>
          <w:left w:w="0" w:type="dxa"/>
          <w:bottom w:w="0" w:type="dxa"/>
          <w:right w:w="0" w:type="dxa"/>
        </w:tblCellMar>
      </w:tblPr>
      <w:tr>
        <w:trPr>
          <w:trHeight w:val="141"/>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gridSpan w:val="4"/>
          </w:tcPr>
          <w:p>
            <w:pPr>
              <w:jc w:val="right"/>
              <w:ind w:right="76"/>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4"/>
          </w:tcPr>
          <w:p>
            <w:pPr>
              <w:jc w:val="right"/>
              <w:ind w:right="515"/>
              <w:spacing w:after="0" w:line="14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continuing operations, net of tax</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r>
      <w:tr>
        <w:trPr>
          <w:trHeight w:val="220"/>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13"/>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from continuing operations attributable to PAA</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8"/>
                <w:szCs w:val="18"/>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3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(1)</w:t>
            </w: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48"/>
        </w:trPr>
        <w:tc>
          <w:tcPr>
            <w:tcW w:w="638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income from continuing operations allocated to common unitholders - Basic and</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33"/>
        </w:trPr>
        <w:tc>
          <w:tcPr>
            <w:tcW w:w="6380" w:type="dxa"/>
            <w:vAlign w:val="bottom"/>
            <w:gridSpan w:val="2"/>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(2)</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0"/>
                <w:szCs w:val="20"/>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8"/>
        </w:trPr>
        <w:tc>
          <w:tcPr>
            <w:tcW w:w="6380" w:type="dxa"/>
            <w:vAlign w:val="bottom"/>
            <w:gridSpan w:val="2"/>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Net income from discontinued operations allocated to common unitholders - Basic and</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3"/>
        </w:trPr>
        <w:tc>
          <w:tcPr>
            <w:tcW w:w="6380" w:type="dxa"/>
            <w:vAlign w:val="bottom"/>
            <w:gridSpan w:val="2"/>
            <w:shd w:val="clear" w:color="auto" w:fill="CCEEFF"/>
          </w:tcPr>
          <w:p>
            <w:pPr>
              <w:ind w:left="28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(3)</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45"/>
        </w:trPr>
        <w:tc>
          <w:tcPr>
            <w:tcW w:w="38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38"/>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20"/>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13"/>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121" w:lineRule="exact"/>
        <w:rPr>
          <w:sz w:val="20"/>
          <w:szCs w:val="20"/>
          <w:color w:val="auto"/>
        </w:rPr>
      </w:pPr>
    </w:p>
    <w:p>
      <w:pPr>
        <w:ind w:left="320" w:right="240" w:hanging="317"/>
        <w:spacing w:after="0" w:line="236"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46" w:lineRule="exact"/>
        <w:rPr>
          <w:rFonts w:ascii="Times New Roman" w:cs="Times New Roman" w:eastAsia="Times New Roman" w:hAnsi="Times New Roman"/>
          <w:sz w:val="21"/>
          <w:szCs w:val="21"/>
          <w:color w:val="auto"/>
          <w:vertAlign w:val="superscript"/>
        </w:rPr>
      </w:pPr>
    </w:p>
    <w:p>
      <w:pPr>
        <w:ind w:left="320" w:right="180" w:hanging="317"/>
        <w:spacing w:after="0"/>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3" w:lineRule="exact"/>
        <w:rPr>
          <w:rFonts w:ascii="Times New Roman" w:cs="Times New Roman" w:eastAsia="Times New Roman" w:hAnsi="Times New Roman"/>
          <w:sz w:val="21"/>
          <w:szCs w:val="21"/>
          <w:color w:val="auto"/>
          <w:vertAlign w:val="superscript"/>
        </w:rPr>
      </w:pPr>
    </w:p>
    <w:p>
      <w:pPr>
        <w:ind w:left="320" w:right="620" w:hanging="317"/>
        <w:spacing w:after="0" w:line="229"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46" w:lineRule="exact"/>
        <w:rPr>
          <w:rFonts w:ascii="Times New Roman" w:cs="Times New Roman" w:eastAsia="Times New Roman" w:hAnsi="Times New Roman"/>
          <w:sz w:val="21"/>
          <w:szCs w:val="21"/>
          <w:color w:val="auto"/>
          <w:vertAlign w:val="superscript"/>
        </w:rPr>
      </w:pPr>
    </w:p>
    <w:p>
      <w:pPr>
        <w:ind w:left="320" w:right="480" w:hanging="317"/>
        <w:spacing w:after="0" w:line="229"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 per common unit for each of the three and nine months ended September 30, 2025 and 2024 as the effect was antidilutive.</w:t>
      </w:r>
    </w:p>
    <w:p>
      <w:pPr>
        <w:spacing w:after="0" w:line="33" w:lineRule="exact"/>
        <w:rPr>
          <w:rFonts w:ascii="Times New Roman" w:cs="Times New Roman" w:eastAsia="Times New Roman" w:hAnsi="Times New Roman"/>
          <w:sz w:val="21"/>
          <w:szCs w:val="21"/>
          <w:color w:val="auto"/>
          <w:vertAlign w:val="superscript"/>
        </w:rPr>
      </w:pPr>
    </w:p>
    <w:p>
      <w:pPr>
        <w:ind w:left="320" w:right="40" w:hanging="317"/>
        <w:spacing w:after="0" w:line="245" w:lineRule="auto"/>
        <w:tabs>
          <w:tab w:leader="none" w:pos="31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(Gain)/loss on 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continuing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r>
      <w:tr>
        <w:trPr>
          <w:trHeight w:val="220"/>
        </w:trPr>
        <w:tc>
          <w:tcPr>
            <w:tcW w:w="8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1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r>
      <w:tr>
        <w:trPr>
          <w:trHeight w:val="245"/>
        </w:trPr>
        <w:tc>
          <w:tcPr>
            <w:tcW w:w="3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3"/>
        </w:trPr>
        <w:tc>
          <w:tcPr>
            <w:tcW w:w="872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45"/>
        </w:trPr>
        <w:tc>
          <w:tcPr>
            <w:tcW w:w="3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 - discontinued operations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45"/>
        </w:trPr>
        <w:tc>
          <w:tcPr>
            <w:tcW w:w="388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8"/>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26" w:lineRule="exact"/>
        <w:rPr>
          <w:sz w:val="20"/>
          <w:szCs w:val="20"/>
          <w:color w:val="auto"/>
        </w:rPr>
      </w:pPr>
    </w:p>
    <w:p>
      <w:pPr>
        <w:ind w:left="320" w:right="220" w:hanging="317"/>
        <w:spacing w:after="0" w:line="241" w:lineRule="auto"/>
        <w:tabs>
          <w:tab w:leader="none" w:pos="35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Plains entities have issued promissory notes by and among such entities to facilitate financing. For the nine months ended September 30, 2025 and 2024, “Net cash used in investing activities” includes a cash outflow of approximately $330 million and $629 million, respectively, associated with our investment in related party notes. An equal and offsetting cash inflow associated with our issuance of related party notes is included in “Net cash provided by/(used in) financing activities.”</w:t>
      </w:r>
    </w:p>
    <w:p>
      <w:pPr>
        <w:spacing w:after="0" w:line="6" w:lineRule="exact"/>
        <w:rPr>
          <w:rFonts w:ascii="Times New Roman" w:cs="Times New Roman" w:eastAsia="Times New Roman" w:hAnsi="Times New Roman"/>
          <w:sz w:val="22"/>
          <w:szCs w:val="22"/>
          <w:color w:val="auto"/>
          <w:vertAlign w:val="superscript"/>
        </w:rPr>
      </w:pPr>
    </w:p>
    <w:p>
      <w:pPr>
        <w:ind w:left="340" w:hanging="337"/>
        <w:spacing w:after="0"/>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2025 period includes a net cash outflow of $865 million for bolt-on acquisitions.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7"/>
                <w:szCs w:val="17"/>
                <w:b w:val="1"/>
                <w:bCs w:val="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5"/>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0"/>
                <w:szCs w:val="10"/>
                <w:color w:val="auto"/>
              </w:rPr>
            </w:pPr>
          </w:p>
        </w:tc>
        <w:tc>
          <w:tcPr>
            <w:tcW w:w="1600" w:type="dxa"/>
            <w:vAlign w:val="bottom"/>
            <w:gridSpan w:val="4"/>
          </w:tcPr>
          <w:p>
            <w:pPr>
              <w:jc w:val="center"/>
              <w:ind w:right="97"/>
              <w:spacing w:after="0" w:line="123"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5"/>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0" w:type="dxa"/>
            <w:vAlign w:val="bottom"/>
          </w:tcPr>
          <w:p>
            <w:pPr>
              <w:spacing w:after="0"/>
              <w:rPr>
                <w:sz w:val="10"/>
                <w:szCs w:val="10"/>
                <w:color w:val="auto"/>
              </w:rPr>
            </w:pPr>
          </w:p>
        </w:tc>
        <w:tc>
          <w:tcPr>
            <w:tcW w:w="1620" w:type="dxa"/>
            <w:vAlign w:val="bottom"/>
            <w:gridSpan w:val="4"/>
          </w:tcPr>
          <w:p>
            <w:pPr>
              <w:jc w:val="right"/>
              <w:ind w:right="237"/>
              <w:spacing w:after="0" w:line="123"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37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NGL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Total Maintenance capital expenditures </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Total Investment and Maintenance capital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12"/>
        </w:trPr>
        <w:tc>
          <w:tcPr>
            <w:tcW w:w="3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expenditures</w:t>
            </w: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“Discontinued Operations Detail” section for amounts attributable to discontinued operations.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Financial Data by NGL” section for amounts attributable to discontinued operations.</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 (2)</w:t>
      </w:r>
      <w:r>
        <w:rPr>
          <w:rFonts w:ascii="Times New Roman" w:cs="Times New Roman" w:eastAsia="Times New Roman" w:hAnsi="Times New Roman"/>
          <w:sz w:val="17"/>
          <w:szCs w:val="17"/>
          <w:b w:val="1"/>
          <w:bCs w:val="1"/>
          <w:color w:val="auto"/>
        </w:rPr>
        <w:t xml:space="preserve">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Pr>
          <w:p>
            <w:pPr>
              <w:spacing w:after="0"/>
              <w:rPr>
                <w:sz w:val="19"/>
                <w:szCs w:val="19"/>
                <w:color w:val="auto"/>
              </w:rPr>
            </w:pP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r>
      <w:tr>
        <w:trPr>
          <w:trHeight w:val="220"/>
        </w:trPr>
        <w:tc>
          <w:tcPr>
            <w:tcW w:w="63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8"/>
                <w:szCs w:val="18"/>
                <w:color w:val="auto"/>
              </w:rPr>
            </w:pP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3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(4)</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(5) (6)</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58"/>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122" w:lineRule="exact"/>
        <w:rPr>
          <w:sz w:val="20"/>
          <w:szCs w:val="20"/>
          <w:color w:val="auto"/>
        </w:rPr>
      </w:pPr>
    </w:p>
    <w:p>
      <w:pPr>
        <w:ind w:left="320" w:right="40" w:hanging="317"/>
        <w:spacing w:after="0" w:line="233"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0" w:lineRule="exact"/>
        <w:rPr>
          <w:rFonts w:ascii="Times New Roman" w:cs="Times New Roman" w:eastAsia="Times New Roman" w:hAnsi="Times New Roman"/>
          <w:sz w:val="9"/>
          <w:szCs w:val="9"/>
          <w:color w:val="auto"/>
        </w:rPr>
      </w:pPr>
    </w:p>
    <w:p>
      <w:pPr>
        <w:ind w:left="300" w:hanging="297"/>
        <w:spacing w:after="0"/>
        <w:tabs>
          <w:tab w:leader="none" w:pos="3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1" w:lineRule="exact"/>
        <w:rPr>
          <w:rFonts w:ascii="Times New Roman" w:cs="Times New Roman" w:eastAsia="Times New Roman" w:hAnsi="Times New Roman"/>
          <w:sz w:val="18"/>
          <w:szCs w:val="18"/>
          <w:color w:val="auto"/>
          <w:vertAlign w:val="superscript"/>
        </w:rPr>
      </w:pPr>
    </w:p>
    <w:p>
      <w:pPr>
        <w:ind w:left="320" w:right="200" w:hanging="317"/>
        <w:spacing w:after="0" w:line="218"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2" w:lineRule="exact"/>
        <w:rPr>
          <w:rFonts w:ascii="Times New Roman" w:cs="Times New Roman" w:eastAsia="Times New Roman" w:hAnsi="Times New Roman"/>
          <w:sz w:val="18"/>
          <w:szCs w:val="18"/>
          <w:color w:val="auto"/>
          <w:vertAlign w:val="superscript"/>
        </w:rPr>
      </w:pPr>
    </w:p>
    <w:p>
      <w:pPr>
        <w:ind w:left="320" w:hanging="317"/>
        <w:spacing w:after="0" w:line="217"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nine months ended September 30, 2025 and 2024 as the effect was antidilutive.</w:t>
      </w:r>
    </w:p>
    <w:p>
      <w:pPr>
        <w:spacing w:after="0" w:line="42" w:lineRule="exact"/>
        <w:rPr>
          <w:rFonts w:ascii="Times New Roman" w:cs="Times New Roman" w:eastAsia="Times New Roman" w:hAnsi="Times New Roman"/>
          <w:sz w:val="18"/>
          <w:szCs w:val="18"/>
          <w:color w:val="auto"/>
          <w:vertAlign w:val="superscript"/>
        </w:rPr>
      </w:pPr>
    </w:p>
    <w:p>
      <w:pPr>
        <w:ind w:left="320" w:hanging="317"/>
        <w:spacing w:after="0" w:line="233" w:lineRule="auto"/>
        <w:tabs>
          <w:tab w:leader="none" w:pos="30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Adjusted Net Income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20"/>
        </w:trPr>
        <w:tc>
          <w:tcPr>
            <w:tcW w:w="63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(2)</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r>
      <w:tr>
        <w:trPr>
          <w:trHeight w:val="23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93"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2"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 Per Common Unit” tables for additional information.</w:t>
      </w:r>
    </w:p>
    <w:p>
      <w:pPr>
        <w:spacing w:after="0" w:line="164" w:lineRule="exact"/>
        <w:rPr>
          <w:rFonts w:ascii="Times New Roman" w:cs="Times New Roman" w:eastAsia="Times New Roman" w:hAnsi="Times New Roman"/>
          <w:sz w:val="9"/>
          <w:szCs w:val="9"/>
          <w:color w:val="auto"/>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7"/>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0"/>
                <w:szCs w:val="20"/>
                <w:color w:val="auto"/>
                <w:vertAlign w:val="superscript"/>
              </w:rPr>
              <w:t>(3)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0"/>
                <w:szCs w:val="20"/>
                <w:color w:val="auto"/>
                <w:vertAlign w:val="superscript"/>
              </w:rPr>
              <w:t>(1) (4)</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00"/>
        </w:trPr>
        <w:tc>
          <w:tcPr>
            <w:tcW w:w="6380" w:type="dxa"/>
            <w:vAlign w:val="bottom"/>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20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2"/>
        </w:trPr>
        <w:tc>
          <w:tcPr>
            <w:tcW w:w="6380" w:type="dxa"/>
            <w:vAlign w:val="bottom"/>
          </w:tcPr>
          <w:p>
            <w:pPr>
              <w:ind w:left="40"/>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8"/>
        </w:trPr>
        <w:tc>
          <w:tcPr>
            <w:tcW w:w="6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0"/>
                <w:szCs w:val="20"/>
                <w:color w:val="auto"/>
                <w:vertAlign w:val="superscript"/>
              </w:rPr>
              <w:t>(5)</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7"/>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0"/>
                <w:szCs w:val="20"/>
                <w:color w:val="auto"/>
                <w:vertAlign w:val="superscript"/>
              </w:rPr>
              <w:t>(6)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7"/>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0"/>
        </w:trPr>
        <w:tc>
          <w:tcPr>
            <w:tcW w:w="63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0"/>
                <w:szCs w:val="20"/>
                <w:color w:val="auto"/>
                <w:vertAlign w:val="superscript"/>
              </w:rPr>
              <w:t>(7)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6380" w:type="dxa"/>
            <w:vAlign w:val="bottom"/>
            <w:tcBorders>
              <w:bottom w:val="single" w:sz="8" w:color="CCEEFF"/>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0"/>
                <w:szCs w:val="20"/>
                <w:color w:val="auto"/>
                <w:vertAlign w:val="superscript"/>
              </w:rPr>
              <w:t>(8)</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0"/>
        </w:trPr>
        <w:tc>
          <w:tcPr>
            <w:tcW w:w="63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7"/>
        </w:trPr>
        <w:tc>
          <w:tcPr>
            <w:tcW w:w="6380" w:type="dxa"/>
            <w:vAlign w:val="bottom"/>
            <w:tcBorders>
              <w:bottom w:val="single" w:sz="8" w:color="CCEEFF"/>
            </w:tcBorders>
          </w:tcPr>
          <w:p>
            <w:pPr>
              <w:ind w:left="180"/>
              <w:spacing w:after="0" w:line="207"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0"/>
                <w:szCs w:val="20"/>
                <w:color w:val="auto"/>
                <w:vertAlign w:val="superscript"/>
              </w:rPr>
              <w:t>(8)</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25"/>
        </w:trPr>
        <w:tc>
          <w:tcPr>
            <w:tcW w:w="638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6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0"/>
        </w:trPr>
        <w:tc>
          <w:tcPr>
            <w:tcW w:w="638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0"/>
                <w:szCs w:val="20"/>
                <w:color w:val="auto"/>
                <w:vertAlign w:val="superscript"/>
              </w:rPr>
              <w:t>(1) (9)</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0"/>
                <w:szCs w:val="20"/>
                <w:color w:val="auto"/>
                <w:vertAlign w:val="superscript"/>
              </w:rPr>
              <w:t>(1) (10)</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0.9525</w:t>
            </w:r>
          </w:p>
        </w:tc>
      </w:tr>
      <w:tr>
        <w:trPr>
          <w:trHeight w:val="207"/>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0"/>
                <w:szCs w:val="20"/>
                <w:color w:val="auto"/>
                <w:vertAlign w:val="superscript"/>
              </w:rPr>
              <w:t>(8)</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07"/>
        </w:trPr>
        <w:tc>
          <w:tcPr>
            <w:tcW w:w="63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1.61x</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1.92x</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1.69x</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1.95x</w:t>
            </w:r>
          </w:p>
        </w:tc>
      </w:tr>
      <w:tr>
        <w:trPr>
          <w:trHeight w:val="26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0"/>
                <w:szCs w:val="20"/>
                <w:color w:val="auto"/>
                <w:vertAlign w:val="superscript"/>
              </w:rPr>
              <w:t>(1)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3"/>
                <w:szCs w:val="23"/>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3"/>
                <w:szCs w:val="23"/>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23"/>
                <w:szCs w:val="23"/>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2461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51"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31"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32"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45"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32" w:lineRule="exact"/>
        <w:rPr>
          <w:rFonts w:ascii="Times New Roman" w:cs="Times New Roman" w:eastAsia="Times New Roman" w:hAnsi="Times New Roman"/>
          <w:sz w:val="16"/>
          <w:szCs w:val="16"/>
          <w:color w:val="auto"/>
          <w:vertAlign w:val="superscript"/>
        </w:rPr>
      </w:pPr>
    </w:p>
    <w:p>
      <w:pPr>
        <w:ind w:left="320" w:right="140" w:hanging="317"/>
        <w:spacing w:after="0" w:line="226" w:lineRule="auto"/>
        <w:tabs>
          <w:tab w:leader="none" w:pos="311"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 w:lineRule="exact"/>
        <w:rPr>
          <w:rFonts w:ascii="Times New Roman" w:cs="Times New Roman" w:eastAsia="Times New Roman" w:hAnsi="Times New Roman"/>
          <w:sz w:val="16"/>
          <w:szCs w:val="16"/>
          <w:color w:val="auto"/>
          <w:vertAlign w:val="superscript"/>
        </w:rPr>
      </w:pPr>
    </w:p>
    <w:p>
      <w:pPr>
        <w:ind w:left="300" w:hanging="297"/>
        <w:spacing w:after="0" w:line="235"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32" w:lineRule="exact"/>
        <w:rPr>
          <w:rFonts w:ascii="Times New Roman" w:cs="Times New Roman" w:eastAsia="Times New Roman" w:hAnsi="Times New Roman"/>
          <w:sz w:val="16"/>
          <w:szCs w:val="16"/>
          <w:color w:val="auto"/>
          <w:vertAlign w:val="superscript"/>
        </w:rPr>
      </w:pPr>
    </w:p>
    <w:p>
      <w:pPr>
        <w:ind w:left="320" w:right="40" w:hanging="317"/>
        <w:spacing w:after="0" w:line="226" w:lineRule="auto"/>
        <w:tabs>
          <w:tab w:leader="none" w:pos="311"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6"/>
          <w:szCs w:val="16"/>
          <w:color w:val="auto"/>
          <w:vertAlign w:val="superscript"/>
        </w:rPr>
      </w:pPr>
    </w:p>
    <w:p>
      <w:pPr>
        <w:ind w:left="300" w:hanging="297"/>
        <w:spacing w:after="0" w:line="235"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32" w:lineRule="exact"/>
        <w:rPr>
          <w:rFonts w:ascii="Times New Roman" w:cs="Times New Roman" w:eastAsia="Times New Roman" w:hAnsi="Times New Roman"/>
          <w:sz w:val="16"/>
          <w:szCs w:val="16"/>
          <w:color w:val="auto"/>
          <w:vertAlign w:val="superscript"/>
        </w:rPr>
      </w:pPr>
    </w:p>
    <w:p>
      <w:pPr>
        <w:ind w:left="300" w:hanging="297"/>
        <w:spacing w:after="0" w:line="194"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32" w:lineRule="exact"/>
        <w:rPr>
          <w:rFonts w:ascii="Times New Roman" w:cs="Times New Roman" w:eastAsia="Times New Roman" w:hAnsi="Times New Roman"/>
          <w:sz w:val="16"/>
          <w:szCs w:val="16"/>
          <w:color w:val="auto"/>
          <w:vertAlign w:val="superscript"/>
        </w:rPr>
      </w:pPr>
    </w:p>
    <w:p>
      <w:pPr>
        <w:ind w:left="320" w:right="120" w:hanging="317"/>
        <w:spacing w:after="0" w:line="239" w:lineRule="auto"/>
        <w:tabs>
          <w:tab w:leader="none" w:pos="313"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3"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2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0.55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20"/>
        </w:trPr>
        <w:tc>
          <w:tcPr>
            <w:tcW w:w="62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(2) (3)</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0.06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8"/>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0.61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0.55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20"/>
        </w:trPr>
        <w:tc>
          <w:tcPr>
            <w:tcW w:w="62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(2) (4)</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0.06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8"/>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0.61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96"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of 704 million, 702 million, 704 million and 702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360" w:hanging="317"/>
        <w:spacing w:after="0" w:line="22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as well as weighted average Series A preferred units outstanding of 58 million, 71 million, 60 million and 71 million for the periods presented, respectively.</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8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8"/>
        </w:trPr>
        <w:tc>
          <w:tcPr>
            <w:tcW w:w="634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22"/>
                <w:szCs w:val="22"/>
                <w:color w:val="auto"/>
                <w:vertAlign w:val="superscript"/>
              </w:rPr>
              <w:t>(1)</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168"/>
        </w:trPr>
        <w:tc>
          <w:tcPr>
            <w:tcW w:w="63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Flow:</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 (3)</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0" w:type="dxa"/>
            <w:vAlign w:val="bottom"/>
          </w:tcPr>
          <w:p>
            <w:pPr>
              <w:spacing w:after="0"/>
              <w:rPr>
                <w:sz w:val="1"/>
                <w:szCs w:val="1"/>
                <w:color w:val="auto"/>
              </w:rPr>
            </w:pPr>
          </w:p>
        </w:tc>
      </w:tr>
      <w:tr>
        <w:trPr>
          <w:trHeight w:val="220"/>
        </w:trPr>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634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0"/>
        </w:trPr>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(2)</w:t>
            </w:r>
          </w:p>
        </w:tc>
        <w:tc>
          <w:tcPr>
            <w:tcW w:w="7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13"/>
        </w:trPr>
        <w:tc>
          <w:tcPr>
            <w:tcW w:w="634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720" w:type="dxa"/>
            <w:vAlign w:val="bottom"/>
            <w:tcBorders>
              <w:top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(1) (5) (7)</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8"/>
        </w:trPr>
        <w:tc>
          <w:tcPr>
            <w:tcW w:w="634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(1) (8)</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3"/>
        </w:trPr>
        <w:tc>
          <w:tcPr>
            <w:tcW w:w="634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(1) (9)</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720" w:type="dxa"/>
            <w:vAlign w:val="bottom"/>
            <w:vMerge w:val="restart"/>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 (9)</w:t>
            </w:r>
          </w:p>
        </w:tc>
        <w:tc>
          <w:tcPr>
            <w:tcW w:w="2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48" w:lineRule="exact"/>
        <w:rPr>
          <w:rFonts w:ascii="Times New Roman" w:cs="Times New Roman" w:eastAsia="Times New Roman" w:hAnsi="Times New Roman"/>
          <w:sz w:val="20"/>
          <w:szCs w:val="20"/>
          <w:color w:val="auto"/>
          <w:vertAlign w:val="superscript"/>
        </w:rPr>
      </w:pPr>
    </w:p>
    <w:p>
      <w:pPr>
        <w:ind w:left="320" w:right="300" w:hanging="317"/>
        <w:spacing w:after="0" w:line="219"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nine months ended September 30, 2025 includes a net cash outflow of $865 million for bolt-on acquisitions.</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48" w:lineRule="exact"/>
        <w:rPr>
          <w:rFonts w:ascii="Times New Roman" w:cs="Times New Roman" w:eastAsia="Times New Roman" w:hAnsi="Times New Roman"/>
          <w:sz w:val="20"/>
          <w:szCs w:val="20"/>
          <w:color w:val="auto"/>
          <w:vertAlign w:val="superscript"/>
        </w:rPr>
      </w:pPr>
    </w:p>
    <w:p>
      <w:pPr>
        <w:ind w:left="320" w:right="4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40" w:type="dxa"/>
            <w:vAlign w:val="bottom"/>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5"/>
        </w:trPr>
        <w:tc>
          <w:tcPr>
            <w:tcW w:w="63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 (2)</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(3)</w:t>
            </w: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(4)</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(5)</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Rail fleet amortization expense related to discontinued operations </w:t>
            </w:r>
            <w:r>
              <w:rPr>
                <w:rFonts w:ascii="Times New Roman" w:cs="Times New Roman" w:eastAsia="Times New Roman" w:hAnsi="Times New Roman"/>
                <w:sz w:val="21"/>
                <w:szCs w:val="21"/>
                <w:color w:val="auto"/>
                <w:vertAlign w:val="superscript"/>
              </w:rPr>
              <w:t>(6)</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(7)</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(8)</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(9)</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(10)</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2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2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1"/>
        </w:trPr>
        <w:tc>
          <w:tcPr>
            <w:tcW w:w="6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2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71" w:lineRule="exact"/>
        <w:rPr>
          <w:sz w:val="20"/>
          <w:szCs w:val="20"/>
          <w:color w:val="auto"/>
        </w:rPr>
      </w:pPr>
    </w:p>
    <w:p>
      <w:pPr>
        <w:ind w:left="320" w:right="200" w:hanging="317"/>
        <w:spacing w:after="0" w:line="224" w:lineRule="auto"/>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ind w:left="300" w:hanging="297"/>
        <w:spacing w:after="0" w:line="202" w:lineRule="auto"/>
        <w:tabs>
          <w:tab w:leader="none" w:pos="30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36" w:lineRule="exact"/>
        <w:rPr>
          <w:rFonts w:ascii="Times New Roman" w:cs="Times New Roman" w:eastAsia="Times New Roman" w:hAnsi="Times New Roman"/>
          <w:sz w:val="16"/>
          <w:szCs w:val="16"/>
          <w:color w:val="auto"/>
          <w:vertAlign w:val="superscript"/>
        </w:rPr>
      </w:pPr>
    </w:p>
    <w:p>
      <w:pPr>
        <w:ind w:left="320" w:right="20" w:hanging="317"/>
        <w:spacing w:after="0" w:line="236" w:lineRule="auto"/>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24" w:lineRule="exact"/>
        <w:rPr>
          <w:rFonts w:ascii="Times New Roman" w:cs="Times New Roman" w:eastAsia="Times New Roman" w:hAnsi="Times New Roman"/>
          <w:sz w:val="16"/>
          <w:szCs w:val="16"/>
          <w:color w:val="auto"/>
          <w:vertAlign w:val="superscript"/>
        </w:rPr>
      </w:pPr>
    </w:p>
    <w:p>
      <w:pPr>
        <w:ind w:left="320" w:right="180" w:hanging="317"/>
        <w:spacing w:after="0"/>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2" w:lineRule="exact"/>
        <w:rPr>
          <w:rFonts w:ascii="Times New Roman" w:cs="Times New Roman" w:eastAsia="Times New Roman" w:hAnsi="Times New Roman"/>
          <w:sz w:val="16"/>
          <w:szCs w:val="16"/>
          <w:color w:val="auto"/>
          <w:vertAlign w:val="superscript"/>
        </w:rPr>
      </w:pPr>
    </w:p>
    <w:p>
      <w:pPr>
        <w:ind w:left="320" w:right="40" w:hanging="317"/>
        <w:spacing w:after="0" w:line="248" w:lineRule="auto"/>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8" w:lineRule="exact"/>
        <w:rPr>
          <w:rFonts w:ascii="Times New Roman" w:cs="Times New Roman" w:eastAsia="Times New Roman" w:hAnsi="Times New Roman"/>
          <w:sz w:val="16"/>
          <w:szCs w:val="16"/>
          <w:color w:val="auto"/>
          <w:vertAlign w:val="superscript"/>
        </w:rPr>
      </w:pPr>
    </w:p>
    <w:p>
      <w:pPr>
        <w:ind w:left="320" w:hanging="317"/>
        <w:spacing w:after="0"/>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22" w:lineRule="exact"/>
        <w:rPr>
          <w:rFonts w:ascii="Times New Roman" w:cs="Times New Roman" w:eastAsia="Times New Roman" w:hAnsi="Times New Roman"/>
          <w:sz w:val="16"/>
          <w:szCs w:val="16"/>
          <w:color w:val="auto"/>
          <w:vertAlign w:val="superscript"/>
        </w:rPr>
      </w:pPr>
    </w:p>
    <w:p>
      <w:pPr>
        <w:ind w:left="320" w:right="40" w:hanging="317"/>
        <w:spacing w:after="0"/>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22" w:lineRule="exact"/>
        <w:rPr>
          <w:rFonts w:ascii="Times New Roman" w:cs="Times New Roman" w:eastAsia="Times New Roman" w:hAnsi="Times New Roman"/>
          <w:sz w:val="16"/>
          <w:szCs w:val="16"/>
          <w:color w:val="auto"/>
          <w:vertAlign w:val="superscript"/>
        </w:rPr>
      </w:pPr>
    </w:p>
    <w:p>
      <w:pPr>
        <w:ind w:left="320" w:right="20" w:hanging="317"/>
        <w:spacing w:after="0" w:line="224" w:lineRule="auto"/>
        <w:tabs>
          <w:tab w:leader="none" w:pos="30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00" w:hanging="297"/>
        <w:spacing w:after="0" w:line="235" w:lineRule="auto"/>
        <w:tabs>
          <w:tab w:leader="none" w:pos="30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costs recognized during the period related to the Line 901 incident that occurred in May 2015, net of amounts we believe are probable of recovery from insurance.</w:t>
      </w:r>
    </w:p>
    <w:p>
      <w:pPr>
        <w:spacing w:after="0" w:line="36" w:lineRule="exact"/>
        <w:rPr>
          <w:rFonts w:ascii="Times New Roman" w:cs="Times New Roman" w:eastAsia="Times New Roman" w:hAnsi="Times New Roman"/>
          <w:sz w:val="16"/>
          <w:szCs w:val="16"/>
          <w:color w:val="auto"/>
          <w:vertAlign w:val="superscript"/>
        </w:rPr>
      </w:pPr>
    </w:p>
    <w:p>
      <w:pPr>
        <w:ind w:left="300" w:hanging="297"/>
        <w:spacing w:after="0" w:line="189" w:lineRule="auto"/>
        <w:tabs>
          <w:tab w:leader="none" w:pos="30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related to acquisitions completed during the first nine months of 2025.</w:t>
      </w:r>
    </w:p>
    <w:p>
      <w:pPr>
        <w:spacing w:after="0" w:line="167"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CRUDE OIL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36,761</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(34,014)</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 / Adjusted EBITDA from Crude Oil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maintenance capital expenditures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NGL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6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3"/>
        </w:trPr>
        <w:tc>
          <w:tcPr>
            <w:tcW w:w="61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NGL Segment Adjusted EBITDA </w:t>
            </w:r>
            <w:r>
              <w:rPr>
                <w:rFonts w:ascii="Times New Roman" w:cs="Times New Roman" w:eastAsia="Times New Roman" w:hAnsi="Times New Roman"/>
                <w:sz w:val="22"/>
                <w:szCs w:val="22"/>
                <w:color w:val="auto"/>
                <w:vertAlign w:val="superscript"/>
              </w:rPr>
              <w:t>(4)</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61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(5)</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from NGL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continuing operations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discontinued operations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8"/>
        </w:trPr>
        <w:tc>
          <w:tcPr>
            <w:tcW w:w="6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 maintenance capital expenditures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52" w:lineRule="exact"/>
        <w:rPr>
          <w:rFonts w:ascii="Times New Roman" w:cs="Times New Roman" w:eastAsia="Times New Roman" w:hAnsi="Times New Roman"/>
          <w:sz w:val="22"/>
          <w:szCs w:val="22"/>
          <w:color w:val="auto"/>
          <w:vertAlign w:val="superscript"/>
        </w:rPr>
      </w:pPr>
    </w:p>
    <w:p>
      <w:pPr>
        <w:ind w:left="320" w:right="160" w:hanging="317"/>
        <w:spacing w:after="0" w:line="22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6"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excludes amounts related to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420" w:hanging="317"/>
        <w:spacing w:after="0" w:line="22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DISCONTINUED OPERATIONS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Income from Discontinued Operations, Net of Tax:</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Field operating costs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before tax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18"/>
                <w:szCs w:val="18"/>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 from NGL Discontinued Operations: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 from discontinued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 from discontinued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attributable to discontinued operations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Rail fleet amortization expense related to discontinued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Adjusted EBITDA from NGL Discontinued Operations</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Capital from NGL Discontinued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40" w:type="dxa"/>
            <w:vAlign w:val="bottom"/>
            <w:gridSpan w:val="5"/>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0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NGL investment capital expenditures from discontinued operations</w:t>
            </w:r>
          </w:p>
        </w:tc>
        <w:tc>
          <w:tcPr>
            <w:tcW w:w="16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46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380" w:type="dxa"/>
            <w:vAlign w:val="bottom"/>
            <w:gridSpan w:val="2"/>
          </w:tcPr>
          <w:p>
            <w:pPr>
              <w:jc w:val="center"/>
              <w:ind w:right="545"/>
              <w:spacing w:after="0"/>
              <w:rPr>
                <w:sz w:val="20"/>
                <w:szCs w:val="20"/>
                <w:color w:val="auto"/>
              </w:rPr>
            </w:pPr>
            <w:r>
              <w:rPr>
                <w:rFonts w:ascii="Times New Roman" w:cs="Times New Roman" w:eastAsia="Times New Roman" w:hAnsi="Times New Roman"/>
                <w:sz w:val="17"/>
                <w:szCs w:val="17"/>
                <w:color w:val="auto"/>
              </w:rPr>
              <w:t>- more -</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80" w:type="dxa"/>
            <w:vAlign w:val="bottom"/>
            <w:gridSpan w:val="2"/>
          </w:tcPr>
          <w:p>
            <w:pPr>
              <w:jc w:val="center"/>
              <w:ind w:right="565"/>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360" w:type="dxa"/>
            <w:vAlign w:val="bottom"/>
          </w:tcPr>
          <w:p>
            <w:pPr>
              <w:spacing w:after="0"/>
              <w:rPr>
                <w:sz w:val="24"/>
                <w:szCs w:val="24"/>
                <w:color w:val="auto"/>
              </w:rPr>
            </w:pPr>
          </w:p>
        </w:tc>
        <w:tc>
          <w:tcPr>
            <w:tcW w:w="2520" w:type="dxa"/>
            <w:vAlign w:val="bottom"/>
            <w:gridSpan w:val="7"/>
          </w:tcPr>
          <w:p>
            <w:pPr>
              <w:jc w:val="right"/>
              <w:ind w:right="347"/>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Volumes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0"/>
        </w:trPr>
        <w:tc>
          <w:tcPr>
            <w:tcW w:w="6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 pipeline tariff (by region)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w:t>
            </w:r>
          </w:p>
        </w:tc>
      </w:tr>
      <w:tr>
        <w:trPr>
          <w:trHeight w:val="220"/>
        </w:trPr>
        <w:tc>
          <w:tcPr>
            <w:tcW w:w="62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20"/>
        </w:trPr>
        <w:tc>
          <w:tcPr>
            <w:tcW w:w="62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0"/>
        </w:trPr>
        <w:tc>
          <w:tcPr>
            <w:tcW w:w="62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20"/>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Western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20"/>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3"/>
        </w:trPr>
        <w:tc>
          <w:tcPr>
            <w:tcW w:w="62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8,902</w:t>
            </w:r>
          </w:p>
        </w:tc>
      </w:tr>
      <w:tr>
        <w:trPr>
          <w:trHeight w:val="245"/>
        </w:trPr>
        <w:tc>
          <w:tcPr>
            <w:tcW w:w="3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0"/>
        </w:trPr>
        <w:tc>
          <w:tcPr>
            <w:tcW w:w="62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Volumes </w:t>
            </w:r>
            <w:r>
              <w:rPr>
                <w:rFonts w:ascii="Times New Roman" w:cs="Times New Roman" w:eastAsia="Times New Roman" w:hAnsi="Times New Roman"/>
                <w:sz w:val="22"/>
                <w:szCs w:val="22"/>
                <w:color w:val="auto"/>
                <w:vertAlign w:val="superscript"/>
              </w:rPr>
              <w:t>(3)</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NGL fractionation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NGL pipeline tariff</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155"/>
        </w:trPr>
        <w:tc>
          <w:tcPr>
            <w:tcW w:w="3880" w:type="dxa"/>
            <w:vAlign w:val="bottom"/>
            <w:tcBorders>
              <w:bottom w:val="single" w:sz="8" w:color="auto"/>
            </w:tcBorders>
          </w:tcPr>
          <w:p>
            <w:pPr>
              <w:spacing w:after="0"/>
              <w:rPr>
                <w:sz w:val="13"/>
                <w:szCs w:val="13"/>
                <w:color w:val="auto"/>
              </w:rPr>
            </w:pPr>
          </w:p>
        </w:tc>
        <w:tc>
          <w:tcPr>
            <w:tcW w:w="2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from assets associated with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SUPPLEMENTAL 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8"/>
        </w:trPr>
        <w:tc>
          <w:tcPr>
            <w:tcW w:w="6280" w:type="dxa"/>
            <w:vAlign w:val="bottom"/>
            <w:tcBorders>
              <w:bottom w:val="single" w:sz="8" w:color="CCEEFF"/>
            </w:tcBorders>
            <w:gridSpan w:val="2"/>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(3)</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26" w:lineRule="exact"/>
        <w:rPr>
          <w:sz w:val="20"/>
          <w:szCs w:val="20"/>
          <w:color w:val="auto"/>
        </w:rPr>
      </w:pPr>
    </w:p>
    <w:p>
      <w:pPr>
        <w:ind w:left="320" w:right="140" w:hanging="317"/>
        <w:spacing w:after="0" w:line="230"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Reconciliation” table for a reconciliation to the most directly comparable measure as reported in accordance with GAAP.</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37"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47"/>
        </w:trPr>
        <w:tc>
          <w:tcPr>
            <w:tcW w:w="3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4"/>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income/(expense), net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35"/>
        </w:trPr>
        <w:tc>
          <w:tcPr>
            <w:tcW w:w="40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BEFORE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40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38"/>
        </w:trPr>
        <w:tc>
          <w:tcPr>
            <w:tcW w:w="40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 NET OF</w:t>
            </w: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INCOME FROM DISCONTINUED OPERATIONS, NET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4"/>
        </w:trPr>
        <w:tc>
          <w:tcPr>
            <w:tcW w:w="4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22"/>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2"/>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4"/>
        </w:trPr>
        <w:tc>
          <w:tcPr>
            <w:tcW w:w="4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33,698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33,698</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36,854</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30,862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30,862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34,086</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32,618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32,622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35,976</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8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8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Deferred income tax (expense)/benefit from continuing</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NET</w:t>
            </w:r>
          </w:p>
        </w:tc>
        <w:tc>
          <w:tcPr>
            <w:tcW w:w="22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8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right w:val="single" w:sz="8" w:color="auto"/>
            </w:tcBorders>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56"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September 30, 2025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assets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28,101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29,252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3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28,101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29,252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$434 million and $</w:t>
      </w:r>
      <w:r>
        <w:rPr>
          <w:rFonts w:ascii="Times New Roman" w:cs="Times New Roman" w:eastAsia="Times New Roman" w:hAnsi="Times New Roman"/>
          <w:sz w:val="15"/>
          <w:szCs w:val="15"/>
          <w:color w:val="auto"/>
        </w:rPr>
        <w:t>415</w:t>
      </w:r>
      <w:r>
        <w:rPr>
          <w:rFonts w:ascii="Times New Roman" w:cs="Times New Roman" w:eastAsia="Times New Roman" w:hAnsi="Times New Roman"/>
          <w:sz w:val="17"/>
          <w:szCs w:val="17"/>
          <w:color w:val="auto"/>
        </w:rPr>
        <w:t xml:space="preserve"> million as of September 30, 2025 and December 31, 2024, respectively.</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$283 million and $350 million as of September 30, 2025 and December 31, 2024, respectively.</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CLASS A SHARE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8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Net Income per Class A Share</w:t>
            </w:r>
          </w:p>
        </w:tc>
        <w:tc>
          <w:tcPr>
            <w:tcW w:w="1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Basic Net Income per Class A Share:</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Continuing operations</w:t>
            </w:r>
          </w:p>
        </w:tc>
        <w:tc>
          <w:tcPr>
            <w:tcW w:w="248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80" w:type="dxa"/>
            <w:vAlign w:val="bottom"/>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Basic net income per Class A share</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Net Income per Class A Share</w:t>
            </w:r>
          </w:p>
        </w:tc>
        <w:tc>
          <w:tcPr>
            <w:tcW w:w="1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100" w:type="dxa"/>
            <w:vAlign w:val="bottom"/>
            <w:gridSpan w:val="3"/>
            <w:shd w:val="clear" w:color="auto" w:fill="CCEEFF"/>
          </w:tcPr>
          <w:p>
            <w:pPr>
              <w:ind w:left="200"/>
              <w:spacing w:after="0" w:line="168" w:lineRule="exact"/>
              <w:rPr>
                <w:sz w:val="20"/>
                <w:szCs w:val="20"/>
                <w:color w:val="auto"/>
              </w:rPr>
            </w:pPr>
            <w:r>
              <w:rPr>
                <w:rFonts w:ascii="Times New Roman" w:cs="Times New Roman" w:eastAsia="Times New Roman" w:hAnsi="Times New Roman"/>
                <w:sz w:val="17"/>
                <w:szCs w:val="17"/>
                <w:color w:val="auto"/>
              </w:rPr>
              <w:t>Incremental net income attributable to PAGP resulting from assumed exchange of AAP</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Management Units</w:t>
            </w:r>
          </w:p>
        </w:tc>
        <w:tc>
          <w:tcPr>
            <w:tcW w:w="17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7"/>
                <w:szCs w:val="17"/>
                <w:color w:val="auto"/>
              </w:rPr>
              <w:t>Net income attributable to PAGP from discontinued operations including incremental net</w:t>
            </w:r>
          </w:p>
        </w:tc>
        <w:tc>
          <w:tcPr>
            <w:tcW w:w="74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80" w:type="dxa"/>
            <w:vAlign w:val="bottom"/>
            <w:gridSpan w:val="3"/>
            <w:vMerge w:val="restart"/>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2"/>
                <w:szCs w:val="12"/>
                <w:color w:val="auto"/>
              </w:rPr>
            </w:pPr>
          </w:p>
        </w:tc>
        <w:tc>
          <w:tcPr>
            <w:tcW w:w="2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2"/>
                <w:szCs w:val="12"/>
                <w:color w:val="auto"/>
              </w:rPr>
            </w:pPr>
          </w:p>
        </w:tc>
        <w:tc>
          <w:tcPr>
            <w:tcW w:w="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income from assumed exchange of AAP Management Units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Dilutive shares resulting from assumed exchange of AAP Management Units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weighted average Class A shares outstanding</w:t>
            </w:r>
          </w:p>
        </w:tc>
        <w:tc>
          <w:tcPr>
            <w:tcW w:w="174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Net Income per Class A Share:</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Continuing operations</w:t>
            </w:r>
          </w:p>
        </w:tc>
        <w:tc>
          <w:tcPr>
            <w:tcW w:w="248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80" w:type="dxa"/>
            <w:vAlign w:val="bottom"/>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8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8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net income per Class A share</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80" w:type="dxa"/>
            <w:vAlign w:val="bottom"/>
            <w:gridSpan w:val="2"/>
          </w:tcPr>
          <w:p>
            <w:pPr>
              <w:jc w:val="right"/>
              <w:ind w:right="1143"/>
              <w:spacing w:after="0"/>
              <w:rPr>
                <w:sz w:val="20"/>
                <w:szCs w:val="20"/>
                <w:color w:val="auto"/>
              </w:rPr>
            </w:pPr>
            <w:r>
              <w:rPr>
                <w:rFonts w:ascii="Times New Roman" w:cs="Times New Roman" w:eastAsia="Times New Roman" w:hAnsi="Times New Roman"/>
                <w:sz w:val="17"/>
                <w:szCs w:val="17"/>
                <w:color w:val="auto"/>
              </w:rPr>
              <w:t>- more -</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480" w:type="dxa"/>
            <w:vAlign w:val="bottom"/>
            <w:gridSpan w:val="2"/>
          </w:tcPr>
          <w:p>
            <w:pPr>
              <w:jc w:val="right"/>
              <w:ind w:right="643"/>
              <w:spacing w:after="0"/>
              <w:rPr>
                <w:sz w:val="20"/>
                <w:szCs w:val="20"/>
                <w:color w:val="auto"/>
              </w:rPr>
            </w:pPr>
            <w:r>
              <w:rPr>
                <w:rFonts w:ascii="Times New Roman" w:cs="Times New Roman" w:eastAsia="Times New Roman" w:hAnsi="Times New Roman"/>
                <w:sz w:val="17"/>
                <w:szCs w:val="17"/>
                <w:b w:val="1"/>
                <w:bCs w:val="1"/>
                <w:color w:val="auto"/>
              </w:rPr>
              <w:t>Houston, Texas 77002</w:t>
            </w:r>
          </w:p>
        </w:tc>
        <w:tc>
          <w:tcPr>
            <w:tcW w:w="360" w:type="dxa"/>
            <w:vAlign w:val="bottom"/>
          </w:tcPr>
          <w:p>
            <w:pPr>
              <w:spacing w:after="0"/>
              <w:rPr>
                <w:sz w:val="24"/>
                <w:szCs w:val="24"/>
                <w:color w:val="auto"/>
              </w:rPr>
            </w:pPr>
          </w:p>
        </w:tc>
        <w:tc>
          <w:tcPr>
            <w:tcW w:w="2520" w:type="dxa"/>
            <w:vAlign w:val="bottom"/>
            <w:gridSpan w:val="7"/>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auto"/>
        </w:rPr>
        <w:t>Page 25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48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3"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6" w:lineRule="exact"/>
        <w:rPr>
          <w:rFonts w:ascii="Times New Roman" w:cs="Times New Roman" w:eastAsia="Times New Roman" w:hAnsi="Times New Roman"/>
          <w:sz w:val="17"/>
          <w:szCs w:val="17"/>
          <w:color w:val="auto"/>
        </w:rPr>
      </w:pPr>
    </w:p>
    <w:p>
      <w:pPr>
        <w:ind w:left="620" w:right="120" w:hanging="307"/>
        <w:spacing w:after="0" w:line="26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3"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14"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3"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 including the Canadian NGL Business divestiture and the EPIC acquisition;</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53"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7"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7"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47" w:lineRule="exact"/>
        <w:rPr>
          <w:rFonts w:ascii="Times New Roman" w:cs="Times New Roman" w:eastAsia="Times New Roman" w:hAnsi="Times New Roman"/>
          <w:sz w:val="17"/>
          <w:szCs w:val="17"/>
          <w:color w:val="auto"/>
        </w:rPr>
      </w:pPr>
    </w:p>
    <w:p>
      <w:pPr>
        <w:ind w:left="620" w:right="180" w:hanging="307"/>
        <w:spacing w:after="0" w:line="265"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auto"/>
        </w:rPr>
        <w:t>Page 26</w:t>
      </w:r>
    </w:p>
    <w:p>
      <w:pPr>
        <w:spacing w:after="0" w:line="200" w:lineRule="exact"/>
        <w:rPr>
          <w:sz w:val="20"/>
          <w:szCs w:val="20"/>
          <w:color w:val="auto"/>
        </w:rPr>
      </w:pPr>
    </w:p>
    <w:p>
      <w:pPr>
        <w:spacing w:after="0" w:line="225" w:lineRule="exact"/>
        <w:rPr>
          <w:sz w:val="20"/>
          <w:szCs w:val="20"/>
          <w:color w:val="auto"/>
        </w:rPr>
      </w:pPr>
    </w:p>
    <w:p>
      <w:pPr>
        <w:ind w:left="620" w:right="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14"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14"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114" w:lineRule="exact"/>
        <w:rPr>
          <w:rFonts w:ascii="Times New Roman" w:cs="Times New Roman" w:eastAsia="Times New Roman" w:hAnsi="Times New Roman"/>
          <w:sz w:val="17"/>
          <w:szCs w:val="17"/>
          <w:color w:val="auto"/>
        </w:rPr>
      </w:pPr>
    </w:p>
    <w:p>
      <w:pPr>
        <w:jc w:val="both"/>
        <w:ind w:left="620" w:right="1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14"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47"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14"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14"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auto"/>
        </w:rPr>
        <w:t>Page 27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Ross Hovde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04"/>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lvl w:ilvl="1">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lvl w:ilvl="1">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lvl w:ilvl="1">
      <w:lvlJc w:val="left"/>
      <w:lvlText w:val="-"/>
      <w:numFmt w:val="bullet"/>
      <w:start w:val="1"/>
    </w:lvl>
  </w:abstractNum>
  <w:abstractNum w:abstractNumId="13">
    <w:nsid w:val="436C6125"/>
    <w:multiLevelType w:val="hybridMultilevel"/>
    <w:lvl w:ilvl="0">
      <w:lvlJc w:val="left"/>
      <w:lvlText w:val="(%1)"/>
      <w:numFmt w:val="decimal"/>
      <w:start w:val="1"/>
    </w:lvl>
    <w:lvl w:ilvl="1">
      <w:lvlJc w:val="left"/>
      <w:lvlText w:val="-"/>
      <w:numFmt w:val="bullet"/>
      <w:start w:val="1"/>
    </w:lvl>
  </w:abstractNum>
  <w:abstractNum w:abstractNumId="14">
    <w:nsid w:val="628C895D"/>
    <w:multiLevelType w:val="hybridMultilevel"/>
    <w:lvl w:ilvl="0">
      <w:lvlJc w:val="left"/>
      <w:lvlText w:val="(%1)"/>
      <w:numFmt w:val="decimal"/>
      <w:start w:val="1"/>
    </w:lvl>
    <w:lvl w:ilvl="1">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
      <w:numFmt w:val="bullet"/>
      <w:start w:val="1"/>
    </w:lvl>
  </w:abstractNum>
  <w:abstractNum w:abstractNumId="17">
    <w:nsid w:val="2443A858"/>
    <w:multiLevelType w:val="hybridMultilevel"/>
    <w:lvl w:ilvl="0">
      <w:lvlJc w:val="left"/>
      <w:lvlText w:val="(%1)"/>
      <w:numFmt w:val="decimal"/>
      <w:start w:val="3"/>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lvl w:ilvl="1">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2025-11-05T07:48:48Z</dcterms:created>
  <dcterms:modified xsi:type="dcterms:W3CDTF">2025-11-05T07:48:48Z</dcterms:modified>
</cp:coreProperties>
</file>