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613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6139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PEFANIS HARRY N</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0000FF"/>
              </w:rPr>
              <w:t>333 CLAY STREET, # 1600</w:t>
            </w:r>
          </w:p>
        </w:tc>
        <w:tc>
          <w:tcPr>
            <w:tcW w:w="156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20"/>
              <w:spacing w:after="0"/>
              <w:rPr>
                <w:sz w:val="20"/>
                <w:szCs w:val="20"/>
                <w:color w:val="auto"/>
              </w:rPr>
            </w:pPr>
            <w:r>
              <w:rPr>
                <w:rFonts w:ascii="Arial" w:cs="Arial" w:eastAsia="Arial" w:hAnsi="Arial"/>
                <w:sz w:val="17"/>
                <w:szCs w:val="17"/>
                <w:color w:val="0000FF"/>
              </w:rPr>
              <w:t>TX</w:t>
            </w:r>
          </w:p>
        </w:tc>
        <w:tc>
          <w:tcPr>
            <w:tcW w:w="1560" w:type="dxa"/>
            <w:vAlign w:val="bottom"/>
          </w:tcPr>
          <w:p>
            <w:pPr>
              <w:ind w:left="3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20" w:type="dxa"/>
            <w:vAlign w:val="bottom"/>
            <w:gridSpan w:val="2"/>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54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9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3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Pr>
          <w:p>
            <w:pPr>
              <w:spacing w:after="0"/>
              <w:rPr>
                <w:sz w:val="3"/>
                <w:szCs w:val="3"/>
                <w:color w:val="auto"/>
              </w:rPr>
            </w:pPr>
          </w:p>
        </w:tc>
        <w:tc>
          <w:tcPr>
            <w:tcW w:w="29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President &amp; COO</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ind w:left="60"/>
              <w:spacing w:after="0"/>
              <w:rPr>
                <w:sz w:val="20"/>
                <w:szCs w:val="20"/>
                <w:color w:val="auto"/>
              </w:rPr>
            </w:pPr>
            <w:r>
              <w:rPr>
                <w:rFonts w:ascii="Arial" w:cs="Arial" w:eastAsia="Arial" w:hAnsi="Arial"/>
                <w:sz w:val="17"/>
                <w:szCs w:val="17"/>
                <w:color w:val="0000FF"/>
              </w:rPr>
              <w:t>11/15/2016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2C2C2C"/>
            </w:tcBorders>
          </w:tcPr>
          <w:p>
            <w:pPr>
              <w:spacing w:after="0"/>
              <w:rPr>
                <w:sz w:val="18"/>
                <w:szCs w:val="18"/>
                <w:color w:val="auto"/>
              </w:rPr>
            </w:pPr>
          </w:p>
        </w:tc>
        <w:tc>
          <w:tcPr>
            <w:tcW w:w="35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68" w:lineRule="exact"/>
        <w:rPr>
          <w:sz w:val="24"/>
          <w:szCs w:val="24"/>
          <w:color w:val="auto"/>
        </w:rPr>
      </w:pPr>
    </w:p>
    <w:p>
      <w:pPr>
        <w:sectPr>
          <w:pgSz w:w="11900" w:h="16838" w:orient="portrait"/>
          <w:cols w:equalWidth="0" w:num="2">
            <w:col w:w="3900" w:space="100"/>
            <w:col w:w="752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Beneficially Owned</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or Disposed of</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 (Instr. 3, 4</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000FF"/>
                <w:w w:val="92"/>
              </w:rPr>
              <w:t>11/15/2017</w:t>
            </w:r>
            <w:r>
              <w:rPr>
                <w:rFonts w:ascii="Arial" w:cs="Arial" w:eastAsia="Arial" w:hAnsi="Arial"/>
                <w:sz w:val="21"/>
                <w:szCs w:val="21"/>
                <w:color w:val="008000"/>
                <w:w w:val="92"/>
                <w:vertAlign w:val="superscript"/>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2,587,312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80" w:type="dxa"/>
            <w:vAlign w:val="bottom"/>
          </w:tcPr>
          <w:p>
            <w:pPr>
              <w:ind w:left="60"/>
              <w:spacing w:after="0" w:line="138" w:lineRule="exact"/>
              <w:rPr>
                <w:sz w:val="20"/>
                <w:szCs w:val="20"/>
                <w:color w:val="auto"/>
              </w:rPr>
            </w:pPr>
            <w:r>
              <w:rPr>
                <w:rFonts w:ascii="Arial" w:cs="Arial" w:eastAsia="Arial" w:hAnsi="Arial"/>
                <w:sz w:val="13"/>
                <w:szCs w:val="13"/>
                <w:color w:val="0000FF"/>
                <w:w w:val="90"/>
              </w:rPr>
              <w:t>Shares/Class</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line="138" w:lineRule="exact"/>
              <w:rPr>
                <w:sz w:val="20"/>
                <w:szCs w:val="20"/>
                <w:color w:val="auto"/>
              </w:rPr>
            </w:pPr>
            <w:r>
              <w:rPr>
                <w:rFonts w:ascii="Arial" w:cs="Arial" w:eastAsia="Arial" w:hAnsi="Arial"/>
                <w:sz w:val="13"/>
                <w:szCs w:val="13"/>
                <w:color w:val="0000FF"/>
              </w:rPr>
              <w:t>11/15/2016</w:t>
            </w: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tcPr>
          <w:p>
            <w:pPr>
              <w:ind w:left="80"/>
              <w:spacing w:after="0" w:line="138" w:lineRule="exact"/>
              <w:rPr>
                <w:sz w:val="20"/>
                <w:szCs w:val="20"/>
                <w:color w:val="auto"/>
              </w:rPr>
            </w:pPr>
            <w:r>
              <w:rPr>
                <w:rFonts w:ascii="Arial" w:cs="Arial" w:eastAsia="Arial" w:hAnsi="Arial"/>
                <w:sz w:val="13"/>
                <w:szCs w:val="13"/>
                <w:color w:val="0000FF"/>
                <w:w w:val="96"/>
              </w:rPr>
              <w:t>2,587,312</w:t>
            </w: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right"/>
              <w:ind w:right="141"/>
              <w:spacing w:after="0" w:line="138" w:lineRule="exact"/>
              <w:rPr>
                <w:sz w:val="20"/>
                <w:szCs w:val="20"/>
                <w:color w:val="auto"/>
              </w:rPr>
            </w:pPr>
            <w:r>
              <w:rPr>
                <w:rFonts w:ascii="Arial" w:cs="Arial" w:eastAsia="Arial" w:hAnsi="Arial"/>
                <w:sz w:val="13"/>
                <w:szCs w:val="13"/>
                <w:color w:val="0000FF"/>
              </w:rPr>
              <w:t>2,587,312</w:t>
            </w:r>
          </w:p>
        </w:tc>
        <w:tc>
          <w:tcPr>
            <w:tcW w:w="7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A 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0"/>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restart"/>
          </w:tcPr>
          <w:p>
            <w:pPr>
              <w:ind w:left="120"/>
              <w:spacing w:after="0" w:line="201"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(4)</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1,181,676</w:t>
            </w:r>
          </w:p>
        </w:tc>
        <w:tc>
          <w:tcPr>
            <w:tcW w:w="680" w:type="dxa"/>
            <w:vAlign w:val="bottom"/>
          </w:tcPr>
          <w:p>
            <w:pPr>
              <w:spacing w:after="0"/>
              <w:rPr>
                <w:sz w:val="5"/>
                <w:szCs w:val="5"/>
                <w:color w:val="auto"/>
              </w:rPr>
            </w:pPr>
          </w:p>
        </w:tc>
        <w:tc>
          <w:tcPr>
            <w:tcW w:w="920" w:type="dxa"/>
            <w:vAlign w:val="bottom"/>
            <w:vMerge w:val="restart"/>
          </w:tcPr>
          <w:p>
            <w:pPr>
              <w:jc w:val="center"/>
              <w:ind w:right="61"/>
              <w:spacing w:after="0" w:line="202" w:lineRule="exact"/>
              <w:rPr>
                <w:sz w:val="20"/>
                <w:szCs w:val="20"/>
                <w:color w:val="auto"/>
              </w:rPr>
            </w:pPr>
            <w:r>
              <w:rPr>
                <w:rFonts w:ascii="Arial" w:cs="Arial" w:eastAsia="Arial" w:hAnsi="Arial"/>
                <w:sz w:val="13"/>
                <w:szCs w:val="13"/>
                <w:color w:val="0000FF"/>
              </w:rPr>
              <w:t>1,181,676</w:t>
            </w:r>
            <w:r>
              <w:rPr>
                <w:rFonts w:ascii="Arial" w:cs="Arial" w:eastAsia="Arial" w:hAnsi="Arial"/>
                <w:sz w:val="21"/>
                <w:szCs w:val="21"/>
                <w:color w:val="008000"/>
                <w:vertAlign w:val="superscript"/>
              </w:rPr>
              <w:t>(4)</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780" w:type="dxa"/>
            <w:vAlign w:val="bottom"/>
            <w:vMerge w:val="continue"/>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line="138" w:lineRule="exact"/>
              <w:rPr>
                <w:sz w:val="20"/>
                <w:szCs w:val="20"/>
                <w:color w:val="auto"/>
              </w:rPr>
            </w:pPr>
            <w:r>
              <w:rPr>
                <w:rFonts w:ascii="Arial" w:cs="Arial" w:eastAsia="Arial" w:hAnsi="Arial"/>
                <w:sz w:val="13"/>
                <w:szCs w:val="13"/>
                <w:color w:val="0000FF"/>
              </w:rPr>
              <w:t>11/15/2016</w:t>
            </w: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tcPr>
          <w:p>
            <w:pPr>
              <w:ind w:left="80"/>
              <w:spacing w:after="0" w:line="138" w:lineRule="exact"/>
              <w:rPr>
                <w:sz w:val="20"/>
                <w:szCs w:val="20"/>
                <w:color w:val="auto"/>
              </w:rPr>
            </w:pPr>
            <w:r>
              <w:rPr>
                <w:rFonts w:ascii="Arial" w:cs="Arial" w:eastAsia="Arial" w:hAnsi="Arial"/>
                <w:sz w:val="13"/>
                <w:szCs w:val="13"/>
                <w:color w:val="0000FF"/>
                <w:w w:val="96"/>
              </w:rPr>
              <w:t>1,181,676</w:t>
            </w: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continue"/>
          </w:tcPr>
          <w:p>
            <w:pPr>
              <w:spacing w:after="0"/>
              <w:rPr>
                <w:sz w:val="11"/>
                <w:szCs w:val="11"/>
                <w:color w:val="auto"/>
              </w:rPr>
            </w:pPr>
          </w:p>
        </w:tc>
        <w:tc>
          <w:tcPr>
            <w:tcW w:w="740" w:type="dxa"/>
            <w:vAlign w:val="bottom"/>
          </w:tcPr>
          <w:p>
            <w:pPr>
              <w:ind w:left="360"/>
              <w:spacing w:after="0" w:line="138" w:lineRule="exact"/>
              <w:rPr>
                <w:sz w:val="20"/>
                <w:szCs w:val="20"/>
                <w:color w:val="auto"/>
              </w:rPr>
            </w:pPr>
            <w:r>
              <w:rPr>
                <w:rFonts w:ascii="Arial" w:cs="Arial" w:eastAsia="Arial" w:hAnsi="Arial"/>
                <w:sz w:val="13"/>
                <w:szCs w:val="13"/>
                <w:color w:val="0000FF"/>
              </w:rPr>
              <w:t>I</w:t>
            </w:r>
          </w:p>
        </w:tc>
        <w:tc>
          <w:tcPr>
            <w:tcW w:w="740" w:type="dxa"/>
            <w:vAlign w:val="bottom"/>
          </w:tcPr>
          <w:p>
            <w:pPr>
              <w:ind w:left="60"/>
              <w:spacing w:after="0" w:line="13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81"/>
        </w:trPr>
        <w:tc>
          <w:tcPr>
            <w:tcW w:w="780" w:type="dxa"/>
            <w:vAlign w:val="bottom"/>
          </w:tcPr>
          <w:p>
            <w:pPr>
              <w:ind w:left="60"/>
              <w:spacing w:after="0" w:line="81" w:lineRule="exact"/>
              <w:rPr>
                <w:sz w:val="20"/>
                <w:szCs w:val="20"/>
                <w:color w:val="auto"/>
              </w:rPr>
            </w:pPr>
            <w:r>
              <w:rPr>
                <w:rFonts w:ascii="Arial" w:cs="Arial" w:eastAsia="Arial" w:hAnsi="Arial"/>
                <w:sz w:val="9"/>
                <w:szCs w:val="9"/>
                <w:color w:val="0000FF"/>
              </w:rPr>
              <w:t>A Units/GP</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180"/>
              <w:spacing w:after="0" w:line="81" w:lineRule="exact"/>
              <w:rPr>
                <w:sz w:val="20"/>
                <w:szCs w:val="20"/>
                <w:color w:val="auto"/>
              </w:rPr>
            </w:pPr>
            <w:r>
              <w:rPr>
                <w:rFonts w:ascii="Arial" w:cs="Arial" w:eastAsia="Arial" w:hAnsi="Arial"/>
                <w:sz w:val="9"/>
                <w:szCs w:val="9"/>
                <w:color w:val="0000FF"/>
              </w:rPr>
              <w:t>Units</w:t>
            </w: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(4)</w:t>
            </w:r>
          </w:p>
        </w:tc>
        <w:tc>
          <w:tcPr>
            <w:tcW w:w="0" w:type="dxa"/>
            <w:vAlign w:val="bottom"/>
          </w:tcPr>
          <w:p>
            <w:pPr>
              <w:spacing w:after="0"/>
              <w:rPr>
                <w:sz w:val="1"/>
                <w:szCs w:val="1"/>
                <w:color w:val="auto"/>
              </w:rPr>
            </w:pPr>
          </w:p>
        </w:tc>
      </w:tr>
      <w:tr>
        <w:trPr>
          <w:trHeight w:val="85"/>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3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was amended and restated on November 15, 2016 to provide, among other things, that each limited partner of AAP holding Class A Units, including the Reporting Person,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Reporting Person may not exercise his Redemption Right with respect to any Class A Units until November 15, 2017.</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43" w:lineRule="exact"/>
        <w:rPr>
          <w:rFonts w:ascii="Arial" w:cs="Arial" w:eastAsia="Arial" w:hAnsi="Arial"/>
          <w:sz w:val="13"/>
          <w:szCs w:val="13"/>
          <w:color w:val="008000"/>
        </w:rPr>
      </w:pPr>
    </w:p>
    <w:p>
      <w:pPr>
        <w:jc w:val="both"/>
        <w:ind w:left="40" w:right="260" w:firstLine="1"/>
        <w:spacing w:after="0" w:line="259"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 Pursuant to the limited partnership agreement of AAP, PAA Management may not exercise its Redemption Right with respect to any Class A Units attributable to the interest of the Reporting Person until November 15, 2017.</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color w:val="0000FF"/>
                <w:w w:val="89"/>
              </w:rPr>
              <w:t>/s/ Harry N. Pefanis</w:t>
            </w:r>
          </w:p>
        </w:tc>
        <w:tc>
          <w:tcPr>
            <w:tcW w:w="74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11/17/2016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8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2020-01-19T09:52:37Z</dcterms:created>
  <dcterms:modified xsi:type="dcterms:W3CDTF">2020-01-19T09:52:37Z</dcterms:modified>
</cp:coreProperties>
</file>