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900-1_424b5.htm"/>
        <w:bookmarkStart w:id="1" w:name="kstm2624900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4">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r>
                              <w:rPr>
                                <w:rFonts w:ascii="Helvetica;Arial;sans-serif" w:hAnsi="Helvetica;Arial;sans-serif"/>
                                <w:b/>
                                <w:color w:val="FC0014"/>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r>
                        <w:rPr>
                          <w:rFonts w:ascii="Helvetica;Arial;sans-serif" w:hAnsi="Helvetica;Arial;sans-serif"/>
                          <w:b/>
                          <w:color w:val="FC0014"/>
                          <w:sz w:val="16"/>
                        </w:rPr>
                        <w:t xml:space="preserve"> </w:t>
                      </w:r>
                    </w:p>
                  </w:txbxContent>
                </v:textbox>
                <w10:wrap type="none"/>
              </v:rect>
            </w:pict>
          </mc:Fallback>
        </mc:AlternateContent>
      </w:r>
    </w:p>
    <w:p>
      <w:pPr>
        <w:pStyle w:val="TextBody"/>
        <w:bidi w:val="0"/>
        <w:spacing w:lineRule="atLeast" w:line="150" w:before="557" w:after="437"/>
        <w:ind w:left="1260" w:right="0" w:hanging="0"/>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5"/>
        </w:rPr>
        <w:t>Filed pursuant to Rule 424(b)(5)</w:t>
      </w:r>
      <w:r>
        <w:rPr>
          <w:rFonts w:ascii="Times New Roman;Times;serif" w:hAnsi="Times New Roman;Times;serif"/>
          <w:b/>
          <w:i w:val="false"/>
          <w:caps w:val="false"/>
          <w:smallCaps w:val="false"/>
          <w:color w:val="000000"/>
          <w:sz w:val="15"/>
        </w:rPr>
        <w:t>​</w:t>
      </w:r>
    </w:p>
    <w:p>
      <w:pPr>
        <w:pStyle w:val="TextBody"/>
        <w:bidi w:val="0"/>
        <w:spacing w:lineRule="atLeast" w:line="150" w:before="557" w:after="437"/>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5"/>
        </w:rPr>
        <w:t>Registration No. 333-281967</w:t>
      </w:r>
      <w:r>
        <w:rPr>
          <w:rFonts w:ascii="Times New Roman;Times;serif" w:hAnsi="Times New Roman;Times;serif"/>
          <w:b/>
          <w:i w:val="false"/>
          <w:caps w:val="false"/>
          <w:smallCaps w:val="false"/>
          <w:color w:val="000000"/>
          <w:sz w:val="15"/>
        </w:rPr>
        <w:t>​</w:t>
      </w:r>
    </w:p>
    <w:p>
      <w:pPr>
        <w:pStyle w:val="TextBody"/>
        <w:bidi w:val="0"/>
        <w:spacing w:lineRule="atLeast" w:line="240" w:before="38"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September 9, 2026</w:t>
      </w:r>
      <w:r>
        <w:rPr>
          <w:rFonts w:ascii="Times New Roman;Times;serif" w:hAnsi="Times New Roman;Times;serif"/>
          <w:b/>
          <w:i w:val="false"/>
          <w:caps w:val="false"/>
          <w:smallCaps w:val="false"/>
          <w:color w:val="FC0014"/>
          <w:sz w:val="20"/>
        </w:rPr>
        <w:t xml:space="preserve"> </w:t>
      </w:r>
    </w:p>
    <w:p>
      <w:pPr>
        <w:pStyle w:val="TextBody"/>
        <w:bidi w:val="0"/>
        <w:spacing w:lineRule="atLeast" w:line="230" w:before="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Preliminary 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September 6,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w:t>
      </w:r>
      <w:r>
        <w:rPr>
          <w:rFonts w:ascii="Times New Roman;Times;serif" w:hAnsi="Times New Roman;Times;serif"/>
          <w:b/>
          <w:i w:val="false"/>
          <w:caps w:val="false"/>
          <w:smallCaps w:val="false"/>
          <w:color w:val="000000"/>
          <w:spacing w:val="5"/>
          <w:sz w:val="24"/>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1828800" cy="914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828800" cy="9144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0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Plains All American Pipeline, L.P.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7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 Series A Junior Subordinated Notes due 2056</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$         % Series B Junior Subordinated Notes due 2056</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128"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Plains All American Pipeline, L.P. is offering $      aggregate principal amount of fixed-to-fixed reset rate junior subordinated notes, consisting of $      aggregate principal amount of    % Series A Junior Subordinated Notes due 2056 (the “Series A Notes”) and $      aggregate principal amount of     % Series B Junior Subordinated Notes due 2056 (the “Series B Notes,” and together with the Series A Notes, the “Notes”). </w:t>
      </w:r>
    </w:p>
    <w:p>
      <w:pPr>
        <w:pStyle w:val="TextBody"/>
        <w:bidi w:val="0"/>
        <w:spacing w:lineRule="atLeast" w:line="16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Series A Notes will bear interest (i) from and including the original issue date (as defined herein) to, but excluding, December 15, 2031 at the rate of       % per annum and (ii) from and including December 15, 2031, during each Reset Period (as defined herein) at a rate per annum equal to the Five-year U.S. Treasury Rate (as defined herein) as of the most recent Reset Interest Determination Date (as defined herein) plus a spread of      %, to be reset on each Reset Date (as defined herein); provided that the interest rate during any Reset Period will not reset below    % per annum (which equals the initial interest rate on the Series A Notes). The Series A Notes will mature on December 15, 2056. </w:t>
      </w:r>
    </w:p>
    <w:p>
      <w:pPr>
        <w:pStyle w:val="TextBody"/>
        <w:bidi w:val="0"/>
        <w:spacing w:lineRule="atLeast" w:line="16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Series B Notes will bear interest (i) from and including the original issue date to, but excluding, December 15, 2036 at the rate of      % per annum and (ii) from and including December 15, 2036, during each Reset Period (as defined herein) at a rate per annum equal to the Five-year U.S. Treasury Rate as of the most recent Reset Interest Determination Date plus a spread of      %, to be reset on each Reset Date; provided that the interest rate during any Reset Period will not reset below    % per annum (which equals the initial interest rate on the Series B Notes). The Series B Notes will mature on December 15, 2056. </w:t>
      </w:r>
    </w:p>
    <w:p>
      <w:pPr>
        <w:pStyle w:val="TextBody"/>
        <w:bidi w:val="0"/>
        <w:spacing w:lineRule="atLeast" w:line="16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Interest on the Notes will accrue from and including           , 2026 and will be payable semi-annually in arrears on June 15 and December 15 of each year, beginning on June 15, 2027. </w:t>
      </w:r>
    </w:p>
    <w:p>
      <w:pPr>
        <w:pStyle w:val="TextBody"/>
        <w:bidi w:val="0"/>
        <w:spacing w:lineRule="atLeast" w:line="17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terms of each series of Notes will provide that so long as no event of default (as defined herein) with respect to the Notes of such series has occurred and is continuing, we may, at our option, defer interest payments on such series of Notes, from time to time, for one or more deferral periods of up to 20 consecutive semi-annual Interest Payment Periods (as defined herein) applicable to such series of Notes. During any deferral period applicable to either series of Notes, interest on such series of Notes will continue to accrue at the then-applicable interest rate on the Notes of such series (as reset from time to time on any Reset Date occurring during such deferral period in accordance with the terms of the Notes of such series) and, in addition, interest on deferred interest will accrue at the then-applicable interest rate on the Notes with respect to the Notes of either series (as reset from time to time on any Reset Date occurring during such deferral period in accordance with the terms of the Notes of such series), compounded semi-annually, to the extent permitted by applicable law. See “Description of the notes — Option to Defer Interest Payments.” </w:t>
      </w:r>
    </w:p>
    <w:p>
      <w:pPr>
        <w:pStyle w:val="TextBody"/>
        <w:bidi w:val="0"/>
        <w:spacing w:lineRule="atLeast" w:line="17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terms of each series of Notes will provide that at our option, we may redeem Notes of such series at the times and at the applicable redemption prices described in this prospectus supplement. The Notes will be our unsecured obligations and will rank junior and subordinate in right of payment to our existing and future Senior Indebtedness (as defined herein). The Notes will rank equally in right of payment with any future unsecured indebtedness that we may incur from time to time if the terms of such indebtedness provide that it ranks equally with the Notes in right of payment. None of our subsidiaries will guarantee the Notes. </w:t>
      </w:r>
    </w:p>
    <w:p>
      <w:pPr>
        <w:pStyle w:val="TextBody"/>
        <w:bidi w:val="0"/>
        <w:spacing w:lineRule="atLeast" w:line="17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w:t>
      </w:r>
    </w:p>
    <w:p>
      <w:pPr>
        <w:pStyle w:val="TextBody"/>
        <w:bidi w:val="0"/>
        <w:spacing w:lineRule="atLeast" w:line="170" w:before="80" w:after="283"/>
        <w:ind w:left="1660" w:right="0" w:hanging="0"/>
        <w:jc w:val="left"/>
        <w:rPr/>
      </w:pPr>
      <w:r>
        <w:rPr>
          <w:rFonts w:ascii="Times New Roman;Times;serif" w:hAnsi="Times New Roman;Times;serif"/>
          <w:b w:val="false"/>
          <w:i w:val="false"/>
          <w:caps w:val="false"/>
          <w:smallCaps w:val="false"/>
          <w:color w:val="000000"/>
          <w:spacing w:val="3"/>
          <w:sz w:val="15"/>
        </w:rPr>
        <w:t xml:space="preserve">Investing in the Notes involves risks. See “Risk factors” beginning on page </w:t>
      </w:r>
      <w:hyperlink w:anchor="sRIFA">
        <w:r>
          <w:rPr>
            <w:rStyle w:val="InternetLink"/>
          </w:rPr>
          <w:t>S-6</w:t>
        </w:r>
      </w:hyperlink>
      <w:r>
        <w:rPr>
          <w:rFonts w:ascii="Times New Roman;Times;serif" w:hAnsi="Times New Roman;Times;serif"/>
          <w:b w:val="false"/>
          <w:i w:val="false"/>
          <w:caps w:val="false"/>
          <w:smallCaps w:val="false"/>
          <w:color w:val="000000"/>
          <w:spacing w:val="3"/>
          <w:sz w:val="15"/>
        </w:rPr>
        <w:t xml:space="preserve"> of this prospectus supplement. </w:t>
      </w:r>
    </w:p>
    <w:p>
      <w:pPr>
        <w:pStyle w:val="TextBody"/>
        <w:bidi w:val="0"/>
        <w:spacing w:lineRule="atLeast" w:line="170" w:before="80" w:after="283"/>
        <w:ind w:left="1260" w:right="0" w:firstLine="400"/>
        <w:jc w:val="left"/>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r>
        <w:rPr>
          <w:rFonts w:ascii="Times New Roman;Times;serif" w:hAnsi="Times New Roman;Times;serif"/>
          <w:b/>
          <w:i w:val="false"/>
          <w:caps w:val="false"/>
          <w:smallCaps w:val="false"/>
          <w:color w:val="000000"/>
          <w:spacing w:val="3"/>
          <w:sz w:val="15"/>
        </w:rPr>
        <w:t xml:space="preserve"> </w:t>
      </w:r>
    </w:p>
    <w:tbl>
      <w:tblPr>
        <w:tblW w:w="8945" w:type="dxa"/>
        <w:jc w:val="left"/>
        <w:tblInd w:w="1260" w:type="dxa"/>
        <w:tblLayout w:type="fixed"/>
        <w:tblCellMar>
          <w:top w:w="0" w:type="dxa"/>
          <w:left w:w="0" w:type="dxa"/>
          <w:bottom w:w="28" w:type="dxa"/>
          <w:right w:w="0" w:type="dxa"/>
        </w:tblCellMar>
      </w:tblPr>
      <w:tblGrid>
        <w:gridCol w:w="2365"/>
        <w:gridCol w:w="109"/>
        <w:gridCol w:w="109"/>
        <w:gridCol w:w="130"/>
        <w:gridCol w:w="130"/>
        <w:gridCol w:w="944"/>
        <w:gridCol w:w="130"/>
        <w:gridCol w:w="109"/>
        <w:gridCol w:w="109"/>
        <w:gridCol w:w="150"/>
        <w:gridCol w:w="312"/>
        <w:gridCol w:w="842"/>
        <w:gridCol w:w="150"/>
        <w:gridCol w:w="109"/>
        <w:gridCol w:w="109"/>
        <w:gridCol w:w="129"/>
        <w:gridCol w:w="129"/>
        <w:gridCol w:w="930"/>
        <w:gridCol w:w="129"/>
        <w:gridCol w:w="109"/>
        <w:gridCol w:w="109"/>
        <w:gridCol w:w="150"/>
        <w:gridCol w:w="311"/>
        <w:gridCol w:w="830"/>
        <w:gridCol w:w="150"/>
        <w:gridCol w:w="162"/>
      </w:tblGrid>
      <w:tr>
        <w:trPr/>
        <w:tc>
          <w:tcPr>
            <w:tcW w:w="23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4" w:type="dxa"/>
            <w:gridSpan w:val="4"/>
            <w:tcBorders>
              <w:bottom w:val="single" w:sz="2" w:space="0" w:color="000000"/>
            </w:tcBorders>
            <w:vAlign w:val="center"/>
          </w:tcPr>
          <w:p>
            <w:pPr>
              <w:pStyle w:val="TableContents"/>
              <w:bidi w:val="0"/>
              <w:spacing w:lineRule="atLeast" w:line="169" w:before="0" w:after="0"/>
              <w:jc w:val="center"/>
              <w:rPr/>
            </w:pPr>
            <w:r>
              <w:rPr>
                <w:spacing w:val="-3"/>
              </w:rPr>
              <w:t>Per Series A Note</w:t>
            </w:r>
            <w:r>
              <w:rPr/>
              <w:t xml:space="preserve"> </w:t>
              <w:br/>
            </w:r>
            <w:r>
              <w:rPr>
                <w:spacing w:val="-3"/>
              </w:rPr>
              <w:t xml:space="preserve">offered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lineRule="atLeast" w:line="169" w:before="0" w:after="0"/>
              <w:jc w:val="center"/>
              <w:rPr/>
            </w:pPr>
            <w:r>
              <w:rPr>
                <w:spacing w:val="-3"/>
              </w:rPr>
              <w:t>Total Series A Notes</w:t>
            </w:r>
            <w:r>
              <w:rPr/>
              <w:t xml:space="preserve"> </w:t>
              <w:br/>
            </w:r>
            <w:r>
              <w:rPr>
                <w:spacing w:val="-3"/>
              </w:rPr>
              <w:t xml:space="preserve">offered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7" w:type="dxa"/>
            <w:gridSpan w:val="4"/>
            <w:tcBorders>
              <w:bottom w:val="single" w:sz="2" w:space="0" w:color="000000"/>
            </w:tcBorders>
            <w:vAlign w:val="center"/>
          </w:tcPr>
          <w:p>
            <w:pPr>
              <w:pStyle w:val="TableContents"/>
              <w:bidi w:val="0"/>
              <w:spacing w:lineRule="atLeast" w:line="169" w:before="0" w:after="0"/>
              <w:jc w:val="center"/>
              <w:rPr/>
            </w:pPr>
            <w:r>
              <w:rPr>
                <w:spacing w:val="-3"/>
              </w:rPr>
              <w:t>Per Series B Note</w:t>
            </w:r>
            <w:r>
              <w:rPr/>
              <w:t xml:space="preserve"> </w:t>
              <w:br/>
            </w:r>
            <w:r>
              <w:rPr>
                <w:spacing w:val="-3"/>
              </w:rPr>
              <w:t xml:space="preserve">offered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gridSpan w:val="4"/>
            <w:tcBorders>
              <w:bottom w:val="single" w:sz="2" w:space="0" w:color="000000"/>
            </w:tcBorders>
            <w:vAlign w:val="center"/>
          </w:tcPr>
          <w:p>
            <w:pPr>
              <w:pStyle w:val="TableContents"/>
              <w:bidi w:val="0"/>
              <w:spacing w:lineRule="atLeast" w:line="169" w:before="0" w:after="0"/>
              <w:jc w:val="center"/>
              <w:rPr/>
            </w:pPr>
            <w:r>
              <w:rPr>
                <w:spacing w:val="-3"/>
              </w:rPr>
              <w:t>Total Series B Notes</w:t>
            </w:r>
            <w:r>
              <w:rPr/>
              <w:t xml:space="preserve"> </w:t>
              <w:br/>
            </w:r>
            <w:r>
              <w:rPr>
                <w:spacing w:val="-3"/>
              </w:rPr>
              <w:t xml:space="preserve">offered hereby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365"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30"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365" w:type="dxa"/>
            <w:tcBorders/>
            <w:tcMar>
              <w:bottom w:w="0" w:type="dxa"/>
            </w:tcMar>
            <w:vAlign w:val="center"/>
          </w:tcPr>
          <w:p>
            <w:pPr>
              <w:pStyle w:val="TableContents"/>
              <w:bidi w:val="0"/>
              <w:spacing w:before="0" w:after="0"/>
              <w:jc w:val="left"/>
              <w:rPr>
                <w:spacing w:val="3"/>
              </w:rPr>
            </w:pPr>
            <w:r>
              <w:rPr>
                <w:spacing w:val="3"/>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944" w:type="dxa"/>
            <w:tcBorders/>
            <w:tcMar>
              <w:bottom w:w="0" w:type="dxa"/>
            </w:tcMar>
            <w:vAlign w:val="center"/>
          </w:tcPr>
          <w:p>
            <w:pPr>
              <w:pStyle w:val="TableContents"/>
              <w:bidi w:val="0"/>
              <w:spacing w:before="0" w:after="283"/>
              <w:jc w:val="right"/>
              <w:rPr/>
            </w:pPr>
            <w:r>
              <w:rPr/>
              <w:t>​</w:t>
            </w:r>
            <w:r>
              <w:rPr/>
              <w:t xml:space="preserve">% </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2"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left"/>
              <w:rPr>
                <w:sz w:val="4"/>
                <w:szCs w:val="4"/>
              </w:rPr>
            </w:pPr>
            <w:r>
              <w:rPr>
                <w:sz w:val="4"/>
                <w:szCs w:val="4"/>
              </w:rPr>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30" w:type="dxa"/>
            <w:tcBorders/>
            <w:tcMar>
              <w:bottom w:w="0" w:type="dxa"/>
            </w:tcMar>
            <w:vAlign w:val="center"/>
          </w:tcPr>
          <w:p>
            <w:pPr>
              <w:pStyle w:val="TableContents"/>
              <w:bidi w:val="0"/>
              <w:spacing w:before="0" w:after="283"/>
              <w:jc w:val="right"/>
              <w:rPr/>
            </w:pPr>
            <w:r>
              <w:rPr/>
              <w:t>​</w:t>
            </w: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right"/>
              <w:rPr/>
            </w:pPr>
            <w:r>
              <w:rPr/>
              <w:t>$</w:t>
            </w:r>
          </w:p>
        </w:tc>
        <w:tc>
          <w:tcPr>
            <w:tcW w:w="830" w:type="dxa"/>
            <w:tcBorders/>
            <w:tcMar>
              <w:bottom w:w="0" w:type="dxa"/>
            </w:tcMar>
            <w:vAlign w:val="center"/>
          </w:tcPr>
          <w:p>
            <w:pPr>
              <w:pStyle w:val="TableContents"/>
              <w:bidi w:val="0"/>
              <w:spacing w:before="0" w:after="283"/>
              <w:jc w:val="left"/>
              <w:rPr>
                <w:sz w:val="4"/>
                <w:szCs w:val="4"/>
              </w:rPr>
            </w:pPr>
            <w:r>
              <w:rPr>
                <w:sz w:val="4"/>
                <w:szCs w:val="4"/>
              </w:rPr>
            </w:r>
          </w:p>
        </w:tc>
        <w:tc>
          <w:tcPr>
            <w:tcW w:w="150"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2365" w:type="dxa"/>
            <w:tcBorders/>
            <w:shd w:fill="CCEEFF" w:val="clear"/>
            <w:tcMar>
              <w:bottom w:w="0" w:type="dxa"/>
            </w:tcMar>
            <w:vAlign w:val="center"/>
          </w:tcPr>
          <w:p>
            <w:pPr>
              <w:pStyle w:val="TableContents"/>
              <w:bidi w:val="0"/>
              <w:spacing w:before="0" w:after="0"/>
              <w:jc w:val="left"/>
              <w:rPr>
                <w:spacing w:val="3"/>
              </w:rPr>
            </w:pPr>
            <w:r>
              <w:rPr>
                <w:spacing w:val="3"/>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94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30"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2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80" w:after="0"/>
        <w:ind w:left="1660"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Plus accrued interest on the applicable series of Notes, if any, from           , 2026. </w:t>
      </w:r>
      <w:r>
        <mc:AlternateContent>
          <mc:Choice Requires="wps">
            <w:drawing>
              <wp:anchor behindDoc="0" distT="508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1260" w:right="0" w:hanging="0"/>
        <w:jc w:val="left"/>
        <w:rPr>
          <w:caps w:val="false"/>
          <w:smallCaps w:val="false"/>
          <w:color w:val="000000"/>
        </w:rPr>
      </w:pPr>
      <w:r>
        <w:rPr>
          <w:caps w:val="false"/>
          <w:smallCaps w:val="false"/>
          <w:color w:val="000000"/>
        </w:rPr>
        <w:t>​</w:t>
      </w:r>
    </w:p>
    <w:p>
      <w:pPr>
        <w:pStyle w:val="TextBody"/>
        <w:bidi w:val="0"/>
        <w:spacing w:lineRule="atLeast" w:line="170" w:before="80" w:after="283"/>
        <w:ind w:left="126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This prospectus supplement and the accompanying base prospectus are not intended to constitute an offer to, and the Notes should not be purchased, held or otherwise acquired by, a “specified foreign entity” as defined in Section 7701(a)(51)(B) of the Internal Revenue Code of 1986, as amended (an “SFE”). By purchasing the Notes, any investor in the Notes (including all affiliated entities that participate in such purchase) will be deemed to represent and warrant to us that it is not, and will not be, for its taxable year that includes the date of the original issuance of the Notes, an SFE. </w:t>
      </w:r>
    </w:p>
    <w:p>
      <w:pPr>
        <w:pStyle w:val="TextBody"/>
        <w:bidi w:val="0"/>
        <w:spacing w:lineRule="atLeast" w:line="170" w:before="80" w:after="283"/>
        <w:ind w:left="1260" w:right="0" w:firstLine="40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 xml:space="preserve">The underwriters expect to deliver the Notes in book-entry form only through facilities of The Depository Trust Company for the account of its participants, including Clearstream Banking, </w:t>
      </w:r>
      <w:r>
        <w:rPr>
          <w:rFonts w:ascii="Times New Roman;Times;serif" w:hAnsi="Times New Roman;Times;serif"/>
          <w:b w:val="false"/>
          <w:i/>
          <w:caps w:val="false"/>
          <w:smallCaps w:val="false"/>
          <w:color w:val="000000"/>
          <w:spacing w:val="3"/>
          <w:sz w:val="15"/>
        </w:rPr>
        <w:t>société anonyme</w:t>
      </w:r>
      <w:r>
        <w:rPr>
          <w:rFonts w:ascii="Times New Roman;Times;serif" w:hAnsi="Times New Roman;Times;serif"/>
          <w:b w:val="false"/>
          <w:i w:val="false"/>
          <w:caps w:val="false"/>
          <w:smallCaps w:val="false"/>
          <w:color w:val="000000"/>
          <w:spacing w:val="3"/>
          <w:sz w:val="15"/>
        </w:rPr>
        <w:t xml:space="preserve">, and Euroclear Bank SA/NV, as operator of the Euroclear System, against payment on or about            ,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90" w:after="283"/>
        <w:jc w:val="center"/>
        <w:rPr>
          <w:rFonts w:ascii="Times New Roman;Times;serif" w:hAnsi="Times New Roman;Times;serif"/>
          <w:b w:val="false"/>
          <w:i/>
          <w:caps w:val="false"/>
          <w:smallCaps w:val="false"/>
          <w:color w:val="000000"/>
          <w:spacing w:val="3"/>
          <w:sz w:val="15"/>
        </w:rPr>
      </w:pPr>
      <w:r>
        <w:rPr>
          <w:rFonts w:ascii="Times New Roman;Times;serif" w:hAnsi="Times New Roman;Times;serif"/>
          <w:b w:val="false"/>
          <w:i/>
          <w:caps w:val="false"/>
          <w:smallCaps w:val="false"/>
          <w:color w:val="000000"/>
          <w:spacing w:val="3"/>
          <w:sz w:val="15"/>
        </w:rPr>
        <w:t xml:space="preserve">Joint Book-Running Managers </w:t>
      </w:r>
    </w:p>
    <w:p>
      <w:pPr>
        <w:pStyle w:val="TextBody"/>
        <w:bidi w:val="0"/>
        <w:spacing w:lineRule="atLeast" w:line="340" w:before="80" w:after="283"/>
        <w:ind w:left="1926" w:right="0" w:hanging="0"/>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J.P. Morgan Citigroup Mizuho MUFG Truist Securities</w:t>
      </w:r>
      <w:r>
        <w:rPr>
          <w:rFonts w:ascii="Times New Roman;Times;serif" w:hAnsi="Times New Roman;Times;serif"/>
          <w:b/>
          <w:i w:val="false"/>
          <w:caps w:val="false"/>
          <w:smallCaps w:val="false"/>
          <w:color w:val="000000"/>
          <w:sz w:val="32"/>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0" w:after="283"/>
        <w:jc w:val="center"/>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The date of this prospectus supplement is           , 2026.</w:t>
      </w:r>
      <w:r>
        <w:rPr>
          <w:rFonts w:ascii="Times New Roman;Times;serif" w:hAnsi="Times New Roman;Times;serif"/>
          <w:b/>
          <w:i w:val="false"/>
          <w:caps w:val="false"/>
          <w:smallCaps w:val="false"/>
          <w:color w:val="000000"/>
          <w:sz w:val="15"/>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9"/>
        <w:gridCol w:w="109"/>
        <w:gridCol w:w="109"/>
        <w:gridCol w:w="109"/>
        <w:gridCol w:w="109"/>
        <w:gridCol w:w="583"/>
        <w:gridCol w:w="109"/>
        <w:gridCol w:w="155"/>
      </w:tblGrid>
      <w:tr>
        <w:trPr/>
        <w:tc>
          <w:tcPr>
            <w:tcW w:w="75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ind w:left="200" w:right="0" w:hanging="200"/>
              <w:jc w:val="left"/>
              <w:rPr/>
            </w:pPr>
            <w:hyperlink w:anchor="sINAI">
              <w:r>
                <w:rPr>
                  <w:rStyle w:val="InternetLink"/>
                  <w:spacing w:val="4"/>
                </w:rPr>
                <w:t xml:space="preserve">Important notice about information in this prospectus supplement and the accompanying base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INAI">
              <w:r>
                <w:rPr>
                  <w:rStyle w:val="InternetLink"/>
                  <w:spacing w:val="4"/>
                </w:rPr>
                <w:t>S-ii</w:t>
              </w:r>
            </w:hyperlink>
            <w:hyperlink w:anchor="sIN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FOST">
              <w:r>
                <w:rPr>
                  <w:rStyle w:val="InternetLink"/>
                  <w:spacing w:val="4"/>
                </w:rPr>
                <w:t>S-iv</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S-13</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CAP">
              <w:r>
                <w:rPr>
                  <w:rStyle w:val="InternetLink"/>
                  <w:spacing w:val="4"/>
                </w:rPr>
                <w:t>S-14</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S-15</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BDAF">
              <w:r>
                <w:rPr>
                  <w:rStyle w:val="InternetLink"/>
                  <w:spacing w:val="4"/>
                </w:rPr>
                <w:t xml:space="preserve">Book-entry, delivery and form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BDAF">
              <w:r>
                <w:rPr>
                  <w:rStyle w:val="InternetLink"/>
                  <w:spacing w:val="4"/>
                </w:rPr>
                <w:t>S-28</w:t>
              </w:r>
            </w:hyperlink>
            <w:hyperlink w:anchor="sBD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MUSF">
              <w:r>
                <w:rPr>
                  <w:rStyle w:val="InternetLink"/>
                  <w:spacing w:val="4"/>
                </w:rPr>
                <w:t xml:space="preserve">Material United States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MUSF">
              <w:r>
                <w:rPr>
                  <w:rStyle w:val="InternetLink"/>
                  <w:spacing w:val="4"/>
                </w:rPr>
                <w:t>S-31</w:t>
              </w:r>
            </w:hyperlink>
            <w:hyperlink w:anchor="sMUS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UND">
              <w:r>
                <w:rPr>
                  <w:rStyle w:val="InternetLink"/>
                  <w:spacing w:val="4"/>
                </w:rPr>
                <w:t>S-38</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S-44</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EXP">
              <w:r>
                <w:rPr>
                  <w:rStyle w:val="InternetLink"/>
                  <w:spacing w:val="4"/>
                </w:rPr>
                <w:t>S-44</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5975" w:type="dxa"/>
        <w:jc w:val="left"/>
        <w:tblInd w:w="1393" w:type="dxa"/>
        <w:tblLayout w:type="fixed"/>
        <w:tblCellMar>
          <w:top w:w="0" w:type="dxa"/>
          <w:left w:w="0" w:type="dxa"/>
          <w:bottom w:w="0" w:type="dxa"/>
          <w:right w:w="0" w:type="dxa"/>
        </w:tblCellMar>
      </w:tblPr>
      <w:tblGrid>
        <w:gridCol w:w="124"/>
        <w:gridCol w:w="474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APAA">
              <w:r>
                <w:rPr>
                  <w:rStyle w:val="InternetLink"/>
                  <w:spacing w:val="4"/>
                </w:rPr>
                <w:t xml:space="preserve">About Plains All American Pipeline,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APAA">
              <w:r>
                <w:rPr>
                  <w:rStyle w:val="InternetLink"/>
                  <w:spacing w:val="4"/>
                </w:rPr>
                <w:t>1</w:t>
              </w:r>
            </w:hyperlink>
            <w:hyperlink w:anchor="bAP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DOOD">
              <w:r>
                <w:rPr>
                  <w:rStyle w:val="InternetLink"/>
                  <w:spacing w:val="4"/>
                </w:rPr>
                <w:t xml:space="preserve">Description of our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D">
              <w:r>
                <w:rPr>
                  <w:rStyle w:val="InternetLink"/>
                  <w:spacing w:val="4"/>
                </w:rPr>
                <w:t>5</w:t>
              </w:r>
            </w:hyperlink>
            <w:hyperlink w:anchor="bDO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DOOP">
              <w:r>
                <w:rPr>
                  <w:rStyle w:val="InternetLink"/>
                  <w:spacing w:val="4"/>
                </w:rPr>
                <w:t xml:space="preserve">Description of our preferred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OP">
              <w:r>
                <w:rPr>
                  <w:rStyle w:val="InternetLink"/>
                  <w:spacing w:val="4"/>
                </w:rPr>
                <w:t>13</w:t>
              </w:r>
            </w:hyperlink>
            <w:hyperlink w:anchor="bDO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DOOC">
              <w:r>
                <w:rPr>
                  <w:rStyle w:val="InternetLink"/>
                  <w:spacing w:val="4"/>
                </w:rPr>
                <w:t xml:space="preserve">Description of our common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C">
              <w:r>
                <w:rPr>
                  <w:rStyle w:val="InternetLink"/>
                  <w:spacing w:val="4"/>
                </w:rPr>
                <w:t>15</w:t>
              </w:r>
            </w:hyperlink>
            <w:hyperlink w:anchor="bD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CDP">
              <w:r>
                <w:rPr>
                  <w:rStyle w:val="InternetLink"/>
                  <w:spacing w:val="4"/>
                </w:rPr>
                <w:t xml:space="preserve">Cash distribution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CDP">
              <w:r>
                <w:rPr>
                  <w:rStyle w:val="InternetLink"/>
                  <w:spacing w:val="4"/>
                </w:rPr>
                <w:t>17</w:t>
              </w:r>
            </w:hyperlink>
            <w:hyperlink w:anchor="bC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DOOP1">
              <w:r>
                <w:rPr>
                  <w:rStyle w:val="InternetLink"/>
                  <w:spacing w:val="4"/>
                </w:rPr>
                <w:t xml:space="preserve">Description of our partnership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P1">
              <w:r>
                <w:rPr>
                  <w:rStyle w:val="InternetLink"/>
                  <w:spacing w:val="4"/>
                </w:rPr>
                <w:t>19</w:t>
              </w:r>
            </w:hyperlink>
            <w:hyperlink w:anchor="bDO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MUFI">
              <w:r>
                <w:rPr>
                  <w:rStyle w:val="InternetLink"/>
                  <w:spacing w:val="4"/>
                </w:rPr>
                <w:t>24</w:t>
              </w:r>
            </w:hyperlink>
            <w:hyperlink w:anchor="b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POD">
              <w:r>
                <w:rPr>
                  <w:rStyle w:val="InternetLink"/>
                  <w:spacing w:val="4"/>
                </w:rPr>
                <w:t>40</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LEMA">
              <w:r>
                <w:rPr>
                  <w:rStyle w:val="InternetLink"/>
                  <w:spacing w:val="4"/>
                </w:rPr>
                <w:t>42</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XP">
              <w:r>
                <w:rPr>
                  <w:rStyle w:val="InternetLink"/>
                  <w:spacing w:val="4"/>
                </w:rPr>
                <w:t>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INA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about information in this prospectus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supplement and the accompanying base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description of the offering varies between the prospectus supplement and the accompanying base prospectus, you should rely on the information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that are subject to a number of risks and uncertainties, many of which are beyond our control. See “Forward-looking statements” and “Risk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 2026, which is the           business day following the date of pricing of the Notes (such settlement being referred to as “T+    ”).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T+    , to specify an alternate settlement cycle at the time of any such trade to prevent failed settlement and should consult their own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 Forma Presentation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2025, we completed the purchase of an aggregate 55% non-operated equity interest in EPIC Crude Holdings, LP (“EPIC Crude Holdings”), the entity that owned and operated the Cactus III Pipeline, formerly known as the EPIC Crude Oil Pipeline, and an aggregate 55% of the membership interests in EPIC Crude Holdings GP, LLC (“EPIC GP”), the general partner of EPIC Crude Holdings (the “EPIC 55% Transaction”). Effective November 1, 2025, in a separate transaction from the EPIC 55% Transaction, we also completed the purchase of the remaining 45% equity interest in EPIC Crude Holdings and the remaining 45% of the membership interests in EPIC GP (the “EPIC 45% Transaction,” and, together with the EPIC 55% Transaction,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we completed the sale of our Canadian NGL business. The operations of the Canadian NGL business met the criteria for classification as held for sale and for discontinued operations reporting. Accordingly, the balance sheet, results of operations and cash flows of the Canadian NGL business have been presented as discontinued operations in our condensed consolidated financial statements incorporated by reference herein. The SEC has held that if a significant disposition is presented as a discontinued operation in a registrant’s historical financial statements before the disposition is consummated, certain pro forma financial information with respect to such disposition may not be required.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incorporates by reference certain unaudited “pro forma” financial data. Pro forma financial data gives effect to the Transactions as if they had been consummated at the beginning of the periods presented. The pro forma financial data does not give effect to the sale of our Canadian NGL business. In each case, the pro forma data is presented for illustrative purposes only and should not be relied upon as an indication of the results of operations that would have been achieved if the Transactions had taken place on the specified dates. Accordingly, future results may vary significantly from the results reflected in such pro forma data and should not be relied on as an indication of future results. See our unaudited pro forma condensed combined financial statements and the related notes thereto incorporated by reference herein for additional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6858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of global geopolitical events, including conflicts in the Middle East and elsewhere, on commodity price volatility and crude oil supply and demand, as well as broader impacts on financial markets and the global macroeconomic environment; </w:t>
      </w:r>
      <w:r>
        <mc:AlternateContent>
          <mc:Choice Requires="wps">
            <w:drawing>
              <wp:anchor behindDoc="0" distT="6731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resulting changes in pricing conditions or transportation throughput requirements; </w:t>
      </w:r>
      <w:r>
        <mc:AlternateContent>
          <mc:Choice Requires="wps">
            <w:drawing>
              <wp:anchor behindDoc="0" distT="6731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market structure, grade differentials and volatility (or lack thereof); </w:t>
      </w:r>
      <w:r>
        <mc:AlternateContent>
          <mc:Choice Requires="wps">
            <w:drawing>
              <wp:anchor behindDoc="0" distT="6731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6731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our ability to consummate, acquisitions, divestitures, joint ventures or other strategic opportunities and realize benefits therefrom; </w:t>
      </w:r>
      <w:r>
        <mc:AlternateContent>
          <mc:Choice Requires="wps">
            <w:drawing>
              <wp:anchor behindDoc="0" distT="6731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w:t>
      </w:r>
      <w:r>
        <mc:AlternateContent>
          <mc:Choice Requires="wps">
            <w:drawing>
              <wp:anchor behindDoc="0" distT="6731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6731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6731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6731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hurricanes, floods, wildfires and drought); </w:t>
      </w:r>
      <w:r>
        <mc:AlternateContent>
          <mc:Choice Requires="wps">
            <w:drawing>
              <wp:anchor behindDoc="0" distT="6731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 </w:t>
      </w:r>
      <w:r>
        <mc:AlternateContent>
          <mc:Choice Requires="wps">
            <w:drawing>
              <wp:anchor behindDoc="0" distT="0" distB="0" distL="254000" distR="0" simplePos="0" locked="0" layoutInCell="1" allowOverlap="1" relativeHeight="18">
                <wp:simplePos x="0" y="0"/>
                <wp:positionH relativeFrom="column">
                  <wp:align>left</wp:align>
                </wp:positionH>
                <wp:positionV relativeFrom="line">
                  <wp:posOffset>635</wp:posOffset>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or other infrastructure and its impact on expected crude oil production growth in the Permian Basin;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and other petroleum products, which may impair our ability to execute our commercial or hedging strategies;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our credit ratings and ability to receive open credit from our suppliers and trade counterparties;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realize anticipated benefits from operational and organizational streamlining and efficiency efforts and initiatives;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deferral of current revenue recognition attributable to deficiency payments received from customers who fail to ship or move their minimum contracted volumes;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our units at the time of vesting under our long-term incentive plans;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and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crude oil, as well as in the processing, transportation, fractionation, storage and marketing of NGL.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Other factors described or incorporated by reference herein, as well as factors that are unknown or unpredictable, could also have a material adverse effect on future results. See “Risk factors” beginning on page </w:t>
      </w:r>
      <w:hyperlink w:anchor="sRIFA">
        <w:r>
          <w:rPr>
            <w:rStyle w:val="InternetLink"/>
          </w:rPr>
          <w:t>S-6</w:t>
        </w:r>
      </w:hyperlink>
      <w:r>
        <w:rPr>
          <w:rFonts w:ascii="Times New Roman;Times;serif" w:hAnsi="Times New Roman;Times;serif"/>
          <w:b w:val="false"/>
          <w:i w:val="false"/>
          <w:caps w:val="false"/>
          <w:smallCaps w:val="false"/>
          <w:color w:val="000000"/>
          <w:spacing w:val="4"/>
          <w:sz w:val="20"/>
        </w:rPr>
        <w:t xml:space="preserve"> of this prospectus supplement and in Item 1A. “Risk Factors” in our </w:t>
      </w:r>
      <w:hyperlink r:id="rId3">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or 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w:t>
      </w:r>
      <w:hyperlink w:anchor="sRIFA">
        <w:r>
          <w:rPr>
            <w:rStyle w:val="InternetLink"/>
          </w:rPr>
          <w:t>6</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in Item 1A. “Risk Factors” in our </w:t>
      </w:r>
      <w:hyperlink r:id="rId4">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(File No. 001-14569) and in any of our subsequent quarterly or current reports, which are incorporated in this prospectus supplement by reference, for information regarding risks you should consider before making a decision to purchase any Notes in this offering.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For purposes of this prospectus supplement and the accompanying base prospectus, except as set forth in “Description of the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but not to any of the other subsidiaries of Plains All American Pipeline, L.P. References to our “general partner,” as the context requires, include any or all of PAA GP LLC, Plains AAP, L.P. and Plains All American GP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Plains All American Pipeline, L.P.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Principal Executive Offices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executive offices are located at 333 Clay Street, Suite 1600, Houston, Texas 77002. Our telephone number is (713) 646-4100. We maintain a website at www.plains.com where we routinely post important information about our business and operations. Information contained on or available through our website is not incorporated into or otherwise a part of this prospectus supplement or the accompanying base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Additional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w:t>
      </w:r>
      <w:hyperlink r:id="rId5">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bdr w:val="single" w:sz="8" w:space="1" w:color="000000"/>
        </w:rPr>
        <w:t xml:space="preserve"> (File No. 001-14569), our Quarterly Reports on Form 10-Q for the periods ended </w:t>
      </w:r>
      <w:hyperlink r:id="rId6">
        <w:r>
          <w:rPr>
            <w:rStyle w:val="InternetLink"/>
          </w:rPr>
          <w:t>March 31, 2026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hyperlink r:id="rId7">
        <w:r>
          <w:rPr>
            <w:rStyle w:val="InternetLink"/>
          </w:rPr>
          <w:t>June 30, 2026</w:t>
        </w:r>
      </w:hyperlink>
      <w:r>
        <w:rPr>
          <w:rFonts w:ascii="Times New Roman;Times;serif" w:hAnsi="Times New Roman;Times;serif"/>
          <w:b w:val="false"/>
          <w:i w:val="false"/>
          <w:caps w:val="false"/>
          <w:smallCaps w:val="false"/>
          <w:color w:val="000000"/>
          <w:spacing w:val="4"/>
          <w:sz w:val="20"/>
          <w:bdr w:val="single" w:sz="8" w:space="1" w:color="000000"/>
        </w:rPr>
        <w:t xml:space="preserve"> and any subsequent Current Reports on Form 8-K (other than, in each case, information furnished rather than filed), each of which is incorporated by reference herein.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Certain of the terms described below are subject to important limitations and exceptions. The “Description of the notes” section of this prospectus supplement and the “Description of our debt securities” section of the accompanying base prospectus contain a more detailed description of the terms of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Plains All American Pipeline, L.P.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Series A Junior Subordinated Notes due 2056 and $      aggregate principal amount of    % Series B Junior Subordinated Notes due 2056.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mature on December 15, 2056.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Series A Notes will bear interest (i) from and including       , 2026 to, but excluding, December 15, 2031 (the “Series A First Reset Date”) at the rate of     % per annum and (ii) from and including the Series A First Reset Date, during each Reset Period at a rate per annum equal to the Five-year U.S. Treasury Rate as of the most recent Reset Interest Determination Date plus a spread of     %, to be reset on each Reset Date; provided that the interest rate during any Reset Period will not reset below    % per annum (which equals the initial interest rate on the Series A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Series B Notes will bear interest (i) from and including            , 2026 to, but excluding, December 15, 2036 (the “Series B First Reset Date”) at the rate of     % per annum and (ii) from and including the Series B First Reset Date, during each Reset Period at a rate per annum equal to the Five-year U.S. Treasury Rate as of the most recent Reset Interest Determination Date plus a spread of     %, to be reset on each Reset Date; provided that the interest rate during any Reset Period will not reset below    % per annum (which equals the initial interest rate on the Series B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definitions of the terms “Reset Period,” “Five-year U.S. Treasury Rate,” “Reset Interest Determination Date” and “Reset Date” and for other important information concerning the calculation of interest on the Notes, see “Description of the notes — Interest Rate and Maturity”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our right to defer interest payments as described under “— Optional interest deferral” below, we will pay interest on the Notes semi-annually in arrears on June 15 and December 15 of each year, beginning on June 15,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interest deferral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of each series of Notes will provide that so long as no event of default with respect to the Notes of such series has occurred and is continuing, we may, at our option, defer interest payments on such series of Notes, from time to time, for one or more deferral periods of up to 20 consecutive semi-annual Interest Payment Periods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discretion up to a ten-year interest payment moratorium and may choose to do that on one or more occasions.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interest on the deferred interest (“compound interest”), on the Notes of such series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definition of the term “event of default,” see “Description of the notes — Events of Default” in this prospectus supplement, and for the definition of the term “Interest Payment Period” and other important information concerning our right to defer interest payments on such notes, see “Description of the notes — Option to Defer Interest Payments”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Restrictions during an optional deferral period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any Optional Deferral Period, with respect to the Notes of either series, we (and our subsidiaries, as applicable) may not do any of the following (subject to certain exceptions): (i) declare or pay dividends or distributions on any of our capital stock, (ii) redeem, purchase, acquire or make a liquidation payment with respect to any of our capital stock, (iii) pay any principal, interest or premium on, or repay, repurchase or redeem, any of our indebtedness that ranks equally with or junior to the Notes of such series in right of payment, or (iv) make any payments with respect to any guarantees by us of any indebtedness if such guarantees rank equally with or junior to the Notes of such series in right of payment. For further information, including information concerning the exceptions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referred to above, see “Description of the notes — Option to Defer Interest Payments” in this prospectus supplement.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our unsecured obligations and will rank junior and subordinate in right of payment to the prior payment of our existing and future Senior Indebtedness, to the extent and in the manner set forth under the caption “Description of the notes —  Subordination” in this prospectus supplement. For the definition of the term “Senior Indebtedness,” see “Description of the notes —  Subordination” in this prospectus supplement. The Notes will not be guaranteed by any of our subsidiaries. The Notes will rank equally in right of payment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Mandatory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be required to make mandatory redemption or sinking fund payments on the Notes or to repurchase the Notes at the option of the holders.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of each series of Notes will provide that at our option, we may redeem some or all of the Notes of such series before their maturity, as follows: </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each case at a redemption price in cash equal to 100% of the principal amount of the Notes of such series to be redeemed, plus, subject to the terms described in the first paragraph under “Description of the notes — Redemption — Redemption Procedures; Cancellation of Redemption” in this prospectus supplement, accrued and unpaid interest on the Notes of such series to be redeemed to, but excluding, such redemption date; </w:t>
      </w:r>
      <w:r>
        <mc:AlternateContent>
          <mc:Choice Requires="wps">
            <w:drawing>
              <wp:anchor behindDoc="0" distT="9779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whole, but not in part, at any time within 120 days after the occurrence of a Tax Event (as defined in “Description of the notes — Redemption — Redemption Following a Tax Event” in this prospectus supplement) at a redemption price in cash equal to 100% of the principal amount of the Notes of such series to be redeemed, plus, subject to the terms described in the first paragraph under “Description of the notes —  Redemption — Redemption Procedures; Cancellation of Redemption” in this prospectus supplement, accrued and unpaid interest on the Notes of such series to be redeemed to, but excluding, such redemption date; and </w:t>
      </w:r>
      <w:r>
        <mc:AlternateContent>
          <mc:Choice Requires="wps">
            <w:drawing>
              <wp:anchor behindDoc="0" distT="9906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whole, but not in part, at any time during the continuance of and, in any event, within 120 days after the occurrence of, a Rating Agency Event (as defined in “Description of the notes —  Redemption — Redemption Following a Rating Agency Event” in this prospectus supplement) at a redemption price in cash equal to 102% of the principal amount of the Notes of </w:t>
      </w:r>
      <w:r>
        <mc:AlternateContent>
          <mc:Choice Requires="wps">
            <w:drawing>
              <wp:anchor behindDoc="0" distT="99060" distB="0" distL="21336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series to be redeemed, plus, subject to the terms described in the first paragraph under “Description of the notes —  Redemption — Redemption Procedures; Cancellation of Redemption” in this prospectus supplement, accrued and unpaid interest on the Notes of such series to be redeemed to, but excluding, such redemption date.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of this offering will be approximately $      after deducting the underwriting discounts and our estimated offering expenses. We intend to use the net proceeds from the offering, together with cash on hand and commercial paper borrowings, to redeem all 58,411,908 Series A Preferred Units (the “Series A Preferred Units”) outstanding on or about the closing date of this offering at a redemption price of 110% of par value of $26.25 per unit, and all 800,000 Series B Preferred Units (“Series B Preferred Units” and together with the Series A Preferred Units, the “Preferred Units”) outstanding on or about               , 2026 (30 days following the date hereof) at a redemption price of 100% of par value of $1,000 per unit, plus any accrued and unpaid distributions, if any, to, but not including the applicable redemption date (the “Preferred Unit Redemptions”). See “Use of proceeds.” This prospectus supplement does not constitute a notice of redemption with respect to either of the Series A Preferred Units or the Series B Preferred Units.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Book-entry, delivery and form</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of each series will be represented by one or more permanent global certificates in fully registered form deposited with a custodian for, and registered in the name of, a nominee of The Depository Trust Company.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See “Risk factors — Risks Related to the Notes — Your ability to transfer the Notes may be limited by the absence of an organized trading market.”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 federal income tax considerations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treat the Notes as indebtedness for U.S. federal income tax purposes. Each holder of the Notes will, by accepting the Notes, be deemed to have agreed that the holder intends that the Notes constitute indebtedness and will treat the Notes as indebtedness for U.S. federal and applicable state and local income tax purposes. See “Material United States federal income tax consequences —  Classification of the Notes.”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description of the material U.S. federal income tax consequences of the ownership and disposition of the Notes, see “Material United States federal income tax consequences.”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w:t>
      </w:r>
      <w:hyperlink w:anchor="sRIFA">
        <w:r>
          <w:rPr>
            <w:rStyle w:val="InternetLink"/>
          </w:rPr>
          <w:t>S-6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Before making an investment in the Notes offered hereby, you should carefully consider the risk factors discussed herein and those included in Item 1A. “Risk Factors” in our </w:t>
      </w:r>
      <w:hyperlink r:id="rId8">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(File No. 001-14569), and in any of our subsequent quarterly or 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subordinated or effectively subordinated to all of our other indebtedness (other than any unsecured indebtedness we have incurred or may in the future incur that ranks junior to or pari passu with the Notes), and the indenture will not limit the aggregate amount of indebtedness that we or our subsidiaries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indenture governing the Notes, the Notes will be subordinated in right of payment to all of our existing and future Senior Indebtedness (as defined under “Description of the notes — Subordination”).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all amounts due or to become due on all of its Senior Indebtedness have been paid in full, or, in the case of clauses (b) and (c), all amounts due on our Senior Indebtedness have been paid in full. For additional information about the subordination of the Notes to our Senior Indebtedness, see “Description of the notes — Subordination” in this prospectus supplement. As of June 30, 2026, after giving effect to this offering and the application of the net proceeds as set forth under “Use of proceeds,” we would have had total senior debt of $       billion. Due to the subordination of the Notes to our Senior Indebtedness, if our assets are distributed upon our dissolution, winding-up, liquidation or reorganization, holders of our Senior Indebtedness and any secured indebtedness would likely recover more, ratably, than the holders of the Notes, and it is possible that no payments would be made to the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rank equally in right of payment with any future unsecured indebtedness that we may incur from time to time if the terms of such indebtedness provide that it ranks equally with the Notes in right of payment. As of June 30, 2026, after giving effect to this offering and the application of the net proceeds as set forth under “Use of proceeds,” we would have had total junior subordinated debt of $      (reflecting the issuance of the Notes only).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limit the amount of Senior Indebtedness or secured indebtedness that may be incurred by us or the amount of other indebtedness or liabilities that may be incurred by us or any of our subsidiaries.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of the Notes could be lowered or withdrawn. Both we and our subsidiaries expect to incur substantial amounts of additional indebtedness, including Senior Indebtedness, in the future.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interest rate on each series of Notes will reset on the applicable First Reset Date and each subsequent Reset Date and any interest payable after a Reset Date may be based on a rate that is less than an amount of interest payable in an earlier interest period. Although it is not possible for the interest rate on the notes to decrease below the interest rate as in effect during the Initial Fixed Period, the interest rate on the notes will fluctuate over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Series A Notes from their original issue date to, but excluding, the Series A First Reset Date will be     % per annum. Beginning on the Series A First Reset Date, the interest rate on the Series A Notes for each Reset Period will equal the Five-year U.S. Treasury Rate as of the most recent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Reset Interest Determination Date plus a spread of     %, to be reset on each Reset Date; provided that the interest rate during any Reset Period will not reset below    % per annum (which equals the initial interest rate on the Series A Notes). The interest rate on the Series B Notes from their original issue date to, but excluding, the Series B First Reset Date will be     % per annum. Beginning on the Series B First Reset Date, the interest rate on the Series B Notes for each Reset Period will equal the Five-year U.S. Treasury Rate as of the most recent Reset Interest Determination Date plus a spread of     %, to be reset on each Reset Date; provided that the interest rate during any Reset Period will not reset below    % per annum (which equals the initial interest rate on the Series B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although it is not possible for the interest rate to decrease below the interest rate as in effect during the initial Interest Payment Period preceding the Series A First Rest Date and Series B First Reset Date, respectively, the interest rate payable on either series of Notes during any Interest Payment Period following a Reset Date could be less than the interest rate payable during a previous Reset Period. We have no control over the factors that may affect U.S. Treasury rates, including geopolitical, economic, financial, political, regulatory, judicial or other conditions or events.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historical Five-year U.S. Treasury Rates are not an indication of future Five-year U.S. Treasury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the annual interest rate on the Notes for each Reset Period will be set by reference to the Five-year U.S. Treasury Rate as of the most recent Reset Interest Determination Date (provided that the interest rate during any Interest Reset Period will not reset below    % per annum, with respect to the Series A Notes, and    % per annum, with respect to the Series B Notes). In the past, U.S. Treasury rates have experienced significant fluctuations. You should note that historical levels, fluctuations and trends of U.S. Treasury rates are not necessarily indicative of future levels. Any historical upward or downward trend in U.S. Treasury rates is not an indication that U.S. Treasury rates are more or less likely to increase or decrease at any time in the future and you should not take historical U.S. Treasury rates as an indication of future U.S. Treasury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 defer interest payments on the Notes for one or more Optional Deferral Periods of up to 20 consecutive semi-annual Interest Payment Periods each. This may affect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so long as no event of default (as defined below under “Description of the notes — Events of Default”) with respect to the Notes of such series has occurred and is continuing, we may, at our option, defer interest payments on such series of Notes, from time to time, for one or more Optional Deferral Periods of up to 20 consecutive Interest Payment Periods applicable to such series of Notes each,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Moreover, following the end of any Optional Deferral Period, if all amounts then due on the applicable series of Notes are paid, we could immediately start a new Optional Deferral Period of up to 20 consecutive semi-annual Interest Payment Periods.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a result of an event of default with respect to the Notes of such series, in which case, all accrued and unpaid interest on the Notes of such series shall become due and payable. Instead, interest on the applicable series of Notes would be deferred but would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would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If we exercise this interest deferral right with respect to the Notes of any series, the Notes of such series may trade at a price that does not reflect the value of accrued and unpaid interest on such Notes or that is otherwise substantially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the price at which such Notes would have traded if we had not exercised such deferral right. If we exercise this interest deferral right and you sell your Notes of such series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certain circumstances, holders of the Notes may be subject to U.S. federal income tax on interest before they receive cash payments from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option under certain circumstances to defer payments of stated interest on the Notes (see “Description of the notes — Option to Defer Interest Payments”). We believe the likelihood of our exercising the option to defer interest payments is “remote” within the meaning of the U.S. Treasury Regulations, and in addition, we expect the Notes to be treated as “variable rate debt instruments” for U.S. federal income tax purposes. Based on the foregoing, the U.S. Treasury Regulations applicable to variable rate debt instruments and the expected pricing terms of the Notes, we do not expect the Notes of each series to be treated as issued with original issue discount (“OID”)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option to defer interest payments on the Notes of any series were determined not to be remote, if we exercise the option to defer interest payments on the Notes of any series, if the pricing terms for the Notes of a series were to be set in a manner different than our expectations or if the Notes of a series were otherwise determined to have OID, the Notes of such series would be treated as issued with OID at the time of issuance or as reissued with OID at the time of such deferral, as the case may be, and all or a portion of the stated interest or, if interest is in fact deferred, all stated interest due after such deferral would be treated as OID. Under the OID rules, a U.S. holder (as defined in “Material United States federal income tax consequences —  Tax Consequences to U.S. Holders”) would be required to include such OID in taxable income (as ordinary income) with respect to the Notes of such series as it accrues, using a constant yield method, regardless of such U.S. holder’s method of accounting for U.S. federal income tax purposes and in advance of the receipt of cash to which such OID is attributable with respect to the Notes of such series. Any OID included in income would increase the holder’s adjusted tax basis in its Notes, and the actual receipt of cash interest payments would reduce that adjusted tax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accrued and unpaid interest during an Optional Deferral Period for the Notes of such series will be payable on the interest payment date immediately following the last day of such Optional Deferral Period. In the event of such a deferral, a U.S. holder that disposes of the Notes of such series between record dates for interest payments will be required to include OID accrued to the date of such disposition in taxable income and such OID would increase such U.S. holder’s adjusted tax basis in the Notes of such series. To the extent the selling price is less than the U.S. holder’s adjusted tax basis, the U.S. holder would recognize a capital loss for U.S. federal income tax purposes. See “Material United States federal income tax consequences — Tax Consequences to U.S. Holders — Interest and Original Issue Discount.” Holders should consult with their tax advisors regarding the tax consequences to them of an investment in the Notes and potential for, and consequences of, the Notes being treated as issued (or reissued) with OID.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could be subject to materially different U.S. federal income tax consequences if the Notes were not to be respected as indebtedness for U.S. federal income tax purposes.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a security is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In the opinion of Vinson &amp; Elkins LLP, under current law and based on the facts contained in this prospectus supplement, the terms of the Notes of each series and the indenture applicable to each series of Notes, and certain assumptions and representations relied upon in rendering such opinion, the Notes should be treated as indebtedness for U.S. federal income tax purposes (although there is no controlling authority directly on point). Further, we intend to treat the Notes as indebtedness for U.S. federal income tax purposes, and each holder of the Notes will, by accepting the Notes, be deemed to have agreed that the holder intends that the Notes constitute indebtedness and will treat the Notes as indebtedness for U.S. federal and applicable state and local income tax purposes. However, this position is not binding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IRS or any court, and there can be no assurance that the IRS or a court will not challenge this position or that a court would not sustain such a challenge.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IRS were to successfully challenge the classification of the Notes as indebtedness, the U.S. federal income tax consequences to holders of the Notes would be materially different from those described herein. In such case, certain holders of the Notes could have substantial adverse tax consequences. For example, employee benefit plans and most other tax-exempt organizations, including individual retirement accounts and other retirement plans, could be subject to U.S. federal income tax on income and gain, if any, recognized by them with respect to the Notes as unrelated business taxable income. Non-U.S. holders of the Notes could be subject to U.S. federal income tax on income and gain, if any, recognized by them with respect to the Notes as effectively connected income (that would be attributable to a permanent establishment in the United States within the meaning of an applicable tax treaty), and be required to file U.S. federal tax returns in respect thereof. In addition, non-U.S. holders could be subject to substantial withholding taxes in connection with any payment from us or upon a taxable disposition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“Material United States federal income tax consequences — Classification of the Notes.” Holders are urged to consult their own tax advisors regarding the tax consequences to them if the Notes were not to be treated as indebtedness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have limited rights of acceleration.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when due, and certain events of bankruptcy, insolvency, receivership or reorganization relating to the Partnership (but not its subsidiaries). Holders of the Notes and the trustee will not have the right to accelerate payment of the principal or interest on the Notes upon the breach of any other covenant in the indenture. See “Description of the notes — Option to Defer Interest Payments,” “Description of the notes — Events of Default” and “Description of the notes — Limitation on Remedies.”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make only limited covenants in the indenture that will govern the Notes and these limited covenants may not protect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Notes of each series, each indenture will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subsidiaries’ ability to incur indebtedness which would structurally rank senior to the Notes;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ability to incur indebtedness, including secured indebtedness, that is senior to, or equal in, right of payment to the Notes; or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make investments or to pay distributions or make other payments in respect of our common units, preferred units or other securities ranking junior to the Notes.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will permit us and our subsidiaries to incur additional indebtedness, including secured indebtedness, that could effectively rank senior to the Notes, and to engage in leaseback arrangements, subject to certain limitations. Any of these actions could adversely affect our ability to make principal and interest payments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not expect us to redeem the Notes on the first or any other date on which they are redeemable.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addition,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may be redeemed by us at our option, in whole but not in part, following the occurrence and during the continuance of either a Tax Event or a Rating Agency Event (as those terms are defined under “Description of the notes — Redemption” in this prospectus supplement). Any decision we may make at any time to redeem the Notes before their final maturity date will depend upon, among other things, the strength of our balance sheet, our results of operations, our access to the capital markets, interest rates, our growth strategy, and general market conditions at such time. Accordingly, while we may decide to do so, investors should not expect us to redeem the Notes on the first or any other date on which they are redeemable.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leverage may limit our ability to borrow additional funds, comply with the terms of our indebtedness or capitalize on business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is significant in relation to our partners’ capital. As of June 30, 2026, on an as further adjusted basis as described under “Capitalization,” our total outstanding long-term debt was approximately $      , and our total outstanding short-term debt was approximately $      . Various limitations in our credit facility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facility to service our indebtedness, although either series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ability to transfer the Notes may be limited by the absence of an organized trading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Although certain of the underwriters have informed us that they currently intend to make a market in each series of the Notes, they are not obligated to do so. In addition, the underwriters may discontinue any such market making at any time without notice. The liquidity of any market for either series of the Notes will depend on the number of holders of such series of the Notes, the interest of securities dealers in making a market in such series of the Notes and other factors. Accordingly, we can give no assurance as to the development, continuation or liquidity of any market for either series of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a holding company structure in which our subsidiaries conduct our operations and own our operating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and our subsidiaries conduct all of our operations and own all of our operating assets. We have no significant assets other than the ownership interests in our subsidiaries. As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our ability to make required payments on the Notes depends on the performance of our subsidiaries and their ability to distribute funds to us. The ability of our subsidiaries to make distributions to us may be restricted by, among other things, credit facility and applicable state partnership laws and other laws and regulations. Pursuant to our credit facility, we may be required to establish cash reserves for the future payment of principal and interest on the amounts outstanding under our credit facility. If we are unable to obtain the funds necessary to pay the principal amount at maturity with respect to either series of the Notes, we may be required to adopt one or more alternatives, such as a refinancing of either series of the Notes. We cannot assure you that we would be able to refinance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 or outlook or in the rating assigned by a rating agency to the Notes of either series could adversely affect the market price or liquidity of such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of either series. A negative change in our ratings or outlook could have an adverse effect on the price of such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each series of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such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have the same flexibility as other types of organizations to accumulate cash, which may limit cash available to service the Notes or to repay the Notes at their respective maturities.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proper conduct of our business and the business of our operating partnerships (including reserves for future capital expenditures and for our anticipated future credit needs);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law or any loan agreement, security agreement, mortgage, debt instrument or other agreement or obligation;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funds for distributions to our preferred unitholders; or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funds for distributions to our common unitholders for any one or more of the next four calendar quarters.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treatment depends on our status as a partnership for U.S. federal income tax purposes and not being subject to a material amount of entity-level taxation by individual states or foreign jurisdictions. If the Internal Revenue Service (“IRS”) were to treat us as a corporation for U.S. federal income tax purposes, or if we become subject to entity-level or other form of taxation for state or foreign tax purposes, our cash available for payment of principal and interest on the Notes and our other indebtedness could be substantially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publicly traded partnership such as us may be treated as a corporation for U.S. federal income tax purposes unless it satisfies a “qualifying income” requirement as defined in Section 7704 of the Internal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IRS makes audit adjustments to our income tax returns,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of this offering will be approximately $       after deducting the underwriting discounts and our estimated offering expenses. We intend to use the net proceeds from the offering, together with cash on hand and commercial paper borrowings, to redeem all 58,411,908 Series A Preferred Units outstanding on or about the closing date of this offering at a redemption price of 110% of par value of $26.25 per unit, and all 800,000 Series B Preferred Units outstanding on or about           , 2026 (30 days following the date hereof) at a redemption price of 100% of par value of $1,000 per unit, plus any accrued and unpaid distributions, if any, to, but not including the applicable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an offer to purchase or a solicitation of an offer to sell the Preferred Units. In addition, this prospectus supplement does not constitute a notice of redemption of the Preferred Units. The consummation of this offering is not conditioned on the consummation of the Preferred Units Redemptions, and the consummation of the Preferred Units Redemptions is not conditioned on the consummation of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as of June 30, 2026: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historical basis; and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to give effect to the sale of the Notes offered hereby and the application of the net proceeds therefrom, together with cash on hand, as described under “Use of proceeds” in this prospectus supplement.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this offering is not conditioned on the consummation of the Preferred Units Redemptions, and the consummation of the Preferred Units Redemptions is not conditioned on the consummation of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in conjunction with our financial statements and the notes thereto that are incorporated by reference into this prospectus supplement. </w:t>
      </w:r>
    </w:p>
    <w:tbl>
      <w:tblPr>
        <w:tblW w:w="8370" w:type="dxa"/>
        <w:jc w:val="left"/>
        <w:tblInd w:w="1393" w:type="dxa"/>
        <w:tblLayout w:type="fixed"/>
        <w:tblCellMar>
          <w:top w:w="0" w:type="dxa"/>
          <w:left w:w="0" w:type="dxa"/>
          <w:bottom w:w="28" w:type="dxa"/>
          <w:right w:w="0" w:type="dxa"/>
        </w:tblCellMar>
      </w:tblPr>
      <w:tblGrid>
        <w:gridCol w:w="5260"/>
        <w:gridCol w:w="109"/>
        <w:gridCol w:w="109"/>
        <w:gridCol w:w="109"/>
        <w:gridCol w:w="226"/>
        <w:gridCol w:w="826"/>
        <w:gridCol w:w="109"/>
        <w:gridCol w:w="109"/>
        <w:gridCol w:w="109"/>
        <w:gridCol w:w="114"/>
        <w:gridCol w:w="236"/>
        <w:gridCol w:w="786"/>
        <w:gridCol w:w="114"/>
        <w:gridCol w:w="154"/>
      </w:tblGrid>
      <w:tr>
        <w:trPr/>
        <w:tc>
          <w:tcPr>
            <w:tcW w:w="52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38"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8"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4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786" w:type="dxa"/>
            <w:tcBorders>
              <w:bottom w:val="double" w:sz="8" w:space="0" w:color="000000"/>
            </w:tcBorders>
            <w:shd w:fill="CCEEFF" w:val="clear"/>
            <w:tcMar>
              <w:bottom w:w="40" w:type="dxa"/>
            </w:tcMar>
            <w:vAlign w:val="center"/>
          </w:tcPr>
          <w:p>
            <w:pPr>
              <w:pStyle w:val="TableContents"/>
              <w:bidi w:val="0"/>
              <w:spacing w:before="0" w:after="283"/>
              <w:jc w:val="right"/>
              <w:rPr/>
            </w:pPr>
            <w:r>
              <w:rPr/>
              <w:t>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283"/>
              <w:jc w:val="left"/>
              <w:rPr/>
            </w:pPr>
            <w:r>
              <w:rPr>
                <w:spacing w:val="-4"/>
              </w:rPr>
              <w:t>SHORT-TERM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200" w:right="0" w:hanging="0"/>
              <w:jc w:val="left"/>
              <w:rPr/>
            </w:pPr>
            <w:r>
              <w:rPr>
                <w:spacing w:val="4"/>
              </w:rPr>
              <w:t>Commercial paper notes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bottom w:val="single" w:sz="2" w:space="0" w:color="FFFFFF"/>
            </w:tcBorders>
            <w:tcMar>
              <w:bottom w:w="4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tcMar>
              <w:bottom w:w="40" w:type="dxa"/>
            </w:tcMar>
            <w:vAlign w:val="center"/>
          </w:tcPr>
          <w:p>
            <w:pPr>
              <w:pStyle w:val="TableContents"/>
              <w:bidi w:val="0"/>
              <w:spacing w:before="0" w:after="283"/>
              <w:jc w:val="right"/>
              <w:rPr/>
            </w:pPr>
            <w:r>
              <w:rPr/>
              <w:t>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6" w:type="dxa"/>
            <w:tcBorders>
              <w:bottom w:val="single" w:sz="2" w:space="0" w:color="000000"/>
            </w:tcBorders>
            <w:tcMar>
              <w:bottom w:w="40" w:type="dxa"/>
            </w:tcMar>
            <w:vAlign w:val="center"/>
          </w:tcPr>
          <w:p>
            <w:pPr>
              <w:pStyle w:val="TableContents"/>
              <w:bidi w:val="0"/>
              <w:spacing w:before="0" w:after="283"/>
              <w:jc w:val="right"/>
              <w:rPr/>
            </w:pPr>
            <w:r>
              <w:rPr/>
              <w:t>​</w:t>
            </w:r>
          </w:p>
        </w:tc>
        <w:tc>
          <w:tcPr>
            <w:tcW w:w="786" w:type="dxa"/>
            <w:tcBorders>
              <w:bottom w:val="single" w:sz="2" w:space="0" w:color="000000"/>
            </w:tcBorders>
            <w:tcMar>
              <w:bottom w:w="40" w:type="dxa"/>
            </w:tcMar>
            <w:vAlign w:val="center"/>
          </w:tcPr>
          <w:p>
            <w:pPr>
              <w:pStyle w:val="TableContents"/>
              <w:bidi w:val="0"/>
              <w:spacing w:before="0" w:after="283"/>
              <w:jc w:val="right"/>
              <w:rPr/>
            </w:pPr>
            <w:r>
              <w:rPr/>
              <w:t>9</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60" w:type="dxa"/>
            <w:tcBorders>
              <w:bottom w:val="single" w:sz="2" w:space="0" w:color="CCEEFF"/>
            </w:tcBorders>
            <w:shd w:fill="CCEEFF" w:val="clear"/>
            <w:tcMar>
              <w:bottom w:w="40" w:type="dxa"/>
            </w:tcMar>
            <w:vAlign w:val="center"/>
          </w:tcPr>
          <w:p>
            <w:pPr>
              <w:pStyle w:val="TableContents"/>
              <w:bidi w:val="0"/>
              <w:spacing w:before="0" w:after="0"/>
              <w:ind w:left="400" w:right="0" w:hanging="0"/>
              <w:jc w:val="left"/>
              <w:rPr>
                <w:spacing w:val="4"/>
              </w:rPr>
            </w:pPr>
            <w:r>
              <w:rPr>
                <w:spacing w:val="4"/>
              </w:rPr>
              <w:t xml:space="preserve">Total short-term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40" w:type="dxa"/>
            </w:tcMar>
            <w:vAlign w:val="center"/>
          </w:tcPr>
          <w:p>
            <w:pPr>
              <w:pStyle w:val="TableContents"/>
              <w:bidi w:val="0"/>
              <w:spacing w:before="0" w:after="283"/>
              <w:jc w:val="right"/>
              <w:rPr/>
            </w:pPr>
            <w:r>
              <w:rPr/>
              <w:t>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86" w:type="dxa"/>
            <w:tcBorders>
              <w:bottom w:val="single" w:sz="2" w:space="0" w:color="000000"/>
            </w:tcBorders>
            <w:shd w:fill="CCEEFF" w:val="clear"/>
            <w:tcMar>
              <w:bottom w:w="40" w:type="dxa"/>
            </w:tcMar>
            <w:vAlign w:val="center"/>
          </w:tcPr>
          <w:p>
            <w:pPr>
              <w:pStyle w:val="TableContents"/>
              <w:bidi w:val="0"/>
              <w:spacing w:before="0" w:after="283"/>
              <w:jc w:val="right"/>
              <w:rPr/>
            </w:pPr>
            <w:r>
              <w:rPr/>
              <w:t>9</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283"/>
              <w:jc w:val="left"/>
              <w:rPr/>
            </w:pPr>
            <w:r>
              <w:rPr>
                <w:spacing w:val="-4"/>
              </w:rPr>
              <w:t>LONG-TERM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Senior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3.55% senior notes due December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3.80% senior notes due September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 xml:space="preserve">750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4.70% senior notes due January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 xml:space="preserve">1,000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 xml:space="preserve">1,000 </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5.70% senior notes due September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650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5.95% senior notes due June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 xml:space="preserve">1,000 </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5.60% senior notes due January 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 xml:space="preserve">1,000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 xml:space="preserve">1,000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6.70% senior notes due May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250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6.65% senior notes due January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600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5.15% senior notes due June 2042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499</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4.30% senior notes due January 2043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348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4.70% senior notes due June 2044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687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4.90% senior notes due February 2045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 xml:space="preserve">649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w:t>
            </w:r>
            <w:r>
              <w:rPr>
                <w:spacing w:val="4"/>
              </w:rPr>
              <w:t xml:space="preserve">% Series A junior subordinated notes due 2056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w:t>
            </w:r>
            <w:r>
              <w:rPr>
                <w:spacing w:val="4"/>
              </w:rPr>
              <w:t xml:space="preserve">% Series B junior subordinated notes due 2056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400" w:right="0" w:hanging="0"/>
              <w:jc w:val="left"/>
              <w:rPr>
                <w:spacing w:val="4"/>
              </w:rPr>
            </w:pPr>
            <w:r>
              <w:rPr>
                <w:spacing w:val="4"/>
              </w:rPr>
              <w:t xml:space="preserve">Unamortized discounts and debt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bottom w:val="single" w:sz="2" w:space="0" w:color="CCEEFF"/>
            </w:tcBorders>
            <w:shd w:fill="CCEEFF" w:val="clear"/>
            <w:tcMar>
              <w:bottom w:w="4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40" w:type="dxa"/>
            </w:tcMar>
            <w:vAlign w:val="center"/>
          </w:tcPr>
          <w:p>
            <w:pPr>
              <w:pStyle w:val="TableContents"/>
              <w:bidi w:val="0"/>
              <w:spacing w:before="0" w:after="283"/>
              <w:jc w:val="right"/>
              <w:rPr/>
            </w:pPr>
            <w:r>
              <w:rPr/>
              <w:t>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86" w:type="dxa"/>
            <w:tcBorders>
              <w:bottom w:val="single" w:sz="2" w:space="0" w:color="000000"/>
            </w:tcBorders>
            <w:shd w:fill="CCEEFF" w:val="clear"/>
            <w:tcMar>
              <w:bottom w:w="40" w:type="dxa"/>
            </w:tcMar>
            <w:vAlign w:val="center"/>
          </w:tcPr>
          <w:p>
            <w:pPr>
              <w:pStyle w:val="TableContents"/>
              <w:bidi w:val="0"/>
              <w:spacing w:before="0" w:after="283"/>
              <w:jc w:val="right"/>
              <w:rPr/>
            </w:pPr>
            <w:r>
              <w:rPr/>
              <w:t>59</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60" w:type="dxa"/>
            <w:tcBorders>
              <w:bottom w:val="single" w:sz="2" w:space="0" w:color="FFFFFF"/>
            </w:tcBorders>
            <w:tcMar>
              <w:bottom w:w="40" w:type="dxa"/>
            </w:tcMar>
            <w:vAlign w:val="center"/>
          </w:tcPr>
          <w:p>
            <w:pPr>
              <w:pStyle w:val="TableContents"/>
              <w:bidi w:val="0"/>
              <w:spacing w:before="0" w:after="0"/>
              <w:ind w:left="400" w:right="0" w:hanging="0"/>
              <w:jc w:val="left"/>
              <w:rPr>
                <w:spacing w:val="4"/>
              </w:rPr>
            </w:pPr>
            <w:r>
              <w:rPr>
                <w:spacing w:val="4"/>
              </w:rPr>
              <w:t xml:space="preserve">Total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tcMar>
              <w:bottom w:w="40" w:type="dxa"/>
            </w:tcMar>
            <w:vAlign w:val="center"/>
          </w:tcPr>
          <w:p>
            <w:pPr>
              <w:pStyle w:val="TableContents"/>
              <w:bidi w:val="0"/>
              <w:spacing w:before="0" w:after="283"/>
              <w:jc w:val="right"/>
              <w:rPr/>
            </w:pPr>
            <w:r>
              <w:rPr/>
              <w:t> </w:t>
            </w:r>
            <w:r>
              <w:rPr/>
              <w:t>8,432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6" w:type="dxa"/>
            <w:tcBorders>
              <w:bottom w:val="single" w:sz="2" w:space="0" w:color="000000"/>
            </w:tcBorders>
            <w:tcMar>
              <w:bottom w:w="40" w:type="dxa"/>
            </w:tcMar>
            <w:vAlign w:val="center"/>
          </w:tcPr>
          <w:p>
            <w:pPr>
              <w:pStyle w:val="TableContents"/>
              <w:bidi w:val="0"/>
              <w:spacing w:before="0" w:after="283"/>
              <w:jc w:val="right"/>
              <w:rPr/>
            </w:pPr>
            <w:r>
              <w:rPr/>
              <w:t>$</w:t>
            </w:r>
          </w:p>
        </w:tc>
        <w:tc>
          <w:tcPr>
            <w:tcW w:w="786" w:type="dxa"/>
            <w:tcBorders>
              <w:bottom w:val="single" w:sz="2" w:space="0" w:color="000000"/>
            </w:tcBorders>
            <w:tcMar>
              <w:bottom w:w="40" w:type="dxa"/>
            </w:tcMar>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283"/>
              <w:jc w:val="left"/>
              <w:rPr/>
            </w:pPr>
            <w:r>
              <w:rPr>
                <w:spacing w:val="-4"/>
              </w:rPr>
              <w:t>PARTNERS’ CAPITAL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200" w:right="0" w:hanging="0"/>
              <w:jc w:val="left"/>
              <w:rPr>
                <w:spacing w:val="4"/>
              </w:rPr>
            </w:pPr>
            <w:r>
              <w:rPr>
                <w:spacing w:val="4"/>
              </w:rPr>
              <w:t xml:space="preserve">Series A preferred unitholders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Series B preferred unitholders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60" w:type="dxa"/>
            <w:tcBorders/>
            <w:tcMar>
              <w:bottom w:w="0" w:type="dxa"/>
            </w:tcMar>
            <w:vAlign w:val="center"/>
          </w:tcPr>
          <w:p>
            <w:pPr>
              <w:pStyle w:val="TableContents"/>
              <w:bidi w:val="0"/>
              <w:spacing w:before="0" w:after="0"/>
              <w:ind w:left="200" w:right="0" w:hanging="0"/>
              <w:jc w:val="left"/>
              <w:rPr>
                <w:spacing w:val="4"/>
              </w:rPr>
            </w:pPr>
            <w:r>
              <w:rPr>
                <w:spacing w:val="4"/>
              </w:rPr>
              <w:t xml:space="preserve">Common unitholders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9,042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6"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60" w:type="dxa"/>
            <w:tcBorders>
              <w:bottom w:val="single" w:sz="2" w:space="0" w:color="CCEEFF"/>
            </w:tcBorders>
            <w:shd w:fill="CCEEFF" w:val="clear"/>
            <w:tcMar>
              <w:bottom w:w="40" w:type="dxa"/>
            </w:tcM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40" w:type="dxa"/>
            </w:tcMar>
            <w:vAlign w:val="center"/>
          </w:tcPr>
          <w:p>
            <w:pPr>
              <w:pStyle w:val="TableContents"/>
              <w:bidi w:val="0"/>
              <w:spacing w:before="0" w:after="283"/>
              <w:jc w:val="right"/>
              <w:rPr/>
            </w:pPr>
            <w:r>
              <w:rPr/>
              <w:t>3,212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86" w:type="dxa"/>
            <w:tcBorders>
              <w:bottom w:val="single" w:sz="2" w:space="0" w:color="000000"/>
            </w:tcBorders>
            <w:shd w:fill="CCEEFF" w:val="clear"/>
            <w:tcMar>
              <w:bottom w:w="40" w:type="dxa"/>
            </w:tcMar>
            <w:vAlign w:val="center"/>
          </w:tcPr>
          <w:p>
            <w:pPr>
              <w:pStyle w:val="TableContents"/>
              <w:bidi w:val="0"/>
              <w:spacing w:before="0" w:after="283"/>
              <w:jc w:val="right"/>
              <w:rPr/>
            </w:pPr>
            <w:r>
              <w:rPr/>
              <w:t>3,212</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260" w:type="dxa"/>
            <w:tcBorders>
              <w:bottom w:val="single" w:sz="2" w:space="0" w:color="FFFFFF"/>
            </w:tcBorders>
            <w:tcMar>
              <w:bottom w:w="40" w:type="dxa"/>
            </w:tcMar>
            <w:vAlign w:val="center"/>
          </w:tcPr>
          <w:p>
            <w:pPr>
              <w:pStyle w:val="TableContents"/>
              <w:bidi w:val="0"/>
              <w:spacing w:before="0" w:after="0"/>
              <w:ind w:left="400" w:right="0" w:hanging="0"/>
              <w:jc w:val="left"/>
              <w:rPr>
                <w:spacing w:val="4"/>
              </w:rPr>
            </w:pPr>
            <w:r>
              <w:rPr>
                <w:spacing w:val="4"/>
              </w:rPr>
              <w:t xml:space="preserve">Total partners’ capital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tcMar>
              <w:bottom w:w="40" w:type="dxa"/>
            </w:tcMar>
            <w:vAlign w:val="center"/>
          </w:tcPr>
          <w:p>
            <w:pPr>
              <w:pStyle w:val="TableContents"/>
              <w:bidi w:val="0"/>
              <w:spacing w:before="0" w:after="283"/>
              <w:jc w:val="right"/>
              <w:rPr/>
            </w:pPr>
            <w:r>
              <w:rPr/>
              <w:t>14,291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6" w:type="dxa"/>
            <w:tcBorders>
              <w:bottom w:val="single" w:sz="2" w:space="0" w:color="000000"/>
            </w:tcBorders>
            <w:tcMar>
              <w:bottom w:w="40" w:type="dxa"/>
            </w:tcMar>
            <w:vAlign w:val="center"/>
          </w:tcPr>
          <w:p>
            <w:pPr>
              <w:pStyle w:val="TableContents"/>
              <w:bidi w:val="0"/>
              <w:spacing w:before="0" w:after="283"/>
              <w:jc w:val="right"/>
              <w:rPr/>
            </w:pPr>
            <w:r>
              <w:rPr/>
              <w:t>$</w:t>
            </w:r>
          </w:p>
        </w:tc>
        <w:tc>
          <w:tcPr>
            <w:tcW w:w="786" w:type="dxa"/>
            <w:tcBorders>
              <w:bottom w:val="single" w:sz="2" w:space="0" w:color="000000"/>
            </w:tcBorders>
            <w:tcMar>
              <w:bottom w:w="40" w:type="dxa"/>
            </w:tcMar>
            <w:vAlign w:val="center"/>
          </w:tcPr>
          <w:p>
            <w:pPr>
              <w:pStyle w:val="TableContents"/>
              <w:bidi w:val="0"/>
              <w:spacing w:before="0" w:after="283"/>
              <w:jc w:val="left"/>
              <w:rPr>
                <w:sz w:val="4"/>
                <w:szCs w:val="4"/>
              </w:rPr>
            </w:pPr>
            <w:r>
              <w:rPr>
                <w:sz w:val="4"/>
                <w:szCs w:val="4"/>
              </w:rPr>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60" w:type="dxa"/>
            <w:tcBorders/>
            <w:shd w:fill="CCEEFF" w:val="clear"/>
            <w:tcMar>
              <w:bottom w:w="0" w:type="dxa"/>
            </w:tcMar>
            <w:vAlign w:val="center"/>
          </w:tcPr>
          <w:p>
            <w:pPr>
              <w:pStyle w:val="TableContents"/>
              <w:bidi w:val="0"/>
              <w:spacing w:before="0" w:after="0"/>
              <w:ind w:left="600" w:right="0" w:hanging="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40" w:type="dxa"/>
            </w:tcMar>
            <w:vAlign w:val="center"/>
          </w:tcPr>
          <w:p>
            <w:pPr>
              <w:pStyle w:val="TableContents"/>
              <w:bidi w:val="0"/>
              <w:spacing w:before="0" w:after="283"/>
              <w:jc w:val="right"/>
              <w:rPr/>
            </w:pPr>
            <w:r>
              <w:rPr/>
              <w:t xml:space="preserve">22,723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78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T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will issue the Notes of each series under a base subordinated indenture (the “base indenture”) to be entered into between us and U.S. Bank Trust Company, National Association, as trustee, as amended and supplemented by supplemental indentures creating the Notes of such series (the “supplemental indentures”) and setting forth the specific terms of such Notes. With respect to each series of Notes, we refer to such base indenture as so amended and supplemented by the supplemental indentures, as the “indenture.”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is a summary of the material provisions of the Notes and the indenture. This description does not restate those agreements and instruments in their entirety. You should refer to the Notes and the indenture, forms of which will be available as set forth below under “Where you can find more information” for a complete description of our obligations and your rights.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this description, the terms “Plains,” “we,” “us” and “our” refer only to Plains All American Pipeline, L.P. and not to any of its subsidiaries.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Each series of Notes will be a separate series of our subordinated debt securities as described in the accompanying base prospectus. This description is intended to be an overview of the material provisions of the Notes and is intended to supplement and, to the extent of any inconsistency, replace the description of the general terms and provisions of the subordinated debt securities set forth in the accompanying base prospectus, to which we refer you. Since this description is only a summary, you should refer to the indenture, when available, for a complete description of our obligations and your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will be issued in the aggregate principal amount of $      and the Series B Notes will be issued in the aggregate principal amount of $      . The Notes of each series will be issued in denominations of $2,000 and integral multiples of $1,000 in excess thereof. The terms of each series of Notes will provide that we may, from time to time, without notice to or consent of the holders of the Notes of such series, issue additional Notes of such series, and any such additional Notes shall form a single series under the indenture with the Notes of such series offered by this prospectus supplement. Any such additional Notes of a particular series shall have the same form and terms as the Notes of such series offered by this prospectus supplement (other than the offering price, the date of issuance and, if applicable, the date from which interest thereon shall begin to accrue and the first interest payment date, and except that the provisions of the Notes specifying the rate of interest thereon to but excluding the applicable First Reset Date (as defined below) shall not be applicable to any such additional Notes whose date of original issuance is on or after the applicable First Reset Date). If any such additional Notes are not fungible with the Notes offered hereby for U.S. federal income tax purposes, they will have a different CUSIP, ISIN, or other identifying number so that they are distinguishable from the Notes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and the Series B Notes will each constitute a separate series of subordinated debt securities under the indenture. The indenture does not limit the amount of debt securities we may issue under the indenture from time to time in one or more series. We may in the future issue additional debt securities under the indenture in addition to the Notes. The Notes will be non-recourse to our general partner.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any of our subsidiaries, and the provisions described under “Description of our debt securities — Possible Future Guarantees” in the accompanying base prospectus will not apply to the Notes. Also, the Notes will not be co-issued by PAA Finance Corp., and any covenants or other provisions relating to PAA Finance Corp. in the accompanying base prospectus will not apply with respect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Maturity and Interest Rate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of each series will mature on December 15, 2056. The Notes will be subject to redemption at our option as described below under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will bear interest (i) from and including           , 2026 (the “original issue date”) to, but excluding, December 15, 2031 (the “Series A First Reset Date”) at the rate of    % per annum and (ii) from and including the Series A First Reset Date, during each Reset Period (as defined below) at a rate per annum equal to the Five-year U.S. Treasury Rate (as defined below) as of the most recent Reset Interest Determination Date (as defined below) plus a spread of    %, to be reset on each Reset Date (as defined below); provided, that the interest rate on the Series A Notes during any Reset Period will not reset below    % (which equals the initial interest rate on the Series A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Notes will bear interest (i) from and including the original issue date to, but excluding, December 15, 2036 (the “Series B First Reset Date”) at the rate of    % per annum and (ii) from and including the Series B First Reset Date, during each Reset Period at a rate per annum equal to the Five-year U.S. Treasury Rate as of the most recent Reset Interest Determination Date plus a spread of    %, to be reset on each Reset Date; provided, that the interest rate on the Series B Notes during any Reset Period will not reset below    % (which equals the initial interest rate on the Series B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Interest on the Notes will accrue from the original issue date and will be payable semi-annually in arrears on June 15 and December 15 (each, an “interest payment date”) of each year, beginning on June 15, 2027, to the holders of record at the close of business on the immediately preceding June 1 and December 1, respectively (each, a “record date”), subject to our right to defer interest payments as described below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These regular record dates will apply regardless of whether a particular regular record date is a business day. In this section, a “business day” means any day other than a Saturday or Sunday or any other day on which commercial banks in New York City are authorized or required by law or executive order to close. If an interest payment date is not a business day, payment of interest will be made on the next succeeding business day, without any interest, additional interest, or other payment in lieu of interest or additional interest accumulating with respect to this delay.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First Reset Date” means, with respect to the Series A Notes, the Series A First Reset Date and, with respect to the Series B Notes, the Series B First Reset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Five-year U.S. Treasury Rate”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H.15” means the statistical release designated as such, or any successor publication, published by the Board of Governors of the U.S. Federal Reserve System (or any successor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“most recent H.15” means the H.15 published closest in time but prior to the close of business on the Reset Interest Determination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Date” with respect to the Notes of each series, means the First Reset Date applicable to the Notes of such series and each date falling on the five-year anniversary of the preceding Reset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Interest Determination Date” means, in respect of any Reset Period, the day that is two business days prior to the first day of such Reset Period.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Period” with respect to the Notes of each series, means the period from and including the First Reset Date of the Notes of such series to, but excluding, the next following Reset Date applicable to the Notes of such series and thereafter each period from and including a Reset Date to, but excluding, the next following Reset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in our sole discretion, determine that the Five-year U.S. Treasury Rate cannot be determined pursuant to the methods described above, we may, in our sole discretion, designate an unaffiliated agent or advisor, which may include an unaffiliated underwriter for the offering of the Notes or any affiliate of any such underwriter, but shall not include the trustee (the “Designee”),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“business day”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With respect to the Series A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A Notes will be    %. With respect to the Series B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B Notes will be    %.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interest rate for each Reset Period will be determined by the calculation agent, as of the applicable Reset Interest Determination Date. Promptly upon such determination, the calculation agent will notify us of the interest rate for the Reset Period and we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period (as defined herein) beginning on or after the First Reset Date for the applicable series of Notes will be on file at our principal offices, will be made available to any holder or beneficial owner of the Notes upon request, and will be final and binding in the absence of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written notice of the relevant Five-year U.S. Treasury Rate as soon as reasonably practicable following each Reset Interest Determination Date to the trustee and paying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accumulating or payable on the Notes for any interest period (or portion thereof) will be calculated on the basis of a 360-day year consisting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redemption date or the maturity date of the Notes is not a business day (as defined in the indenture)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agent” means any person or entity appointed by us and serving as such agent with respect to the Notes at such time. Unless we have validly called all of the outstanding Notes of any series for redemption during the First Reset Period of the applicable series of Notes, we will appoint a calculation agent for such Notes prior to the Reset Interest Determination Date preceding the First Reset Date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series of Notes; provided that, if we have called all of the outstanding Notes of such series for redemption on a redemption date occurring during such First Reset Period, but we do not redeem all of the outstanding Notes of such series on such redemption date, we will appoint a calculation agent for such Notes prior to the Reset Interest Determination Date preceding such First Reset Date. We may terminate any such appointment and may appoint a successor calculation agent at any time and from time to time. We may appoint ourselves or an affiliate of ours as calculation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and Series B Notes are each a new issue of securities with no established trading market. We do not intend to apply for the listing or trading of the Notes on any securities exchange or trading facility or for inclusion of the Notes in any automated quotation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Open Market Purchases; No Mandatory Redemption or 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any time and from time to time purchase Notes in the open market or otherwise, in each case, without any restriction under the indenture. We are not required to make any mandatory redemption, mandatory repurchase or sinking fund payments with respect to the Notes or to repurchase the Notes at the option of the registered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our unsecured obligations and will rank junior and subordinate in right of payment to the prior payment in full of our existing and future Senior Indebtedness (as defined below under “— </w:t>
      </w: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to the extent and in the manner set forth under the caption “— </w:t>
      </w: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contain any restrictions on the amount of Senior Indebtedness or other indebtedness or liabilities that we may incur or the amount of indebtedness, preferred equity or other liabilities that may be incurred by our subsidiaries. For additional information, see “Risk factors” above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by Holders to Tax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(or beneficial owner) of the Notes will, by accepting any Notes (or a beneficial interest therein), be deemed to have agreed that such holder (or beneficial owner) intends that the Notes constitute indebtedness of Plains, and will treat the Notes as indebtedness of Plains, for U.S. federal and applicable state and local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provisions will apply with respect to the Notes in lieu of the provisions described in the section “Description of our debt securities — Subordination” in the accompanying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subordinated in right of payment to the prior payment in full of all our Senior Indebtedness. This means that upon: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payment by, or distribution of the assets of, Plains upon its dissolution, winding-up, liquidation or reorganization, whether voluntary or involuntary or in bankruptcy, insolvency, receivership or other proceedings;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failure to pay any interest, principal or other monetary amounts due on any of Plains’s Senior Indebtedness when due and continuance of that default beyond any applicable grace period;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acceleration of the maturity of any Senior Indebtedness of Plains as a result of a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the holders of all of the Senior Indebtedness will be entitled to receive, in the case of clause (a) above, payment of all amounts due or to become due on all Senior Indebtedness, or in the case of clauses (b) and (c) above, payment of all amounts due on all Senior Indebtedness, before the holders of the Notes are entitled to receive any payment. So long as any of the events in clauses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or the Senior Indebtedness due in the case of clauses (b) and (c), the holders of the Notes will be subrogated to the rights of the holders of the Senior Indebtedness to receive payments applicable to the Senior Indebtedness until the Notes are paid in full.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Indebtedness” means, with respect to the Notes, (i) indebtedness of Plains, whether outstanding at the date of the indenture or incurred, created or assumed after such date, (a) in respect of money borrowed by Plains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Plains; (ii) all synthetic lease obligations, capitalized lease obligations and finance lease obligations of Plains; (iii) all obligations of Plains issued or assumed as the deferred purchase price of property, all conditional sale obligations of Plains and all obligations of Plains under any title retention agreement (but excluding trade accounts payable arising in the ordinary course of business and long-term purchase obligations); (iv) all obligations of Plains for the reimbursement of any letter of credit, banker’s acceptance, security purchase facility or similar credit transaction; and (v) all obligations of the type referred to in clauses (i) through (iv) above of other persons for the payment of which Plains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indenture and anything therein to the contrary notwithstanding, the Notes shall rank equally in right of payment with any additional Notes of either series or any future unsecured indebtedness that we may incur from time to time if the terms of such indebtedness provide that it ranks equally with the Notes in right of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Due to the subordination of the Notes, if assets of Plains are distributed upon its dissolution, winding-up, liquidation or reorganization, holders of its Senior Indebtedness and other indebtedness and obligations that are not equal or junior to the Notes in right of payment will likely recover more, ratably, than holders of the Notes, and it is possible that no payments will be made to the holders of the Notes. The subordination provisions described above will cease to apply in the event of satisfaction and discharge of the Notes as described under “— </w:t>
      </w:r>
      <w:r>
        <w:rPr>
          <w:rFonts w:ascii="Times New Roman;Times;serif" w:hAnsi="Times New Roman;Times;serif"/>
          <w:b w:val="false"/>
          <w:i/>
          <w:caps w:val="false"/>
          <w:smallCaps w:val="false"/>
          <w:color w:val="000000"/>
          <w:spacing w:val="4"/>
          <w:sz w:val="20"/>
        </w:rPr>
        <w:t>Defeasance and Discharge</w:t>
      </w:r>
      <w:r>
        <w:rPr>
          <w:rFonts w:ascii="Times New Roman;Times;serif" w:hAnsi="Times New Roman;Times;serif"/>
          <w:b w:val="false"/>
          <w:i w:val="false"/>
          <w:caps w:val="false"/>
          <w:smallCaps w:val="false"/>
          <w:color w:val="000000"/>
          <w:spacing w:val="4"/>
          <w:sz w:val="20"/>
        </w:rPr>
        <w:t xml:space="preserve">,” respectively, below in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do not limit our ability to incur Senior Indebtedness or our or any of our subsidiaries’ ability to incur other secured and unsecured indebtedness, preferred equity or other liabilities. We expect that we and our subsidiaries will incur substantial additional amounts of indebtedness, including Senior Indebtedness,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Optional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(the “First Reset Period”) and (ii) after such First Reset Date, on any applicable interest payment date, in each case at a redemption price in cash equal to 100% of the principal amount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Notes of such series to be redeemed, plus, subject to the terms described in the first paragraph under “— </w:t>
      </w:r>
      <w:r>
        <w:rPr>
          <w:rFonts w:ascii="Times New Roman;Times;serif" w:hAnsi="Times New Roman;Times;serif"/>
          <w:b w:val="false"/>
          <w:i/>
          <w:caps w:val="false"/>
          <w:smallCaps w:val="false"/>
          <w:color w:val="000000"/>
          <w:spacing w:val="4"/>
          <w:sz w:val="20"/>
        </w:rPr>
        <w:t>Redemption Procedures; Cancellation of Redemption</w:t>
      </w:r>
      <w:r>
        <w:rPr>
          <w:rFonts w:ascii="Times New Roman;Times;serif" w:hAnsi="Times New Roman;Times;serif"/>
          <w:b w:val="false"/>
          <w:i w:val="false"/>
          <w:caps w:val="false"/>
          <w:smallCaps w:val="false"/>
          <w:color w:val="000000"/>
          <w:spacing w:val="4"/>
          <w:sz w:val="20"/>
        </w:rPr>
        <w:t xml:space="preserve">” below, accrued and unpaid interest on the Notes of such series to be redeemed to, but excluding, such redemption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Following a Tax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but not in part, at any time within 120 days after a Tax Event (as defined below) at a redemption price in cash equal to 100% of the principal amount of the Notes of such series to be redeemed, plus, subject to the terms described in the first paragraph under “— </w:t>
      </w:r>
      <w:r>
        <w:rPr>
          <w:rFonts w:ascii="Times New Roman;Times;serif" w:hAnsi="Times New Roman;Times;serif"/>
          <w:b w:val="false"/>
          <w:i/>
          <w:caps w:val="false"/>
          <w:smallCaps w:val="false"/>
          <w:color w:val="000000"/>
          <w:spacing w:val="4"/>
          <w:sz w:val="20"/>
        </w:rPr>
        <w:t>Redemption Procedures; Cancellation of Redemption</w:t>
      </w:r>
      <w:r>
        <w:rPr>
          <w:rFonts w:ascii="Times New Roman;Times;serif" w:hAnsi="Times New Roman;Times;serif"/>
          <w:b w:val="false"/>
          <w:i w:val="false"/>
          <w:caps w:val="false"/>
          <w:smallCaps w:val="false"/>
          <w:color w:val="000000"/>
          <w:spacing w:val="4"/>
          <w:sz w:val="20"/>
        </w:rPr>
        <w:t xml:space="preserve">” below, accrued and unpaid interest on the Notes of such series to be redeemed to, but excluding,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Event” means that we have received an opinion of counsel experienced in such matters to the effect that, as a result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such Notes is not deductible, or within 90 days would not be deductible, in whole or in part, by us for U.S. federal income tax purposes.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Following a Rating Agency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but not in part, at any time during the continuance of and, in any event, within 120 days after the occurrence of, a Rating Agency Event (as defined below) at a redemption price in cash equal to 102% of the principal amount of the Notes of such series to be redeemed, plus, subject to the terms described in the first paragraph under “— </w:t>
      </w:r>
      <w:r>
        <w:rPr>
          <w:rFonts w:ascii="Times New Roman;Times;serif" w:hAnsi="Times New Roman;Times;serif"/>
          <w:b w:val="false"/>
          <w:i/>
          <w:caps w:val="false"/>
          <w:smallCaps w:val="false"/>
          <w:color w:val="000000"/>
          <w:spacing w:val="4"/>
          <w:sz w:val="20"/>
        </w:rPr>
        <w:t>Redemption Procedures; Cancellation of Redemption</w:t>
      </w:r>
      <w:r>
        <w:rPr>
          <w:rFonts w:ascii="Times New Roman;Times;serif" w:hAnsi="Times New Roman;Times;serif"/>
          <w:b w:val="false"/>
          <w:i w:val="false"/>
          <w:caps w:val="false"/>
          <w:smallCaps w:val="false"/>
          <w:color w:val="000000"/>
          <w:spacing w:val="4"/>
          <w:sz w:val="20"/>
        </w:rPr>
        <w:t xml:space="preserve">” below, accrued and unpaid interest on the Notes of such series to be redeemed to, but excluding, such redemption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Rating Agency Event” means, with respect to each series of the Notes, as of any date, a change, clarification or amendment in the methodology published by any nationally recognized statistical rating organization within the meaning of Section 3(a)(62) of the Exchange Act (or any successor provision thereto), that then publishes a rating for Plains (together with any successor thereto, a “rating agency”) in assigning equity credit to securities such as the Notes, (a) as such methodology was in effect on the date of this prospectus supplement, in the case of any rating agency that published a rating for Plains as of the date of this prospectus supplement, or (b) as such methodology was in effect on the date such rating agency first published a rating for Plains, in the case of any rating agency that first publishes a rating for Plains after the date of this prospectus supplement (in the case of either clause (a) or (b), the “current methodology”), that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 any shortening of the length of time for which a particular level of equity credit pertaining to the applicable series of Notes by such rating agency would have been in effect had the current methodology not been changed or (ii) a lower equity credit (including up to a lesser amount) being assigned by such rating agency to such Notes as of the date of such change, clarification or amendment than the equity credit that would have been assigned to such Notes by such rating agency had the current methodology not been changed.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Securities Exchange Act of 1934, as amended, and any successor statute.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Cancellation of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 statement under this caption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(as defined below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accrued and unpaid interest (including, to the extent permitted by applicable law, any compound interest (as defined below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redemption will be mailed or otherwise delivered at least 10 days but not more than 60 days before the redemption date to each registered holder of the Notes to be redeemed, at the address of such holder appearing in the register of the Notes maintained by the registrar, except that redemption notices may be sent more than 60 days prior to a redemption date if the notice is issued in connection with a defeasance of the Notes or a satisfaction or discharge of the indenture with respect to the Notes. Once notice of redemption is delivered,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we elect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at the time a notice of redemption is given, (i) we have not effected satisfaction and discharge of the Notes as described under “— </w:t>
      </w:r>
      <w:r>
        <w:rPr>
          <w:rFonts w:ascii="Times New Roman;Times;serif" w:hAnsi="Times New Roman;Times;serif"/>
          <w:b w:val="false"/>
          <w:i/>
          <w:caps w:val="false"/>
          <w:smallCaps w:val="false"/>
          <w:color w:val="000000"/>
          <w:spacing w:val="4"/>
          <w:sz w:val="20"/>
        </w:rPr>
        <w:t>Defeasance and Discharge</w:t>
      </w:r>
      <w:r>
        <w:rPr>
          <w:rFonts w:ascii="Times New Roman;Times;serif" w:hAnsi="Times New Roman;Times;serif"/>
          <w:b w:val="false"/>
          <w:i w:val="false"/>
          <w:caps w:val="false"/>
          <w:smallCaps w:val="false"/>
          <w:color w:val="000000"/>
          <w:spacing w:val="4"/>
          <w:sz w:val="20"/>
        </w:rPr>
        <w:t xml:space="preserve">” below and (ii) such notice of redemption is not being given in connection with or in order to effect satisfaction and discharge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we will direct the trustee to, and the trustee will, promptly return any Notes or portions thereof that have been surrendered for redemption to the applicable holders. Unless we default in payment of the redemption price or the proposed redemption is canceled in accordance with the provisions set forth in the immediately preceding paragraph, on and after the redemption date interest will cease to accrue on the Notes or portions thereof called for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Depository Trust Company (“DTC”).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Defer Interest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so long as no event of default (as defined below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with respect to the Notes of such series has occurred and is continuing, we may, at our option, defer interest payments on such series of Notes, from time to time, for one or more deferral periods of up to 20 consecutive Interest Payment Periods (as defined below)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(“compound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due or payable on the Notes of such series during an Optional Deferral Period, except upon a redemption of any Notes of such series on any redemption date during such Optional Deferral Period (in which case all accrued and unpaid interest (including, to the extent permitted by applicable law, any compound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compound interest, on the Notes of such series shall become due and payable). All references in the Notes of such series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each series of Notes, 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final maturity date of the Notes of such series.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of such series, including all accrued and unpaid interest thereon (including, without limitation and to the extent permitted by applicable law, any compound interest), are paid, we may elect to begin a new Optional Deferral Period;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without limitation of the foregoing, we may not begin a new Optional Deferral Period unless we have paid all accrued and unpaid interest on the Notes of such series (including, without limitation and to the extent permitted by applicable law, any compound interest) from any previous Optional Deferral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during any Optional Deferral Period, we (and our subsidiaries, as applicable) will not do any of the following (subject to the exceptions set forth in the next succeeding paragraph):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or pay any dividends or distributions on any Capital Stock (as defined below) of Plains;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purchase, acquire or make a liquidation payment with respect to any Capital Stock of Plains;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any principal, interest or premium on, or repay, repurchase or redeem, any indebtedness of Plains that ranks equally with or junior to the Notes of such series in right of payment; or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payments with respect to any guarantees by Plains of any indebtedness if such guarantees rank equally with or junior to the Notes of such series in right of payment.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during an Optional Deferral Period, we may (a) declare and pay dividends or distributions payable solely in our common units (together with cash in lieu of any fractional unit) or options, warrants or rights to subscribe for or purchase units of our common units, (b) declare and pay any dividend or distribution in connection with the implementation of a plan (a “Rights Plan”) providing for the issuance by us to all holders of our common units of rights entitling them to subscribe for or purchase common units or any class or series of our preferred equity, which rights (1) are deemed to be transferred with such common units, (2) are not exercisable until the occurrence of a specified event or events and (3) are also issued in respect of future issuances of our common units, (c) issue any of shares of our Capital Stock under any Rights Plan or redeem or repurchase any rights distributed pursuant to a Rights Plan, (d) reclassify our Capital Stock or exchange or convert one class or series of our Capital Stock for another class or series of our Capital Stock, (e) purchase fractional interests in shares of our Capital Stock pursuant to the conversion or exchange provisions of such Capital Stock or the security being converted or exchanged, and (f) purchase, acquire or withhold our common units related to the issuance of our common units or rights under any dividend reinvestment plan or related to any of our benefit plans for our directors, officers, employees, consultants or advisors, including any employment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the holders of the applicable series of Notes and the trustee notice of our election of, or any shortening or extension of, an Optional Deferral Period at least 10 business days prior to the earlier of (1) the next succeeding interest payment date or (2) the date upon which we are required to give notice to any applicable self-regulatory organization or to holders of such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the original issue date to but excluding June 15, 2027.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this “— Events of Default” section will apply with respect to the Notes in lieu of the provisions described under “Description of our debt securities — Events of Default and Remedies” in the accompanying base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an “event of default” occurs with respect to the Notes of such series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we do not pay any interest on any Note of such series when it becomes due and payable and such default continues for 30 days (regardless of whether such payment is prohibited by the subordination provisions applicable to the Notes), except as the result of a deferral of interest payments in accordance with the provisions discussed above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we do not pay any principal of or premium, if any, on any Note of such series when it becomes due and payable (regardless of whether such payment is prohibited by the subordination provisions applicable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we remain in breach of any other covenant (excluding covenants solely applicable to one or more other series of debt securities issued under the indenture) in the indenture or the Notes of such series for 90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of such series;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Plains files for bankruptcy or other specified voluntary and involuntary events of bankruptcy, insolvency, receivership or reorganization occur with respect to Plains.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as discussed below under “— </w:t>
      </w:r>
      <w:r>
        <w:rPr>
          <w:rFonts w:ascii="Times New Roman;Times;serif" w:hAnsi="Times New Roman;Times;serif"/>
          <w:b w:val="false"/>
          <w:i/>
          <w:caps w:val="false"/>
          <w:smallCaps w:val="false"/>
          <w:color w:val="000000"/>
          <w:spacing w:val="4"/>
          <w:sz w:val="20"/>
        </w:rPr>
        <w:t>Acceleration</w:t>
      </w:r>
      <w:r>
        <w:rPr>
          <w:rFonts w:ascii="Times New Roman;Times;serif" w:hAnsi="Times New Roman;Times;serif"/>
          <w:b w:val="false"/>
          <w:i w:val="false"/>
          <w:caps w:val="false"/>
          <w:smallCaps w:val="false"/>
          <w:color w:val="000000"/>
          <w:spacing w:val="4"/>
          <w:sz w:val="20"/>
        </w:rPr>
        <w:t xml:space="preserve">,” neither the trustee nor the holders of the Notes will be entitled to declare the Notes to be due and payable immediately upon the occurrence of an event of default described in clause (c)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either series of Notes will necessarily constitute an event of default with respect to the debt securities of any other series issued under the indenture, and no event of default with respect to any such other series of debt securities issued under the indenture will necessarily constitute an event of default with respect to the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described in clause (c)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above, occurs and is continuing with respect to the Notes of either series, then either the trustee or the registered holders of not less than 33% in principal amount of the outstanding Notes of such series may declare the principal amount of all of the Notes of such series, together with accrued and unpaid interest thereon, if any, to be due and payable immediately, by a notice in writing to us (and to the trustee if given by the registered holders), and upon any such declaration, such principal amount of all outstanding Notes of such series and accrued and unpaid interest, if any, thereon shall become immediately due and payable. If an event of default described in clause (d)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above occurs and is continuing with respect to all series of subordinated debt securities issued under the base indenture at the time outstanding, then either the trustee or the registered holders of not less than 33% in principal amount of all such outstanding subordinated debt securities under the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if an event of default described in clause (c)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above occurs and is continuing, neither the trustee nor the registered holders of the Notes of such series will be entitled to declare the principal of the Notes, or accrued or unpaid interest thereon, to be due and payable immediately, by reason of the occurrence and continuation of such event of default. See “Risk factors — Holders of the Notes will have limited rights of acceleration” above. However, they may exercise the other rights and remedies available under the indenture upon the occurrence of an event of default.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Rescission of 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each series of the Notes may, by written notice to the trustee, rescind any acceleration with respect to the Notes of such series and annul its consequences if rescission would not conflict with any judgment or decree of a court of competent jurisdiction and all existing events of default with respect to the Notes of each series, other than the nonpayment of the principal of, premium, if any, and interest on the Notes that have become due solely by such acceleration, have been cured or waived.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Control by Registered Holders;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series of Notes, subject to the indenture applicable to such series of Notes, the registered holders of a majority in principal amount of the outstanding Notes of such series will have the right to: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the time, method and place of conducting any proceeding for any remedy available to the trustee; or </w:t>
      </w:r>
      <w:r>
        <mc:AlternateContent>
          <mc:Choice Requires="wps">
            <w:drawing>
              <wp:anchor behindDoc="0" distT="7112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trust or power conferred on the trustee with respect to the Notes of such series.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rights of registered holders to make direction are subject to the following limitations: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registered holders’ directions shall not conflict with any law or the indenture;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trustee may also take any other action it deems proper which is consistent with the registered holders’ direction;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registered holders’ directions may be declined to be followed by the trustee where the trustee determines such directions would involve it in personal liability;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registered holders shall have offered to the trustee security or indemnity satisfactory to it against any cost, liability, or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however, may refuse to follow any direction that conflicts with law or the indenture or that the trustee determines is unduly prejudicial to the rights of any other holder of Notes or that would involve the trustee in personal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is continuing with respect to all series of subordinated debt securities issued under the indenture, the registered holders of a majority in aggregate principal amount of the outstanding subordinated debt securities of all the series, considered as one class, will have the right to make such direction, and not the registered holders of the Notes of any one of the series.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of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Notes of each series, the indenture provides that if a default (that is, an event that is, or after notice or the passage of time would be, an event of default) with respect to the Notes of such series occurs and is continuing and is known to the trustee, the trustee must send to each holder of Notes of such series notice of the default within 90 days after it occurs. With respect to the Notes of each series, except in the case of a default in the payment of principal of, and premium, if any, or interest on the Notes of such series, the trustee may withhold such notice, but only if and so long as the trustee in good faith determines that withholding notice is in the interests of the holders of the Notes of such series. In addition, Plains is required to deliver to the trustee, within four months after the end of each fiscal year, an officers’ certificate as to compliance with all covenants under the indenture and indicating whether the signers thereof know of any default or event of default that occurred during the previous year. Plains also is required to deliver to the trustee, within 30 days after the occurrence thereof, an officers’ certificate specifying any default or event of default, its status and what action Plains is taking or proposes to take in respect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 shall apply with respect to the Notes in lieu of the provisions described under “Description of our debt securities — Modification of Indentures” in the accompanying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of the indenture and either series of Notes may be made by Plains and the trustee with the written consent of the holders of a majority in principal amount of the then outstanding Notes of the affected series (including consents obtained in connection with a tender offer or exchange offer for debt securities). However, without the consent of each holder of an affected Note, no amendment may, among other things: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percentage in principal amount of Notes whose holders must consent to an amendment;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rate of or extend the time for payment of interest, including default interest, on any Note beyond the maximum time period for any permitted extension or deferral or to increase the maximum time period for any such interest extension or deferral or to increase the maximum number of times we may extend or defer such interest payment;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extend the stated maturity of any Note;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reduce the premium payable upon the redemption of any Note as described above under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change any obligation of Plains to pay additional amounts with respect to any Note;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make any Notes payable in money other than U.S. dollars;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impair the right of any holder to receive payment of the principal of and premium, if any, and interest on such holder’s Note or to institute suit for the enforcement of any payment on or with respect to such holder’s Note;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waive a continuing default or event of default in the payment of principal and premium, if any, and interest with respect to such holder’s Note;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make any change in the amendment provisions which require each holder’s consent or in the waiver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Notes of any series, on behalf of all such holders, may waive any past or existing default or event of default with respect to the Notes of such series (including any such waiver obtained in connection with a tender offer or exchange offer for the Notes), except a default or event of default in the payment of principal, premium or interest or in respect of a provision that under the indenture cannot be modified or amended without the consent of the holder of each outstanding Note affected. A waiver by the holders of Notes of any series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any holder, Plains and the trustee may amend the indenture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cure any ambiguity, omission, defect or inconsistency;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provide for the assumption by a successor of the obligations of Plains under the indenture;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provide for uncertificated Notes in addition to or in place of certificated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secure the Notes or add guarantees with respect to the Notes or release guarantees with respect to the Notes in accordance with the terms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comply with any requirement in order to effect or maintain the qualification of the indenture under the Trust Indenture Act of 1939, as amended (the “Trust Indenture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add to the covenants of Plains for the benefit of the holders or surrender any right or power conferred upon Plains;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add any additional events of default;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make any change that does not adversely affect the rights under the indenture of any 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supplement any of the provisions of the indenture to facilitate the defeasance and discharge of Notes pursuant to the terms of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comply with any requirement of the SEC in connection with the qualification of the indenture under the Trust Indenture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conform the text of the indenture to any provision of this “Description of the notes” to the extent that such text of the indenture was intended to reflect such provision of this “Description of the notes” as specified in an officers’ certificate;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provide for a successor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Plains is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send to all holders of Notes a notice briefly describing such amendment. However, the failure to give such notice to all such holders, or any defect therein,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Plains at any time may terminate all its obligations under the indenture as they relate to a given series of Notes (“legal defeasance”), except for certain obligations, including those respecting the defeasance trust and obligations to register the transfer of or exchange the Notes, to replace mutilated, destroyed, lost or stolen Notes and to maintain a registrar and paying agent in respect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Plains exercises its legal defeasance option, payment of the Notes of the applicable series may not be accelerated because of an event of default, and any security that may have been granted with respect to the Notes will be released.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the defeasance option, Plains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(subject to customary exceptions and exclusions) to the effect that holders of the Notes will not recognize income, gain or loss for U.S. federal income tax purposes as a result of such defeasance and will be subject to U.S. federal income tax on the same amounts and in the same manner and at the same times as would have been the case if such defeasance had not occurred. Such opinion of counsel must be based on a ruling of the Internal Revenue Service or other change in applicable U.S. federal income tax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legal defeasance, holders of the Notes would be entitled to look only to the defeasance trust for payment of principal of and any premium and interest on their Notes until maturity.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Plains may discharge all its obligations under the indenture with respect to each series of Notes as provided under “Description of our debt securities — Satisfaction and Discharge; Defeasance” in the accompanying base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not cured or waived, the trustee is required to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not be under any obligation to exercise any of its rights or powers under the indenture at the request of any of the holders of Notes unless they have offered to the trustee security or indemnity satisfactory to it against the costs, expenses and liabilities it may incur.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is the trustee under the indenture and has been appointed by Plains as registrar and paying agent with regard to the Notes. The trustee and its affiliates maintain commercial banking and other relationships with Plains.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the Notes are governed by, and will be construed in accordance with, the laws of the State of New York.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BDA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issue each series of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Times New Roman;Times;serif" w:hAnsi="Times New Roman;Times;serif"/>
          <w:b w:val="false"/>
          <w:i/>
          <w:caps w:val="false"/>
          <w:smallCaps w:val="false"/>
          <w:color w:val="000000"/>
          <w:spacing w:val="4"/>
          <w:sz w:val="20"/>
        </w:rPr>
        <w:t>société anonyme</w:t>
      </w:r>
      <w:r>
        <w:rPr>
          <w:rFonts w:ascii="Times New Roman;Times;serif" w:hAnsi="Times New Roman;Times;serif"/>
          <w:b w:val="false"/>
          <w:i w:val="false"/>
          <w:caps w:val="false"/>
          <w:smallCaps w:val="false"/>
          <w:color w:val="000000"/>
          <w:spacing w:val="4"/>
          <w:sz w:val="20"/>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Depository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interest and transfer of ownership interest of each actual purchaser of each security held by or on behalf of DTC is recorded on the records of the Participants and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book-entry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S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material U.S. federal income tax consequences of the ownership and disposition of the Notes. This discussion is based on the provisions of the Internal Revenue Code of 1986, as amended (the “Code”), applicable U.S. Treasury Regulations promulgated thereunder, judicial authority and administrative interpretations, all as of the date hereof,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except as otherwise expressly set forth below under the heading “— Classification of the Notes”, an opinion of counsel with respect to the U.S. federal income tax consequences of owning or disposing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(as defined below) who purchase the Notes of a series in this offering for cash at a price equal to the issue price of the Notes of such series (i.e., the first price at which a substantial amount of the Notes of such series is sold for cash to investors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the U.S. federal income tax consequences of the Medicare tax on net investment income or the tax consequences arising under the laws of any U.S. state or local or non-U.S. jurisdiction or under any income tax treaty. In addition, this discussion does not address all tax consequences that may be relevant to a particular holder in light of the holder’s special circumstances, or to certain categories of investors that may be subject to special rules, such as: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currencies;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have elected the mark-to-market method of accounting for their securities;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 hold Notes through non-U.S. brokers or other non-U.S. intermediaries;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Notes as part of a hedge, straddle, appreciated financial position or other “synthetic security”, hedge, conversion transaction or other integrated transaction;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U.S. citizens or long-term residents of the United States;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that are tax-exempt for U.S. federal income tax purposes;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through individual retirement accounts (“IRAs”) or other tax-deferred accounts;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required to accelerate the recognition of any item of gross income with respect to the Notes as a result of such income being recognized on an “applicable financial statement” ​(within the meaning of Section 451(b) of the Code);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 a portion of the net proceeds from this offering pursuant to the redemption of our Series A preferred units or the redemption of our Series B preferred units; and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and other entities or arrangements treated as pass-through entities for U.S. federal income tax purposes and holders of interests therein.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owning and disposing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“holder” is either a U.S. holder or non-U.S. holder (each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INFORMATIONAL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OWNERSHIP AND DISPOSITION OF THE NOTES UNDER OTHER U.S. FEDERAL TAX LAWS OR UNDER THE LAWS OF ANY U.S. STATE OR LOCAL OR NON-U.S. JURISDICTION OR UNDER ANY APPLICABLE INCOME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a security is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In the opinion of Vinson &amp; Elkins LLP, under current law and based on the facts contained in this prospectus supplement, the terms of the Notes of each series and the indenture applicable to the Notes of each series, and certain assumptions and representations relied upon in rendering such opinion, the Notes should be treated as indebtedness for U.S. federal income tax purposes (although there is no controlling authority directly on point). This opinion is not binding on the IRS or any court, and there can be no assurance that the IRS or a court will not challenge this opinion or that a court would not sustain such a challenge. If the IRS were to successfully challenge the classification of the Notes as indebtedness, interest payments on the Notes likely would be treated for U.S. federal income tax purposes as guaranteed payments or distributions with respect to preferred partnership interests of PAA, and the U.S. federal income tax consequences to holders of the Notes would be materially different from those described herein. In such case, certain holders of the Notes could have substantial adverse tax consequences. For example, employee benefit plans and most other tax-exempt organizations, including IRAs and other retirement plans, could be subject to U.S. federal income tax on income and gain, if any, recognized by them with respect to the Notes as unrelated business taxable income. Non-U.S. holders of the Notes could be subject to U.S. federal income tax on income and gain, if any, recognized by them with respect to the Notes as effectively connected income (that would be attributable to a permanent establishment in the United States within the meaning of an applicable tax treaty), and be required to file U.S. federal tax returns in respect thereof. In addition, non-U.S. holders could be subject to substantial withholding taxes in connection with any payment from us or upon a taxable disposition of the Notes. Holders are urged to consult their own tax advisors regarding the tax consequences to them if the Notes were not to be treated as indebtedness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treat the notes as indebtedness for U.S. federal income tax purposes. Each holder of the Notes will, by accepting the Notes, be deemed to have agreed that the holder intends that the Notes constitute indebtedness and will treat the Notes as indebtedness for U.S. federal and applicable state and local income tax purposes. The remainder of this discussion assumes that the Notes will be respected as indebtedness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the notes — Redemption — Redemption Following a Rating Agency Event”), we may be obligated to make payments on the Notes in excess of the stated interest or principal on the Notes. If any of these contingencies were to occur, it would affect the amount and timing of income recognized by you. Further, these contingencies may implicate the provisions of the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(i) to accrue ordinary interest income based on a projected payment schedule and comparable yield, regardless of your regular method of accounting for U.S. federal income tax purposes and (ii)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applies to you if you are a U.S. holder of the Notes. You are a “U.S. holder” for purposes of this discussion if you are a beneficial owner of a Note and you are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in or under the laws of the United States, any state thereof or the District of Columbia; </w:t>
      </w:r>
      <w:r>
        <mc:AlternateContent>
          <mc:Choice Requires="wps">
            <w:drawing>
              <wp:anchor behindDoc="0" distT="660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660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that has one or more United States persons (as defined in the Code) that have the authority to control all substantial decisions of the trust or (ii) that has a valid election in effect under applicable U.S. Treasury Regulations to be treated as a United States person. </w:t>
      </w:r>
      <w:r>
        <mc:AlternateContent>
          <mc:Choice Requires="wps">
            <w:drawing>
              <wp:anchor behindDoc="0" distT="660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and Original Issue Discount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option under certain circumstances to defer payments of stated interest on the Notes (see “Description of the notes — Option to Defer Interest Payments”). Under the U.S. Treasury Regulations relating to original issue discount (“OID”), a debt instrument is deemed to be issued with OID if there is more than a “remote” contingency that periodic stated interest payments due on the instrument will not be timely paid. We believe the likelihood of our exercising the option to defer payment of stated interest on the Notes is remote within the meaning of the U.S. Treasury Regulations, in part because our exercise of the option to defer payments of stated interest on the Notes would generally prevent us from: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or paying any dividends or distributions on any of our Capital Stock;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redeeming, purchasing, acquiring or making a liquidation payment with respect to any of our Capital Stock; </w:t>
      </w:r>
      <w:r>
        <mc:AlternateContent>
          <mc:Choice Requires="wps">
            <w:drawing>
              <wp:anchor behindDoc="0" distT="660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paying any principal, interest or premium on, or repaying, repurchasing or redeeming, any of our indebtedness that ranks equally with or junior to the Notes of such series in right of payment; or </w:t>
      </w:r>
      <w:r>
        <mc:AlternateContent>
          <mc:Choice Requires="wps">
            <w:drawing>
              <wp:anchor behindDoc="0" distT="660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any payments with respect to any of our guarantees of any indebtedness if such guarantees rank equally with or junior to the Notes of such series in right of payment. </w:t>
      </w:r>
      <w:r>
        <mc:AlternateContent>
          <mc:Choice Requires="wps">
            <w:drawing>
              <wp:anchor behindDoc="0" distT="6477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determination that these contingencies are remote is binding on you unless you disclose your contrary position in the manner required by applicable U.S. Treasury Regulations. Our determination is not, however, binding on the IRS. There can be no assurance that the IRS or a court will agree with these positions. The meaning of the term “remote” in the U.S. Treasury Regulations has not yet been addressed in any rulings or other guidance by the IRS or any court.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foregoing, we expect the Notes of each series to be treated as “variable rate debt instruments” for U.S. federal income tax purposes. Based on the U.S. Treasury Regulations applicable to variable rate debt instruments and the expected pricing terms of the Notes, we do not expect the pricing of the Notes of each series to result in the Notes as being treated as issued with OID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foregoing positions, it is expected that the Notes of each series will be issued without OID for U.S. federal income tax purposes, and you generally will be required to recognize any stated interest as ordinary income at the time it is received or accrued on the Notes of such series in accordance with your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option to defer interest payments on the Notes of any series were determined not to be remote, if we exercise the option to defer interest payments on the Notes of any series, if the pricing terms for the Notes of a series were to be set in a manner different than our expectations or if the Notes of a series were otherwise determined to have OID, the Notes of such series would be treated as issued with OID at the time of issuance or as reissued with OID at the time of such deferral, as the case may be, and all or a portion of the stated interest or, if interest is in fact deferred, all stated interest due after such deferral would be treated as OID. Under the OID rules, you would be required to include such OID in taxable income (as ordinary income) with respect to the Notes of such series as it accrues, using a constant yield method, regardless of your method of accounting for U.S. federal income tax purposes and in advance of the receipt of cash to which such OID is attributable with respect to the Notes of such series. Consequently, you would be required to include OID in gross income with respect to the Notes of such series even though we would not make any actual cash payments during an Optional Deferral Period with respect to the Notes of such series.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(excluding any amount attributable to accrued but unpaid interest on the Note, which will be recognized as ordinary interest income to the extent you have not previously included the accrued interest in gross income). Your adjusted tax basis in a Note of any series will, in general, be your cost for that Note of such series, and if the Note of such series is treated as having been issued or reissued with OID, such adjusted tax basis will also be increased by the amount of any OID previously included in your gross income with respect to the Note of such series and decreased by any payments received on the Note of such series since and including the date that the Note of such series was deemed to be issued or reissued with OID (other than any payments of qualified stated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dispose of a Note of any series before the record date for the payment of interest at the end of an Optional Deferral Period, you will not receive such accrued and unpaid interest. Instead, the accrued and unpaid interest will be paid to the holder of record on the record date regardless of who the holder of record may have been on any other date during the Optional Deferral Period. Moreover, the accrued OID will be added to your adjusted tax basis in the Note of such series but may not be reflected in the amount you realize on the sale or other disposition. To the extent that the amount realized on a sale or other taxable disposition of a Note of such series is less than your adjusted tax basis, you will generally recognize a capital loss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(including accrued OID, if any) on, and the proceeds of the sale or other disposition (including a redemption, exchange, or retirement) of,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applies to you if you are a non-U.S. holder of the Notes. You are a “non-U.S. holder” for purposes of this discussion if you are a beneficial owner of a Note that is, for U.S. federal income tax purposes, an individual, corporation, estate or trust that is not a 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backup withholding and withholding requirements under FATCA, payments to you of interest (which, for purposes of this discussion under the heading “— Tax Consequences to Non-U.S. Holders”, includes any OID) on a Note generally will not be subject to U.S. federal income or withholding tax under the “portfolio interest” exemption if you properly certify as to your non-U.S. status, as described below, and: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our capital or profits interests; </w:t>
      </w:r>
      <w:r>
        <mc:AlternateContent>
          <mc:Choice Requires="wps">
            <w:drawing>
              <wp:anchor behindDoc="0" distT="6985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w:t>
      </w:r>
      <w:r>
        <mc:AlternateContent>
          <mc:Choice Requires="wps">
            <w:drawing>
              <wp:anchor behindDoc="0" distT="673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 is in connection with an extension of credit made pursuant to a loan agreement entered into in the ordinary course of your trade or business; and </w:t>
      </w:r>
      <w:r>
        <mc:AlternateContent>
          <mc:Choice Requires="wps">
            <w:drawing>
              <wp:anchor behindDoc="0" distT="673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is not effectively connected with your conduct of a U.S. trade or business. </w:t>
      </w:r>
      <w:r>
        <mc:AlternateContent>
          <mc:Choice Requires="wps">
            <w:drawing>
              <wp:anchor behindDoc="0" distT="673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generally applies only if you also appropriately certify as to your non-U.S. status. You can generally meet the certification requirement by providing a properly executed IRS Form W-8BEN or IRS Form W-8BEN-E (or other applicable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non-U.S. partnerships, estates and trusts, and in certain circumstances certifications as to the non-U.S. status of partners, trust owners or beneficiaries may have to be provided to the applicable withholding agent. In addition, special rules apply to qualified intermediaries that enter into withholding agreements with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or successor form) claiming an exemption from (or a reduction of) withholding under the benefits of an applicable income tax treaty, or (ii) the payments of such interest are effectively connected with your conduct of a trade or business in the United States and you meet the certification requirements described below. (See “— Tax Consequences to Non-U.S. Holders — Income or Gain Effectively Connected with a U.S. Trade or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 of) withholding under an applicable income tax treaty, you may obtain a refund of any excess amounts withheld if you timely provide the required information or appropriate claim form to the IRS. You should consult your tax advisor regarding your entitlement to benefits under any applicable income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OID in respect of the Notes of each series, see the discussion above under “— Tax Consequences to U.S. Holders — Interest and Original Issue Discount”.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backup withholding, you generally will not be subject to U.S. federal income tax on any gain recognized on the sale, redemption, exchange, retirement or other taxable disposition of a Note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by you of a U.S. trade or business; or </w:t>
      </w:r>
      <w:r>
        <mc:AlternateContent>
          <mc:Choice Requires="wps">
            <w:drawing>
              <wp:anchor behindDoc="0" distT="0" distB="0" distL="25400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has been present in the United States for 183 days or more in the taxable year of disposition and certain other requirements are met. </w:t>
      </w:r>
      <w:r>
        <mc:AlternateContent>
          <mc:Choice Requires="wps">
            <w:drawing>
              <wp:anchor behindDoc="0" distT="8128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gain is described in the first bullet point above, you generally will be subject to U.S. federal income tax in the manner described below under “— Tax Consequences to Non-U.S. Holders — Income or Gain Effectively Connected with a U.S. Trade or Business.” If you are a non-U.S. holder described in the second bullet point above, you will be subject to a U.S. federal income tax at a 30% rate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and unpaid interest on the Notes, this amount generally will be treated in the same manner as described above in “— Tax Consequences to Non-U.S. Holders — Interest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or Gain Effectively Connected with a U.S. Trade or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that is subject to U.S. federal income tax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to you of interest on a Note of any series,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an applicable treaty or other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to you of interest on a Note if the certification described in “— Tax Consequences to Non-U.S. Holders — Interest on the Notes” is duly provided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from the sale or other taxable disposition (including a redemption, exchange or retirement) of a Note effected by the U.S. office of a U.S. or non-U.S. broker will be subject to information reporting requirements and backup withholding unless you properly certify under penalties of perjury as to your non-U.S. status on IRS Form W-8BEN or IRS Form W-8BEN-E, as applicable (or other applicable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non-U.S. office of a broker. However, unless such a broker has documentary evidence in its records that you are not a United States person and certain other conditions are met, or you otherwise establish an exemption, information reporting will apply to a payment of the proceeds of the taxable disposition of a Note effected outside the United States by such a broker if it has certain relationships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Withholding on Payments to Certain Foreign Entities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(referred to as “FATCA”) generally impose a 30% U.S. federal withholding tax on “withholdable payments” ​(as defined in the Code), including payments of interest (including any OID)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its direct and indirect substantial United States owners (generally by providing an IRS Form W-8BEN-E or other applicable or successor form);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proposed U.S. Treasury Regulations provide that such payments of gross proceeds (other than amounts treated as interest) do not constitute withholdable payments. In general, taxpayers may rely on these proposed U.S. Treasury Regulations until they are revoked or final U.S.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financial institutions located in jurisdictions that have an intergovernmental agreement with the United States with respect to these rules may be subject to different rules. Under certain circumstances, a holder of Notes might be eligible for refunds or credits of such taxes. You should consult your own tax advisor regarding the effects of FATCA on your investment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PRECEDING DISCUSSION OF MATERIAL U.S. FEDERAL INCOME TAX CONSEQUENCES IS FOR INFORMATIONAL USE ONLY AND IS NOT TAX ADVICE. YOU SHOULD CONSULT YOUR OWN TAX ADVISOR REGARDING THE PARTICULAR U.S. FEDERAL, STATE AND LOCAL AND NON-U.S. TAX CONSEQUENCES OF OWNING AND DISPOSING OF THE NOTES, INCLUDING THE CONSEQUENCES OF ANY PROPOSED CHANGE IN APPLICABLE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dated the date of this prospectus supplement, between us and the underwriters named below, we have agreed to sell to each of the underwriters, for whom J.P. Morgan Securities LLC, Citigroup Global Markets Inc., Mizuho Securities USA LLC, MUFG Securities Americas Inc. and Truist Securities, Inc. are acting as representatives, and the underwriters have agreed, severally and not jointly, to purchase the principal amount of the Notes of each series set forth opposite their respective names below: </w:t>
      </w:r>
    </w:p>
    <w:tbl>
      <w:tblPr>
        <w:tblW w:w="7028" w:type="dxa"/>
        <w:jc w:val="left"/>
        <w:tblInd w:w="1393" w:type="dxa"/>
        <w:tblLayout w:type="fixed"/>
        <w:tblCellMar>
          <w:top w:w="0" w:type="dxa"/>
          <w:left w:w="0" w:type="dxa"/>
          <w:bottom w:w="28" w:type="dxa"/>
          <w:right w:w="0" w:type="dxa"/>
        </w:tblCellMar>
      </w:tblPr>
      <w:tblGrid>
        <w:gridCol w:w="3329"/>
        <w:gridCol w:w="109"/>
        <w:gridCol w:w="109"/>
        <w:gridCol w:w="134"/>
        <w:gridCol w:w="278"/>
        <w:gridCol w:w="1017"/>
        <w:gridCol w:w="134"/>
        <w:gridCol w:w="109"/>
        <w:gridCol w:w="109"/>
        <w:gridCol w:w="132"/>
        <w:gridCol w:w="275"/>
        <w:gridCol w:w="1007"/>
        <w:gridCol w:w="132"/>
        <w:gridCol w:w="154"/>
      </w:tblGrid>
      <w:tr>
        <w:trPr/>
        <w:tc>
          <w:tcPr>
            <w:tcW w:w="33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2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Principal 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29"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Series A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Series B Notes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17" w:type="dxa"/>
            <w:tcBorders/>
            <w:shd w:fill="CCEEFF" w:val="clear"/>
            <w:tcMar>
              <w:bottom w:w="0" w:type="dxa"/>
            </w:tcMar>
            <w:vAlign w:val="center"/>
          </w:tcPr>
          <w:p>
            <w:pPr>
              <w:pStyle w:val="TableContents"/>
              <w:bidi w:val="0"/>
              <w:spacing w:before="0" w:after="283"/>
              <w:jc w:val="right"/>
              <w:rPr/>
            </w:pPr>
            <w:r>
              <w:rPr/>
              <w:t>      </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17"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8" w:type="dxa"/>
            <w:tcBorders/>
            <w:shd w:fill="CCEEFF" w:val="clear"/>
            <w:tcMar>
              <w:bottom w:w="0" w:type="dxa"/>
            </w:tcMar>
            <w:vAlign w:val="center"/>
          </w:tcPr>
          <w:p>
            <w:pPr>
              <w:pStyle w:val="TableContents"/>
              <w:bidi w:val="0"/>
              <w:spacing w:before="0" w:after="283"/>
              <w:jc w:val="right"/>
              <w:rPr/>
            </w:pPr>
            <w:r>
              <w:rPr/>
              <w:t>​</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tcMar>
              <w:bottom w:w="0" w:type="dxa"/>
            </w:tcMar>
            <w:vAlign w:val="center"/>
          </w:tcPr>
          <w:p>
            <w:pPr>
              <w:pStyle w:val="TableContents"/>
              <w:bidi w:val="0"/>
              <w:spacing w:before="0" w:after="283"/>
              <w:jc w:val="right"/>
              <w:rPr/>
            </w:pPr>
            <w:r>
              <w:rPr/>
              <w:t>​</w:t>
            </w:r>
          </w:p>
        </w:tc>
        <w:tc>
          <w:tcPr>
            <w:tcW w:w="1017"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2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27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27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329"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8" w:type="dxa"/>
            <w:tcBorders>
              <w:bottom w:val="double" w:sz="8" w:space="0" w:color="000000"/>
            </w:tcBorders>
            <w:tcMar>
              <w:bottom w:w="50" w:type="dxa"/>
            </w:tcMar>
            <w:vAlign w:val="center"/>
          </w:tcPr>
          <w:p>
            <w:pPr>
              <w:pStyle w:val="TableContents"/>
              <w:bidi w:val="0"/>
              <w:spacing w:before="0" w:after="283"/>
              <w:jc w:val="right"/>
              <w:rPr/>
            </w:pPr>
            <w:r>
              <w:rPr/>
              <w:t>$</w:t>
            </w:r>
          </w:p>
        </w:tc>
        <w:tc>
          <w:tcPr>
            <w:tcW w:w="1017" w:type="dxa"/>
            <w:tcBorders>
              <w:bottom w:val="double" w:sz="8" w:space="0" w:color="000000"/>
            </w:tcBorders>
            <w:tcMar>
              <w:bottom w:w="50" w:type="dxa"/>
            </w:tcMar>
            <w:vAlign w:val="center"/>
          </w:tcPr>
          <w:p>
            <w:pPr>
              <w:pStyle w:val="TableContents"/>
              <w:bidi w:val="0"/>
              <w:spacing w:before="0" w:after="283"/>
              <w:jc w:val="left"/>
              <w:rPr>
                <w:sz w:val="4"/>
                <w:szCs w:val="4"/>
              </w:rPr>
            </w:pPr>
            <w:r>
              <w:rPr>
                <w:sz w:val="4"/>
                <w:szCs w:val="4"/>
              </w:rPr>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bottom w:val="double" w:sz="8" w:space="0" w:color="000000"/>
            </w:tcBorders>
            <w:tcMar>
              <w:bottom w:w="50" w:type="dxa"/>
            </w:tcMar>
            <w:vAlign w:val="center"/>
          </w:tcPr>
          <w:p>
            <w:pPr>
              <w:pStyle w:val="TableContents"/>
              <w:bidi w:val="0"/>
              <w:spacing w:before="0" w:after="283"/>
              <w:jc w:val="right"/>
              <w:rPr/>
            </w:pPr>
            <w:r>
              <w:rPr/>
              <w:t>$</w:t>
            </w:r>
          </w:p>
        </w:tc>
        <w:tc>
          <w:tcPr>
            <w:tcW w:w="1007" w:type="dxa"/>
            <w:tcBorders>
              <w:bottom w:val="double" w:sz="8" w:space="0" w:color="000000"/>
            </w:tcBorders>
            <w:tcMar>
              <w:bottom w:w="5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initially to offer the Notes to the public at the public offering prices set forth on the cover page of this prospectus supplement and may offer the Notes to certain dealers at a price less a concession not in excess of    % of the principal amount of the Series A Notes, with respect to the Series A Notes, or    % of the principal amount of the Series B Notes, with respect to the Series B Notes. The underwriters may allow a discount not in excess of    % of the principal amount of the Series A Notes, with respect to the Series A Notes, or    % of the principal amount of the Series B Notes, with respect to the Series B Notes, on sales to certain other brokers and dealers. After this initial public offering, the public offering price, concession and discount for either series of the Notes may be changed.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compensation to be paid by us to the underwriters. </w:t>
      </w:r>
    </w:p>
    <w:tbl>
      <w:tblPr>
        <w:tblW w:w="3813" w:type="dxa"/>
        <w:jc w:val="left"/>
        <w:tblInd w:w="1393" w:type="dxa"/>
        <w:tblLayout w:type="fixed"/>
        <w:tblCellMar>
          <w:top w:w="0" w:type="dxa"/>
          <w:left w:w="0" w:type="dxa"/>
          <w:bottom w:w="28" w:type="dxa"/>
          <w:right w:w="0" w:type="dxa"/>
        </w:tblCellMar>
      </w:tblPr>
      <w:tblGrid>
        <w:gridCol w:w="1931"/>
        <w:gridCol w:w="109"/>
        <w:gridCol w:w="109"/>
        <w:gridCol w:w="197"/>
        <w:gridCol w:w="408"/>
        <w:gridCol w:w="706"/>
        <w:gridCol w:w="199"/>
        <w:gridCol w:w="154"/>
      </w:tblGrid>
      <w:tr>
        <w:trPr/>
        <w:tc>
          <w:tcPr>
            <w:tcW w:w="19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Underwriting </w:t>
            </w:r>
            <w:r>
              <w:rPr/>
              <w:br/>
            </w:r>
            <w:r>
              <w:rPr>
                <w:spacing w:val="-3"/>
              </w:rPr>
              <w:t xml:space="preserve">Discount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31" w:type="dxa"/>
            <w:tcBorders/>
            <w:shd w:fill="CCEEFF" w:val="clear"/>
            <w:tcMar>
              <w:bottom w:w="0" w:type="dxa"/>
            </w:tcMar>
            <w:vAlign w:val="center"/>
          </w:tcPr>
          <w:p>
            <w:pPr>
              <w:pStyle w:val="TableContents"/>
              <w:bidi w:val="0"/>
              <w:spacing w:before="0" w:after="0"/>
              <w:jc w:val="left"/>
              <w:rPr>
                <w:spacing w:val="4"/>
              </w:rPr>
            </w:pPr>
            <w:r>
              <w:rPr>
                <w:spacing w:val="4"/>
              </w:rPr>
              <w:t xml:space="preserve">Per Series A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     </w:t>
            </w:r>
          </w:p>
        </w:tc>
        <w:tc>
          <w:tcPr>
            <w:tcW w:w="19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31" w:type="dxa"/>
            <w:tcBorders/>
            <w:shd w:fill="CCEEFF" w:val="clear"/>
            <w:tcMar>
              <w:bottom w:w="0" w:type="dxa"/>
            </w:tcMar>
            <w:vAlign w:val="center"/>
          </w:tcPr>
          <w:p>
            <w:pPr>
              <w:pStyle w:val="TableContents"/>
              <w:bidi w:val="0"/>
              <w:spacing w:before="0" w:after="0"/>
              <w:jc w:val="left"/>
              <w:rPr>
                <w:spacing w:val="4"/>
              </w:rPr>
            </w:pPr>
            <w:r>
              <w:rPr>
                <w:spacing w:val="4"/>
              </w:rPr>
              <w:t xml:space="preserve">Per Series B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408" w:type="dxa"/>
            <w:tcBorders/>
            <w:shd w:fill="CCEEFF" w:val="clear"/>
            <w:tcMar>
              <w:bottom w:w="0" w:type="dxa"/>
            </w:tcMar>
            <w:vAlign w:val="center"/>
          </w:tcPr>
          <w:p>
            <w:pPr>
              <w:pStyle w:val="TableContents"/>
              <w:bidi w:val="0"/>
              <w:spacing w:before="0" w:after="283"/>
              <w:jc w:val="right"/>
              <w:rPr/>
            </w:pPr>
            <w:r>
              <w:rPr/>
              <w:t>​</w:t>
            </w:r>
          </w:p>
        </w:tc>
        <w:tc>
          <w:tcPr>
            <w:tcW w:w="7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408" w:type="dxa"/>
            <w:tcBorders/>
            <w:tcMar>
              <w:bottom w:w="0" w:type="dxa"/>
            </w:tcMar>
            <w:vAlign w:val="center"/>
          </w:tcPr>
          <w:p>
            <w:pPr>
              <w:pStyle w:val="TableContents"/>
              <w:bidi w:val="0"/>
              <w:spacing w:before="0" w:after="283"/>
              <w:jc w:val="right"/>
              <w:rPr/>
            </w:pPr>
            <w:r>
              <w:rPr/>
              <w:t>$</w:t>
            </w:r>
          </w:p>
        </w:tc>
        <w:tc>
          <w:tcPr>
            <w:tcW w:w="706"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discounts, will be approximately $      .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We have been advised by the underwriters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underwriters intend to make a market in each series of the Notes but are not obligated to do so and may discontinue market making at any time without notice. No assurance can be given as to whether or not a trading market for either series of the Notes will develop or as to the liquidity of any trading market for either series of the Notes which may develop. If an active public trading market for either series of the Notes does not develop, the market price and liquidity of such series of Notes may be adversely affected. If either series of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 2026, which is the         business day following the date of pricing of the Notes (such settlement being referred to as “T+      ”). Under Rule 15c6-1 of the Exchange Act,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T+      , to specify an alternate settlement cycle at the time of any such trade to prevent failed settlement and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not a professional client, as defined in point (8) of Article 2(1) of Regulation (EU) No 600/2014 as it forms part of domestic law by virtue of the European Union (Withdrawal) Act 2018;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New Notes or otherwise making them available to any retail investor in the UK may be unlawful under DISC and the Consumer Composite Investments (Designated Activities) Regulations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has severally represented, warranted and agreed that: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only communicated or caused to be communicated, and will only communicate or cause to be communicated, any invitation or inducement to engage in investment activity (within the meaning of section 21 of the FSMA) received by it in connection with the issue or sale of any Notes in circumstances in which section 21(1) of the FSMA does not apply to the Issuer; and </w:t>
      </w:r>
      <w:r>
        <mc:AlternateContent>
          <mc:Choice Requires="wps">
            <w:drawing>
              <wp:anchor behindDoc="0" distT="9906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complied and will comply with all applicable provisions of the FSMA with respect to anything done by it in relation to the Notes in, from or otherwise involving the United Kingdom.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member states of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(for corporations, under Section 274 of the SFA) or to a relevant person defined in Section 275(2) of the SFA, or to any person pursuant to Section 275(1A), and in accordance with the conditions specified in Section 275 of the SFA;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or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South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Abu Dhabi Global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of either series.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Notes being offered hereby will be passed upon for us by Vinson &amp; Elkins L.L.P., Houston, Texas and for the underwriters by Baker Botts L.L.P., Houston, Texas.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EPIC Crude Holdings, LP and its subsidiaries as of and for the years ended December 31, 2024 and 2023 have been incorporated by reference in this Prospectus in reliance upon the report of KPMG LLP, independent auditors, incorporated by reference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bidi w:val="0"/>
        <w:spacing w:lineRule="atLeast" w:line="240" w:before="120" w:after="0"/>
        <w:ind w:left="1993" w:right="0" w:hanging="0"/>
        <w:jc w:val="left"/>
        <w:rPr/>
      </w:pPr>
      <w:hyperlink r:id="rId10">
        <w:r>
          <w:rPr>
            <w:rStyle w:val="InternetLink"/>
          </w:rPr>
          <w:t>Annual Report on Form 10-K for the fiscal year ended December 31, 2025, including information specifically incorporated by reference from our Proxy Statement for our 2026 Annual Meeting;</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periods ended </w:t>
      </w:r>
      <w:hyperlink r:id="rId11">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 on Form 8-K/A filed with the SEC on </w:t>
      </w:r>
      <w:hyperlink r:id="rId13">
        <w:r>
          <w:rPr>
            <w:rStyle w:val="InternetLink"/>
          </w:rPr>
          <w:t>January 16, 2026</w:t>
        </w:r>
      </w:hyperlink>
      <w:r>
        <w:rPr>
          <w:rFonts w:ascii="Times New Roman;Times;serif" w:hAnsi="Times New Roman;Times;serif"/>
          <w:b w:val="false"/>
          <w:i w:val="false"/>
          <w:caps w:val="false"/>
          <w:smallCaps w:val="false"/>
          <w:color w:val="000000"/>
          <w:spacing w:val="4"/>
          <w:sz w:val="20"/>
        </w:rPr>
        <w:t xml:space="preserve"> (excluding Exhibit 99.3 thereto) and Current Reports on Form 8-K filed with the SEC on </w:t>
      </w:r>
      <w:hyperlink r:id="rId14">
        <w:r>
          <w:rPr>
            <w:rStyle w:val="InternetLink"/>
          </w:rPr>
          <w:t>March 3,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May 22,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June 2,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June 17, 2026</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September 9</w:t>
        </w:r>
      </w:hyperlink>
      <w:hyperlink r:id="rId21">
        <w:r>
          <w:rPr>
            <w:rStyle w:val="InternetLink"/>
          </w:rPr>
          <w:t>,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All American Pipeline,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 website that contains reports, proxy and information statements, and other information regarding us. The SEC’s website address is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PLAINS ALL AMERICAN PIPELINE, L.P.</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PAA FINANCE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units, preferred units and debt securities involves risks. Limited partnerships are inherently different from corporations. You should carefully consider the risk factors described under “Risk Factors” beginning on page </w:t>
      </w:r>
      <w:hyperlink w:anchor="b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before you make an investment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units are traded on the Nasdaq Global Select Market under the symbol “PAA.” We will provide information in the prospectus supplement for the trading market, if any, for any preferred units or debt securities we may offer.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September 6,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200" w:type="dxa"/>
        <w:jc w:val="left"/>
        <w:tblInd w:w="1393" w:type="dxa"/>
        <w:tblLayout w:type="fixed"/>
        <w:tblCellMar>
          <w:top w:w="0" w:type="dxa"/>
          <w:left w:w="0" w:type="dxa"/>
          <w:bottom w:w="0" w:type="dxa"/>
          <w:right w:w="0" w:type="dxa"/>
        </w:tblCellMar>
      </w:tblPr>
      <w:tblGrid>
        <w:gridCol w:w="124"/>
        <w:gridCol w:w="496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APAA">
              <w:r>
                <w:rPr>
                  <w:rStyle w:val="InternetLink"/>
                  <w:spacing w:val="4"/>
                </w:rPr>
                <w:t xml:space="preserve">About Plains All American Pipeline,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APAA">
              <w:r>
                <w:rPr>
                  <w:rStyle w:val="InternetLink"/>
                  <w:spacing w:val="4"/>
                </w:rPr>
                <w:t>1</w:t>
              </w:r>
            </w:hyperlink>
            <w:hyperlink w:anchor="bAP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DOOD">
              <w:r>
                <w:rPr>
                  <w:rStyle w:val="InternetLink"/>
                  <w:spacing w:val="4"/>
                </w:rPr>
                <w:t xml:space="preserve">Description of Our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D">
              <w:r>
                <w:rPr>
                  <w:rStyle w:val="InternetLink"/>
                  <w:spacing w:val="4"/>
                </w:rPr>
                <w:t>5</w:t>
              </w:r>
            </w:hyperlink>
            <w:hyperlink w:anchor="bDO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DOOP">
              <w:r>
                <w:rPr>
                  <w:rStyle w:val="InternetLink"/>
                  <w:spacing w:val="4"/>
                </w:rPr>
                <w:t xml:space="preserve">Description of Our Preferred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OP">
              <w:r>
                <w:rPr>
                  <w:rStyle w:val="InternetLink"/>
                  <w:spacing w:val="4"/>
                </w:rPr>
                <w:t>13</w:t>
              </w:r>
            </w:hyperlink>
            <w:hyperlink w:anchor="bDO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DOOC">
              <w:r>
                <w:rPr>
                  <w:rStyle w:val="InternetLink"/>
                  <w:spacing w:val="4"/>
                </w:rPr>
                <w:t xml:space="preserve">Description of Our Common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C">
              <w:r>
                <w:rPr>
                  <w:rStyle w:val="InternetLink"/>
                  <w:spacing w:val="4"/>
                </w:rPr>
                <w:t>15</w:t>
              </w:r>
            </w:hyperlink>
            <w:hyperlink w:anchor="bD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CDP">
              <w:r>
                <w:rPr>
                  <w:rStyle w:val="InternetLink"/>
                  <w:spacing w:val="4"/>
                </w:rPr>
                <w:t xml:space="preserve">Cash Distribution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CDP">
              <w:r>
                <w:rPr>
                  <w:rStyle w:val="InternetLink"/>
                  <w:spacing w:val="4"/>
                </w:rPr>
                <w:t>17</w:t>
              </w:r>
            </w:hyperlink>
            <w:hyperlink w:anchor="bC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DOOP1">
              <w:r>
                <w:rPr>
                  <w:rStyle w:val="InternetLink"/>
                  <w:spacing w:val="4"/>
                </w:rPr>
                <w:t xml:space="preserve">Description of Our Partnership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P1">
              <w:r>
                <w:rPr>
                  <w:rStyle w:val="InternetLink"/>
                  <w:spacing w:val="4"/>
                </w:rPr>
                <w:t>19</w:t>
              </w:r>
            </w:hyperlink>
            <w:hyperlink w:anchor="bDO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MUFI">
              <w:r>
                <w:rPr>
                  <w:rStyle w:val="InternetLink"/>
                  <w:spacing w:val="4"/>
                </w:rPr>
                <w:t>24</w:t>
              </w:r>
            </w:hyperlink>
            <w:hyperlink w:anchor="b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POD">
              <w:r>
                <w:rPr>
                  <w:rStyle w:val="InternetLink"/>
                  <w:spacing w:val="4"/>
                </w:rPr>
                <w:t>40</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LEMA">
              <w:r>
                <w:rPr>
                  <w:rStyle w:val="InternetLink"/>
                  <w:spacing w:val="4"/>
                </w:rPr>
                <w:t>42</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XP">
              <w:r>
                <w:rPr>
                  <w:rStyle w:val="InternetLink"/>
                  <w:spacing w:val="4"/>
                </w:rPr>
                <w:t>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WYC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 </w:t>
      </w:r>
    </w:p>
    <w:p>
      <w:pPr>
        <w:pStyle w:val="TextBody"/>
        <w:bidi w:val="0"/>
        <w:spacing w:lineRule="atLeast" w:line="240" w:before="120" w:after="0"/>
        <w:ind w:left="1993" w:right="0" w:hanging="0"/>
        <w:jc w:val="left"/>
        <w:rPr/>
      </w:pPr>
      <w:hyperlink r:id="rId22">
        <w:r>
          <w:rPr>
            <w:rStyle w:val="InternetLink"/>
          </w:rPr>
          <w:t>our Annual Report on 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w:t>
      </w:r>
      <w:hyperlink r:id="rId23">
        <w:r>
          <w:rPr>
            <w:rStyle w:val="InternetLink"/>
          </w:rPr>
          <w:t>March 31, 2024</w:t>
        </w:r>
      </w:hyperlink>
      <w:r>
        <w:rPr>
          <w:rFonts w:ascii="Times New Roman;Times;serif" w:hAnsi="Times New Roman;Times;serif"/>
          <w:b w:val="false"/>
          <w:i w:val="false"/>
          <w:caps w:val="false"/>
          <w:smallCaps w:val="false"/>
          <w:color w:val="000000"/>
          <w:spacing w:val="4"/>
          <w:sz w:val="20"/>
        </w:rPr>
        <w:t xml:space="preserve"> and </w:t>
      </w:r>
      <w:hyperlink r:id="rId24">
        <w:r>
          <w:rPr>
            <w:rStyle w:val="InternetLink"/>
          </w:rPr>
          <w:t>June 30,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25">
        <w:r>
          <w:rPr>
            <w:rStyle w:val="InternetLink"/>
          </w:rPr>
          <w:t>May 28,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June 20,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June 27, 2024</w:t>
        </w:r>
      </w:hyperlink>
      <w:r>
        <w:rPr>
          <w:rFonts w:ascii="Times New Roman;Times;serif" w:hAnsi="Times New Roman;Times;serif"/>
          <w:b w:val="false"/>
          <w:i w:val="false"/>
          <w:caps w:val="false"/>
          <w:smallCaps w:val="false"/>
          <w:color w:val="000000"/>
          <w:spacing w:val="4"/>
          <w:sz w:val="20"/>
        </w:rPr>
        <w:t xml:space="preserve"> and </w:t>
      </w:r>
      <w:hyperlink r:id="rId28">
        <w:r>
          <w:rPr>
            <w:rStyle w:val="InternetLink"/>
          </w:rPr>
          <w:t>August 22,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into </w:t>
      </w:r>
      <w:hyperlink r:id="rId29">
        <w:r>
          <w:rPr>
            <w:rStyle w:val="InternetLink"/>
          </w:rPr>
          <w:t>our 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from </w:t>
      </w:r>
      <w:hyperlink r:id="rId30">
        <w:r>
          <w:rPr>
            <w:rStyle w:val="InternetLink"/>
          </w:rPr>
          <w:t>our proxy statement, on Schedule 14A, filed with the SEC on April 12,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units contained in </w:t>
      </w:r>
      <w:hyperlink r:id="rId31">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2023, </w:t>
      </w:r>
      <w:hyperlink r:id="rId32">
        <w:r>
          <w:rPr>
            <w:rStyle w:val="InternetLink"/>
          </w:rPr>
          <w:t>Form 8-A/A dated November 16, 2016</w:t>
        </w:r>
      </w:hyperlink>
      <w:r>
        <w:rPr>
          <w:rFonts w:ascii="Times New Roman;Times;serif" w:hAnsi="Times New Roman;Times;serif"/>
          <w:b w:val="false"/>
          <w:i w:val="false"/>
          <w:caps w:val="false"/>
          <w:smallCaps w:val="false"/>
          <w:color w:val="000000"/>
          <w:spacing w:val="4"/>
          <w:sz w:val="20"/>
        </w:rPr>
        <w:t xml:space="preserve"> and </w:t>
      </w:r>
      <w:hyperlink r:id="rId33">
        <w:r>
          <w:rPr>
            <w:rStyle w:val="InternetLink"/>
          </w:rPr>
          <w:t>Form 8-A dated December 11, 2020</w:t>
        </w:r>
      </w:hyperlink>
      <w:r>
        <w:rPr>
          <w:rFonts w:ascii="Times New Roman;Times;serif" w:hAnsi="Times New Roman;Times;serif"/>
          <w:b w:val="false"/>
          <w:i w:val="false"/>
          <w:caps w:val="false"/>
          <w:smallCaps w:val="false"/>
          <w:color w:val="000000"/>
          <w:spacing w:val="4"/>
          <w:sz w:val="20"/>
        </w:rPr>
        <w:t xml:space="preserve">, and any subsequent amendment thereto filed for the purpose of updating such description.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any document incorporated by reference into this prospectus and any exhibit specifically incorporated by reference in those documents, at no cost, by writing or telephoning us at the following address or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All American Pipeline,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609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NGL and resulting changes in pricing conditions or transportation throughput requirements; </w:t>
      </w:r>
      <w:r>
        <mc:AlternateContent>
          <mc:Choice Requires="wps">
            <w:drawing>
              <wp:anchor behindDoc="0" distT="609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and NGL market structure, grade differentials and volatility (or lack thereof); </w:t>
      </w:r>
      <w:r>
        <mc:AlternateContent>
          <mc:Choice Requires="wps">
            <w:drawing>
              <wp:anchor behindDoc="0" distT="609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609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609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609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609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wildfires and drought); </w:t>
      </w:r>
      <w:r>
        <mc:AlternateContent>
          <mc:Choice Requires="wps">
            <w:drawing>
              <wp:anchor behindDoc="0" distT="609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w:t>
      </w:r>
      <w:r>
        <mc:AlternateContent>
          <mc:Choice Requires="wps">
            <w:drawing>
              <wp:anchor behindDoc="0" distT="609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609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NGL and other petroleum products, which may impair our ability to execute our commercial or hedging strategies; </w:t>
      </w:r>
      <w:r>
        <mc:AlternateContent>
          <mc:Choice Requires="wps">
            <w:drawing>
              <wp:anchor behindDoc="0" distT="647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647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647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our credit ratings and ability to receive open credit from our suppliers and trade counterparties; </w:t>
      </w:r>
      <w:r>
        <mc:AlternateContent>
          <mc:Choice Requires="wps">
            <w:drawing>
              <wp:anchor behindDoc="0" distT="647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w:t>
      </w:r>
      <w:r>
        <mc:AlternateContent>
          <mc:Choice Requires="wps">
            <w:drawing>
              <wp:anchor behindDoc="0" distT="647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our ability to consummate, acquisitions, divestitures, joint ventures or other strategic opportunities; </w:t>
      </w:r>
      <w:r>
        <mc:AlternateContent>
          <mc:Choice Requires="wps">
            <w:drawing>
              <wp:anchor behindDoc="0" distT="647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647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647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647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635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635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635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635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635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recognize current revenue attributable to deficiency payments received from customers who fail to ship or move more than minimum contracted volumes until the related credits expire or are used; </w:t>
      </w:r>
      <w:r>
        <mc:AlternateContent>
          <mc:Choice Requires="wps">
            <w:drawing>
              <wp:anchor behindDoc="0" distT="635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635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635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our units at the time of vesting under our long-term incentive plans; </w:t>
      </w:r>
      <w:r>
        <mc:AlternateContent>
          <mc:Choice Requires="wps">
            <w:drawing>
              <wp:anchor behindDoc="0" distT="635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w:t>
      </w:r>
      <w:r>
        <mc:AlternateContent>
          <mc:Choice Requires="wps">
            <w:drawing>
              <wp:anchor behindDoc="0" distT="635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infrastructure and its impact on expected crude oil production growth in the Permian Basin; and </w:t>
      </w:r>
      <w:r>
        <mc:AlternateContent>
          <mc:Choice Requires="wps">
            <w:drawing>
              <wp:anchor behindDoc="0" distT="635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crude oil, as well as in the processing, transportation, fractionation, storage and marketing of NGL. </w:t>
      </w:r>
      <w:r>
        <mc:AlternateContent>
          <mc:Choice Requires="wps">
            <w:drawing>
              <wp:anchor behindDoc="0" distT="635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or incorporated by reference herein, as well as factors that are unknown or unpredictable, could also have a material adverse effect on future results. See “Risk Factors” beginning on page 3 of this prospectus and discussed in Item 1A. “Risk Factors” in </w:t>
      </w:r>
      <w:hyperlink r:id="rId34">
        <w:r>
          <w:rPr>
            <w:rStyle w:val="InternetLink"/>
          </w:rPr>
          <w:t>our 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or current 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APA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PLAINS ALL AMERICAN PIPELINE,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limited partnership formed in 1998. Our operations are conducted directly and indirectly through our primary operating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Ongoing Activities Related to Strategic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Executive Offices and Internet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333 Clay Street, Suite 1600, Houston, Texas 77002 and our telephone number is (713) 646-4100. We maintain a website at www.plains.com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additional information about us please refer to the documents set forth under “Where You Can Find More Information” in this prospectus, including </w:t>
      </w:r>
      <w:hyperlink r:id="rId35">
        <w:r>
          <w:rPr>
            <w:rStyle w:val="InternetLink"/>
          </w:rPr>
          <w:t>our Annual Report on 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(File No. 001-14569) and any of our subsequent quarterly reports or current reports, which are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Before you invest in our securities, you should carefully consider the risk factors included in Item 1A. “Risk Factors” in </w:t>
      </w:r>
      <w:hyperlink r:id="rId36">
        <w:r>
          <w:rPr>
            <w:rStyle w:val="InternetLink"/>
          </w:rPr>
          <w:t>our 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specific allocation of the net proceeds of an offering of securities to a specific purpose will be determined at the time of the offering and will be described in the applicable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DOOD"/>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 general obligations;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senior debt securities or subordinated debt securities; and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under separate indentures (which may be existing indentures) among Plains All American Pipeline, PAA Finance and U.S. Bank Trust Company, National Association, as successor Trustee.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Terms of Each Series of Debt Securities in the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PAA Finance will be a co-issuer of the debt securities;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or subordinated debt securities;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debt securities;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if any, that are pledged as security for the payment of the debt securities;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issue the debt securities in individual certificates to each holder in registered form, or in the form of temporary or permanent global securities held by a depository on behalf of holders;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at which we will issue the debt securities;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that will be payable if the maturity of the debt securities is accelerated;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 in which the debt securities will be payable, if not U.S. dollars;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principal of the debt securities will be payable;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that the debt securities will bear and the interest payment dates for the debt securities;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optional redemption provisions;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repurchase or otherwise redeem the debt securities;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to or additional events of default or covenants; and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Future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Asset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must assume the issuer’s obligations under the indenture; and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(as defined under “— Events of Default and Remedies” below) may exist.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debt securities whose holders must consent to an amendment, supplement or waiver;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fixed maturity of any debt security;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or waive the premium payable upon redemption or alter or waive the provisions with respect to the redemption of the debt securities (except as may be permitted in the case of a particular series of debt securities);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any debt security;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under the indenture, release any security that may have been granted with respect to the debt securities;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currency other than that stated in the debt securities;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make any change in the subordination provisions that adversely affects the rights of any holder under those provisions;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provisions of the indenture relating to waivers of past Defaults or the rights of holders of debt securities to receive payments of principal of or premium, if any, or interest on the debt securities;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debt security (except as may be permitted in the case of a particular series of debt securities);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in the indenture, release any guarantor from its obligations under its guarantee or the indenture or change any guarantee in any manner that would adversely affect the rights of holders; or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preceding amendment, supplement and waiver provisions (except to increase any percentage set forth therein).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supplement or amend an indenture without the consent of any holders of the debt securities in certain circumstances,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of terms of any series of debt securities;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notes in addition to or in place of certificated notes;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of an issuer’s obligations to holders of debt securities in the case of a merger or consolidation or disposition of all or substantially all of such issuer’s assets;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to make any change in the subordination provisions that limits or terminates the benefits applicable to any holder of Senior Indebtedness of Plains All American Pipeline;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release any guarantors pursuant to the terms of the indenture;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changes that would provide any additional rights or benefits to the holders of debt securities or that do not, taken as a whole, adversely affect the rights under the indenture of any holder of debt securities; </w:t>
      </w:r>
      <w:r>
        <mc:AlternateContent>
          <mc:Choice Requires="wps">
            <w:drawing>
              <wp:anchor behindDoc="0" distT="0" distB="0" distL="254000" distR="0" simplePos="0" locked="0" layoutInCell="1" allowOverlap="1" relativeHeight="185">
                <wp:simplePos x="0" y="0"/>
                <wp:positionH relativeFrom="column">
                  <wp:align>left</wp:align>
                </wp:positionH>
                <wp:positionV relativeFrom="line">
                  <wp:posOffset>635</wp:posOffset>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or provide for the acceptance of appointment under the indenture of a successor Trustee;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or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and/or any guarantees. </w:t>
      </w:r>
      <w:r>
        <mc:AlternateContent>
          <mc:Choice Requires="wps">
            <w:drawing>
              <wp:anchor behindDoc="0" distT="749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Event of Default,” when used in an indenture, will mean any of the following with respect to the debt securities of any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when due the principal of or any premium on any debt security of that series;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within 60 days of the due date, interest on any debt security of that series;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when due any sinking fund payment with respect to any debt securities of that series;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on the part of the issuers to comply with the covenant described under “— Consolidation, Merger or Asset Sale;”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other covenant in the indenture that continues for 30 days after written notice is given to the issuers;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an issuer; or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under the terms of the debt securities of that series.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Limit on Amount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debt securities of a series only in registered form, without coupons, unless otherwise indicated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Minimum Denominations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prospectus supplement states otherwise, the debt securities will be issued only in principal amounts of $1,000 each or integral multiples of $1,000. </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bidi w:val="0"/>
        <w:spacing w:lineRule="atLeast" w:line="240" w:before="21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bidi w:val="0"/>
        <w:spacing w:lineRule="atLeast" w:line="240" w:before="15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w:t>
      </w:r>
    </w:p>
    <w:p>
      <w:pPr>
        <w:pStyle w:val="TextBody"/>
        <w:bidi w:val="0"/>
        <w:spacing w:lineRule="atLeast" w:line="240" w:before="8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r>
        <mc:AlternateContent>
          <mc:Choice Requires="wps">
            <w:drawing>
              <wp:anchor behindDoc="0" distT="520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called for redemption or repurchase, except the unredeemed portion of any debt security we are redeeming or repurchasing in part. </w:t>
      </w:r>
      <w:r>
        <mc:AlternateContent>
          <mc:Choice Requires="wps">
            <w:drawing>
              <wp:anchor behindDoc="0" distT="4826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Relating only to the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Relating only to the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Subordinated Debt Securities Subordinated to Senior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rank junior in right of payment to all of the Senior Indebtedness of Plains All American Pipeline. “Senior Indebtedness” will be defined in a supplemental indenture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resolutions respecting any issuance of a series of subordinated debt securities, and the definition will be set forth in the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Blockages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will provide that no payment of principal, interest and any premium on the subordinated debt securities may be made in the event: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our property is involved in any voluntary or involuntary liquidation or bankruptcy; </w:t>
      </w:r>
      <w:r>
        <mc:AlternateContent>
          <mc:Choice Requires="wps">
            <w:drawing>
              <wp:anchor behindDoc="0" distT="7874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r>
        <mc:AlternateContent>
          <mc:Choice Requires="wps">
            <w:drawing>
              <wp:anchor behindDoc="0" distT="7874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r>
        <mc:AlternateContent>
          <mc:Choice Requires="wps">
            <w:drawing>
              <wp:anchor behindDoc="0" distT="7874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Limitation on Amount of Senior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will not limit the amount of Senior Indebtedness that Plains All American Pipeline may incur, unless otherwise indicated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 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global debt securities will be shown on, and transfers of global debt securities will be made only through, records maintained by DTC and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owned by a number of its Direct Participants and by the New York Stock Exchange, Inc., The American Stock Exchange, Inc. and the Financial Industry Regulatory Authority (“FINRA”).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represented by a global debt security will be exchangeable for certificated debt securities with the same terms in authorized denominations only if: </w:t>
      </w:r>
    </w:p>
    <w:p>
      <w:pPr>
        <w:pStyle w:val="TextBody"/>
        <w:bidi w:val="0"/>
        <w:spacing w:lineRule="atLeast" w:line="240" w:before="9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depositary or if DTC ceases to be a clearing agency registered under applicable law and in either event a successor depositary is not appointed by us within 90 days; or </w:t>
      </w:r>
      <w:r>
        <mc:AlternateContent>
          <mc:Choice Requires="wps">
            <w:drawing>
              <wp:anchor behindDoc="0" distT="5969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not to require all of the debt securities of a series to be represented by a global debt security. </w:t>
      </w:r>
      <w:r>
        <mc:AlternateContent>
          <mc:Choice Requires="wps">
            <w:drawing>
              <wp:anchor behindDoc="0" distT="4826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be discharged and will cease to be of further effect as to all outstanding debt securities of any series issued thereunder, when: </w:t>
      </w:r>
    </w:p>
    <w:p>
      <w:pPr>
        <w:pStyle w:val="TextBody"/>
        <w:bidi w:val="0"/>
        <w:spacing w:lineRule="atLeast" w:line="240" w:before="13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82550" distB="0" distL="254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r>
        <mc:AlternateContent>
          <mc:Choice Requires="wps">
            <w:drawing>
              <wp:anchor behindDoc="0" distT="81280" distB="0" distL="508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4pt;mso-wrap-distance-bottom:0pt;margin-top:6.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r>
        <mc:AlternateContent>
          <mc:Choice Requires="wps">
            <w:drawing>
              <wp:anchor behindDoc="0" distT="81280" distB="0" distL="508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4pt;mso-wrap-distance-bottom:0pt;margin-top:6.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by us under the indenture; and </w:t>
      </w:r>
      <w:r>
        <mc:AlternateContent>
          <mc:Choice Requires="wps">
            <w:drawing>
              <wp:anchor behindDoc="0" distT="8128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an officers’ certificate and an opinion of counsel to the Trustee stating that all conditions precedent to satisfaction and discharge have been satisfied. </w:t>
      </w:r>
      <w:r>
        <mc:AlternateContent>
          <mc:Choice Requires="wps">
            <w:drawing>
              <wp:anchor behindDoc="0" distT="8128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particular series will be subject to legal or covenant defeasance to the extent, and upon the terms and conditions, set forth in the prospectus supplement. </w:t>
      </w:r>
    </w:p>
    <w:p>
      <w:pPr>
        <w:pStyle w:val="TextBody"/>
        <w:bidi w:val="0"/>
        <w:spacing w:lineRule="atLeast" w:line="240" w:before="23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 or Removal of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resignation will require the appointment of a successor trustee under the applicable indenture in accordance with the terms and conditions of such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Trustee if it is a Creditor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Certificates and Opinions to be Furnished to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and all of the debt securities will be governed by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B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arrears, (iii) the creation or issuance of any senior securities and (iv) the payment of distributions to our common unitholders out of capital surplus.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Issuances of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Series A 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offer preferred units under this prospectus, a prospectus supplement relating to the particular series of preferred units offered will include the specific terms of those preferred units, including, among other things,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liquidation preference of the preferred units and the number of preferred units offered;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at which the preferred units will be issued;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of the preferred units;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of the preferred units;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rights of the preferred units, if any;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additional material federal income tax considerations regarding the preferred units; and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privileges, limitations, and restrictions of the preferred units.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OC"/>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COMMON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outstanding common units are listed on NASDAQ under the symbol “PAA.” Any additional common units we issue will also be listed on NASDAQ.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units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Status as Limited Partner or Assignee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“Description of Our Partnership Agreement — Limited Liability,” the common units will be fully paid, and common unitholders will not be required to make additional capital contributions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assignee, pending its admission as a substituted limited partner, is entitled to an interest in us equivalent to that of a limited partner with respect to the right to share in allocations and distributions,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Right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mechanisms are subject to customary conversion rate adjustments for equity splits, equity dividends and reclassifications.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CD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DISTRIBUTION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of Available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We will distribute to our unitholders, on a quarterly basis, all of our available cash in the manner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Available Cash</w:t>
      </w:r>
      <w:r>
        <w:rPr>
          <w:rFonts w:ascii="Times New Roman;Times;serif" w:hAnsi="Times New Roman;Times;serif"/>
          <w:b w:val="false"/>
          <w:i w:val="false"/>
          <w:caps w:val="false"/>
          <w:smallCaps w:val="false"/>
          <w:color w:val="000000"/>
          <w:spacing w:val="4"/>
          <w:sz w:val="20"/>
        </w:rPr>
        <w:t xml:space="preserve">.   Available cash generally means, for any quarter ending prior to liquidation, all cash and cash equivalents on hand at the end of that quarter less reserves established in the reasonable discretion of the general partner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proper conduct of our business and the business of our operating partnerships (including reserves for future capital expenditures and for our anticipated future credit needs);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applicable law or any loan agreement, security agreement, mortgage, debt instrument or other agreement or obligation; or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funds for future distributions to our Series A and Series B preferred unitholders or distributions to our common unitholders for any one or more of the next four quarters.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available cash also includes cash on hand resulting from borrowings made after the end of the quarter.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Surplus and Capital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Cash distributions to our common unitholders will be characterized as either operating surplus or capital surplus. We distribute available cash from operating surplus differently than available cash from capital surplus. See “— Quarterly Distributions of Available Cash.”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Operating Surplus</w:t>
      </w:r>
      <w:r>
        <w:rPr>
          <w:rFonts w:ascii="Times New Roman;Times;serif" w:hAnsi="Times New Roman;Times;serif"/>
          <w:b w:val="false"/>
          <w:i w:val="false"/>
          <w:caps w:val="false"/>
          <w:smallCaps w:val="false"/>
          <w:color w:val="000000"/>
          <w:spacing w:val="4"/>
          <w:sz w:val="20"/>
        </w:rPr>
        <w:t xml:space="preserve">.   Operating surplus refers generally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cash balances on the closing date of our initial public offering; plus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million; plus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cash receipts from operations, excluding cash that is capital surplus; less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Capital Surplus</w:t>
      </w:r>
      <w:r>
        <w:rPr>
          <w:rFonts w:ascii="Times New Roman;Times;serif" w:hAnsi="Times New Roman;Times;serif"/>
          <w:b w:val="false"/>
          <w:i w:val="false"/>
          <w:caps w:val="false"/>
          <w:smallCaps w:val="false"/>
          <w:color w:val="000000"/>
          <w:spacing w:val="4"/>
          <w:sz w:val="20"/>
        </w:rPr>
        <w:t xml:space="preserve">.   Capital surplus will generally be generated only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other than working capital borrowings;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debt and equity securities; and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or other dispositions of assets for cash, other than inventory, accounts receivable and other assets in the ordinary course of business. </w:t>
      </w:r>
      <w:r>
        <mc:AlternateContent>
          <mc:Choice Requires="wps">
            <w:drawing>
              <wp:anchor behindDoc="0" distT="736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Issuance of Additional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additional common units or other equity securities for consideration and under terms and conditions approved by our general partner in its sole discretion and without the approval of our unitholders,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current holders of our Series A preferred units and Series B preferred units in certain circumstances. We may fund acquisitions through the issuance of additional common units or other equity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Series A preferred units and notable provisions with respect to distributions on the Series A preferred units are described under “Description of Our Preferred Units — Series A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B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Series B preferred units and notable provisions with respect to distributions on the Series B preferred units are described under “Description of Our Preferred Units — Series B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Quarterly Distributions of Available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from Operating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from Capital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Series B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of Cash upon Liquidation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DOOP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PARTNERSHIP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material provisions of our partnership agreement. The following provisions of our partnership agreement are summarized elsewhere in this prospectus: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our available cash are described under “Cash Distribution Policy”; </w:t>
      </w:r>
      <w:r>
        <mc:AlternateContent>
          <mc:Choice Requires="wps">
            <w:drawing>
              <wp:anchor behindDoc="0" distT="889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allocations of taxable income and other tax matters are described under “Material U.S. Federal Income Tax Consequences”; </w:t>
      </w:r>
      <w:r>
        <mc:AlternateContent>
          <mc:Choice Requires="wps">
            <w:drawing>
              <wp:anchor behindDoc="0" distT="889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holders of our preferred units are described under “Description of Our Preferred Units”; and </w:t>
      </w:r>
      <w:r>
        <mc:AlternateContent>
          <mc:Choice Requires="wps">
            <w:drawing>
              <wp:anchor behindDoc="0" distT="889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holders of our common units are described under “Description of Our Common Units.” </w:t>
      </w:r>
      <w:r>
        <mc:AlternateContent>
          <mc:Choice Requires="wps">
            <w:drawing>
              <wp:anchor behindDoc="0" distT="889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Applicable Law; Forum, Venue and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is governed by Delaware law. Our partnership agreement requires that any claims, suits, actions or proceedings: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 </w:t>
      </w:r>
      <w:r>
        <mc:AlternateContent>
          <mc:Choice Requires="wps">
            <w:drawing>
              <wp:anchor behindDoc="0" distT="889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brought in a derivative manner on our behalf; </w:t>
      </w:r>
      <w:r>
        <mc:AlternateContent>
          <mc:Choice Requires="wps">
            <w:drawing>
              <wp:anchor behindDoc="0" distT="889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of breach of a fiduciary duty owed by any director, officer or other employee of us or our generally partner, or owed by our general partner to us or the unitholders; </w:t>
      </w:r>
      <w:r>
        <mc:AlternateContent>
          <mc:Choice Requires="wps">
            <w:drawing>
              <wp:anchor behindDoc="0" distT="889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arising pursuant to any provision of the Delaware Revised Uniform Limited Partnership Act (the “Delaware Act”); or </w:t>
      </w:r>
      <w:r>
        <mc:AlternateContent>
          <mc:Choice Requires="wps">
            <w:drawing>
              <wp:anchor behindDoc="0" distT="889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governed by the internal affairs doctrine; </w:t>
      </w:r>
      <w:r>
        <mc:AlternateContent>
          <mc:Choice Requires="wps">
            <w:drawing>
              <wp:anchor behindDoc="0" distT="889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Additional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to Our Partnership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or Removal of Our General Partner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Sale or Other Disposition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and Distribution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towards the payment of all of our creditors and the creation of a reserve for contingent liabilities; </w:t>
      </w:r>
      <w:r>
        <mc:AlternateContent>
          <mc:Choice Requires="wps">
            <w:drawing>
              <wp:anchor behindDoc="0" distT="6858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next, to all holders of preferred units an aggregate amount equal to the positive balance in their capital accounts distributed in a manner that provides the holders of preferred units with the same percentage of their respective liquidation preferences; and </w:t>
      </w:r>
      <w:r>
        <mc:AlternateContent>
          <mc:Choice Requires="wps">
            <w:drawing>
              <wp:anchor behindDoc="0" distT="6731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to all partners in accordance with the positive balance in their respective capital accounts. </w:t>
      </w:r>
      <w:r>
        <mc:AlternateContent>
          <mc:Choice Requires="wps">
            <w:drawing>
              <wp:anchor behindDoc="0" distT="6731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Management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contains the following specific provisions that are intended to discourage a person or group from attempting to remove our general partner or otherwise change management: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 person acquires 20% or more of any class of units then outstanding other than from our general partner or its affiliates, the units owned by such person cannot be voted on any matter; and </w:t>
      </w:r>
      <w:r>
        <mc:AlternateContent>
          <mc:Choice Requires="wps">
            <w:drawing>
              <wp:anchor behindDoc="0" distT="6858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limiting the ability of unitholders to call meetings or to acquire information about our operations, as well as other provisions limiting the unitholders’ ability to influence the manner or direction of management. </w:t>
      </w:r>
      <w:r>
        <mc:AlternateContent>
          <mc:Choice Requires="wps">
            <w:drawing>
              <wp:anchor behindDoc="0" distT="0" distB="0" distL="254000" distR="0" simplePos="0" locked="0" layoutInCell="1" allowOverlap="1" relativeHeight="239">
                <wp:simplePos x="0" y="0"/>
                <wp:positionH relativeFrom="column">
                  <wp:align>left</wp:align>
                </wp:positionH>
                <wp:positionV relativeFrom="line">
                  <wp:posOffset>635</wp:posOffset>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Call Right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MUFI"/>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reasons described below, Vinson &amp; Elkins L.L.P. has not rendered an opinion with respect to the following federal income tax issues: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a unitholder whose units are the subject of a securities loan (e.g., a loan to a short seller to cover a short sale of units) (please read “— Tax Consequences of Unit Ownership — Treatment of Securities Loans”);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monthly convention for allocating taxable income and losses is permitted by existing Treasury Regulations (please read “— Disposition of Units — Allocations Between Transferors and Transferees”);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method for taking into account Section 743 adjustments is sustainable in certain cases (please read “— Tax Consequences of Unit Ownership — Section 754 Election” and “— Disposition of Units — Uniformity of Units”);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use of simplifying conventions for making adjustments to “book” basis and relevant allocations is permitted by existing Treasury Regulations (please read “— Tax Consequences of Unit Ownership — Allocation of Income, Gain, Loss and Deduction” and “— Uniformity of Units”); and </w:t>
      </w:r>
      <w:r>
        <mc:AlternateContent>
          <mc:Choice Requires="wps">
            <w:drawing>
              <wp:anchor behindDoc="0" distT="0" distB="0" distL="254000" distR="0" simplePos="0" locked="0" layoutInCell="1" allowOverlap="1" relativeHeight="243">
                <wp:simplePos x="0" y="0"/>
                <wp:positionH relativeFrom="column">
                  <wp:align>left</wp:align>
                </wp:positionH>
                <wp:positionV relativeFrom="line">
                  <wp:posOffset>635</wp:posOffset>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allocations of income, gain, loss and deduction will be given effect for federal income tax purposes (please read “— Tax Consequences of Unit Ownership — Allocation of Income, Gain, Loss and Deduction”). </w:t>
      </w:r>
      <w:r>
        <mc:AlternateContent>
          <mc:Choice Requires="wps">
            <w:drawing>
              <wp:anchor behindDoc="0" distT="6731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the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Partnership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our partnership or limited liability company operating subsidiaries, other than those that have been identified as corporations to Vinson &amp; Elkins L.L.P., has elected or will elect to be treated as a corporation for federal income tax purposes; </w:t>
      </w:r>
      <w:r>
        <mc:AlternateContent>
          <mc:Choice Requires="wps">
            <w:drawing>
              <wp:anchor behindDoc="0" distT="8890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taxable year since and including the year of our initial public offering, more than 90% of our gross income has been and will be income of a character that Vinson &amp; Elkins L.L.P. has opined is “qualifying income” within the meaning of Section 7704(d) of the Code; and </w:t>
      </w:r>
      <w:r>
        <mc:AlternateContent>
          <mc:Choice Requires="wps">
            <w:drawing>
              <wp:anchor behindDoc="0" distT="8890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 </w:t>
      </w:r>
      <w:r>
        <mc:AlternateContent>
          <mc:Choice Requires="wps">
            <w:drawing>
              <wp:anchor behindDoc="0" distT="88900" distB="0" distL="25400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these representations are true and will be true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meet the Qualifying Income Exception, other than a failure that is determined by the IRS to be inadvertent and that is cured within a reasonable time after discovery (in which case the IRS may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discussion is based on the opinion of Vinson &amp; Elkins L.L.P. that we will be treated as a partnership for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Unit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Limited Partner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related to the risks of losing partner status as a result of securities loans, please read “— Tax Consequences of Unit Ownership  — Treatment of Securities Loans.”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is not treated as a partner in us as described above is urged to consult its own tax advisors with respect to the tax consequences applicable to such unitholder under its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Flow-Through of Taxable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unitholder’s tax basis in its units initially will be the amount paid or treated as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 (2) the unitholder’s tax basis (typically zero) in the Section 751 Assets deemed to be relinquished in the exchange.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Deductibility of Losses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basis and at risk limitations, passive activity loss limitations limit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Interest Deductions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this limitation on the deductibility of a partnership’s business interest, the deductibility of a non-corporate taxpayer’s “investment interest expense” is generally limited to the amount of that taxpayer’s “net investment income.” Investment interest expense includes: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indebtedness allocable to property held for investment; </w:t>
      </w:r>
      <w:r>
        <mc:AlternateContent>
          <mc:Choice Requires="wps">
            <w:drawing>
              <wp:anchor behindDoc="0" distT="7874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allocated against portfolio income; and </w:t>
      </w:r>
      <w:r>
        <mc:AlternateContent>
          <mc:Choice Requires="wps">
            <w:drawing>
              <wp:anchor behindDoc="0" distT="7874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interest expense incurred to purchase or carry an interest in a passive activity to the extent allocable against portfolio income. </w:t>
      </w:r>
      <w:r>
        <mc:AlternateContent>
          <mc:Choice Requires="wps">
            <w:drawing>
              <wp:anchor behindDoc="0" distT="7874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Entity-Level Collections of Unitholder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 of Income, Gain, Loss and Deduction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to the unitholder who was allocated the deduction giving rise to that recapture income in order to minimize the recognition of ordinary income by other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Securities Loans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taxable years beginning after December 31, 2017 and ending on or before December 31, 2025, subject to certain limitations, an individual unitholder is entitled to a deduction equal to 20% of his or 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allocable share of our “qualified business income.” For purposes of this deduction, our “qualified business income” is equal to the sum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recognized upon a disposition of our units to the extent such gain is attributable to Section 751 Assets, such as depreciation recapture and our “inventory items,” and is thus treated as ordinary income under Section 751 of the Code.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attributable to our Canadian business operations is not considered effectively connected to our U.S. business, and as a result our unitholders will not be entitled to a deduction equal to 20% of his or her allocable share of such income.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754 Election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Treatment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Method and Taxable Year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Basis, Depreciation and Amortization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Valuation and Tax Basis of Each of Our Properties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Disposition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Recognition of Gain or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 sale;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offsetting notional principal contract; or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futures or forward contract with respect to the partnership interest or substantially identical property.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Allocations Between Transferors and Transferees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Notification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Uniformity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Tax-Exempt Organizations and Other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W-8BEN or W-8BEN-E (or other applicable or successor form) in order to obtain credit for these withholding taxes.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Administrative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Returns and Audit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Publicly-traded partnerships are treated as entities separate from their owners for purposes of federal income tax audits, judicial review of administrative adjustments by the IRS and tax settlement proceedings.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treatment of partnership items of income, gain, loss and deduction are determined in a partnership proceeding rather than in separate proceedings for each of the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Withholding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pursuant to the rules described above. Each prospective unitholder should consult its own tax advisors regarding the potential application of these withholding provisions to its investment in our units.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Nominee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an interest in us as a nominee for another person are required to furnish to us: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address and taxpayer identification number of the beneficial owner and the nominee; </w:t>
      </w:r>
      <w:r>
        <mc:AlternateContent>
          <mc:Choice Requires="wps">
            <w:drawing>
              <wp:anchor behindDoc="0" distT="8255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regarding whether the beneficial owner is: </w:t>
      </w:r>
      <w:r>
        <mc:AlternateContent>
          <mc:Choice Requires="wps">
            <w:drawing>
              <wp:anchor behindDoc="0" distT="1016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person; </w:t>
      </w:r>
      <w:r>
        <mc:AlternateContent>
          <mc:Choice Requires="wps">
            <w:drawing>
              <wp:anchor behindDoc="0" distT="10160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government, an international organization or any wholly-owned agency or instrumentality of either of the foregoing; or </w:t>
      </w:r>
      <w:r>
        <mc:AlternateContent>
          <mc:Choice Requires="wps">
            <w:drawing>
              <wp:anchor behindDoc="0" distT="10160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w:t>
      </w:r>
      <w:r>
        <mc:AlternateContent>
          <mc:Choice Requires="wps">
            <w:drawing>
              <wp:anchor behindDoc="0" distT="101600" distB="0" distL="508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and description of units held, acquired or transferred for the beneficial owner; and </w:t>
      </w:r>
      <w:r>
        <mc:AlternateContent>
          <mc:Choice Requires="wps">
            <w:drawing>
              <wp:anchor behindDoc="0" distT="1016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information including the dates of acquisitions and transfers, means of acquisitions and transfers, and acquisition cost for purchases, as well as the amount of net proceeds from sales. </w:t>
      </w:r>
      <w:r>
        <mc:AlternateContent>
          <mc:Choice Requires="wps">
            <w:drawing>
              <wp:anchor behindDoc="0" distT="1016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Accuracy-Related Penalties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State, Local and Other Tax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Ownership of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material U.S. federal income tax consequences of the acquisition, ownership, and disposition of any series of preferred units offered pursuant to this prospectus will be set forth in the prospectus supplement relating to the offering of such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Ownership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 &amp; Elkins L.L.P. has not rendered an opinion on the state, local, alternative minimum tax or non-U.S. tax consequences of an investment in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PO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this prospectus, we intend to offer our securities to the public: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for public offering and sale;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broker-dealers who may act as agent or may purchase securities as principal and thereafter resell the securities from time to time;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 through one or more transactions (which may involve crosses and block transactions) or distributions, including exchange distributions, distributions to beneficial owners and/or secondary distributions;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NASDAQ; </w:t>
      </w:r>
      <w:r>
        <mc:AlternateContent>
          <mc:Choice Requires="wps">
            <w:drawing>
              <wp:anchor behindDoc="0" distT="7747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747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 transactions; </w:t>
      </w:r>
      <w:r>
        <mc:AlternateContent>
          <mc:Choice Requires="wps">
            <w:drawing>
              <wp:anchor behindDoc="0" distT="774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directly; </w:t>
      </w:r>
      <w:r>
        <mc:AlternateContent>
          <mc:Choice Requires="wps">
            <w:drawing>
              <wp:anchor behindDoc="0" distT="7747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short sales and delivery of such securities to close out short positions;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any other method permitted pursuant to applicable law.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price our securities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any sale under this registration statement;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then-current market prices;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change the price of the securities offered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allow distributors’ or sellers’ commissions that will not exceed those customary in the types of transactions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bLEMA"/>
      <w:bookmarkEnd w:id="31"/>
      <w:r>
        <w:rPr>
          <w:rFonts w:ascii="calibri;arial;sans-serif" w:hAnsi="calibri;arial;sans-serif"/>
          <w:b w:val="false"/>
          <w:i w:val="false"/>
          <w:caps w:val="false"/>
          <w:smallCaps w:val="false"/>
          <w:color w:val="000000"/>
          <w:sz w:val="16"/>
        </w:rPr>
        <w:t>​</w:t>
      </w:r>
      <w:bookmarkStart w:id="32" w:name="bEX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37">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240" w:after="283"/>
        <w:jc w:val="center"/>
        <w:rPr>
          <w:caps w:val="false"/>
          <w:smallCaps w:val="false"/>
          <w:color w:val="000000"/>
        </w:rPr>
      </w:pPr>
      <w:r>
        <w:rPr>
          <w:caps w:val="false"/>
          <w:smallCaps w:val="false"/>
          <w:color w:val="000000"/>
        </w:rPr>
        <w:drawing>
          <wp:inline distT="0" distB="0" distL="0" distR="0">
            <wp:extent cx="1828800" cy="914400"/>
            <wp:effectExtent l="0" t="0" r="0" b="0"/>
            <wp:docPr id="2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 descr=""/>
                    <pic:cNvPicPr>
                      <a:picLocks noChangeAspect="1" noChangeArrowheads="1"/>
                    </pic:cNvPicPr>
                  </pic:nvPicPr>
                  <pic:blipFill>
                    <a:blip r:embed="rId38"/>
                    <a:stretch>
                      <a:fillRect/>
                    </a:stretch>
                  </pic:blipFill>
                  <pic:spPr bwMode="auto">
                    <a:xfrm>
                      <a:off x="0" y="0"/>
                      <a:ext cx="1828800" cy="9144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Series A Junior Subordinated Notes due 2056</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Series B Junior Subordinated Notes due 2056</w:t>
      </w:r>
      <w:r>
        <w:rPr>
          <w:rFonts w:ascii="Times New Roman;Times;serif" w:hAnsi="Times New Roman;Times;serif"/>
          <w:b/>
          <w:i w:val="false"/>
          <w:caps w:val="false"/>
          <w:smallCaps w:val="false"/>
          <w:color w:val="000000"/>
          <w:spacing w:val="6"/>
          <w:sz w:val="28"/>
        </w:rPr>
        <w:t xml:space="preserve"> </w:t>
      </w:r>
    </w:p>
    <w:p>
      <w:pPr>
        <w:pStyle w:val="TextBody"/>
        <w:bidi w:val="0"/>
        <w:spacing w:before="142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           , 2026</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777" w:type="dxa"/>
        <w:jc w:val="left"/>
        <w:tblInd w:w="1393" w:type="dxa"/>
        <w:tblLayout w:type="fixed"/>
        <w:tblCellMar>
          <w:top w:w="0" w:type="dxa"/>
          <w:left w:w="0" w:type="dxa"/>
          <w:bottom w:w="0" w:type="dxa"/>
          <w:right w:w="0" w:type="dxa"/>
        </w:tblCellMar>
      </w:tblPr>
      <w:tblGrid>
        <w:gridCol w:w="124"/>
        <w:gridCol w:w="1273"/>
        <w:gridCol w:w="109"/>
        <w:gridCol w:w="109"/>
        <w:gridCol w:w="1018"/>
        <w:gridCol w:w="109"/>
        <w:gridCol w:w="109"/>
        <w:gridCol w:w="871"/>
        <w:gridCol w:w="109"/>
        <w:gridCol w:w="109"/>
        <w:gridCol w:w="853"/>
        <w:gridCol w:w="109"/>
        <w:gridCol w:w="109"/>
        <w:gridCol w:w="1612"/>
        <w:gridCol w:w="154"/>
      </w:tblGrid>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left"/>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283"/>
              <w:jc w:val="left"/>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left"/>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3" w:type="dxa"/>
            <w:tcBorders/>
            <w:vAlign w:val="center"/>
          </w:tcPr>
          <w:p>
            <w:pPr>
              <w:pStyle w:val="TableContents"/>
              <w:bidi w:val="0"/>
              <w:spacing w:before="0" w:after="283"/>
              <w:jc w:val="left"/>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left"/>
              <w:rPr/>
            </w:pPr>
            <w:r>
              <w:rPr>
                <w:spacing w:val="-6"/>
              </w:rPr>
              <w:t>Truist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70423/000107042326000014/paa-20251231.htm" TargetMode="External"/><Relationship Id="rId4" Type="http://schemas.openxmlformats.org/officeDocument/2006/relationships/hyperlink" Target="https://www.sec.gov/ix?doc=/Archives/edgar/data/1070423/000107042326000014/paa-20251231.htm" TargetMode="External"/><Relationship Id="rId5" Type="http://schemas.openxmlformats.org/officeDocument/2006/relationships/hyperlink" Target="https://www.sec.gov/ix?doc=/Archives/edgar/data/1070423/000107042326000014/paa-20251231.htm" TargetMode="External"/><Relationship Id="rId6" Type="http://schemas.openxmlformats.org/officeDocument/2006/relationships/hyperlink" Target="https://www.sec.gov/ix?doc=/Archives/edgar/data/1070423/000107042326000019/paa-20260331.htm" TargetMode="External"/><Relationship Id="rId7" Type="http://schemas.openxmlformats.org/officeDocument/2006/relationships/hyperlink" Target="https://www.sec.gov/ix?doc=/Archives/edgar/data/1070423/000107042326000031/paa-20260630.htm" TargetMode="External"/><Relationship Id="rId8" Type="http://schemas.openxmlformats.org/officeDocument/2006/relationships/hyperlink" Target="https://www.sec.gov/ix?doc=/Archives/edgar/data/1070423/000107042326000014/paa-20251231.htm" TargetMode="External"/><Relationship Id="rId9" Type="http://schemas.openxmlformats.org/officeDocument/2006/relationships/hyperlink" Target="https://www.sec.gov/ix?doc=/Archives/edgar/data/1070423/000107042326000014/paa-20251231.htm" TargetMode="External"/><Relationship Id="rId10" Type="http://schemas.openxmlformats.org/officeDocument/2006/relationships/hyperlink" Target="https://www.sec.gov/ix?doc=/Archives/edgar/data/1070423/000107042326000014/paa-20251231.htm" TargetMode="External"/><Relationship Id="rId11" Type="http://schemas.openxmlformats.org/officeDocument/2006/relationships/hyperlink" Target="https://www.sec.gov/ix?doc=/Archives/edgar/data/1070423/000107042326000019/paa-20260331.htm" TargetMode="External"/><Relationship Id="rId12" Type="http://schemas.openxmlformats.org/officeDocument/2006/relationships/hyperlink" Target="https://www.sec.gov/ix?doc=/Archives/edgar/data/1070423/000107042326000031/paa-20260630.htm" TargetMode="External"/><Relationship Id="rId13" Type="http://schemas.openxmlformats.org/officeDocument/2006/relationships/hyperlink" Target="https://www.sec.gov/ix?doc=/Archives/edgar/data/1070423/000107042326000006/paa-20251031.htm" TargetMode="External"/><Relationship Id="rId14" Type="http://schemas.openxmlformats.org/officeDocument/2006/relationships/hyperlink" Target="https://www.sec.gov/ix?doc=/Archives/edgar/data/1070423/000110465926022836/tm267812d1_8k.htm" TargetMode="External"/><Relationship Id="rId15" Type="http://schemas.openxmlformats.org/officeDocument/2006/relationships/hyperlink" Target="https://www.sec.gov/ix?doc=/Archives/edgar/data/1070423/000110465926059509/tm2614302d1_8k.htm" TargetMode="External"/><Relationship Id="rId16" Type="http://schemas.openxmlformats.org/officeDocument/2006/relationships/hyperlink" Target="https://www.sec.gov/ix?doc=/Archives/edgar/data/1070423/000110465926060358/tm2614302d2_8k.htm" TargetMode="External"/><Relationship Id="rId17" Type="http://schemas.openxmlformats.org/officeDocument/2006/relationships/hyperlink" Target="https://www.sec.gov/ix?doc=/Archives/edgar/data/1070423/000110465926065738/tm2615397d1_8k.htm" TargetMode="External"/><Relationship Id="rId18" Type="http://schemas.openxmlformats.org/officeDocument/2006/relationships/hyperlink" Target="https://www.sec.gov/ix?doc=/Archives/edgar/data/1070423/000110465926069156/tm2615397d2_8k.htm" TargetMode="External"/><Relationship Id="rId19" Type="http://schemas.openxmlformats.org/officeDocument/2006/relationships/hyperlink" Target="https://www.sec.gov/ix?doc=/Archives/edgar/data/1070423/000110465926075186/tm2618132d1_8k.htm" TargetMode="External"/><Relationship Id="rId20" Type="http://schemas.openxmlformats.org/officeDocument/2006/relationships/hyperlink" Target="http://www.sec.gov/ix?doc=/Archives/edgar/data/1070423/000110465926105984/tm2624813d1_8k.htm" TargetMode="External"/><Relationship Id="rId21" Type="http://schemas.openxmlformats.org/officeDocument/2006/relationships/hyperlink" Target="http://www.sec.gov/ix?doc=/Archives/edgar/data/1070423/000110465926105984/tm2624813d1_8k.htm" TargetMode="External"/><Relationship Id="rId22" Type="http://schemas.openxmlformats.org/officeDocument/2006/relationships/hyperlink" Target="https://www.sec.gov/ix?doc=/Archives/edgar/data/1070423/000107042324000008/paa-20231231.htm" TargetMode="External"/><Relationship Id="rId23" Type="http://schemas.openxmlformats.org/officeDocument/2006/relationships/hyperlink" Target="https://www.sec.gov/ix?doc=/Archives/edgar/data/1070423/000107042324000014/paa-20240331.htm" TargetMode="External"/><Relationship Id="rId24" Type="http://schemas.openxmlformats.org/officeDocument/2006/relationships/hyperlink" Target="https://www.sec.gov/ix?doc=/Archives/edgar/data/1070423/000107042324000020/paa-20240630.htm" TargetMode="External"/><Relationship Id="rId25" Type="http://schemas.openxmlformats.org/officeDocument/2006/relationships/hyperlink" Target="https://www.sec.gov/ix?doc=/Archives/edgar/data/1070423/000110465924065666/tm2415729d1_8k.htm" TargetMode="External"/><Relationship Id="rId26" Type="http://schemas.openxmlformats.org/officeDocument/2006/relationships/hyperlink" Target="https://www.sec.gov/ix?doc=/Archives/edgar/data/1070423/000110465924073377/tm2416478d4_8k.htm" TargetMode="External"/><Relationship Id="rId27" Type="http://schemas.openxmlformats.org/officeDocument/2006/relationships/hyperlink" Target="https://www.sec.gov/ix?doc=/Archives/edgar/data/1070423/000110465924075672/tm2418387d1_8k.htm" TargetMode="External"/><Relationship Id="rId28" Type="http://schemas.openxmlformats.org/officeDocument/2006/relationships/hyperlink" Target="https://www.sec.gov/ix?doc=/Archives/edgar/data/1070423/000110465924092056/tm2422213d1_8k.htm" TargetMode="External"/><Relationship Id="rId29" Type="http://schemas.openxmlformats.org/officeDocument/2006/relationships/hyperlink" Target="https://www.sec.gov/ix?doc=/Archives/edgar/data/1070423/000107042324000008/paa-20231231.htm" TargetMode="External"/><Relationship Id="rId30" Type="http://schemas.openxmlformats.org/officeDocument/2006/relationships/hyperlink" Target="https://www.sec.gov/ix?doc=/Archives/edgar/data/1070423/000110465924046387/tm242707d2_def14a.htm" TargetMode="External"/><Relationship Id="rId31" Type="http://schemas.openxmlformats.org/officeDocument/2006/relationships/hyperlink" Target="https://www.sec.gov/Archives/edgar/data/1070423/000107042324000008/paa202310-kexhibit416.htm" TargetMode="External"/><Relationship Id="rId32" Type="http://schemas.openxmlformats.org/officeDocument/2006/relationships/hyperlink" Target="https://www.sec.gov/Archives/edgar/data/1070423/000110465916157335/a16-21667_38a12ba.htm" TargetMode="External"/><Relationship Id="rId33" Type="http://schemas.openxmlformats.org/officeDocument/2006/relationships/hyperlink" Target="https://www.sec.gov/Archives/edgar/data/1070423/000110465920134597/tm2037363-3_8a12b.htm" TargetMode="External"/><Relationship Id="rId34" Type="http://schemas.openxmlformats.org/officeDocument/2006/relationships/hyperlink" Target="https://www.sec.gov/ix?doc=/Archives/edgar/data/1070423/000107042324000008/paa-20231231.htm" TargetMode="External"/><Relationship Id="rId35" Type="http://schemas.openxmlformats.org/officeDocument/2006/relationships/hyperlink" Target="https://www.sec.gov/ix?doc=/Archives/edgar/data/1070423/000107042324000008/paa-20231231.htm" TargetMode="External"/><Relationship Id="rId36" Type="http://schemas.openxmlformats.org/officeDocument/2006/relationships/hyperlink" Target="https://www.sec.gov/ix?doc=/Archives/edgar/data/1070423/000107042324000008/paa-20231231.htm" TargetMode="External"/><Relationship Id="rId37" Type="http://schemas.openxmlformats.org/officeDocument/2006/relationships/hyperlink" Target="https://www.sec.gov/ix?doc=/Archives/edgar/data/1070423/000107042324000008/paa-20231231.htm" TargetMode="External"/><Relationship Id="rId38" Type="http://schemas.openxmlformats.org/officeDocument/2006/relationships/image" Target="media/image1.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60025</Words>
  <Characters>310745</Characters>
  <CharactersWithSpaces>373170</CharactersWithSpaces>
  <Paragraphs>3092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