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August 11,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181"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Senior Unsecured Revolving Credit Agreement</w:t>
      </w:r>
    </w:p>
    <w:p>
      <w:pPr>
        <w:spacing w:after="0" w:line="225" w:lineRule="exact"/>
        <w:rPr>
          <w:sz w:val="24"/>
          <w:szCs w:val="24"/>
          <w:color w:val="auto"/>
        </w:rPr>
      </w:pPr>
    </w:p>
    <w:p>
      <w:pPr>
        <w:ind w:right="260" w:firstLine="486"/>
        <w:spacing w:after="0" w:line="253" w:lineRule="auto"/>
        <w:rPr>
          <w:sz w:val="20"/>
          <w:szCs w:val="20"/>
          <w:color w:val="auto"/>
        </w:rPr>
      </w:pPr>
      <w:r>
        <w:rPr>
          <w:rFonts w:ascii="Arial" w:cs="Arial" w:eastAsia="Arial" w:hAnsi="Arial"/>
          <w:sz w:val="18"/>
          <w:szCs w:val="18"/>
          <w:color w:val="auto"/>
        </w:rPr>
        <w:t>On August 11, 2016, Plains All American Pipeline, L.P. (the “Partnership”), entered into that certain Third Amendment to Credit Agreement (the “Revolving Credit Facility Amendment”) amending the terms of its Credit Agreement dated as of August 19, 2011 among the Partnership and Plains Midstream Canada ULC (“PMC”), as Borrowers; Bank of America, N.A., as Administrative Agent, Swing Line Lender and L/C Issuer; Wells Fargo Bank, National Association, as an L/C Issuer; and the other Lenders party thereto (as amended, the “Revolving Credit Agreement”). Pursuant to the Revolving Credit Facility Amendment, among other things, the Maturity Date of the Revolving Credit Agreement with respect to each extending lender has been extended from August 16, 2020 to August 16, 2021. The Maturity Date of the Revolving Credit Agreement with respect to each non-extending lender remains August 16, 2020. The non-extending lenders represent commitments of $140,000,000 in the aggregate (out of total commitments of $1.6 billion from all Lenders in the aggregate). Terms used in this paragraph but not defined herein have the meanings assigned to them in the Revolving Credit Agreement.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Amendment to 364-Day Credit Agreement</w:t>
      </w:r>
    </w:p>
    <w:p>
      <w:pPr>
        <w:spacing w:after="0" w:line="225" w:lineRule="exact"/>
        <w:rPr>
          <w:sz w:val="24"/>
          <w:szCs w:val="24"/>
          <w:color w:val="auto"/>
        </w:rPr>
      </w:pPr>
    </w:p>
    <w:p>
      <w:pPr>
        <w:ind w:firstLine="441"/>
        <w:spacing w:after="0" w:line="290" w:lineRule="auto"/>
        <w:rPr>
          <w:sz w:val="20"/>
          <w:szCs w:val="20"/>
          <w:color w:val="auto"/>
        </w:rPr>
      </w:pPr>
      <w:r>
        <w:rPr>
          <w:rFonts w:ascii="Arial" w:cs="Arial" w:eastAsia="Arial" w:hAnsi="Arial"/>
          <w:sz w:val="16"/>
          <w:szCs w:val="16"/>
          <w:color w:val="auto"/>
        </w:rPr>
        <w:t>On August 11, 2016, the Partnership entered into that certain Second Amendment to 364-Day Credit Agreement (the “364-Day Amendment”) amending the terms of its 364-Day Credit Agreement dated as of January 16, 2015 (as amended, the “364-Day Credit Agreement”), among the Partnership, as Borrower; Bank 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 Pursuant to the 364-Day Amendment, among other things, the Maturity Date of the 364-Day Credit Agreement has been extended to August 10, 2017. The borrowing capacity under the 364-Day Credit Agreement will continue to be $1 billion. Terms used in this paragraph but not defined herein have the meanings assigned to them in the 364-Day Credit Agreement.</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 xml:space="preserve">Amendment to </w:t>
      </w:r>
      <w:r>
        <w:rPr>
          <w:rFonts w:ascii="Arial" w:cs="Arial" w:eastAsia="Arial" w:hAnsi="Arial"/>
          <w:sz w:val="17"/>
          <w:szCs w:val="17"/>
          <w:b w:val="1"/>
          <w:bCs w:val="1"/>
          <w:i w:val="1"/>
          <w:iCs w:val="1"/>
          <w:color w:val="auto"/>
        </w:rPr>
        <w:t>Hedged Inventory Credit Agreement</w:t>
      </w:r>
    </w:p>
    <w:p>
      <w:pPr>
        <w:sectPr>
          <w:pgSz w:w="11900" w:h="16838" w:orient="portrait"/>
          <w:cols w:equalWidth="0" w:num="1">
            <w:col w:w="11420"/>
          </w:cols>
          <w:pgMar w:left="240" w:top="544" w:right="239" w:bottom="181" w:gutter="0" w:footer="0" w:header="0"/>
          <w:type w:val="continuous"/>
        </w:sectPr>
      </w:pPr>
    </w:p>
    <w:bookmarkStart w:id="1" w:name="page2"/>
    <w:bookmarkEnd w:id="1"/>
    <w:p>
      <w:pPr>
        <w:spacing w:after="0" w:line="1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On August 11, 2016, Plains Marketing, L.P. (“PMLP”), a wholly-owned subsidiary of the Partnership, entered into that certain Third Amendment to Third Amended and Restated Credit Agreement (the “Hedged Inventory Facility Amendment” and together with the Revolving Credit Facility Amendment and the 364-Day Amendment, the “Amendments”) amending the terms of its Third Amended and Restated Credit Agreement dated as of August 19, 2011 among PMLP and PMC, as Borrowers; the Partnership, as Guarantor; Bank of America, N.A., as Administrative Agent, Swing Line Lender and L/C Issuer; Wells Fargo Bank, National Association, as an L/C Issuer; and the other Lenders party thereto (as amended, the “Hedged Inventory Facility”). Pursuant to the Hedged Inventory Facility Amendment, among other things, the Maturity Date of the Hedged Inventory Facility with respect to each extending lender has been extended from August 16, 2018 to August 16, 2019. The Maturity Date of the Hedged Inventory Facility with respect to each non-extending lender remains August 16, 2018. The non-extending lenders represent commitments of $126,250,000 in the aggregate (out of total commitments of $1.4 billion from all Lenders in the aggregate). Terms used in this paragraph but not defined herein have the meanings assigned to them in the Hedged Inventory Facility.</w:t>
      </w:r>
    </w:p>
    <w:p>
      <w:pPr>
        <w:spacing w:after="0" w:line="167"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above descriptions of the Amendments are qualified in their entirety by the terms of the Revolving Credit Facility Amendment, the 364-Day Amendment and the Hedged Inventory Facility Amendment, as applicable, which are attached hereto as Exhibits 10.1, 10.2 and 10.3, respectively, and are incorporated herein by reference.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above in Item 1.01 is incorporated by reference herein.</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Pr>
          <w:p>
            <w:pPr>
              <w:ind w:left="280"/>
              <w:spacing w:after="0"/>
              <w:rPr>
                <w:sz w:val="20"/>
                <w:szCs w:val="20"/>
                <w:color w:val="auto"/>
              </w:rPr>
            </w:pPr>
            <w:r>
              <w:rPr>
                <w:rFonts w:ascii="Arial" w:cs="Arial" w:eastAsia="Arial" w:hAnsi="Arial"/>
                <w:sz w:val="18"/>
                <w:szCs w:val="18"/>
                <w:b w:val="1"/>
                <w:bCs w:val="1"/>
                <w:color w:val="auto"/>
              </w:rPr>
              <w:t>(d) Exhibits</w:t>
            </w:r>
          </w:p>
        </w:tc>
        <w:tc>
          <w:tcPr>
            <w:tcW w:w="9560" w:type="dxa"/>
            <w:vAlign w:val="bottom"/>
          </w:tcPr>
          <w:p>
            <w:pPr>
              <w:spacing w:after="0"/>
              <w:rPr>
                <w:sz w:val="20"/>
                <w:szCs w:val="20"/>
                <w:color w:val="auto"/>
              </w:rPr>
            </w:pPr>
          </w:p>
        </w:tc>
      </w:tr>
      <w:tr>
        <w:trPr>
          <w:trHeight w:val="418"/>
        </w:trPr>
        <w:tc>
          <w:tcPr>
            <w:tcW w:w="1900" w:type="dxa"/>
            <w:vAlign w:val="bottom"/>
          </w:tcPr>
          <w:p>
            <w:pPr>
              <w:ind w:left="520"/>
              <w:spacing w:after="0"/>
              <w:rPr>
                <w:sz w:val="20"/>
                <w:szCs w:val="20"/>
                <w:color w:val="auto"/>
              </w:rPr>
            </w:pPr>
            <w:r>
              <w:rPr>
                <w:rFonts w:ascii="Arial" w:cs="Arial" w:eastAsia="Arial" w:hAnsi="Arial"/>
                <w:sz w:val="18"/>
                <w:szCs w:val="18"/>
                <w:color w:val="auto"/>
              </w:rPr>
              <w:t>Exhibit 10.1 –</w:t>
            </w:r>
          </w:p>
        </w:tc>
        <w:tc>
          <w:tcPr>
            <w:tcW w:w="9560" w:type="dxa"/>
            <w:vAlign w:val="bottom"/>
          </w:tcPr>
          <w:p>
            <w:pPr>
              <w:ind w:left="340"/>
              <w:spacing w:after="0"/>
              <w:rPr>
                <w:sz w:val="20"/>
                <w:szCs w:val="20"/>
                <w:color w:val="auto"/>
              </w:rPr>
            </w:pPr>
            <w:r>
              <w:rPr>
                <w:rFonts w:ascii="Arial" w:cs="Arial" w:eastAsia="Arial" w:hAnsi="Arial"/>
                <w:sz w:val="18"/>
                <w:szCs w:val="18"/>
                <w:color w:val="auto"/>
                <w:w w:val="95"/>
              </w:rPr>
              <w:t>Third Amendment to Credit Agreement dated as of August 11, 2016 among Plains All American Pipeline, L.P. and Plains</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3"/>
              </w:rPr>
              <w:t>Midstream Canada ULC, as Borrowers; Bank of America, N.A., as Administrative Agent, Swing Line Lender and L/C Issuer;</w:t>
            </w:r>
          </w:p>
        </w:tc>
      </w:tr>
      <w:tr>
        <w:trPr>
          <w:trHeight w:val="230"/>
        </w:trPr>
        <w:tc>
          <w:tcPr>
            <w:tcW w:w="1900" w:type="dxa"/>
            <w:vAlign w:val="bottom"/>
          </w:tcPr>
          <w:p>
            <w:pPr>
              <w:spacing w:after="0"/>
              <w:rPr>
                <w:sz w:val="20"/>
                <w:szCs w:val="20"/>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Wells Fargo Bank, National Association, as an L/C Issuer; and the other Lenders party thereto.</w:t>
            </w:r>
          </w:p>
        </w:tc>
      </w:tr>
      <w:tr>
        <w:trPr>
          <w:trHeight w:val="432"/>
        </w:trPr>
        <w:tc>
          <w:tcPr>
            <w:tcW w:w="1900" w:type="dxa"/>
            <w:vAlign w:val="bottom"/>
          </w:tcPr>
          <w:p>
            <w:pPr>
              <w:spacing w:after="0"/>
              <w:rPr>
                <w:sz w:val="24"/>
                <w:szCs w:val="24"/>
                <w:color w:val="auto"/>
              </w:rPr>
            </w:pPr>
          </w:p>
        </w:tc>
        <w:tc>
          <w:tcPr>
            <w:tcW w:w="9560" w:type="dxa"/>
            <w:vAlign w:val="bottom"/>
          </w:tcPr>
          <w:p>
            <w:pPr>
              <w:ind w:left="3760"/>
              <w:spacing w:after="0"/>
              <w:rPr>
                <w:sz w:val="20"/>
                <w:szCs w:val="20"/>
                <w:color w:val="auto"/>
              </w:rPr>
            </w:pPr>
            <w:r>
              <w:rPr>
                <w:rFonts w:ascii="Arial" w:cs="Arial" w:eastAsia="Arial" w:hAnsi="Arial"/>
                <w:sz w:val="18"/>
                <w:szCs w:val="18"/>
                <w:color w:val="auto"/>
              </w:rPr>
              <w:t>2</w:t>
            </w:r>
          </w:p>
        </w:tc>
      </w:tr>
      <w:tr>
        <w:trPr>
          <w:trHeight w:val="132"/>
        </w:trPr>
        <w:tc>
          <w:tcPr>
            <w:tcW w:w="1900" w:type="dxa"/>
            <w:vAlign w:val="bottom"/>
            <w:tcBorders>
              <w:bottom w:val="single" w:sz="8" w:color="808080"/>
            </w:tcBorders>
          </w:tcPr>
          <w:p>
            <w:pPr>
              <w:spacing w:after="0"/>
              <w:rPr>
                <w:sz w:val="11"/>
                <w:szCs w:val="11"/>
                <w:color w:val="auto"/>
              </w:rPr>
            </w:pPr>
          </w:p>
        </w:tc>
        <w:tc>
          <w:tcPr>
            <w:tcW w:w="9560" w:type="dxa"/>
            <w:vAlign w:val="bottom"/>
            <w:tcBorders>
              <w:bottom w:val="single" w:sz="8" w:color="808080"/>
            </w:tcBorders>
          </w:tcPr>
          <w:p>
            <w:pPr>
              <w:spacing w:after="0"/>
              <w:rPr>
                <w:sz w:val="11"/>
                <w:szCs w:val="11"/>
                <w:color w:val="auto"/>
              </w:rPr>
            </w:pPr>
          </w:p>
        </w:tc>
      </w:tr>
      <w:tr>
        <w:trPr>
          <w:trHeight w:val="766"/>
        </w:trPr>
        <w:tc>
          <w:tcPr>
            <w:tcW w:w="1900" w:type="dxa"/>
            <w:vAlign w:val="bottom"/>
          </w:tcPr>
          <w:p>
            <w:pPr>
              <w:ind w:left="520"/>
              <w:spacing w:after="0"/>
              <w:rPr>
                <w:sz w:val="20"/>
                <w:szCs w:val="20"/>
                <w:color w:val="auto"/>
              </w:rPr>
            </w:pPr>
            <w:r>
              <w:rPr>
                <w:rFonts w:ascii="Arial" w:cs="Arial" w:eastAsia="Arial" w:hAnsi="Arial"/>
                <w:sz w:val="18"/>
                <w:szCs w:val="18"/>
                <w:color w:val="auto"/>
              </w:rPr>
              <w:t>Exhibit 10.2 –</w:t>
            </w:r>
          </w:p>
        </w:tc>
        <w:tc>
          <w:tcPr>
            <w:tcW w:w="9560" w:type="dxa"/>
            <w:vAlign w:val="bottom"/>
          </w:tcPr>
          <w:p>
            <w:pPr>
              <w:ind w:left="340"/>
              <w:spacing w:after="0"/>
              <w:rPr>
                <w:sz w:val="20"/>
                <w:szCs w:val="20"/>
                <w:color w:val="auto"/>
              </w:rPr>
            </w:pPr>
            <w:r>
              <w:rPr>
                <w:rFonts w:ascii="Arial" w:cs="Arial" w:eastAsia="Arial" w:hAnsi="Arial"/>
                <w:sz w:val="18"/>
                <w:szCs w:val="18"/>
                <w:color w:val="auto"/>
                <w:w w:val="92"/>
              </w:rPr>
              <w:t>Second Amendment to 364-Day Credit Agreement dated as of August 11, 2016 among Plains All American Pipeline, L.P., as</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6"/>
              </w:rPr>
              <w:t>Borrower; Bank of America, N.A., as Administrative Agent; Citibank, N.A., JPMorgan Chase Bank N.A. and Wells Fargo</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5"/>
              </w:rPr>
              <w:t>Bank, National Association, as Co-Syndication Agents; DNB Bank ASA, New York Branch and Mizuho Bank, Ltd., as Co-</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4"/>
              </w:rPr>
              <w:t>Documentation Agents; the other Lenders party thereto; and Merrill Lynch, Pierce, Fenner &amp; Smith Incorporated, Citigroup</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3"/>
              </w:rPr>
              <w:t>Global Markets Inc., DNB Markets, Inc., J.P. Morgan Securities LLC, Mizuho Bank, Ltd. and Wells Fargo Securities, LLC, as</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Joint Lead Arrangers and Joint Bookrunners.</w:t>
            </w:r>
          </w:p>
        </w:tc>
      </w:tr>
      <w:tr>
        <w:trPr>
          <w:trHeight w:val="216"/>
        </w:trPr>
        <w:tc>
          <w:tcPr>
            <w:tcW w:w="1900" w:type="dxa"/>
            <w:vAlign w:val="bottom"/>
          </w:tcPr>
          <w:p>
            <w:pPr>
              <w:ind w:left="520"/>
              <w:spacing w:after="0"/>
              <w:rPr>
                <w:sz w:val="20"/>
                <w:szCs w:val="20"/>
                <w:color w:val="auto"/>
              </w:rPr>
            </w:pPr>
            <w:r>
              <w:rPr>
                <w:rFonts w:ascii="Arial" w:cs="Arial" w:eastAsia="Arial" w:hAnsi="Arial"/>
                <w:sz w:val="18"/>
                <w:szCs w:val="18"/>
                <w:color w:val="auto"/>
              </w:rPr>
              <w:t>Exhibit 10.3 –</w:t>
            </w:r>
          </w:p>
        </w:tc>
        <w:tc>
          <w:tcPr>
            <w:tcW w:w="9560" w:type="dxa"/>
            <w:vAlign w:val="bottom"/>
          </w:tcPr>
          <w:p>
            <w:pPr>
              <w:ind w:left="340"/>
              <w:spacing w:after="0"/>
              <w:rPr>
                <w:sz w:val="20"/>
                <w:szCs w:val="20"/>
                <w:color w:val="auto"/>
              </w:rPr>
            </w:pPr>
            <w:r>
              <w:rPr>
                <w:rFonts w:ascii="Arial" w:cs="Arial" w:eastAsia="Arial" w:hAnsi="Arial"/>
                <w:sz w:val="18"/>
                <w:szCs w:val="18"/>
                <w:color w:val="auto"/>
                <w:w w:val="93"/>
              </w:rPr>
              <w:t>Third Amendment to Third Amended and Restated Credit Agreement dated as of August 11, 2016 among Plains Marketing,</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4"/>
              </w:rPr>
              <w:t>L.P. and Plains Midstream Canada ULC, as Borrowers; Plains All American Pipeline, L.P., as Guarantor; Bank of America,</w:t>
            </w:r>
          </w:p>
        </w:tc>
      </w:tr>
      <w:tr>
        <w:trPr>
          <w:trHeight w:val="216"/>
        </w:trPr>
        <w:tc>
          <w:tcPr>
            <w:tcW w:w="190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3"/>
              </w:rPr>
              <w:t>N.A., as Administrative Agent, Swing Line Lender and L/C Issuer; Wells Fargo Bank, National Association, as an L/C Issuer;</w:t>
            </w:r>
          </w:p>
        </w:tc>
      </w:tr>
      <w:tr>
        <w:trPr>
          <w:trHeight w:val="230"/>
        </w:trPr>
        <w:tc>
          <w:tcPr>
            <w:tcW w:w="1900" w:type="dxa"/>
            <w:vAlign w:val="bottom"/>
          </w:tcPr>
          <w:p>
            <w:pPr>
              <w:spacing w:after="0"/>
              <w:rPr>
                <w:sz w:val="20"/>
                <w:szCs w:val="20"/>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and the other Lenders party thereto.</w:t>
            </w:r>
          </w:p>
        </w:tc>
      </w:tr>
      <w:tr>
        <w:trPr>
          <w:trHeight w:val="432"/>
        </w:trPr>
        <w:tc>
          <w:tcPr>
            <w:tcW w:w="1900" w:type="dxa"/>
            <w:vAlign w:val="bottom"/>
          </w:tcPr>
          <w:p>
            <w:pPr>
              <w:spacing w:after="0"/>
              <w:rPr>
                <w:sz w:val="24"/>
                <w:szCs w:val="24"/>
                <w:color w:val="auto"/>
              </w:rPr>
            </w:pPr>
          </w:p>
        </w:tc>
        <w:tc>
          <w:tcPr>
            <w:tcW w:w="9560" w:type="dxa"/>
            <w:vAlign w:val="bottom"/>
          </w:tcPr>
          <w:p>
            <w:pPr>
              <w:ind w:left="3760"/>
              <w:spacing w:after="0"/>
              <w:rPr>
                <w:sz w:val="20"/>
                <w:szCs w:val="20"/>
                <w:color w:val="auto"/>
              </w:rPr>
            </w:pPr>
            <w:r>
              <w:rPr>
                <w:rFonts w:ascii="Arial" w:cs="Arial" w:eastAsia="Arial" w:hAnsi="Arial"/>
                <w:sz w:val="18"/>
                <w:szCs w:val="18"/>
                <w:color w:val="auto"/>
              </w:rPr>
              <w:t>3</w:t>
            </w:r>
          </w:p>
        </w:tc>
      </w:tr>
      <w:tr>
        <w:trPr>
          <w:trHeight w:val="132"/>
        </w:trPr>
        <w:tc>
          <w:tcPr>
            <w:tcW w:w="1900" w:type="dxa"/>
            <w:vAlign w:val="bottom"/>
            <w:tcBorders>
              <w:bottom w:val="single" w:sz="8" w:color="808080"/>
            </w:tcBorders>
          </w:tcPr>
          <w:p>
            <w:pPr>
              <w:spacing w:after="0"/>
              <w:rPr>
                <w:sz w:val="11"/>
                <w:szCs w:val="11"/>
                <w:color w:val="auto"/>
              </w:rPr>
            </w:pPr>
          </w:p>
        </w:tc>
        <w:tc>
          <w:tcPr>
            <w:tcW w:w="9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-2130425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-2130425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180" w:type="dxa"/>
            <w:vAlign w:val="bottom"/>
            <w:gridSpan w:val="2"/>
          </w:tcPr>
          <w:p>
            <w:pPr>
              <w:ind w:left="258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gridSpan w:val="4"/>
          </w:tcPr>
          <w:p>
            <w:pPr>
              <w:spacing w:after="0"/>
              <w:rPr>
                <w:sz w:val="20"/>
                <w:szCs w:val="20"/>
                <w:color w:val="auto"/>
              </w:rPr>
            </w:pPr>
            <w:r>
              <w:rPr>
                <w:rFonts w:ascii="Arial" w:cs="Arial" w:eastAsia="Arial" w:hAnsi="Arial"/>
                <w:sz w:val="18"/>
                <w:szCs w:val="18"/>
                <w:color w:val="auto"/>
              </w:rPr>
              <w:t>Date: August 17, 2016</w:t>
            </w:r>
          </w:p>
        </w:tc>
        <w:tc>
          <w:tcPr>
            <w:tcW w:w="3240" w:type="dxa"/>
            <w:vAlign w:val="bottom"/>
          </w:tcPr>
          <w:p>
            <w:pPr>
              <w:ind w:left="258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40" w:type="dxa"/>
            <w:vAlign w:val="bottom"/>
          </w:tcPr>
          <w:p>
            <w:pPr>
              <w:ind w:left="258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40" w:type="dxa"/>
            <w:vAlign w:val="bottom"/>
          </w:tcPr>
          <w:p>
            <w:pPr>
              <w:ind w:left="258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40" w:type="dxa"/>
            <w:vAlign w:val="bottom"/>
          </w:tcPr>
          <w:p>
            <w:pPr>
              <w:ind w:left="258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40" w:type="dxa"/>
            <w:vAlign w:val="bottom"/>
          </w:tcPr>
          <w:p>
            <w:pPr>
              <w:ind w:left="2420"/>
              <w:spacing w:after="0"/>
              <w:rPr>
                <w:sz w:val="20"/>
                <w:szCs w:val="20"/>
                <w:color w:val="auto"/>
              </w:rPr>
            </w:pPr>
            <w:r>
              <w:rPr>
                <w:rFonts w:ascii="Arial" w:cs="Arial" w:eastAsia="Arial" w:hAnsi="Arial"/>
                <w:sz w:val="18"/>
                <w:szCs w:val="18"/>
                <w:color w:val="auto"/>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140" w:type="dxa"/>
            <w:vAlign w:val="bottom"/>
            <w:tcBorders>
              <w:bottom w:val="single" w:sz="8" w:color="808080"/>
            </w:tcBorders>
          </w:tcPr>
          <w:p>
            <w:pPr>
              <w:spacing w:after="0"/>
              <w:rPr>
                <w:sz w:val="11"/>
                <w:szCs w:val="11"/>
                <w:color w:val="auto"/>
              </w:rPr>
            </w:pPr>
          </w:p>
        </w:tc>
        <w:tc>
          <w:tcPr>
            <w:tcW w:w="818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180" w:type="dxa"/>
            <w:vAlign w:val="bottom"/>
            <w:gridSpan w:val="2"/>
          </w:tcPr>
          <w:p>
            <w:pPr>
              <w:ind w:left="1620"/>
              <w:spacing w:after="0"/>
              <w:rPr>
                <w:sz w:val="20"/>
                <w:szCs w:val="20"/>
                <w:color w:val="auto"/>
              </w:rPr>
            </w:pPr>
            <w:r>
              <w:rPr>
                <w:rFonts w:ascii="Arial" w:cs="Arial" w:eastAsia="Arial" w:hAnsi="Arial"/>
                <w:sz w:val="18"/>
                <w:szCs w:val="18"/>
                <w:color w:val="auto"/>
              </w:rPr>
              <w:t>INDEX TO EXHIBITS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140" w:type="dxa"/>
            <w:vAlign w:val="bottom"/>
          </w:tcPr>
          <w:p>
            <w:pPr>
              <w:spacing w:after="0"/>
              <w:rPr>
                <w:sz w:val="24"/>
                <w:szCs w:val="24"/>
                <w:color w:val="auto"/>
              </w:rPr>
            </w:pPr>
          </w:p>
        </w:tc>
        <w:tc>
          <w:tcPr>
            <w:tcW w:w="8180" w:type="dxa"/>
            <w:vAlign w:val="bottom"/>
            <w:gridSpan w:val="2"/>
            <w:vMerge w:val="restart"/>
          </w:tcPr>
          <w:p>
            <w:pPr>
              <w:ind w:left="26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2140" w:type="dxa"/>
            <w:vAlign w:val="bottom"/>
          </w:tcPr>
          <w:p>
            <w:pPr>
              <w:spacing w:after="0"/>
              <w:rPr>
                <w:sz w:val="14"/>
                <w:szCs w:val="14"/>
                <w:color w:val="auto"/>
              </w:rPr>
            </w:pPr>
          </w:p>
        </w:tc>
        <w:tc>
          <w:tcPr>
            <w:tcW w:w="81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103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2"/>
              </w:rPr>
              <w:t>Third Amendment to Credit Agreement dated as of August 11, 2016 among Plains All American Pipeline, L.P. and Plains Midstream Canada</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8"/>
              </w:rPr>
              <w:t>ULC, as Borrowers; Bank of America, N.A., as Administrative Agent, Swing Line Lender and L/C Issuer; Wells Fargo Bank, National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Association, as an L/C Issuer; and the other Lenders party thereto.</w:t>
            </w:r>
          </w:p>
        </w:tc>
        <w:tc>
          <w:tcPr>
            <w:tcW w:w="4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gridSpan w:val="2"/>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10320" w:type="dxa"/>
            <w:vAlign w:val="bottom"/>
            <w:gridSpan w:val="3"/>
          </w:tcPr>
          <w:p>
            <w:pPr>
              <w:spacing w:after="0"/>
              <w:rPr>
                <w:sz w:val="20"/>
                <w:szCs w:val="20"/>
                <w:color w:val="auto"/>
              </w:rPr>
            </w:pPr>
            <w:r>
              <w:rPr>
                <w:rFonts w:ascii="Arial" w:cs="Arial" w:eastAsia="Arial" w:hAnsi="Arial"/>
                <w:sz w:val="18"/>
                <w:szCs w:val="18"/>
                <w:color w:val="auto"/>
                <w:w w:val="91"/>
              </w:rPr>
              <w:t>Second Amendment to 364-Day Credit Agreement dated as of August 11, 2016 among Plains All American Pipeline, L.P., as Borrower; Bank</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-1407795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-1407795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2" w:name="page3"/>
    <w:bookmarkEnd w:id="2"/>
    <w:p>
      <w:pPr>
        <w:ind w:left="960"/>
        <w:spacing w:after="0" w:line="269" w:lineRule="auto"/>
        <w:rPr>
          <w:sz w:val="20"/>
          <w:szCs w:val="20"/>
          <w:color w:val="auto"/>
        </w:rPr>
      </w:pPr>
      <w:r>
        <w:rPr>
          <w:rFonts w:ascii="Arial" w:cs="Arial" w:eastAsia="Arial" w:hAnsi="Arial"/>
          <w:sz w:val="17"/>
          <w:szCs w:val="17"/>
          <w:color w:val="auto"/>
        </w:rPr>
        <w:t>of America, N.A., as Administrative Agent; Citibank, N.A., JPMorgan Chase Bank N.A. and Wells Fargo Bank, National Association, as Co-Syndication Agents; DNB Bank ASA, New York Branch and Mizuho Bank, Ltd., as Co-Documentation Agents; the other Lenders party thereto; and Merrill Lynch, Pierce, Fenner &amp; Smith Incorporated, Citigroup Global Markets Inc., DNB Markets, Inc., J.P. Morgan Securities LLC, Mizuho Bank, Ltd. and Wells Fargo Securities, LLC, as Joint Lead Arrangers and Joint Bookrunners.</w:t>
      </w:r>
    </w:p>
    <w:p>
      <w:pPr>
        <w:spacing w:after="0" w:line="2" w:lineRule="exact"/>
        <w:rPr>
          <w:sz w:val="20"/>
          <w:szCs w:val="20"/>
          <w:color w:val="auto"/>
        </w:rPr>
      </w:pPr>
    </w:p>
    <w:p>
      <w:pPr>
        <w:jc w:val="both"/>
        <w:ind w:left="960" w:right="140" w:hanging="1093"/>
        <w:spacing w:after="0" w:line="302" w:lineRule="auto"/>
        <w:tabs>
          <w:tab w:leader="none" w:pos="9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Third Amendment to Third Amended and Restated Credit Agreement dated as of August 11, 2016 among Plains Marketing, L.P. and Plains Midstream Canada ULC, as Borrowers; Plains All American Pipeline, L.P., as Guarantor; Bank of America, N.A., as Administrative Agent, Swing Line Lender and L/C Issuer; Wells Fargo Bank, National Association, as an L/C Issuer; and the other Lenders party thereto.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380" w:top="125" w:right="359" w:bottom="1440" w:gutter="0" w:footer="0" w:header="0"/>
        </w:sectPr>
      </w:pPr>
    </w:p>
    <w:bookmarkStart w:id="3" w:name="page4"/>
    <w:bookmarkEnd w:id="3"/>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MIDSTREAM CANADA ULC,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 and WELLS FARGO BANK,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L/C Issuers,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DNB BANK ASA, NEW YORK BRANCH, JPMORGAN CHASE BANK, N.A. and WELLS FARGO BANK, NATIONAL ASSOCIATION, </w:t>
      </w:r>
      <w:r>
        <w:rPr>
          <w:rFonts w:ascii="Arial" w:cs="Arial" w:eastAsia="Arial" w:hAnsi="Arial"/>
          <w:sz w:val="18"/>
          <w:szCs w:val="18"/>
          <w:color w:val="auto"/>
        </w:rPr>
        <w:t>as Co-Syndication Agents,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MARKETS, INC., J.P. MORGAN SECURITIES LLC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Unsecured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CREDIT AGREEMENT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THIRD AMENDMENT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11th day of August, 2016, is by and among PLAINS ALL AMERICAN PIPELINE, L.P.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(formerly an Alberta unlimited liability corporation)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BANK OF AMERICA, N.A., as Administrative Agent, Swing Line Lender and an L/C Issuer, WELLS FARGO BANK, NATIONAL ASSOCIATION, as an L/C Issuer, and the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Company, certain Subsidiaries of the Company from time to time party thereto, Administrative Agent, Swing Line Lender, the L/C Issuers and Lenders entered into that certain Credit Agreement dated as of August 19, 2011, as amended by First Amendment to Credit Agreement dated as of June 27, 2012 and Second Amendment to Credit Agreement dated as of August 16, 2013 (as heretofore amended,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WHEREAS, Merrill Lynch, Pierce, Fenner &amp; Smith Incorporated (“</w:t>
      </w:r>
      <w:r>
        <w:rPr>
          <w:rFonts w:ascii="Arial" w:cs="Arial" w:eastAsia="Arial" w:hAnsi="Arial"/>
          <w:sz w:val="18"/>
          <w:szCs w:val="18"/>
          <w:u w:val="single" w:color="auto"/>
          <w:color w:val="auto"/>
        </w:rPr>
        <w:t>MLPFS</w:t>
      </w:r>
      <w:r>
        <w:rPr>
          <w:rFonts w:ascii="Arial" w:cs="Arial" w:eastAsia="Arial" w:hAnsi="Arial"/>
          <w:sz w:val="18"/>
          <w:szCs w:val="18"/>
          <w:color w:val="auto"/>
        </w:rPr>
        <w:t>”) and the other joint lead arrangers and joint bookrunners have, at the Company’s request, syndicated and arranged for an extension of the maturity date set forth in, and other amendments to, the Original Agreement, and pursuant thereto, the Borrowers, Administrative Agent, Swing Line Lender, L/C Issuers and the Lenders party hereto desire to amend the Original Agreement for the purposes described herein;</w:t>
      </w:r>
    </w:p>
    <w:p>
      <w:pPr>
        <w:spacing w:after="0" w:line="187"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4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20" w:firstLine="656"/>
        <w:spacing w:after="0" w:line="277" w:lineRule="auto"/>
        <w:tabs>
          <w:tab w:leader="none" w:pos="78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ectPr>
          <w:pgSz w:w="11900" w:h="16888" w:orient="portrait"/>
          <w:cols w:equalWidth="0" w:num="1">
            <w:col w:w="11420"/>
          </w:cols>
          <w:pgMar w:left="240" w:top="121" w:right="239" w:bottom="0" w:gutter="0" w:footer="0" w:header="0"/>
        </w:sectPr>
      </w:pPr>
    </w:p>
    <w:bookmarkStart w:id="4" w:name="page5"/>
    <w:bookmarkEnd w:id="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Third Amendment to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800" w:hanging="144"/>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60" w:hanging="704"/>
        <w:spacing w:after="0"/>
        <w:tabs>
          <w:tab w:leader="none" w:pos="136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CDOR</w:t>
      </w:r>
      <w:r>
        <w:rPr>
          <w:rFonts w:ascii="Arial" w:cs="Arial" w:eastAsia="Arial" w:hAnsi="Arial"/>
          <w:sz w:val="17"/>
          <w:szCs w:val="17"/>
          <w:color w:val="auto"/>
        </w:rPr>
        <w:t xml:space="preserve">. The definition of “CDOR”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Original Agreement is hereby amended by adding the following at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end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 if CDOR shall be less than zero, such rate shall be deemed zero for purposes of this Agreement.</w:t>
      </w:r>
    </w:p>
    <w:p>
      <w:pPr>
        <w:spacing w:after="0" w:line="225" w:lineRule="exact"/>
        <w:rPr>
          <w:sz w:val="20"/>
          <w:szCs w:val="20"/>
          <w:color w:val="auto"/>
        </w:rPr>
      </w:pPr>
    </w:p>
    <w:p>
      <w:pPr>
        <w:ind w:right="20" w:firstLine="656"/>
        <w:spacing w:after="0" w:line="257"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The reference to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 the end of the definition of “Committed Loan Notice”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8" w:lineRule="exact"/>
        <w:rPr>
          <w:rFonts w:ascii="Arial" w:cs="Arial" w:eastAsia="Arial" w:hAnsi="Arial"/>
          <w:sz w:val="18"/>
          <w:szCs w:val="18"/>
          <w:color w:val="auto"/>
        </w:rPr>
      </w:pPr>
    </w:p>
    <w:p>
      <w:pPr>
        <w:ind w:right="520" w:firstLine="656"/>
        <w:spacing w:after="0" w:line="277"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“Defaulting Lender”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changing “, or (iii)” therein to “, (iii) become the subject of a Bail-In Action or (iv)”.</w:t>
      </w:r>
    </w:p>
    <w:p>
      <w:pPr>
        <w:spacing w:after="0" w:line="170" w:lineRule="exact"/>
        <w:rPr>
          <w:rFonts w:ascii="Arial" w:cs="Arial" w:eastAsia="Arial" w:hAnsi="Arial"/>
          <w:sz w:val="18"/>
          <w:szCs w:val="18"/>
          <w:color w:val="auto"/>
        </w:rPr>
      </w:pPr>
    </w:p>
    <w:p>
      <w:pPr>
        <w:ind w:firstLine="656"/>
        <w:spacing w:after="0" w:line="264"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The reference to “; and” at the end of </w:t>
      </w:r>
      <w:r>
        <w:rPr>
          <w:rFonts w:ascii="Arial" w:cs="Arial" w:eastAsia="Arial" w:hAnsi="Arial"/>
          <w:sz w:val="18"/>
          <w:szCs w:val="18"/>
          <w:u w:val="single" w:color="auto"/>
          <w:color w:val="auto"/>
        </w:rPr>
        <w:t>subclause (a)(i)</w:t>
      </w:r>
      <w:r>
        <w:rPr>
          <w:rFonts w:ascii="Arial" w:cs="Arial" w:eastAsia="Arial" w:hAnsi="Arial"/>
          <w:sz w:val="18"/>
          <w:szCs w:val="18"/>
          <w:color w:val="auto"/>
        </w:rPr>
        <w:t xml:space="preserve"> of the definition of “Eurocurrency Rate”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 and if the Eurodollar Rate shall be less than zero, such rate shall be deemed zero for purposes of this Agreement; and”.</w:t>
      </w:r>
    </w:p>
    <w:p>
      <w:pPr>
        <w:spacing w:after="0" w:line="181" w:lineRule="exact"/>
        <w:rPr>
          <w:rFonts w:ascii="Arial" w:cs="Arial" w:eastAsia="Arial" w:hAnsi="Arial"/>
          <w:sz w:val="18"/>
          <w:szCs w:val="18"/>
          <w:color w:val="auto"/>
        </w:rPr>
      </w:pPr>
    </w:p>
    <w:p>
      <w:pPr>
        <w:ind w:right="280" w:firstLine="656"/>
        <w:spacing w:after="0" w:line="277" w:lineRule="auto"/>
        <w:tabs>
          <w:tab w:leader="none" w:pos="134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The first sentence of the definition of “Responsible Officer”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adding the following at the end thereof:</w:t>
      </w:r>
    </w:p>
    <w:p>
      <w:pPr>
        <w:spacing w:after="0" w:line="170"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47" w:lineRule="exact"/>
        <w:rPr>
          <w:sz w:val="20"/>
          <w:szCs w:val="20"/>
          <w:color w:val="auto"/>
        </w:rPr>
      </w:pPr>
    </w:p>
    <w:p>
      <w:pPr>
        <w:ind w:right="20" w:firstLine="656"/>
        <w:spacing w:after="0" w:line="257"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The reference to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 the end of the definition of “Swing Line Loan Notice”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8" w:lineRule="exact"/>
        <w:rPr>
          <w:rFonts w:ascii="Arial" w:cs="Arial" w:eastAsia="Arial" w:hAnsi="Arial"/>
          <w:sz w:val="18"/>
          <w:szCs w:val="18"/>
          <w:color w:val="auto"/>
        </w:rPr>
      </w:pPr>
    </w:p>
    <w:p>
      <w:pPr>
        <w:ind w:right="20" w:firstLine="656"/>
        <w:spacing w:after="0" w:line="27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New Defined Terms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adding the following new defined terms in appropriate alphabetical order, to read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left="660"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25"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ectPr>
          <w:pgSz w:w="11900" w:h="16838" w:orient="portrait"/>
          <w:cols w:equalWidth="0" w:num="1">
            <w:col w:w="11420"/>
          </w:cols>
          <w:pgMar w:left="240" w:top="341" w:right="239" w:bottom="0" w:gutter="0" w:footer="0" w:header="0"/>
        </w:sectPr>
      </w:pPr>
    </w:p>
    <w:bookmarkStart w:id="5" w:name="page6"/>
    <w:bookmarkEnd w:id="5"/>
    <w:p>
      <w:pPr>
        <w:jc w:val="both"/>
        <w:ind w:left="660" w:right="8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GP Simplification Period</w:t>
      </w:r>
      <w:r>
        <w:rPr>
          <w:rFonts w:ascii="Arial" w:cs="Arial" w:eastAsia="Arial" w:hAnsi="Arial"/>
          <w:sz w:val="16"/>
          <w:szCs w:val="16"/>
          <w:color w:val="auto"/>
        </w:rPr>
        <w:t>” means the period (a) beginning on the date that the Company acquires the economic rights associated with the general partner interests in the Company and the incentive distribution rights held by Plains AAP, L.P. in the Company, substantially as described in the Simplification Agreement dated July 11, 2016 by and among the Company and certain Affiliates of the Company, attached as Exhibit 2.1 to the Form 8-K Current Report filed by the Company with the SEC on July 14, 2016, and (b) ending on December 31, 2017.</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means the Office of </w:t>
      </w:r>
      <w:r>
        <w:rPr>
          <w:rFonts w:ascii="Arial" w:cs="Arial" w:eastAsia="Arial" w:hAnsi="Arial"/>
          <w:sz w:val="17"/>
          <w:szCs w:val="17"/>
          <w:color w:val="auto"/>
        </w:rPr>
        <w:t>Foreign</w:t>
      </w:r>
      <w:r>
        <w:rPr>
          <w:rFonts w:ascii="Arial" w:cs="Arial" w:eastAsia="Arial" w:hAnsi="Arial"/>
          <w:sz w:val="18"/>
          <w:szCs w:val="18"/>
          <w:color w:val="auto"/>
        </w:rPr>
        <w:t xml:space="preserve"> Assets Control of the United States Department of the Treasury.</w:t>
      </w:r>
    </w:p>
    <w:p>
      <w:pPr>
        <w:spacing w:after="0" w:line="225"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JV Entity</w:t>
      </w:r>
      <w:r>
        <w:rPr>
          <w:rFonts w:ascii="Arial" w:cs="Arial" w:eastAsia="Arial" w:hAnsi="Arial"/>
          <w:sz w:val="18"/>
          <w:szCs w:val="18"/>
          <w:color w:val="auto"/>
        </w:rPr>
        <w:t>” means any Person, other than a Subsidiary (a) in which the Company or a Restricted Subsidiary owns a direct or indirect Equity Interest and (b) (i) that has no Consolidated Funded Indebtedness; provided that references to “Company” in the definition thereof shall, for purposes of this definition, refer to such Person, and (ii) is not subject to any Contractual Obligation that limits the ability of such Person to make cash distributions with respect to any Equity Interest of such Person if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Person is not otherwise in default of its obligations under such Contractual Obligation.</w:t>
      </w:r>
    </w:p>
    <w:p>
      <w:pPr>
        <w:spacing w:after="0" w:line="225" w:lineRule="exact"/>
        <w:rPr>
          <w:sz w:val="20"/>
          <w:szCs w:val="20"/>
          <w:color w:val="auto"/>
        </w:rPr>
      </w:pPr>
    </w:p>
    <w:p>
      <w:pPr>
        <w:ind w:left="660" w:right="1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w:t>
      </w:r>
      <w:r>
        <w:rPr>
          <w:rFonts w:ascii="Arial" w:cs="Arial" w:eastAsia="Arial" w:hAnsi="Arial"/>
          <w:sz w:val="17"/>
          <w:szCs w:val="17"/>
          <w:color w:val="auto"/>
        </w:rPr>
        <w:t xml:space="preserve">” means any economic or trade sanction administered by the United States Government (including, </w:t>
      </w:r>
      <w:r>
        <w:rPr>
          <w:rFonts w:ascii="Arial" w:cs="Arial" w:eastAsia="Arial" w:hAnsi="Arial"/>
          <w:sz w:val="16"/>
          <w:szCs w:val="16"/>
          <w:color w:val="auto"/>
        </w:rPr>
        <w:t>without</w:t>
      </w:r>
      <w:r>
        <w:rPr>
          <w:rFonts w:ascii="Arial" w:cs="Arial" w:eastAsia="Arial" w:hAnsi="Arial"/>
          <w:sz w:val="17"/>
          <w:szCs w:val="17"/>
          <w:color w:val="auto"/>
        </w:rPr>
        <w:t xml:space="preserve"> limitation, any economic or trade sanction administered by OFAC), and any other economic or trade sanction administered by any other sanctions authority of any relevant jurisdiction where any Restricted Person maintains assets or engages in business (including, if applicable, any economic or trade sanction administered by the United Nations Security Council, the European Union or Her Majesty’s Treasury).</w:t>
      </w:r>
    </w:p>
    <w:p>
      <w:pPr>
        <w:spacing w:after="0" w:line="171" w:lineRule="exact"/>
        <w:rPr>
          <w:sz w:val="20"/>
          <w:szCs w:val="20"/>
          <w:color w:val="auto"/>
        </w:rPr>
      </w:pPr>
    </w:p>
    <w:p>
      <w:pPr>
        <w:jc w:val="both"/>
        <w:ind w:left="660" w:right="2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Borrowings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of the Original Agreement is hereby amended as follows:</w:t>
      </w:r>
    </w:p>
    <w:p>
      <w:pPr>
        <w:spacing w:after="0" w:line="225" w:lineRule="exact"/>
        <w:rPr>
          <w:rFonts w:ascii="Arial" w:cs="Arial" w:eastAsia="Arial" w:hAnsi="Arial"/>
          <w:sz w:val="18"/>
          <w:szCs w:val="18"/>
          <w:color w:val="auto"/>
        </w:rPr>
      </w:pPr>
    </w:p>
    <w:p>
      <w:pPr>
        <w:ind w:left="660" w:right="620" w:firstLine="645"/>
        <w:spacing w:after="0" w:line="264" w:lineRule="auto"/>
        <w:tabs>
          <w:tab w:leader="none" w:pos="20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reference to “telephone” at the end of the first sentence is hereby amended to refer instead to “(A) telephone, or (B) a Committed Loan Notice; provided that any telephonic notice must be confirmed immediately by delivery to the Administrative Agent of a Committed Loan Notice”.</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201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reference to “Each such notice” at the beginning of the second sentence is hereby amended to refer instead to “Each such Committed Loan Notice”.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fourth sentence (beginning “Each telephonic notice . . .”) is hereby deleted in its entirety.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parenthetical “(whether telephonic or written)” in the seventh sentence is hereby deleted in its entirety.</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Swing Line Borrowings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of the Original Agreement is hereby amended as follows:</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200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reference to “telephone” at the end of the first sentence is hereby amended to refer instead to “(A) telephone, or (B) a Swing Line Loan Notice; provided that any telephonic notice must be confirmed promptly by delivery to the Swing Line Lender and the Administrative Agent of a Swing Line Loan Notice”.</w:t>
      </w:r>
    </w:p>
    <w:p>
      <w:pPr>
        <w:spacing w:after="0" w:line="181" w:lineRule="exact"/>
        <w:rPr>
          <w:rFonts w:ascii="Arial" w:cs="Arial" w:eastAsia="Arial" w:hAnsi="Arial"/>
          <w:sz w:val="18"/>
          <w:szCs w:val="18"/>
          <w:color w:val="auto"/>
        </w:rPr>
      </w:pPr>
    </w:p>
    <w:p>
      <w:pPr>
        <w:ind w:left="660" w:right="320" w:firstLine="645"/>
        <w:spacing w:after="0" w:line="277" w:lineRule="auto"/>
        <w:tabs>
          <w:tab w:leader="none" w:pos="2013"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reference to “Each such notice” at the beginning of the second sentence is hereby amended to refer instead to “Each such Swing Line Loan Notice”.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third sentence (beginning “Each such telephonic notice . . .”) is hereby deleted in its entirety.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reference to “telephonic Swing Line Loan Notice” in the fourth sentence is hereby amended to refer instead to “Swing Line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Loan Notice”.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 2.4.</w:t>
      </w:r>
      <w:r>
        <w:rPr>
          <w:sz w:val="20"/>
          <w:szCs w:val="20"/>
          <w:color w:val="auto"/>
        </w:rPr>
        <w:tab/>
      </w:r>
      <w:r>
        <w:rPr>
          <w:rFonts w:ascii="Arial" w:cs="Arial" w:eastAsia="Arial" w:hAnsi="Arial"/>
          <w:sz w:val="16"/>
          <w:szCs w:val="16"/>
          <w:u w:val="single" w:color="auto"/>
          <w:color w:val="auto"/>
        </w:rPr>
        <w:t>FATCA</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3.01(e) </w:t>
      </w:r>
      <w:r>
        <w:rPr>
          <w:rFonts w:ascii="Arial" w:cs="Arial" w:eastAsia="Arial" w:hAnsi="Arial"/>
          <w:sz w:val="16"/>
          <w:szCs w:val="16"/>
          <w:color w:val="auto"/>
        </w:rPr>
        <w:t>of the Original Agreement is hereby amended by adding a new</w:t>
      </w:r>
      <w:r>
        <w:rPr>
          <w:rFonts w:ascii="Arial" w:cs="Arial" w:eastAsia="Arial" w:hAnsi="Arial"/>
          <w:sz w:val="16"/>
          <w:szCs w:val="16"/>
          <w:u w:val="single" w:color="auto"/>
          <w:color w:val="auto"/>
        </w:rPr>
        <w:t xml:space="preserve"> subsection (v) </w:t>
      </w:r>
      <w:r>
        <w:rPr>
          <w:rFonts w:ascii="Arial" w:cs="Arial" w:eastAsia="Arial" w:hAnsi="Arial"/>
          <w:sz w:val="16"/>
          <w:szCs w:val="16"/>
          <w:color w:val="auto"/>
        </w:rPr>
        <w:t>at the end thereof, to read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60" w:firstLine="645"/>
        <w:spacing w:after="0" w:line="279" w:lineRule="auto"/>
        <w:tabs>
          <w:tab w:leader="none" w:pos="2013"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“Amendment Effective Date” (as such term is defined in that certain Third Amendment to Credit Agreement dated as of August 11, 2016 amending this Agreement), the Company and the Administrative Agent shall treat (and the Lenders hereby authorize the Administrative Agent to treat) this Agreement as not qualifying as a “grandfathered obligation” within the meaning of Treasury Regulation Section 1.1471-2(b)(2)(i).</w:t>
      </w:r>
    </w:p>
    <w:p>
      <w:pPr>
        <w:spacing w:after="0" w:line="171" w:lineRule="exact"/>
        <w:rPr>
          <w:rFonts w:ascii="Arial" w:cs="Arial" w:eastAsia="Arial" w:hAnsi="Arial"/>
          <w:sz w:val="17"/>
          <w:szCs w:val="17"/>
          <w:color w:val="auto"/>
        </w:rPr>
      </w:pPr>
    </w:p>
    <w:p>
      <w:pPr>
        <w:ind w:right="200" w:firstLine="656"/>
        <w:spacing w:after="0" w:line="277" w:lineRule="auto"/>
        <w:tabs>
          <w:tab w:leader="none" w:pos="78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OFAC; Anti-Corruption Laws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Original Agreement is hereby amended by adding new </w:t>
      </w:r>
      <w:r>
        <w:rPr>
          <w:rFonts w:ascii="Arial" w:cs="Arial" w:eastAsia="Arial" w:hAnsi="Arial"/>
          <w:sz w:val="18"/>
          <w:szCs w:val="18"/>
          <w:u w:val="single" w:color="auto"/>
          <w:color w:val="auto"/>
        </w:rPr>
        <w:t>Sections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at the end thereof, to read as follows:</w:t>
      </w:r>
    </w:p>
    <w:p>
      <w:pPr>
        <w:spacing w:after="0" w:line="166" w:lineRule="exact"/>
        <w:rPr>
          <w:sz w:val="20"/>
          <w:szCs w:val="20"/>
          <w:color w:val="auto"/>
        </w:rPr>
      </w:pPr>
    </w:p>
    <w:p>
      <w:pPr>
        <w:ind w:left="660" w:firstLine="648"/>
        <w:spacing w:after="0" w:line="274" w:lineRule="auto"/>
        <w:rPr>
          <w:sz w:val="20"/>
          <w:szCs w:val="20"/>
          <w:color w:val="auto"/>
        </w:rPr>
      </w:pPr>
      <w:r>
        <w:rPr>
          <w:rFonts w:ascii="Arial" w:cs="Arial" w:eastAsia="Arial" w:hAnsi="Arial"/>
          <w:sz w:val="17"/>
          <w:szCs w:val="17"/>
          <w:b w:val="1"/>
          <w:bCs w:val="1"/>
          <w:color w:val="auto"/>
        </w:rPr>
        <w:t>5.12 OFAC</w:t>
      </w:r>
      <w:r>
        <w:rPr>
          <w:rFonts w:ascii="Arial" w:cs="Arial" w:eastAsia="Arial" w:hAnsi="Arial"/>
          <w:sz w:val="17"/>
          <w:szCs w:val="17"/>
          <w:color w:val="auto"/>
        </w:rPr>
        <w:t>. Neither the Company, nor any of its Subsidiaries, nor, to the knowledge of the Company and its Subsidiaries,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directors or officers, or any of their respective agents or representatives acting or benefiting in any such capacity in connection with this Agreement, is a Person (i) currently the subject of any Sanction, (ii) listed in the most current annex to, or otherwise currently the subject of the provisions of, any executive order administered by OFAC or the U.S. Department of State, or (iii) named as a “Specially Designated National” in the most current list published by OFAC at its official website or any replacement website or other replacement official publication of such list (each Person referred to in any of the preceding clauses (i) - (iii), a “</w:t>
      </w:r>
      <w:r>
        <w:rPr>
          <w:rFonts w:ascii="Arial" w:cs="Arial" w:eastAsia="Arial" w:hAnsi="Arial"/>
          <w:sz w:val="17"/>
          <w:szCs w:val="17"/>
          <w:u w:val="single" w:color="auto"/>
          <w:color w:val="auto"/>
        </w:rPr>
        <w:t>Designated Person</w:t>
      </w:r>
      <w:r>
        <w:rPr>
          <w:rFonts w:ascii="Arial" w:cs="Arial" w:eastAsia="Arial" w:hAnsi="Arial"/>
          <w:sz w:val="17"/>
          <w:szCs w:val="17"/>
          <w:color w:val="auto"/>
        </w:rPr>
        <w:t>”).</w:t>
      </w:r>
    </w:p>
    <w:p>
      <w:pPr>
        <w:sectPr>
          <w:pgSz w:w="11900" w:h="16838" w:orient="portrait"/>
          <w:cols w:equalWidth="0" w:num="1">
            <w:col w:w="11380"/>
          </w:cols>
          <w:pgMar w:left="240" w:top="125" w:right="279" w:bottom="0" w:gutter="0" w:footer="0" w:header="0"/>
        </w:sectPr>
      </w:pPr>
    </w:p>
    <w:bookmarkStart w:id="6" w:name="page7"/>
    <w:bookmarkEnd w:id="6"/>
    <w:p>
      <w:pPr>
        <w:ind w:left="660" w:right="120" w:firstLine="648"/>
        <w:spacing w:after="0" w:line="270" w:lineRule="auto"/>
        <w:rPr>
          <w:sz w:val="20"/>
          <w:szCs w:val="20"/>
          <w:color w:val="auto"/>
        </w:rPr>
      </w:pPr>
      <w:r>
        <w:rPr>
          <w:rFonts w:ascii="Arial" w:cs="Arial" w:eastAsia="Arial" w:hAnsi="Arial"/>
          <w:sz w:val="17"/>
          <w:szCs w:val="17"/>
          <w:b w:val="1"/>
          <w:bCs w:val="1"/>
          <w:color w:val="auto"/>
        </w:rPr>
        <w:t>5.13 Anti-Corruption Laws</w:t>
      </w:r>
      <w:r>
        <w:rPr>
          <w:rFonts w:ascii="Arial" w:cs="Arial" w:eastAsia="Arial" w:hAnsi="Arial"/>
          <w:sz w:val="17"/>
          <w:szCs w:val="17"/>
          <w:color w:val="auto"/>
        </w:rPr>
        <w:t>. The Company and its Subsidiaries (a) are in compliance with (i) the United States Foreign Corrupt</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Act of 1977, as applicable to them, and (ii) other similar anti-corruption legislation in other relevant jurisdictions in which they maintain assets or engage in business, which otherwise are applicable to them (collectively, the Laws referred to in the preceding clauses (i) and (ii),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other than any failure or failures to comply with Anti-Corruption Laws (A) that are isolated and do not evidence a pervasive or systemic pattern of violations of such laws and regulations or a significant deficiency in the implementation of the hereinafter referenced policies and procedures to promote and achieve compliance by the Company and its Subsidiaries with Anti-Corruption Laws and are immaterial to the Company and its Subsidiaries taken as a whole, or (B) that arise from actions or incidents that have been publicly disclosed by the Company or disclosed in writing to the Administrative Agent (with a copy to Lenders), in each case, at least twenty (20) days prior to the Closing Date, and (b) have instituted and maintain commercially reasonable policies and procedures which they reasonably believe are designed to promote and achieve their respective compliance with such laws.</w:t>
      </w:r>
    </w:p>
    <w:p>
      <w:pPr>
        <w:spacing w:after="0" w:line="182" w:lineRule="exact"/>
        <w:rPr>
          <w:sz w:val="20"/>
          <w:szCs w:val="20"/>
          <w:color w:val="auto"/>
        </w:rPr>
      </w:pPr>
    </w:p>
    <w:p>
      <w:pPr>
        <w:ind w:right="460" w:firstLine="656"/>
        <w:spacing w:after="0" w:line="264" w:lineRule="auto"/>
        <w:tabs>
          <w:tab w:leader="none" w:pos="78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Compliance wth Laws</w:t>
      </w:r>
      <w:r>
        <w:rPr>
          <w:rFonts w:ascii="Arial" w:cs="Arial" w:eastAsia="Arial" w:hAnsi="Arial"/>
          <w:sz w:val="18"/>
          <w:szCs w:val="18"/>
          <w:color w:val="auto"/>
        </w:rPr>
        <w:t xml:space="preserve">. The reference to “requirements of all Laws” in the first sentence of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of the Original Agreement is hereby amended to refer instead to “requirements of all Laws (including Anti-Corruption Laws)”, and a new sentence is added at the end of such Section 6.08, to read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The Company and its Subsidiaries will institute and maintain commercially reasonably policies and procedures which they reasonably believe are designed to promote and achieve their respective compliance with Anti-Corruption Laws.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 2.7.</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7.07 </w:t>
      </w:r>
      <w:r>
        <w:rPr>
          <w:rFonts w:ascii="Arial" w:cs="Arial" w:eastAsia="Arial" w:hAnsi="Arial"/>
          <w:sz w:val="16"/>
          <w:szCs w:val="16"/>
          <w:color w:val="auto"/>
        </w:rPr>
        <w:t>of the Original Agreement is hereby amended in its entirety to read as follows:</w:t>
      </w:r>
    </w:p>
    <w:p>
      <w:pPr>
        <w:spacing w:after="0" w:line="221" w:lineRule="exact"/>
        <w:rPr>
          <w:sz w:val="20"/>
          <w:szCs w:val="20"/>
          <w:color w:val="auto"/>
        </w:rPr>
      </w:pPr>
    </w:p>
    <w:p>
      <w:pPr>
        <w:ind w:left="660" w:right="40" w:firstLine="648"/>
        <w:spacing w:after="0" w:line="295" w:lineRule="auto"/>
        <w:rPr>
          <w:sz w:val="20"/>
          <w:szCs w:val="20"/>
          <w:color w:val="auto"/>
        </w:rPr>
      </w:pPr>
      <w:r>
        <w:rPr>
          <w:rFonts w:ascii="Arial" w:cs="Arial" w:eastAsia="Arial" w:hAnsi="Arial"/>
          <w:sz w:val="16"/>
          <w:szCs w:val="16"/>
          <w:b w:val="1"/>
          <w:bCs w:val="1"/>
          <w:color w:val="auto"/>
        </w:rPr>
        <w:t>7.07 Use of Proceeds</w:t>
      </w:r>
      <w:r>
        <w:rPr>
          <w:rFonts w:ascii="Arial" w:cs="Arial" w:eastAsia="Arial" w:hAnsi="Arial"/>
          <w:sz w:val="16"/>
          <w:szCs w:val="16"/>
          <w:color w:val="auto"/>
        </w:rPr>
        <w:t>. Use the proceeds of any Loans, whether directly or indirectly, and whether immediately, incidentally or</w:t>
      </w:r>
      <w:r>
        <w:rPr>
          <w:rFonts w:ascii="Arial" w:cs="Arial" w:eastAsia="Arial" w:hAnsi="Arial"/>
          <w:sz w:val="16"/>
          <w:szCs w:val="16"/>
          <w:b w:val="1"/>
          <w:bCs w:val="1"/>
          <w:color w:val="auto"/>
        </w:rPr>
        <w:t xml:space="preserve"> </w:t>
      </w:r>
      <w:r>
        <w:rPr>
          <w:rFonts w:ascii="Arial" w:cs="Arial" w:eastAsia="Arial" w:hAnsi="Arial"/>
          <w:sz w:val="16"/>
          <w:szCs w:val="16"/>
          <w:color w:val="auto"/>
        </w:rPr>
        <w:t>ultimately, (a) to 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right"/>
              <w:ind w:right="193"/>
              <w:spacing w:after="0"/>
              <w:rPr>
                <w:sz w:val="20"/>
                <w:szCs w:val="20"/>
                <w:color w:val="auto"/>
              </w:rPr>
            </w:pPr>
            <w:r>
              <w:rPr>
                <w:rFonts w:ascii="Arial" w:cs="Arial" w:eastAsia="Arial" w:hAnsi="Arial"/>
                <w:sz w:val="18"/>
                <w:szCs w:val="18"/>
                <w:color w:val="auto"/>
              </w:rPr>
              <w:t>§ 2.8.</w:t>
            </w:r>
          </w:p>
        </w:tc>
        <w:tc>
          <w:tcPr>
            <w:tcW w:w="9740" w:type="dxa"/>
            <w:vAlign w:val="bottom"/>
            <w:gridSpan w:val="8"/>
          </w:tcPr>
          <w:p>
            <w:pPr>
              <w:spacing w:after="0"/>
              <w:rPr>
                <w:sz w:val="20"/>
                <w:szCs w:val="20"/>
                <w:color w:val="auto"/>
              </w:rPr>
            </w:pPr>
            <w:r>
              <w:rPr>
                <w:rFonts w:ascii="Arial" w:cs="Arial" w:eastAsia="Arial" w:hAnsi="Arial"/>
                <w:sz w:val="18"/>
                <w:szCs w:val="18"/>
                <w:color w:val="auto"/>
                <w:w w:val="90"/>
              </w:rPr>
              <w:t>Consolidated Leverage Ratio. The table set forth in Section 7.08 of the Original Agreement is hereby amended in its entirety to read as</w:t>
            </w:r>
          </w:p>
        </w:tc>
        <w:tc>
          <w:tcPr>
            <w:tcW w:w="0" w:type="dxa"/>
            <w:vAlign w:val="bottom"/>
          </w:tcPr>
          <w:p>
            <w:pPr>
              <w:spacing w:after="0"/>
              <w:rPr>
                <w:sz w:val="1"/>
                <w:szCs w:val="1"/>
                <w:color w:val="auto"/>
              </w:rPr>
            </w:pPr>
          </w:p>
        </w:tc>
      </w:tr>
      <w:tr>
        <w:trPr>
          <w:trHeight w:val="237"/>
        </w:trPr>
        <w:tc>
          <w:tcPr>
            <w:tcW w:w="1340" w:type="dxa"/>
            <w:vAlign w:val="bottom"/>
            <w:gridSpan w:val="2"/>
          </w:tcPr>
          <w:p>
            <w:pPr>
              <w:jc w:val="right"/>
              <w:ind w:right="653"/>
              <w:spacing w:after="0"/>
              <w:rPr>
                <w:sz w:val="20"/>
                <w:szCs w:val="20"/>
                <w:color w:val="auto"/>
              </w:rPr>
            </w:pPr>
            <w:r>
              <w:rPr>
                <w:rFonts w:ascii="Arial" w:cs="Arial" w:eastAsia="Arial" w:hAnsi="Arial"/>
                <w:sz w:val="18"/>
                <w:szCs w:val="18"/>
                <w:color w:val="auto"/>
                <w:w w:val="96"/>
              </w:rPr>
              <w:t>follows:</w:t>
            </w:r>
          </w:p>
        </w:tc>
        <w:tc>
          <w:tcPr>
            <w:tcW w:w="21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59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Applicable Period</w:t>
            </w:r>
          </w:p>
        </w:tc>
        <w:tc>
          <w:tcPr>
            <w:tcW w:w="46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Maximum Consolidated</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5960" w:type="dxa"/>
            <w:vAlign w:val="bottom"/>
            <w:gridSpan w:val="7"/>
            <w:vMerge w:val="continue"/>
          </w:tcPr>
          <w:p>
            <w:pPr>
              <w:spacing w:after="0"/>
              <w:rPr>
                <w:sz w:val="14"/>
                <w:szCs w:val="14"/>
                <w:color w:val="auto"/>
              </w:rPr>
            </w:pPr>
          </w:p>
        </w:tc>
        <w:tc>
          <w:tcPr>
            <w:tcW w:w="46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68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(i)  During the GP Simplification Period</w:t>
            </w:r>
          </w:p>
        </w:tc>
        <w:tc>
          <w:tcPr>
            <w:tcW w:w="28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5.50:1.0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9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(ii)  Prior to or following the GP Simplification Period and during an</w:t>
            </w:r>
          </w:p>
        </w:tc>
        <w:tc>
          <w:tcPr>
            <w:tcW w:w="4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5.50:1.0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6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Acquisition Period</w:t>
            </w:r>
          </w:p>
        </w:tc>
        <w:tc>
          <w:tcPr>
            <w:tcW w:w="408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96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(iii) Prior to or following the GP Simplification Period and other than during</w:t>
            </w:r>
          </w:p>
        </w:tc>
        <w:tc>
          <w:tcPr>
            <w:tcW w:w="4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5.00:1.0</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960" w:type="dxa"/>
            <w:vAlign w:val="bottom"/>
            <w:gridSpan w:val="7"/>
            <w:shd w:val="clear" w:color="auto" w:fill="CCEEFF"/>
          </w:tcPr>
          <w:p>
            <w:pPr>
              <w:ind w:left="340"/>
              <w:spacing w:after="0"/>
              <w:rPr>
                <w:sz w:val="20"/>
                <w:szCs w:val="20"/>
                <w:color w:val="auto"/>
              </w:rPr>
            </w:pPr>
            <w:r>
              <w:rPr>
                <w:rFonts w:ascii="Arial" w:cs="Arial" w:eastAsia="Arial" w:hAnsi="Arial"/>
                <w:sz w:val="18"/>
                <w:szCs w:val="18"/>
                <w:color w:val="auto"/>
              </w:rPr>
              <w:t>an Acquisition Period</w:t>
            </w:r>
          </w:p>
        </w:tc>
        <w:tc>
          <w:tcPr>
            <w:tcW w:w="408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40" w:type="dxa"/>
            <w:vAlign w:val="bottom"/>
            <w:gridSpan w:val="2"/>
          </w:tcPr>
          <w:p>
            <w:pPr>
              <w:jc w:val="right"/>
              <w:ind w:right="193"/>
              <w:spacing w:after="0"/>
              <w:rPr>
                <w:sz w:val="20"/>
                <w:szCs w:val="20"/>
                <w:color w:val="auto"/>
              </w:rPr>
            </w:pPr>
            <w:r>
              <w:rPr>
                <w:rFonts w:ascii="Arial" w:cs="Arial" w:eastAsia="Arial" w:hAnsi="Arial"/>
                <w:sz w:val="18"/>
                <w:szCs w:val="18"/>
                <w:color w:val="auto"/>
              </w:rPr>
              <w:t>§ 2.9.</w:t>
            </w:r>
          </w:p>
        </w:tc>
        <w:tc>
          <w:tcPr>
            <w:tcW w:w="5080" w:type="dxa"/>
            <w:vAlign w:val="bottom"/>
            <w:gridSpan w:val="6"/>
          </w:tcPr>
          <w:p>
            <w:pPr>
              <w:spacing w:after="0"/>
              <w:rPr>
                <w:sz w:val="20"/>
                <w:szCs w:val="20"/>
                <w:color w:val="auto"/>
              </w:rPr>
            </w:pPr>
            <w:r>
              <w:rPr>
                <w:rFonts w:ascii="Arial" w:cs="Arial" w:eastAsia="Arial" w:hAnsi="Arial"/>
                <w:sz w:val="18"/>
                <w:szCs w:val="18"/>
                <w:color w:val="auto"/>
              </w:rPr>
              <w:t>Material Project EBITDA Adjustments.</w:t>
            </w:r>
          </w:p>
        </w:tc>
        <w:tc>
          <w:tcPr>
            <w:tcW w:w="4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656"/>
        <w:spacing w:after="0" w:line="277" w:lineRule="auto"/>
        <w:tabs>
          <w:tab w:leader="none" w:pos="13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reference to “any non-wholly-owned Subsidiaries”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proviso to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Original Agreement is hereby amended to refer instead to “any non-wholly-owned Subsidiary or Qualifying JV Entity”.</w:t>
      </w:r>
    </w:p>
    <w:p>
      <w:pPr>
        <w:spacing w:after="0" w:line="170" w:lineRule="exact"/>
        <w:rPr>
          <w:rFonts w:ascii="Arial" w:cs="Arial" w:eastAsia="Arial" w:hAnsi="Arial"/>
          <w:sz w:val="18"/>
          <w:szCs w:val="18"/>
          <w:color w:val="auto"/>
        </w:rPr>
      </w:pPr>
    </w:p>
    <w:p>
      <w:pPr>
        <w:ind w:right="300" w:firstLine="656"/>
        <w:spacing w:after="0" w:line="264"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reference to “the Company or any of its Subsidiaries” in the first sentence of the definition of “Material Project EBITDA Adjustments”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Original Agreement is hereby amended to refer instead to “the Company, any of its Subsidiaries or any Qualifying JV Entity”.</w:t>
      </w:r>
    </w:p>
    <w:p>
      <w:pPr>
        <w:spacing w:after="0" w:line="181" w:lineRule="exact"/>
        <w:rPr>
          <w:rFonts w:ascii="Arial" w:cs="Arial" w:eastAsia="Arial" w:hAnsi="Arial"/>
          <w:sz w:val="18"/>
          <w:szCs w:val="18"/>
          <w:color w:val="auto"/>
        </w:rPr>
      </w:pPr>
    </w:p>
    <w:p>
      <w:pPr>
        <w:ind w:firstLine="656"/>
        <w:spacing w:after="0" w:line="277" w:lineRule="auto"/>
        <w:tabs>
          <w:tab w:leader="none" w:pos="134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in the definition of “Material Project EBITDA Adjustments”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Original Agreement is hereby amended in its entirety to read as follows:</w:t>
      </w:r>
    </w:p>
    <w:p>
      <w:pPr>
        <w:spacing w:after="0" w:line="170" w:lineRule="exact"/>
        <w:rPr>
          <w:rFonts w:ascii="Arial" w:cs="Arial" w:eastAsia="Arial" w:hAnsi="Arial"/>
          <w:sz w:val="18"/>
          <w:szCs w:val="18"/>
          <w:color w:val="auto"/>
        </w:rPr>
      </w:pPr>
    </w:p>
    <w:p>
      <w:pPr>
        <w:ind w:left="660" w:right="200" w:firstLine="645"/>
        <w:spacing w:after="0" w:line="264" w:lineRule="auto"/>
        <w:tabs>
          <w:tab w:leader="none" w:pos="1998"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aggregate amount of (i) all Material Project EBITDA Adjustments (including any Material Project EBITDA Adjustments attributable to Material Projects of Qualifying JV Entities) and PNGS EBITDA Adjustments during any four-quarter period ending on the relevant date of determination shall be limited in the aggregate to 15%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 xml:space="preserve">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Arial" w:cs="Arial" w:eastAsia="Arial" w:hAnsi="Arial"/>
          <w:sz w:val="18"/>
          <w:szCs w:val="18"/>
          <w:u w:val="single" w:color="auto"/>
          <w:color w:val="auto"/>
        </w:rPr>
        <w:t>subclauses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be determined without including any Material Project EBITDA Adjustments or PNGS EBITDA Adjustments.</w:t>
      </w:r>
    </w:p>
    <w:p>
      <w:pPr>
        <w:spacing w:after="0" w:line="187" w:lineRule="exact"/>
        <w:rPr>
          <w:sz w:val="20"/>
          <w:szCs w:val="20"/>
          <w:color w:val="auto"/>
        </w:rPr>
      </w:pPr>
    </w:p>
    <w:p>
      <w:pPr>
        <w:jc w:val="both"/>
        <w:ind w:right="220" w:firstLine="656"/>
        <w:spacing w:after="0" w:line="264" w:lineRule="auto"/>
        <w:tabs>
          <w:tab w:leader="none" w:pos="7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 xml:space="preserve">. The reference to “Borrower Materials through the internet” in the fourth sentence of </w:t>
      </w:r>
      <w:r>
        <w:rPr>
          <w:rFonts w:ascii="Arial" w:cs="Arial" w:eastAsia="Arial" w:hAnsi="Arial"/>
          <w:sz w:val="18"/>
          <w:szCs w:val="18"/>
          <w:u w:val="single" w:color="auto"/>
          <w:color w:val="auto"/>
        </w:rPr>
        <w:t>Section 11.02(c)</w:t>
      </w:r>
      <w:r>
        <w:rPr>
          <w:rFonts w:ascii="Arial" w:cs="Arial" w:eastAsia="Arial" w:hAnsi="Arial"/>
          <w:sz w:val="18"/>
          <w:szCs w:val="18"/>
          <w:color w:val="auto"/>
        </w:rPr>
        <w:t xml:space="preserve"> of the Original Agreement is hereby amended to refer instead to “Borrower Materials or notices through the Platform, any other electronic platform or electronic messaging service, or through the internet”.</w:t>
      </w:r>
    </w:p>
    <w:p>
      <w:pPr>
        <w:spacing w:after="0" w:line="181" w:lineRule="exact"/>
        <w:rPr>
          <w:rFonts w:ascii="Arial" w:cs="Arial" w:eastAsia="Arial" w:hAnsi="Arial"/>
          <w:sz w:val="18"/>
          <w:szCs w:val="18"/>
          <w:color w:val="auto"/>
        </w:rPr>
      </w:pPr>
    </w:p>
    <w:p>
      <w:pPr>
        <w:ind w:right="120" w:firstLine="656"/>
        <w:spacing w:after="0" w:line="312" w:lineRule="auto"/>
        <w:tabs>
          <w:tab w:leader="none" w:pos="783"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Electronic Execution of Assignments and Certain Other Documents</w:t>
      </w:r>
      <w:r>
        <w:rPr>
          <w:rFonts w:ascii="Arial" w:cs="Arial" w:eastAsia="Arial" w:hAnsi="Arial"/>
          <w:sz w:val="16"/>
          <w:szCs w:val="16"/>
          <w:color w:val="auto"/>
        </w:rPr>
        <w:t xml:space="preserve">. The reference to “in any Assignment and Assumption or in any amendment or other modification hereof (including waivers and consents)” in </w:t>
      </w:r>
      <w:r>
        <w:rPr>
          <w:rFonts w:ascii="Arial" w:cs="Arial" w:eastAsia="Arial" w:hAnsi="Arial"/>
          <w:sz w:val="16"/>
          <w:szCs w:val="16"/>
          <w:u w:val="single" w:color="auto"/>
          <w:color w:val="auto"/>
        </w:rPr>
        <w:t>Section 11.18</w:t>
      </w:r>
      <w:r>
        <w:rPr>
          <w:rFonts w:ascii="Arial" w:cs="Arial" w:eastAsia="Arial" w:hAnsi="Arial"/>
          <w:sz w:val="16"/>
          <w:szCs w:val="16"/>
          <w:color w:val="auto"/>
        </w:rPr>
        <w:t xml:space="preserve"> of the Original Agreement is hereby amended to refer instead to “in or related to any document to be signed in connection with this Agreement and the transactions contemplated hereby (including without limitation</w:t>
      </w:r>
    </w:p>
    <w:p>
      <w:pPr>
        <w:sectPr>
          <w:pgSz w:w="11900" w:h="16838" w:orient="portrait"/>
          <w:cols w:equalWidth="0" w:num="1">
            <w:col w:w="11420"/>
          </w:cols>
          <w:pgMar w:left="240" w:top="121" w:right="239" w:bottom="0" w:gutter="0" w:footer="0" w:header="0"/>
        </w:sectPr>
      </w:pPr>
    </w:p>
    <w:bookmarkStart w:id="7" w:name="page8"/>
    <w:bookmarkEnd w:id="7"/>
    <w:p>
      <w:pPr>
        <w:spacing w:after="0" w:line="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Assignment and Assumptions, amendments or other modifications, Committed Loan Notices, Swingline Loan Notices, waivers and consents)”, and the following proviso is added at the end of such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170" w:lineRule="exact"/>
        <w:rPr>
          <w:sz w:val="20"/>
          <w:szCs w:val="20"/>
          <w:color w:val="auto"/>
        </w:rPr>
      </w:pPr>
    </w:p>
    <w:p>
      <w:pPr>
        <w:ind w:left="660" w:right="20" w:hanging="4"/>
        <w:spacing w:after="0" w:line="276" w:lineRule="auto"/>
        <w:tabs>
          <w:tab w:leader="none" w:pos="7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provided, that notwithstanding anything contained herein to the contrary neither the Administrative Agent nor any Borrower is under any obligation to agree to accept electronic signatures in any form or in any format unless expressly agreed to by it pursuant to procedures approved by it (for the avoidance of doubt, it is agreed and acknowledged by each of the Administrative Agent and each Borrower that any manually executed document, or any manually executed signature page thereto, transmitted by facsimile or other electronic imaging means (e.g. “pdf” or “tif”), does not constitute an “electronic signature” as described in, or contemplated by, this </w:t>
      </w:r>
      <w:r>
        <w:rPr>
          <w:rFonts w:ascii="Arial" w:cs="Arial" w:eastAsia="Arial" w:hAnsi="Arial"/>
          <w:sz w:val="17"/>
          <w:szCs w:val="17"/>
          <w:u w:val="single" w:color="auto"/>
          <w:color w:val="auto"/>
        </w:rPr>
        <w:t>Section 11.18</w:t>
      </w:r>
      <w:r>
        <w:rPr>
          <w:rFonts w:ascii="Arial" w:cs="Arial" w:eastAsia="Arial" w:hAnsi="Arial"/>
          <w:sz w:val="17"/>
          <w:szCs w:val="17"/>
          <w:color w:val="auto"/>
        </w:rPr>
        <w:t>).</w:t>
      </w:r>
    </w:p>
    <w:p>
      <w:pPr>
        <w:spacing w:after="0" w:line="173" w:lineRule="exact"/>
        <w:rPr>
          <w:sz w:val="20"/>
          <w:szCs w:val="20"/>
          <w:color w:val="auto"/>
        </w:rPr>
      </w:pPr>
    </w:p>
    <w:p>
      <w:pPr>
        <w:ind w:right="200" w:firstLine="656"/>
        <w:spacing w:after="0" w:line="277" w:lineRule="auto"/>
        <w:tabs>
          <w:tab w:leader="none" w:pos="7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Bail-In of EEA Financial Institutions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Original Agreement is hereby amended by adding a new </w:t>
      </w:r>
      <w:r>
        <w:rPr>
          <w:rFonts w:ascii="Arial" w:cs="Arial" w:eastAsia="Arial" w:hAnsi="Arial"/>
          <w:sz w:val="18"/>
          <w:szCs w:val="18"/>
          <w:u w:val="single" w:color="auto"/>
          <w:color w:val="auto"/>
        </w:rPr>
        <w:t>Section 11.24</w:t>
      </w:r>
      <w:r>
        <w:rPr>
          <w:rFonts w:ascii="Arial" w:cs="Arial" w:eastAsia="Arial" w:hAnsi="Arial"/>
          <w:sz w:val="18"/>
          <w:szCs w:val="18"/>
          <w:color w:val="auto"/>
        </w:rPr>
        <w:t xml:space="preserve"> at the end thereof, to read as follows:</w:t>
      </w:r>
    </w:p>
    <w:p>
      <w:pPr>
        <w:spacing w:after="0" w:line="166" w:lineRule="exact"/>
        <w:rPr>
          <w:sz w:val="20"/>
          <w:szCs w:val="20"/>
          <w:color w:val="auto"/>
        </w:rPr>
      </w:pPr>
    </w:p>
    <w:p>
      <w:pPr>
        <w:ind w:left="660" w:right="40" w:firstLine="648"/>
        <w:spacing w:after="0" w:line="298" w:lineRule="auto"/>
        <w:rPr>
          <w:sz w:val="20"/>
          <w:szCs w:val="20"/>
          <w:color w:val="auto"/>
        </w:rPr>
      </w:pPr>
      <w:r>
        <w:rPr>
          <w:rFonts w:ascii="Arial" w:cs="Arial" w:eastAsia="Arial" w:hAnsi="Arial"/>
          <w:sz w:val="16"/>
          <w:szCs w:val="16"/>
          <w:b w:val="1"/>
          <w:bCs w:val="1"/>
          <w:color w:val="auto"/>
        </w:rPr>
        <w:t>11.24 Acknowledgement and Consent to Bail-In of EEA Financial Institutions</w:t>
      </w:r>
      <w:r>
        <w:rPr>
          <w:rFonts w:ascii="Arial" w:cs="Arial" w:eastAsia="Arial" w:hAnsi="Arial"/>
          <w:sz w:val="16"/>
          <w:szCs w:val="16"/>
          <w:color w:val="auto"/>
        </w:rPr>
        <w:t>. Solely to the extent any Lender or L/C Issuer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8" w:lineRule="exact"/>
        <w:rPr>
          <w:sz w:val="20"/>
          <w:szCs w:val="20"/>
          <w:color w:val="auto"/>
        </w:rPr>
      </w:pPr>
    </w:p>
    <w:p>
      <w:pPr>
        <w:ind w:left="660" w:right="640" w:firstLine="645"/>
        <w:spacing w:after="0" w:line="277" w:lineRule="auto"/>
        <w:tabs>
          <w:tab w:leader="none" w:pos="20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60" w:hanging="707"/>
        <w:spacing w:after="0"/>
        <w:tabs>
          <w:tab w:leader="none" w:pos="2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180" w:firstLine="653"/>
        <w:spacing w:after="0" w:line="259" w:lineRule="auto"/>
        <w:tabs>
          <w:tab w:leader="none" w:pos="2663"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240" w:firstLine="653"/>
        <w:spacing w:after="0" w:line="277" w:lineRule="auto"/>
        <w:tabs>
          <w:tab w:leader="none" w:pos="26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IIA. — </w:t>
      </w:r>
      <w:r>
        <w:rPr>
          <w:rFonts w:ascii="Arial" w:cs="Arial" w:eastAsia="Arial" w:hAnsi="Arial"/>
          <w:sz w:val="18"/>
          <w:szCs w:val="18"/>
          <w:u w:val="single" w:color="auto"/>
          <w:color w:val="auto"/>
        </w:rPr>
        <w:t>Extension of Maturity Date</w:t>
      </w:r>
    </w:p>
    <w:p>
      <w:pPr>
        <w:spacing w:after="0" w:line="225" w:lineRule="exact"/>
        <w:rPr>
          <w:sz w:val="20"/>
          <w:szCs w:val="20"/>
          <w:color w:val="auto"/>
        </w:rPr>
      </w:pPr>
    </w:p>
    <w:p>
      <w:pPr>
        <w:ind w:right="40" w:firstLine="656"/>
        <w:spacing w:after="0" w:line="259" w:lineRule="auto"/>
        <w:tabs>
          <w:tab w:leader="none" w:pos="7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2A.1.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 xml:space="preserve">. With respect to the Company’s request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to extend the Maturity Date applicable to each Lender for one additional year from the Existing Maturity Date (the “</w:t>
      </w:r>
      <w:r>
        <w:rPr>
          <w:rFonts w:ascii="Arial" w:cs="Arial" w:eastAsia="Arial" w:hAnsi="Arial"/>
          <w:sz w:val="18"/>
          <w:szCs w:val="18"/>
          <w:u w:val="single" w:color="auto"/>
          <w:color w:val="auto"/>
        </w:rPr>
        <w:t>Extension</w:t>
      </w:r>
      <w:r>
        <w:rPr>
          <w:rFonts w:ascii="Arial" w:cs="Arial" w:eastAsia="Arial" w:hAnsi="Arial"/>
          <w:sz w:val="18"/>
          <w:szCs w:val="18"/>
          <w:color w:val="auto"/>
        </w:rPr>
        <w:t>”), Administrative Agent has notified the Company of the Extending Lenders and Non-Extending Lenders with respect thereto as set forth on Schedule A attached hereto. Subject to the satisfaction of the conditions precedent set forth in Article III:</w:t>
      </w:r>
    </w:p>
    <w:p>
      <w:pPr>
        <w:spacing w:after="0" w:line="187" w:lineRule="exact"/>
        <w:rPr>
          <w:sz w:val="20"/>
          <w:szCs w:val="20"/>
          <w:color w:val="auto"/>
        </w:rPr>
      </w:pPr>
    </w:p>
    <w:p>
      <w:pPr>
        <w:ind w:left="1360" w:hanging="70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as of August 16, 2016, the Maturity Date with respect to each such Extending Lender is August 16, 2021;</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Existing Maturity Date of August 16, 2020 shall remain in effect with respect to each such Non-Extending Lender; and</w:t>
      </w:r>
    </w:p>
    <w:p>
      <w:pPr>
        <w:spacing w:after="0" w:line="225" w:lineRule="exact"/>
        <w:rPr>
          <w:rFonts w:ascii="Arial" w:cs="Arial" w:eastAsia="Arial" w:hAnsi="Arial"/>
          <w:sz w:val="18"/>
          <w:szCs w:val="18"/>
          <w:color w:val="auto"/>
        </w:rPr>
      </w:pPr>
    </w:p>
    <w:p>
      <w:pPr>
        <w:ind w:right="540" w:firstLine="656"/>
        <w:spacing w:after="0" w:line="277" w:lineRule="auto"/>
        <w:tabs>
          <w:tab w:leader="none" w:pos="13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parties hereto agree that with respect to the Extension, the certification by the Company required by Section 2.14(f) of the Credit Agreement is hereby satisfied by the Company’s execution and delivery of this Amendment.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80" w:firstLine="656"/>
        <w:spacing w:after="0" w:line="277" w:lineRule="auto"/>
        <w:tabs>
          <w:tab w:leader="none" w:pos="7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ind w:right="300" w:firstLine="656"/>
        <w:spacing w:after="0" w:line="302" w:lineRule="auto"/>
        <w:tabs>
          <w:tab w:leader="none" w:pos="13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4" w:lineRule="exact"/>
        <w:rPr>
          <w:rFonts w:ascii="Arial" w:cs="Arial" w:eastAsia="Arial" w:hAnsi="Arial"/>
          <w:sz w:val="16"/>
          <w:szCs w:val="16"/>
          <w:color w:val="auto"/>
        </w:rPr>
      </w:pPr>
    </w:p>
    <w:p>
      <w:pPr>
        <w:ind w:left="2020" w:hanging="715"/>
        <w:spacing w:after="0"/>
        <w:tabs>
          <w:tab w:leader="none" w:pos="2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executed counterparts of this Amendment, sufficient in number for distribution to the Administrative Agent, each Lender and each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80" w:firstLine="645"/>
        <w:spacing w:after="0" w:line="259" w:lineRule="auto"/>
        <w:tabs>
          <w:tab w:leader="none" w:pos="20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 3.1 to which such Loan Party is a party;</w:t>
      </w:r>
    </w:p>
    <w:p>
      <w:pPr>
        <w:spacing w:after="0" w:line="186" w:lineRule="exact"/>
        <w:rPr>
          <w:rFonts w:ascii="Arial" w:cs="Arial" w:eastAsia="Arial" w:hAnsi="Arial"/>
          <w:sz w:val="18"/>
          <w:szCs w:val="18"/>
          <w:color w:val="auto"/>
        </w:rPr>
      </w:pPr>
    </w:p>
    <w:p>
      <w:pPr>
        <w:jc w:val="both"/>
        <w:ind w:left="660" w:right="100" w:firstLine="645"/>
        <w:spacing w:after="0" w:line="264" w:lineRule="auto"/>
        <w:tabs>
          <w:tab w:leader="none" w:pos="20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General Partner and GP LLC is duly organized or formed, and that each Borrower is validly existing and in good standing in its jurisdiction of organization, issued by the appropriate authorities of such jurisdiction;</w:t>
      </w:r>
    </w:p>
    <w:p>
      <w:pPr>
        <w:sectPr>
          <w:pgSz w:w="11900" w:h="16918" w:orient="portrait"/>
          <w:cols w:equalWidth="0" w:num="1">
            <w:col w:w="11420"/>
          </w:cols>
          <w:pgMar w:left="240" w:top="125" w:right="239" w:bottom="0" w:gutter="0" w:footer="0" w:header="0"/>
        </w:sectPr>
      </w:pPr>
    </w:p>
    <w:bookmarkStart w:id="8" w:name="page9"/>
    <w:bookmarkEnd w:id="8"/>
    <w:p>
      <w:pPr>
        <w:spacing w:after="0" w:line="114" w:lineRule="exact"/>
        <w:rPr>
          <w:sz w:val="20"/>
          <w:szCs w:val="20"/>
          <w:color w:val="auto"/>
        </w:rPr>
      </w:pPr>
    </w:p>
    <w:p>
      <w:pPr>
        <w:ind w:left="660" w:right="40" w:firstLine="645"/>
        <w:spacing w:after="0" w:line="264" w:lineRule="auto"/>
        <w:tabs>
          <w:tab w:leader="none" w:pos="2018" w:val="left"/>
        </w:tabs>
        <w:numPr>
          <w:ilvl w:val="1"/>
          <w:numId w:val="21"/>
        </w:numPr>
        <w:rPr>
          <w:rFonts w:ascii="Arial" w:cs="Arial" w:eastAsia="Arial" w:hAnsi="Arial"/>
          <w:sz w:val="18"/>
          <w:szCs w:val="18"/>
          <w:color w:val="auto"/>
        </w:rPr>
      </w:pPr>
      <w:r>
        <w:rPr>
          <w:rFonts w:ascii="Arial" w:cs="Arial" w:eastAsia="Arial" w:hAnsi="Arial"/>
          <w:sz w:val="18"/>
          <w:szCs w:val="18"/>
          <w:color w:val="auto"/>
        </w:rPr>
        <w:t>favorable opinions of (A) Richard McGee, Esq., General Counsel for Borrowers, (B) Norton Rose Fulbright US LLP, special Texas and New York counsel to Borrowers, and (C) Patterson Adams, special Canadian counsel to PMCULC, addressed to the Administrative Agent and each Lender;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a certificate signed by a Responsible Officer of the Company certifying (A) that the conditions specified in </w:t>
      </w:r>
      <w:r>
        <w:rPr>
          <w:rFonts w:ascii="Arial" w:cs="Arial" w:eastAsia="Arial" w:hAnsi="Arial"/>
          <w:sz w:val="16"/>
          <w:szCs w:val="16"/>
          <w:u w:val="single" w:color="auto"/>
          <w:color w:val="auto"/>
        </w:rPr>
        <w:t>Section 4.02(a)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660" w:right="140" w:hanging="4"/>
        <w:spacing w:after="0" w:line="323" w:lineRule="auto"/>
        <w:tabs>
          <w:tab w:leader="none" w:pos="915" w:val="left"/>
        </w:tabs>
        <w:numPr>
          <w:ilvl w:val="0"/>
          <w:numId w:val="22"/>
        </w:numPr>
        <w:rPr>
          <w:rFonts w:ascii="Arial" w:cs="Arial" w:eastAsia="Arial" w:hAnsi="Arial"/>
          <w:sz w:val="16"/>
          <w:szCs w:val="16"/>
          <w:u w:val="single" w:color="auto"/>
          <w:color w:val="auto"/>
        </w:rPr>
      </w:pPr>
      <w:r>
        <w:rPr>
          <w:rFonts w:ascii="Arial" w:cs="Arial" w:eastAsia="Arial" w:hAnsi="Arial"/>
          <w:sz w:val="16"/>
          <w:szCs w:val="16"/>
          <w:color w:val="auto"/>
        </w:rPr>
        <w:t>of the Credit Agreement have been satisfied, (B) that there has been no event or circumstance since December 31, 2015 that has had or could be reasonably expected to have, either individually or in the aggregate, a Material Adverse Effect, and (C) the current Debt Ratings; and</w:t>
      </w:r>
    </w:p>
    <w:p>
      <w:pPr>
        <w:spacing w:after="0" w:line="138" w:lineRule="exact"/>
        <w:rPr>
          <w:rFonts w:ascii="Arial" w:cs="Arial" w:eastAsia="Arial" w:hAnsi="Arial"/>
          <w:sz w:val="16"/>
          <w:szCs w:val="16"/>
          <w:u w:val="single" w:color="auto"/>
          <w:color w:val="auto"/>
        </w:rPr>
      </w:pPr>
    </w:p>
    <w:p>
      <w:pPr>
        <w:ind w:left="2020" w:hanging="715"/>
        <w:spacing w:after="0"/>
        <w:tabs>
          <w:tab w:leader="none" w:pos="2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7" w:lineRule="exact"/>
        <w:rPr>
          <w:sz w:val="20"/>
          <w:szCs w:val="20"/>
          <w:color w:val="auto"/>
        </w:rPr>
      </w:pPr>
    </w:p>
    <w:p>
      <w:pPr>
        <w:ind w:right="100" w:firstLine="656"/>
        <w:spacing w:after="0" w:line="264"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81" w:lineRule="exact"/>
        <w:rPr>
          <w:rFonts w:ascii="Arial" w:cs="Arial" w:eastAsia="Arial" w:hAnsi="Arial"/>
          <w:sz w:val="18"/>
          <w:szCs w:val="18"/>
          <w:color w:val="auto"/>
        </w:rPr>
      </w:pPr>
    </w:p>
    <w:p>
      <w:pPr>
        <w:ind w:right="140" w:firstLine="656"/>
        <w:spacing w:after="0" w:line="276" w:lineRule="auto"/>
        <w:tabs>
          <w:tab w:leader="none" w:pos="134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There shall not have occurred during the period from December 31, 2015 through and including the Amendment Effective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72" w:lineRule="exact"/>
        <w:rPr>
          <w:rFonts w:ascii="Arial" w:cs="Arial" w:eastAsia="Arial" w:hAnsi="Arial"/>
          <w:sz w:val="17"/>
          <w:szCs w:val="17"/>
          <w:color w:val="auto"/>
        </w:rPr>
      </w:pPr>
    </w:p>
    <w:p>
      <w:pPr>
        <w:ind w:right="100" w:firstLine="656"/>
        <w:spacing w:after="0" w:line="264"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fees due MLPFS, Administrative Agent or any Lender, including any arrangement fees, agency fees and upfront fees, and any expenses incurred by MLPFS and Administrative Agent, in each case, as agreed in writing by the Company, required to be paid on or before the Amendment Effective Date shall have been paid.</w:t>
      </w:r>
    </w:p>
    <w:p>
      <w:pPr>
        <w:spacing w:after="0" w:line="181" w:lineRule="exact"/>
        <w:rPr>
          <w:rFonts w:ascii="Arial" w:cs="Arial" w:eastAsia="Arial" w:hAnsi="Arial"/>
          <w:sz w:val="18"/>
          <w:szCs w:val="18"/>
          <w:color w:val="auto"/>
        </w:rPr>
      </w:pPr>
    </w:p>
    <w:p>
      <w:pPr>
        <w:ind w:right="80" w:firstLine="656"/>
        <w:spacing w:after="0" w:line="277" w:lineRule="auto"/>
        <w:tabs>
          <w:tab w:leader="none" w:pos="13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520" w:firstLine="656"/>
        <w:spacing w:after="0" w:line="277" w:lineRule="auto"/>
        <w:tabs>
          <w:tab w:leader="none" w:pos="7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170" w:lineRule="exact"/>
        <w:rPr>
          <w:sz w:val="20"/>
          <w:szCs w:val="20"/>
          <w:color w:val="auto"/>
        </w:rPr>
      </w:pPr>
    </w:p>
    <w:p>
      <w:pPr>
        <w:ind w:firstLine="656"/>
        <w:spacing w:after="0" w:line="276" w:lineRule="auto"/>
        <w:tabs>
          <w:tab w:leader="none" w:pos="1343"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(i) the Company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7"/>
          <w:szCs w:val="17"/>
          <w:u w:val="single" w:color="auto"/>
          <w:color w:val="auto"/>
        </w:rPr>
        <w:t>subsections (a) and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clauses (a)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w:t>
      </w:r>
    </w:p>
    <w:p>
      <w:pPr>
        <w:spacing w:after="0" w:line="172" w:lineRule="exact"/>
        <w:rPr>
          <w:rFonts w:ascii="Arial" w:cs="Arial" w:eastAsia="Arial" w:hAnsi="Arial"/>
          <w:sz w:val="17"/>
          <w:szCs w:val="17"/>
          <w:color w:val="auto"/>
        </w:rPr>
      </w:pPr>
    </w:p>
    <w:p>
      <w:pPr>
        <w:ind w:left="1360" w:hanging="704"/>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has occurred and is continuing as of the Amendment Effective Date.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80" w:firstLine="656"/>
        <w:spacing w:after="0" w:line="255" w:lineRule="auto"/>
        <w:tabs>
          <w:tab w:leader="none" w:pos="7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Ratification of Agreements</w:t>
      </w:r>
      <w:r>
        <w:rPr>
          <w:rFonts w:ascii="Arial" w:cs="Arial" w:eastAsia="Arial" w:hAnsi="Arial"/>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w:t>
      </w:r>
    </w:p>
    <w:p>
      <w:pPr>
        <w:spacing w:after="0" w:line="193" w:lineRule="exact"/>
        <w:rPr>
          <w:rFonts w:ascii="Arial" w:cs="Arial" w:eastAsia="Arial" w:hAnsi="Arial"/>
          <w:sz w:val="18"/>
          <w:szCs w:val="18"/>
          <w:color w:val="auto"/>
        </w:rPr>
      </w:pPr>
    </w:p>
    <w:p>
      <w:pPr>
        <w:ind w:left="800" w:hanging="144"/>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color w:val="auto"/>
        </w:rPr>
      </w:pPr>
    </w:p>
    <w:p>
      <w:pPr>
        <w:ind w:right="120" w:firstLine="656"/>
        <w:spacing w:after="0" w:line="282" w:lineRule="auto"/>
        <w:tabs>
          <w:tab w:leader="none" w:pos="78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5.3. GOVERNING LAW. THIS AMENDMENT SHALL BE GOVERNED BY, AND CONSTRUED IN ACCORDANCE WITH, THE </w:t>
      </w:r>
      <w:r>
        <w:rPr>
          <w:rFonts w:ascii="Arial" w:cs="Arial" w:eastAsia="Arial" w:hAnsi="Arial"/>
          <w:sz w:val="18"/>
          <w:szCs w:val="18"/>
          <w:b w:val="1"/>
          <w:bCs w:val="1"/>
          <w:u w:val="single" w:color="auto"/>
          <w:color w:val="auto"/>
        </w:rPr>
        <w:t>LAWS OF THE STATE OF NEW YORK, WITHOUT REGARD TO PRINCIPLES OF CONFLICTS OF LAW</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00" w:firstLine="656"/>
        <w:spacing w:after="0" w:line="312" w:lineRule="auto"/>
        <w:tabs>
          <w:tab w:leader="none" w:pos="783"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-746125</wp:posOffset>
            </wp:positionV>
            <wp:extent cx="6703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308" w:lineRule="auto"/>
        <w:tabs>
          <w:tab w:leader="none" w:pos="7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AMENDMENT AND THE OTHER LOAN DOCUMENTS REPRESENT THE FINAL AGREEMENT AMONG THE PARTIES AND MAY NOT BE CONTRADICTED BY EVIDENCE OF PRIOR, CONTEMPORANEOUS, OR SUBSEQUENT ORAL</w:t>
      </w:r>
    </w:p>
    <w:p>
      <w:pPr>
        <w:sectPr>
          <w:pgSz w:w="11900" w:h="16953" w:orient="portrait"/>
          <w:cols w:equalWidth="0" w:num="1">
            <w:col w:w="11420"/>
          </w:cols>
          <w:pgMar w:left="240" w:top="341" w:right="239" w:bottom="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AGREEMENTS OF THE PARTIES. THERE ARE NO UNWRITTEN ORAL AGREEMENTS AMONG THE PARTIES.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58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Name: Sharon S. Spurlin</w:t>
            </w: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PLAINS MIDSTREAM CANADA ULC</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58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Name: Sharon S. Spurlin</w:t>
            </w:r>
          </w:p>
        </w:tc>
      </w:tr>
      <w:tr>
        <w:trPr>
          <w:trHeight w:val="230"/>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bl>
    <w:p>
      <w:pPr>
        <w:spacing w:after="0" w:line="200" w:lineRule="exact"/>
        <w:rPr>
          <w:sz w:val="20"/>
          <w:szCs w:val="20"/>
          <w:color w:val="auto"/>
        </w:rPr>
      </w:pPr>
    </w:p>
    <w:p>
      <w:pPr>
        <w:spacing w:after="0" w:line="21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Rosanne Parsill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Rosanne Parsill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 L/C Issuer and Swing Line Lender</w:t>
      </w:r>
    </w:p>
    <w:p>
      <w:pPr>
        <w:spacing w:after="0" w:line="200" w:lineRule="exact"/>
        <w:rPr>
          <w:sz w:val="20"/>
          <w:szCs w:val="20"/>
          <w:color w:val="auto"/>
        </w:rPr>
      </w:pPr>
    </w:p>
    <w:p>
      <w:pPr>
        <w:spacing w:after="0" w:line="227"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/s/Adam H. Fey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Adam H.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DNB CAPITAL LLC</w:t>
      </w:r>
      <w:r>
        <w:rPr>
          <w:rFonts w:ascii="Arial" w:cs="Arial" w:eastAsia="Arial" w:hAnsi="Arial"/>
          <w:sz w:val="18"/>
          <w:szCs w:val="18"/>
          <w:color w:val="auto"/>
        </w:rPr>
        <w:t>,</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Hykle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Joe Hykle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7"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Jodie Gildersleeve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Jodie Gildersleeve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JPMORGAN CHASE BANK</w:t>
      </w:r>
      <w:r>
        <w:rPr>
          <w:rFonts w:ascii="Arial" w:cs="Arial" w:eastAsia="Arial" w:hAnsi="Arial"/>
          <w:sz w:val="18"/>
          <w:szCs w:val="18"/>
          <w:color w:val="auto"/>
        </w:rPr>
        <w:t>,</w:t>
      </w:r>
      <w:r>
        <w:rPr>
          <w:rFonts w:ascii="Arial" w:cs="Arial" w:eastAsia="Arial" w:hAnsi="Arial"/>
          <w:sz w:val="18"/>
          <w:szCs w:val="18"/>
          <w:b w:val="1"/>
          <w:bCs w:val="1"/>
          <w:color w:val="auto"/>
        </w:rPr>
        <w:t xml:space="preserve"> N.A., </w:t>
      </w:r>
      <w:r>
        <w:rPr>
          <w:rFonts w:ascii="Arial" w:cs="Arial" w:eastAsia="Arial" w:hAnsi="Arial"/>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Stephanie Balette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Stephanie Balette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-130810</wp:posOffset>
            </wp:positionV>
            <wp:extent cx="30956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0" w:name="page11"/>
    <w:bookmarkEnd w:id="10"/>
    <w:p>
      <w:pPr>
        <w:ind w:left="476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37" w:lineRule="exact"/>
        <w:rPr>
          <w:sz w:val="20"/>
          <w:szCs w:val="20"/>
          <w:color w:val="auto"/>
        </w:rPr>
      </w:pPr>
    </w:p>
    <w:p>
      <w:pPr>
        <w:ind w:left="4760" w:right="20"/>
        <w:spacing w:after="0" w:line="282" w:lineRule="auto"/>
        <w:rPr>
          <w:sz w:val="20"/>
          <w:szCs w:val="20"/>
          <w:color w:val="auto"/>
        </w:rPr>
      </w:pP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as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L/C Issuer</w:t>
      </w:r>
    </w:p>
    <w:p>
      <w:pPr>
        <w:spacing w:after="0" w:line="382" w:lineRule="exact"/>
        <w:rPr>
          <w:sz w:val="20"/>
          <w:szCs w:val="20"/>
          <w:color w:val="auto"/>
        </w:rPr>
      </w:pPr>
    </w:p>
    <w:tbl>
      <w:tblPr>
        <w:tblLayout w:type="fixed"/>
        <w:tblInd w:w="4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Jeffery Cobb</w:t>
            </w: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82" w:lineRule="exact"/>
              <w:rPr>
                <w:sz w:val="20"/>
                <w:szCs w:val="20"/>
                <w:color w:val="auto"/>
              </w:rPr>
            </w:pPr>
            <w:r>
              <w:rPr>
                <w:rFonts w:ascii="Arial" w:cs="Arial" w:eastAsia="Arial" w:hAnsi="Arial"/>
                <w:sz w:val="18"/>
                <w:szCs w:val="18"/>
                <w:color w:val="auto"/>
              </w:rPr>
              <w:t>Jeffery Cobb</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 Lender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Maureen P. Maroney</w:t>
            </w:r>
          </w:p>
        </w:tc>
      </w:tr>
    </w:tbl>
    <w:p>
      <w:pPr>
        <w:ind w:left="4760"/>
        <w:spacing w:after="0"/>
        <w:rPr>
          <w:sz w:val="20"/>
          <w:szCs w:val="20"/>
          <w:color w:val="auto"/>
        </w:rPr>
      </w:pPr>
      <w:r>
        <w:rPr>
          <w:rFonts w:ascii="Arial" w:cs="Arial" w:eastAsia="Arial" w:hAnsi="Arial"/>
          <w:sz w:val="18"/>
          <w:szCs w:val="18"/>
          <w:color w:val="auto"/>
        </w:rPr>
        <w:t>Name: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MIZUHO BANK, LTD.</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Leon Mo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BARCLAYS BANK PLC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7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182"/>
        </w:trPr>
        <w:tc>
          <w:tcPr>
            <w:tcW w:w="5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880" w:type="dxa"/>
            <w:vAlign w:val="bottom"/>
          </w:tcPr>
          <w:p>
            <w:pPr>
              <w:spacing w:after="0" w:line="182" w:lineRule="exact"/>
              <w:rPr>
                <w:sz w:val="20"/>
                <w:szCs w:val="20"/>
                <w:color w:val="auto"/>
              </w:rPr>
            </w:pPr>
            <w:r>
              <w:rPr>
                <w:rFonts w:ascii="Arial" w:cs="Arial" w:eastAsia="Arial" w:hAnsi="Arial"/>
                <w:sz w:val="18"/>
                <w:szCs w:val="18"/>
                <w:color w:val="auto"/>
              </w:rPr>
              <w:t>Christopher Aitkin</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Title: Assistant Vice President</w:t>
            </w:r>
          </w:p>
        </w:tc>
      </w:tr>
      <w:tr>
        <w:trPr>
          <w:trHeight w:val="648"/>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BNP PARIBAS</w:t>
            </w:r>
            <w:r>
              <w:rPr>
                <w:rFonts w:ascii="Arial" w:cs="Arial" w:eastAsia="Arial" w:hAnsi="Arial"/>
                <w:sz w:val="18"/>
                <w:szCs w:val="18"/>
                <w:color w:val="auto"/>
              </w:rPr>
              <w:t>, as a Lender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Onischuk</w:t>
            </w:r>
          </w:p>
        </w:tc>
      </w:tr>
      <w:tr>
        <w:trPr>
          <w:trHeight w:val="182"/>
        </w:trPr>
        <w:tc>
          <w:tcPr>
            <w:tcW w:w="5460" w:type="dxa"/>
            <w:vAlign w:val="bottom"/>
            <w:gridSpan w:val="2"/>
          </w:tcPr>
          <w:p>
            <w:pPr>
              <w:spacing w:after="0" w:line="182" w:lineRule="exact"/>
              <w:rPr>
                <w:sz w:val="20"/>
                <w:szCs w:val="20"/>
                <w:color w:val="auto"/>
              </w:rPr>
            </w:pPr>
            <w:r>
              <w:rPr>
                <w:rFonts w:ascii="Arial" w:cs="Arial" w:eastAsia="Arial" w:hAnsi="Arial"/>
                <w:sz w:val="18"/>
                <w:szCs w:val="18"/>
                <w:color w:val="auto"/>
              </w:rPr>
              <w:t>Name: Joe Onischuk</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Reginald Crichlow</w:t>
            </w:r>
          </w:p>
        </w:tc>
      </w:tr>
    </w:tbl>
    <w:p>
      <w:pPr>
        <w:ind w:left="4760"/>
        <w:spacing w:after="0"/>
        <w:rPr>
          <w:sz w:val="20"/>
          <w:szCs w:val="20"/>
          <w:color w:val="auto"/>
        </w:rPr>
      </w:pPr>
      <w:r>
        <w:rPr>
          <w:rFonts w:ascii="Arial" w:cs="Arial" w:eastAsia="Arial" w:hAnsi="Arial"/>
          <w:sz w:val="18"/>
          <w:szCs w:val="18"/>
          <w:color w:val="auto"/>
        </w:rPr>
        <w:t>Name: Reginald Crichlow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Chulley Bogle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Chulley Bogle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BANK OF NOVA SCOTIA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Frazell</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John Frazell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THE BANK OF TOKYO-MITSUBISHI UFJ, LTD.</w:t>
      </w:r>
      <w:r>
        <w:rPr>
          <w:rFonts w:ascii="Arial" w:cs="Arial" w:eastAsia="Arial" w:hAnsi="Arial"/>
          <w:sz w:val="18"/>
          <w:szCs w:val="18"/>
          <w:color w:val="auto"/>
        </w:rPr>
        <w:t>,</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760"/>
        <w:spacing w:after="0"/>
        <w:tabs>
          <w:tab w:leader="none" w:pos="5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Oberreuter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Mark Oberreuter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3394075</wp:posOffset>
            </wp:positionH>
            <wp:positionV relativeFrom="paragraph">
              <wp:posOffset>-130810</wp:posOffset>
            </wp:positionV>
            <wp:extent cx="30956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sectPr>
      </w:pPr>
    </w:p>
    <w:bookmarkStart w:id="11" w:name="page12"/>
    <w:bookmarkEnd w:id="11"/>
    <w:p>
      <w:pPr>
        <w:spacing w:after="0" w:line="2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UBS LOAN FINANCE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tbl>
      <w:tblPr>
        <w:tblLayout w:type="fixed"/>
        <w:tblInd w:w="47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Arias</w:t>
            </w:r>
          </w:p>
        </w:tc>
      </w:tr>
      <w:tr>
        <w:trPr>
          <w:trHeight w:val="182"/>
        </w:trPr>
        <w:tc>
          <w:tcPr>
            <w:tcW w:w="5460" w:type="dxa"/>
            <w:vAlign w:val="bottom"/>
            <w:gridSpan w:val="2"/>
          </w:tcPr>
          <w:p>
            <w:pPr>
              <w:spacing w:after="0" w:line="182" w:lineRule="exact"/>
              <w:rPr>
                <w:sz w:val="20"/>
                <w:szCs w:val="20"/>
                <w:color w:val="auto"/>
              </w:rPr>
            </w:pPr>
            <w:r>
              <w:rPr>
                <w:rFonts w:ascii="Arial" w:cs="Arial" w:eastAsia="Arial" w:hAnsi="Arial"/>
                <w:sz w:val="18"/>
                <w:szCs w:val="18"/>
                <w:color w:val="auto"/>
              </w:rPr>
              <w:t>Name: Darlene Arias</w:t>
            </w: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/s/ Kenneth Chin</w:t>
            </w:r>
          </w:p>
        </w:tc>
      </w:tr>
    </w:tbl>
    <w:p>
      <w:pPr>
        <w:ind w:left="4760"/>
        <w:spacing w:after="0"/>
        <w:rPr>
          <w:sz w:val="20"/>
          <w:szCs w:val="20"/>
          <w:color w:val="auto"/>
        </w:rPr>
      </w:pPr>
      <w:r>
        <w:rPr>
          <w:rFonts w:ascii="Arial" w:cs="Arial" w:eastAsia="Arial" w:hAnsi="Arial"/>
          <w:sz w:val="18"/>
          <w:szCs w:val="18"/>
          <w:color w:val="auto"/>
        </w:rPr>
        <w:t>Name: Kenneth 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Director Banking Products Services, US</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COMPASS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Blake Kirshman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Blake Kirshman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ROYAL BANK OF CANADA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SOCIETE GENERALE</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righ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6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D. Weinstein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 James D.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-130810</wp:posOffset>
            </wp:positionV>
            <wp:extent cx="2984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BANK OF MONTREAL</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Gumaro Tijerina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Gumaro Tijerina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BRANCH BANKING AND TRUST COMPANY</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Lincoln LaCour</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Lincoln LaCour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Assistant Vice President</w:t>
      </w:r>
    </w:p>
    <w:p>
      <w:pPr>
        <w:sectPr>
          <w:pgSz w:w="11900" w:h="16858"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FIFTH THIRD BANK</w:t>
      </w:r>
      <w:r>
        <w:rPr>
          <w:rFonts w:ascii="Arial" w:cs="Arial" w:eastAsia="Arial" w:hAnsi="Arial"/>
          <w:sz w:val="17"/>
          <w:szCs w:val="17"/>
          <w:color w:val="auto"/>
        </w:rPr>
        <w:t>, as a Lender</w:t>
      </w:r>
    </w:p>
    <w:p>
      <w:pPr>
        <w:sectPr>
          <w:pgSz w:w="11900" w:h="16858" w:orient="portrait"/>
          <w:cols w:equalWidth="0" w:num="1">
            <w:col w:w="10220"/>
          </w:cols>
          <w:pgMar w:left="1440" w:top="125" w:right="239" w:bottom="0" w:gutter="0" w:footer="0" w:header="0"/>
          <w:type w:val="continuous"/>
        </w:sectPr>
      </w:pPr>
    </w:p>
    <w:bookmarkStart w:id="12" w:name="page13"/>
    <w:bookmarkEnd w:id="12"/>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Hayes</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Larry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ING CAPITAL LLC</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Cheryl LaBelle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Cheryl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Subha Pasumarti</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Subha Pasumarti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 Colin Warman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M. Colin Warman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REGIONS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Valentine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David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U.S. BANK NATIONAL ASSOCIATION</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Jeffrey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Patrick Jeffrey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righ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Ming K. Chu</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Virginia Cosenza</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RAYMOND JAMES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40"/>
        <w:spacing w:after="0"/>
        <w:tabs>
          <w:tab w:leader="none" w:pos="5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G. Axelrod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Name: Scott G. Axelrod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-130810</wp:posOffset>
            </wp:positionV>
            <wp:extent cx="2992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4740"/>
        <w:spacing w:after="0"/>
        <w:rPr>
          <w:sz w:val="20"/>
          <w:szCs w:val="20"/>
          <w:color w:val="auto"/>
        </w:rPr>
      </w:pPr>
      <w:r>
        <w:rPr>
          <w:rFonts w:ascii="Arial" w:cs="Arial" w:eastAsia="Arial" w:hAnsi="Arial"/>
          <w:sz w:val="18"/>
          <w:szCs w:val="18"/>
          <w:color w:val="auto"/>
        </w:rPr>
        <w:t>Title: Senior Vice President</w:t>
      </w:r>
    </w:p>
    <w:p>
      <w:pPr>
        <w:sectPr>
          <w:pgSz w:w="11900" w:h="16838" w:orient="portrait"/>
          <w:cols w:equalWidth="0" w:num="1">
            <w:col w:w="10220"/>
          </w:cols>
          <w:pgMar w:left="1440" w:top="557" w:right="239" w:bottom="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ZB, N.A., dba AMEGY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594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 Trail</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Sam Trail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EXTENDING AND NON-EXTENDING LENDERS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EXTENDING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DNB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Loan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Compass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Banking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Branch Banking and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James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ZB, N.A., dba Amegy Bank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Société Generalé</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PAA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364-DAY CREDIT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JPMORGAN CHASE 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WELLS FARGO BANK, NATIONAL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DNB BANK ASA, NEW YORK BRANCH and MIZUHO BANK,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Co-Documentation Agents,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 DNB MARKETS,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 MORGAN SECURITIES LLC, MIZUHO BANK, LTD.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SECURITIES,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Unsecured 364-Day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364-DAY CREDIT AGREEMENT</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THIS SECOND AMENDMENT TO 364-DAY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the 11th day of August, 2016, is by and among PLAINS ALL AMERICAN PIPELINE, L.P. (the “</w:t>
      </w:r>
      <w:r>
        <w:rPr>
          <w:rFonts w:ascii="Arial" w:cs="Arial" w:eastAsia="Arial" w:hAnsi="Arial"/>
          <w:sz w:val="17"/>
          <w:szCs w:val="17"/>
          <w:u w:val="single" w:color="auto"/>
          <w:color w:val="auto"/>
        </w:rPr>
        <w:t>Borrower</w:t>
      </w:r>
      <w:r>
        <w:rPr>
          <w:rFonts w:ascii="Arial" w:cs="Arial" w:eastAsia="Arial" w:hAnsi="Arial"/>
          <w:sz w:val="17"/>
          <w:szCs w:val="17"/>
          <w:color w:val="auto"/>
        </w:rPr>
        <w:t>”), BANK OF AMERICA, N.A., as Administrative Agent, and the Lenders party hereto.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WHEREAS, Borrower, Administrative Agent and Lenders entered into that certain 364-Day Credit Agreement dated as of January 16, 2015, as amended by First Amendment to 364-Day Credit Agreement dated as of August 14, 2015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for the purposes and consideration therein expressed; and</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WHEREAS, Merrill Lynch, Pierce, Fenner &amp; Smith Incorporated (“</w:t>
      </w:r>
      <w:r>
        <w:rPr>
          <w:rFonts w:ascii="Arial" w:cs="Arial" w:eastAsia="Arial" w:hAnsi="Arial"/>
          <w:sz w:val="16"/>
          <w:szCs w:val="16"/>
          <w:u w:val="single" w:color="auto"/>
          <w:color w:val="auto"/>
        </w:rPr>
        <w:t>MLPFS</w:t>
      </w:r>
      <w:r>
        <w:rPr>
          <w:rFonts w:ascii="Arial" w:cs="Arial" w:eastAsia="Arial" w:hAnsi="Arial"/>
          <w:sz w:val="16"/>
          <w:szCs w:val="16"/>
          <w:color w:val="auto"/>
        </w:rPr>
        <w:t>”) and the other joint lead arrangers and joint bookrunners, have, at the Borrower’s request, syndicated and arranged for an extension of the maturity date set forth in, and other amendments to, the Original Agreement, and pursuant thereto, the Borrower, Administrative Agent and the Lenders party hereto desire to amend the Original Agreement for the purposes described herein;</w:t>
      </w:r>
    </w:p>
    <w:p>
      <w:pPr>
        <w:spacing w:after="0" w:line="147"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40" w:firstLine="656"/>
        <w:spacing w:after="0" w:line="277" w:lineRule="auto"/>
        <w:tabs>
          <w:tab w:leader="none" w:pos="7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pacing w:after="0" w:line="170" w:lineRule="exact"/>
        <w:rPr>
          <w:rFonts w:ascii="Arial" w:cs="Arial" w:eastAsia="Arial" w:hAnsi="Arial"/>
          <w:sz w:val="18"/>
          <w:szCs w:val="18"/>
          <w:color w:val="auto"/>
        </w:rPr>
      </w:pPr>
    </w:p>
    <w:p>
      <w:pPr>
        <w:ind w:right="220" w:firstLine="656"/>
        <w:spacing w:after="0" w:line="277" w:lineRule="auto"/>
        <w:tabs>
          <w:tab w:leader="none" w:pos="7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Second Amendment to 364-Day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ectPr>
          <w:pgSz w:w="11900" w:h="16838" w:orient="portrait"/>
          <w:cols w:equalWidth="0" w:num="1">
            <w:col w:w="11420"/>
          </w:cols>
          <w:pgMar w:left="240" w:top="121" w:right="239" w:bottom="0" w:gutter="0" w:footer="0" w:header="0"/>
        </w:sectPr>
      </w:pPr>
    </w:p>
    <w:bookmarkStart w:id="15" w:name="page16"/>
    <w:bookmarkEnd w:id="1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Exiting Lender</w:t>
      </w:r>
      <w:r>
        <w:rPr>
          <w:rFonts w:ascii="Arial" w:cs="Arial" w:eastAsia="Arial" w:hAnsi="Arial"/>
          <w:sz w:val="18"/>
          <w:szCs w:val="18"/>
          <w:color w:val="auto"/>
        </w:rPr>
        <w:t>” means any Person that is a Lender to the Original Agreement immediately prior to the execution of this Amendment and not a signatory hereto on the Amendment Effective Date as a Lender.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800" w:hanging="144"/>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500" w:firstLine="656"/>
        <w:spacing w:after="0" w:line="277" w:lineRule="auto"/>
        <w:tabs>
          <w:tab w:leader="none" w:pos="134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“Defaulting Lender”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changing “, or (iii)” therein to “, (iii) become the subject of a Bail-In Action or (iv)”.</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The definition of “Maturity Date”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Original Agreement is hereby amended in its entirety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read as follows: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August 10, 2017.</w:t>
      </w:r>
    </w:p>
    <w:p>
      <w:pPr>
        <w:spacing w:after="0" w:line="225" w:lineRule="exact"/>
        <w:rPr>
          <w:sz w:val="20"/>
          <w:szCs w:val="20"/>
          <w:color w:val="auto"/>
        </w:rPr>
      </w:pPr>
    </w:p>
    <w:p>
      <w:pPr>
        <w:ind w:right="20" w:firstLine="656"/>
        <w:spacing w:after="0" w:line="277" w:lineRule="auto"/>
        <w:tabs>
          <w:tab w:leader="none" w:pos="1343"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New Defined Terms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adding the following new defined terms in appropriate alphabetical order, to read as follows:</w:t>
      </w:r>
    </w:p>
    <w:p>
      <w:pPr>
        <w:spacing w:after="0" w:line="170"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left="660" w:right="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left="660"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GP Simplification Period</w:t>
      </w:r>
      <w:r>
        <w:rPr>
          <w:rFonts w:ascii="Arial" w:cs="Arial" w:eastAsia="Arial" w:hAnsi="Arial"/>
          <w:sz w:val="16"/>
          <w:szCs w:val="16"/>
          <w:color w:val="auto"/>
        </w:rPr>
        <w:t>” means the period (a) beginning on the date that the Borrower acquires the economic rights associated with the general partner interests in the Borrower and the incentive distribution rights held by Plains AAP, L.P. in the Borrower, substantially as described in the Simplification Agreement dated July 11, 2016 by and among the Borrower and certain Affiliates of the Borrower, attached as Exhibit 2.1 to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8-K Current Report filed by the Borrower with the SEC on July 14, 2016, and (b) ending on December 31, 2017.</w:t>
      </w:r>
    </w:p>
    <w:p>
      <w:pPr>
        <w:spacing w:after="0" w:line="225" w:lineRule="exact"/>
        <w:rPr>
          <w:sz w:val="20"/>
          <w:szCs w:val="20"/>
          <w:color w:val="auto"/>
        </w:rPr>
      </w:pPr>
    </w:p>
    <w:p>
      <w:pPr>
        <w:ind w:left="660" w:right="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JV Entity</w:t>
      </w:r>
      <w:r>
        <w:rPr>
          <w:rFonts w:ascii="Arial" w:cs="Arial" w:eastAsia="Arial" w:hAnsi="Arial"/>
          <w:sz w:val="18"/>
          <w:szCs w:val="18"/>
          <w:color w:val="auto"/>
        </w:rPr>
        <w:t>” means any Person, other than a Subsidiary (a) in which the Borrower or a Restricted Subsidiary owns a direct or indirect Equity Interest and (b) (i) that has no Consolidated Funded Indebtedness; provided that references to “Borrower” in the definition thereof shall, for purposes of this definition, refer to such Person, and (ii) is not subject to any Contractual Obligation that limits the ability of such Person to make cash distributions with respect to any Equity Interest of such Person if such Person is not otherwise in default of its obligations under such Contractual Obligation.</w:t>
      </w:r>
    </w:p>
    <w:p>
      <w:pPr>
        <w:spacing w:after="0" w:line="188" w:lineRule="exact"/>
        <w:rPr>
          <w:sz w:val="20"/>
          <w:szCs w:val="20"/>
          <w:color w:val="auto"/>
        </w:rPr>
      </w:pPr>
    </w:p>
    <w:p>
      <w:pPr>
        <w:jc w:val="both"/>
        <w:ind w:left="660" w:right="2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100" w:firstLine="656"/>
        <w:spacing w:after="0" w:line="277" w:lineRule="auto"/>
        <w:tabs>
          <w:tab w:leader="none" w:pos="7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Borrowings</w:t>
      </w:r>
      <w:r>
        <w:rPr>
          <w:rFonts w:ascii="Arial" w:cs="Arial" w:eastAsia="Arial" w:hAnsi="Arial"/>
          <w:sz w:val="18"/>
          <w:szCs w:val="18"/>
          <w:color w:val="auto"/>
        </w:rPr>
        <w:t xml:space="preserve">. The fourth sentence of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of the Original Agreement (beginning “Each telephonic notice . . .”) is hereby deleted in its entirety.</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FATCA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Original Agreement is hereby amended by adding a new </w:t>
      </w:r>
      <w:r>
        <w:rPr>
          <w:rFonts w:ascii="Arial" w:cs="Arial" w:eastAsia="Arial" w:hAnsi="Arial"/>
          <w:sz w:val="17"/>
          <w:szCs w:val="17"/>
          <w:u w:val="single" w:color="auto"/>
          <w:color w:val="auto"/>
        </w:rPr>
        <w:t>subsection (v)</w:t>
      </w:r>
      <w:r>
        <w:rPr>
          <w:rFonts w:ascii="Arial" w:cs="Arial" w:eastAsia="Arial" w:hAnsi="Arial"/>
          <w:sz w:val="17"/>
          <w:szCs w:val="17"/>
          <w:color w:val="auto"/>
        </w:rPr>
        <w:t xml:space="preserve"> at the end thereof, to read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210" w:lineRule="exact"/>
        <w:rPr>
          <w:rFonts w:ascii="Arial" w:cs="Arial" w:eastAsia="Arial" w:hAnsi="Arial"/>
          <w:sz w:val="17"/>
          <w:szCs w:val="17"/>
          <w:color w:val="auto"/>
        </w:rPr>
      </w:pPr>
    </w:p>
    <w:p>
      <w:pPr>
        <w:ind w:left="660" w:right="320" w:firstLine="645"/>
        <w:spacing w:after="0" w:line="279" w:lineRule="auto"/>
        <w:tabs>
          <w:tab w:leader="none" w:pos="2013" w:val="left"/>
        </w:tabs>
        <w:numPr>
          <w:ilvl w:val="1"/>
          <w:numId w:val="32"/>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“Amendment Effective Date” (as such term is defined in that certain Second Amendment to 364-Day Credit Agreement dated as of August 11, 2016 amending this Agreement), the Borrower and the Administrative Agent shall treat (and the Lenders hereby authorize the Administrative Agent to treat) this Agreement as not qualifying as a “grandfathered obligation” within the meaning of Treasury Regulation Section 1.1471-2(b)(2)(i).</w:t>
      </w:r>
    </w:p>
    <w:p>
      <w:pPr>
        <w:sectPr>
          <w:pgSz w:w="11900" w:h="16838" w:orient="portrait"/>
          <w:cols w:equalWidth="0" w:num="1">
            <w:col w:w="11400"/>
          </w:cols>
          <w:pgMar w:left="240" w:top="341" w:right="25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 2.4.</w:t>
            </w:r>
          </w:p>
        </w:tc>
        <w:tc>
          <w:tcPr>
            <w:tcW w:w="9740" w:type="dxa"/>
            <w:vAlign w:val="bottom"/>
            <w:gridSpan w:val="8"/>
          </w:tcPr>
          <w:p>
            <w:pPr>
              <w:spacing w:after="0"/>
              <w:rPr>
                <w:sz w:val="20"/>
                <w:szCs w:val="20"/>
                <w:color w:val="auto"/>
              </w:rPr>
            </w:pPr>
            <w:r>
              <w:rPr>
                <w:rFonts w:ascii="Arial" w:cs="Arial" w:eastAsia="Arial" w:hAnsi="Arial"/>
                <w:sz w:val="18"/>
                <w:szCs w:val="18"/>
                <w:color w:val="auto"/>
                <w:w w:val="90"/>
              </w:rPr>
              <w:t>Consolidated Leverage Ratio. The table set forth in Section 7.08 of the Original Agreement is hereby amended in its entirety to read as</w:t>
            </w:r>
          </w:p>
        </w:tc>
        <w:tc>
          <w:tcPr>
            <w:tcW w:w="0" w:type="dxa"/>
            <w:vAlign w:val="bottom"/>
          </w:tcPr>
          <w:p>
            <w:pPr>
              <w:spacing w:after="0"/>
              <w:rPr>
                <w:sz w:val="1"/>
                <w:szCs w:val="1"/>
                <w:color w:val="auto"/>
              </w:rPr>
            </w:pPr>
          </w:p>
        </w:tc>
      </w:tr>
      <w:tr>
        <w:trPr>
          <w:trHeight w:val="237"/>
        </w:trPr>
        <w:tc>
          <w:tcPr>
            <w:tcW w:w="1340" w:type="dxa"/>
            <w:vAlign w:val="bottom"/>
            <w:gridSpan w:val="2"/>
          </w:tcPr>
          <w:p>
            <w:pPr>
              <w:jc w:val="right"/>
              <w:ind w:right="650"/>
              <w:spacing w:after="0"/>
              <w:rPr>
                <w:sz w:val="20"/>
                <w:szCs w:val="20"/>
                <w:color w:val="auto"/>
              </w:rPr>
            </w:pPr>
            <w:r>
              <w:rPr>
                <w:rFonts w:ascii="Arial" w:cs="Arial" w:eastAsia="Arial" w:hAnsi="Arial"/>
                <w:sz w:val="18"/>
                <w:szCs w:val="18"/>
                <w:color w:val="auto"/>
                <w:w w:val="96"/>
              </w:rPr>
              <w:t>follows:</w:t>
            </w:r>
          </w:p>
        </w:tc>
        <w:tc>
          <w:tcPr>
            <w:tcW w:w="210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6900" w:type="dxa"/>
            <w:vAlign w:val="bottom"/>
            <w:gridSpan w:val="8"/>
            <w:vMerge w:val="restart"/>
          </w:tcPr>
          <w:p>
            <w:pPr>
              <w:ind w:left="560"/>
              <w:spacing w:after="0"/>
              <w:rPr>
                <w:sz w:val="20"/>
                <w:szCs w:val="20"/>
                <w:color w:val="auto"/>
              </w:rPr>
            </w:pPr>
            <w:r>
              <w:rPr>
                <w:rFonts w:ascii="Arial" w:cs="Arial" w:eastAsia="Arial" w:hAnsi="Arial"/>
                <w:sz w:val="14"/>
                <w:szCs w:val="14"/>
                <w:b w:val="1"/>
                <w:bCs w:val="1"/>
                <w:color w:val="auto"/>
              </w:rPr>
              <w:t>Applicable Period</w:t>
            </w:r>
          </w:p>
        </w:tc>
        <w:tc>
          <w:tcPr>
            <w:tcW w:w="4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Maximum Consolidated</w:t>
            </w:r>
          </w:p>
        </w:tc>
        <w:tc>
          <w:tcPr>
            <w:tcW w:w="0" w:type="dxa"/>
            <w:vAlign w:val="bottom"/>
          </w:tcPr>
          <w:p>
            <w:pPr>
              <w:spacing w:after="0"/>
              <w:rPr>
                <w:sz w:val="1"/>
                <w:szCs w:val="1"/>
                <w:color w:val="auto"/>
              </w:rPr>
            </w:pPr>
          </w:p>
        </w:tc>
      </w:tr>
      <w:tr>
        <w:trPr>
          <w:trHeight w:val="171"/>
        </w:trPr>
        <w:tc>
          <w:tcPr>
            <w:tcW w:w="6900" w:type="dxa"/>
            <w:vAlign w:val="bottom"/>
            <w:gridSpan w:val="8"/>
            <w:vMerge w:val="continue"/>
          </w:tcPr>
          <w:p>
            <w:pPr>
              <w:spacing w:after="0"/>
              <w:rPr>
                <w:sz w:val="14"/>
                <w:szCs w:val="14"/>
                <w:color w:val="auto"/>
              </w:rPr>
            </w:pPr>
          </w:p>
        </w:tc>
        <w:tc>
          <w:tcPr>
            <w:tcW w:w="4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604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8"/>
                <w:szCs w:val="18"/>
                <w:color w:val="auto"/>
              </w:rPr>
              <w:t>(i)  During the GP Simplification Period</w:t>
            </w:r>
          </w:p>
        </w:tc>
        <w:tc>
          <w:tcPr>
            <w:tcW w:w="30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5.50:1.0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vMerge w:val="restart"/>
          </w:tcPr>
          <w:p>
            <w:pPr>
              <w:spacing w:after="0"/>
              <w:rPr>
                <w:sz w:val="18"/>
                <w:szCs w:val="18"/>
                <w:color w:val="auto"/>
              </w:rPr>
            </w:pPr>
          </w:p>
        </w:tc>
        <w:tc>
          <w:tcPr>
            <w:tcW w:w="28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634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(ii)  Prior to or following the GP Simplification Period and during an Acquisition</w:t>
            </w:r>
          </w:p>
        </w:tc>
        <w:tc>
          <w:tcPr>
            <w:tcW w:w="3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5.50:1.0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634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Period</w:t>
            </w:r>
          </w:p>
        </w:tc>
        <w:tc>
          <w:tcPr>
            <w:tcW w:w="358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vMerge w:val="restart"/>
          </w:tcPr>
          <w:p>
            <w:pPr>
              <w:spacing w:after="0"/>
              <w:rPr>
                <w:sz w:val="18"/>
                <w:szCs w:val="18"/>
                <w:color w:val="auto"/>
              </w:rPr>
            </w:pPr>
          </w:p>
        </w:tc>
        <w:tc>
          <w:tcPr>
            <w:tcW w:w="28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0" w:type="dxa"/>
            <w:vAlign w:val="bottom"/>
            <w:vMerge w:val="continue"/>
          </w:tcPr>
          <w:p>
            <w:pPr>
              <w:spacing w:after="0"/>
              <w:rPr>
                <w:sz w:val="17"/>
                <w:szCs w:val="17"/>
                <w:color w:val="auto"/>
              </w:rPr>
            </w:pPr>
          </w:p>
        </w:tc>
        <w:tc>
          <w:tcPr>
            <w:tcW w:w="634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(iii) Prior to or following the GP Simplification Period and other than during an</w:t>
            </w:r>
          </w:p>
        </w:tc>
        <w:tc>
          <w:tcPr>
            <w:tcW w:w="3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5.00:1.0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6340" w:type="dxa"/>
            <w:vAlign w:val="bottom"/>
            <w:gridSpan w:val="7"/>
            <w:shd w:val="clear" w:color="auto" w:fill="CCEEFF"/>
          </w:tcPr>
          <w:p>
            <w:pPr>
              <w:ind w:left="320"/>
              <w:spacing w:after="0"/>
              <w:rPr>
                <w:sz w:val="20"/>
                <w:szCs w:val="20"/>
                <w:color w:val="auto"/>
              </w:rPr>
            </w:pPr>
            <w:r>
              <w:rPr>
                <w:rFonts w:ascii="Arial" w:cs="Arial" w:eastAsia="Arial" w:hAnsi="Arial"/>
                <w:sz w:val="18"/>
                <w:szCs w:val="18"/>
                <w:color w:val="auto"/>
              </w:rPr>
              <w:t>Acquisition Period</w:t>
            </w:r>
          </w:p>
        </w:tc>
        <w:tc>
          <w:tcPr>
            <w:tcW w:w="3580" w:type="dxa"/>
            <w:vAlign w:val="bottom"/>
            <w:shd w:val="clear" w:color="auto" w:fill="CCEEFF"/>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40" w:type="dxa"/>
            <w:vAlign w:val="bottom"/>
            <w:gridSpan w:val="2"/>
          </w:tcPr>
          <w:p>
            <w:pPr>
              <w:jc w:val="right"/>
              <w:ind w:right="190"/>
              <w:spacing w:after="0"/>
              <w:rPr>
                <w:sz w:val="20"/>
                <w:szCs w:val="20"/>
                <w:color w:val="auto"/>
              </w:rPr>
            </w:pPr>
            <w:r>
              <w:rPr>
                <w:rFonts w:ascii="Arial" w:cs="Arial" w:eastAsia="Arial" w:hAnsi="Arial"/>
                <w:sz w:val="18"/>
                <w:szCs w:val="18"/>
                <w:color w:val="auto"/>
              </w:rPr>
              <w:t>§ 2.5.</w:t>
            </w:r>
          </w:p>
        </w:tc>
        <w:tc>
          <w:tcPr>
            <w:tcW w:w="5560" w:type="dxa"/>
            <w:vAlign w:val="bottom"/>
            <w:gridSpan w:val="6"/>
          </w:tcPr>
          <w:p>
            <w:pPr>
              <w:spacing w:after="0"/>
              <w:rPr>
                <w:sz w:val="20"/>
                <w:szCs w:val="20"/>
                <w:color w:val="auto"/>
              </w:rPr>
            </w:pPr>
            <w:r>
              <w:rPr>
                <w:rFonts w:ascii="Arial" w:cs="Arial" w:eastAsia="Arial" w:hAnsi="Arial"/>
                <w:sz w:val="18"/>
                <w:szCs w:val="18"/>
                <w:color w:val="auto"/>
              </w:rPr>
              <w:t>Material Project EBITDA Adjustments.</w:t>
            </w:r>
          </w:p>
        </w:tc>
        <w:tc>
          <w:tcPr>
            <w:tcW w:w="3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firstLine="656"/>
        <w:spacing w:after="0" w:line="277" w:lineRule="auto"/>
        <w:tabs>
          <w:tab w:leader="none" w:pos="1343"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The reference to “any non-wholly-owned Subsidiaries”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proviso to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Original Agreement is hereby amended to refer instead to “any non-wholly-owned Subsidiary or Qualifying JV Entity”.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342" w:lineRule="auto"/>
        <w:tabs>
          <w:tab w:leader="none" w:pos="1353"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reference to “the Borrower or any of its Subsidiaries” in the first sentence of the definition of “Material Project EBITDA Adjustments” in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of the Original Agreement is hereby amended to refer instead to “the Borrower, any of its Subsidiaries or any Qualifying JV Entity”.</w:t>
      </w:r>
    </w:p>
    <w:p>
      <w:pPr>
        <w:spacing w:after="0" w:line="123" w:lineRule="exact"/>
        <w:rPr>
          <w:rFonts w:ascii="Arial" w:cs="Arial" w:eastAsia="Arial" w:hAnsi="Arial"/>
          <w:sz w:val="16"/>
          <w:szCs w:val="16"/>
          <w:color w:val="auto"/>
        </w:rPr>
      </w:pPr>
    </w:p>
    <w:p>
      <w:pPr>
        <w:ind w:firstLine="656"/>
        <w:spacing w:after="0" w:line="277" w:lineRule="auto"/>
        <w:tabs>
          <w:tab w:leader="none" w:pos="134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in the definition of “Material Project EBITDA Adjustments” in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of the Original Agreement is hereby amended in its entirety to read as follows:</w:t>
      </w:r>
    </w:p>
    <w:p>
      <w:pPr>
        <w:spacing w:after="0" w:line="170" w:lineRule="exact"/>
        <w:rPr>
          <w:rFonts w:ascii="Arial" w:cs="Arial" w:eastAsia="Arial" w:hAnsi="Arial"/>
          <w:sz w:val="18"/>
          <w:szCs w:val="18"/>
          <w:color w:val="auto"/>
        </w:rPr>
      </w:pPr>
    </w:p>
    <w:p>
      <w:pPr>
        <w:ind w:left="660" w:right="180" w:firstLine="645"/>
        <w:spacing w:after="0" w:line="293" w:lineRule="auto"/>
        <w:tabs>
          <w:tab w:leader="none" w:pos="1998"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the aggregate amount of (i) all Material Project EBITDA Adjustments (including any Material Project EBITDA Adjustments attributable to Material Projects of Qualifying JV Entities) and PNGS EBITDA Adjustments during any four-quarter period ending on the relevant date of determination shall be limited in the aggregate to 15% of the total actual Consolidated EBITDA for such period and (ii) all Material Project EBITDA Adjustments attributable to Material Projects of Qualifying JV Entities during any such period shall be limited to 7.5% of the total actual Consolidated EBITDA for such period; provided, that total actual Consolidated EBITDA shall, in the case of each of the immediately preceding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be determined without including any Material Project EBITDA Adjustments or PNGS EBITDA Adjustments.</w:t>
      </w:r>
    </w:p>
    <w:p>
      <w:pPr>
        <w:spacing w:after="0" w:line="165" w:lineRule="exact"/>
        <w:rPr>
          <w:sz w:val="20"/>
          <w:szCs w:val="20"/>
          <w:color w:val="auto"/>
        </w:rPr>
      </w:pPr>
    </w:p>
    <w:p>
      <w:pPr>
        <w:jc w:val="both"/>
        <w:ind w:right="220" w:firstLine="656"/>
        <w:spacing w:after="0" w:line="264"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 xml:space="preserve">. The reference to “Borrower Materials through the internet” in the fourth sentence of </w:t>
      </w:r>
      <w:r>
        <w:rPr>
          <w:rFonts w:ascii="Arial" w:cs="Arial" w:eastAsia="Arial" w:hAnsi="Arial"/>
          <w:sz w:val="18"/>
          <w:szCs w:val="18"/>
          <w:u w:val="single" w:color="auto"/>
          <w:color w:val="auto"/>
        </w:rPr>
        <w:t>Section 10.02(c)</w:t>
      </w:r>
      <w:r>
        <w:rPr>
          <w:rFonts w:ascii="Arial" w:cs="Arial" w:eastAsia="Arial" w:hAnsi="Arial"/>
          <w:sz w:val="18"/>
          <w:szCs w:val="18"/>
          <w:color w:val="auto"/>
        </w:rPr>
        <w:t xml:space="preserve"> of the Original Agreement is hereby amended to refer instead to “Borrower Materials or notices through the Platform, any other electronic platform or electronic messaging service, or through the internet”.</w:t>
      </w:r>
    </w:p>
    <w:p>
      <w:pPr>
        <w:spacing w:after="0" w:line="181" w:lineRule="exact"/>
        <w:rPr>
          <w:rFonts w:ascii="Arial" w:cs="Arial" w:eastAsia="Arial" w:hAnsi="Arial"/>
          <w:sz w:val="18"/>
          <w:szCs w:val="18"/>
          <w:color w:val="auto"/>
        </w:rPr>
      </w:pPr>
    </w:p>
    <w:p>
      <w:pPr>
        <w:ind w:right="260" w:firstLine="656"/>
        <w:spacing w:after="0" w:line="277" w:lineRule="auto"/>
        <w:tabs>
          <w:tab w:leader="none" w:pos="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Bail-In of EEA Financial Institutions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of the Original Agreement is hereby amended by adding a new </w:t>
      </w:r>
      <w:r>
        <w:rPr>
          <w:rFonts w:ascii="Arial" w:cs="Arial" w:eastAsia="Arial" w:hAnsi="Arial"/>
          <w:sz w:val="18"/>
          <w:szCs w:val="18"/>
          <w:u w:val="single" w:color="auto"/>
          <w:color w:val="auto"/>
        </w:rPr>
        <w:t>Section 10.22</w:t>
      </w:r>
      <w:r>
        <w:rPr>
          <w:rFonts w:ascii="Arial" w:cs="Arial" w:eastAsia="Arial" w:hAnsi="Arial"/>
          <w:sz w:val="18"/>
          <w:szCs w:val="18"/>
          <w:color w:val="auto"/>
        </w:rPr>
        <w:t xml:space="preserve"> at the end thereof, to read as follows:</w:t>
      </w:r>
    </w:p>
    <w:p>
      <w:pPr>
        <w:spacing w:after="0" w:line="166"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7"/>
          <w:szCs w:val="17"/>
          <w:b w:val="1"/>
          <w:bCs w:val="1"/>
          <w:color w:val="auto"/>
        </w:rPr>
        <w:t>10.22 Acknowledgement and Consent to Bail-In of EEA Financial Institutions</w:t>
      </w:r>
      <w:r>
        <w:rPr>
          <w:rFonts w:ascii="Arial" w:cs="Arial" w:eastAsia="Arial" w:hAnsi="Arial"/>
          <w:sz w:val="17"/>
          <w:szCs w:val="17"/>
          <w:color w:val="auto"/>
        </w:rPr>
        <w:t>. Solely to the extent any Lender that is an EEA</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Institution is a party to this Agreement and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2" w:lineRule="exact"/>
        <w:rPr>
          <w:sz w:val="20"/>
          <w:szCs w:val="20"/>
          <w:color w:val="auto"/>
        </w:rPr>
      </w:pPr>
    </w:p>
    <w:p>
      <w:pPr>
        <w:ind w:left="660" w:right="640" w:firstLine="645"/>
        <w:spacing w:after="0" w:line="277" w:lineRule="auto"/>
        <w:tabs>
          <w:tab w:leader="none" w:pos="20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1300" w:right="300" w:firstLine="653"/>
        <w:spacing w:after="0" w:line="277" w:lineRule="auto"/>
        <w:tabs>
          <w:tab w:leader="none" w:pos="26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40"/>
        <w:spacing w:after="0" w:line="277" w:lineRule="auto"/>
        <w:rPr>
          <w:sz w:val="20"/>
          <w:szCs w:val="20"/>
          <w:color w:val="auto"/>
        </w:rPr>
      </w:pPr>
      <w:r>
        <w:rPr>
          <w:rFonts w:ascii="Arial" w:cs="Arial" w:eastAsia="Arial" w:hAnsi="Arial"/>
          <w:sz w:val="18"/>
          <w:szCs w:val="18"/>
          <w:color w:val="auto"/>
        </w:rPr>
        <w:t>on it, and that such shares or other instruments of ownership will be accepted by it in lieu of any rights with respect to any such liability under this Agreement or any other Loan Document; or</w:t>
      </w:r>
    </w:p>
    <w:p>
      <w:pPr>
        <w:spacing w:after="0" w:line="170" w:lineRule="exact"/>
        <w:rPr>
          <w:sz w:val="20"/>
          <w:szCs w:val="20"/>
          <w:color w:val="auto"/>
        </w:rPr>
      </w:pPr>
    </w:p>
    <w:p>
      <w:pPr>
        <w:ind w:left="1300" w:right="240" w:firstLine="653"/>
        <w:spacing w:after="0" w:line="277" w:lineRule="auto"/>
        <w:tabs>
          <w:tab w:leader="none" w:pos="266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rFonts w:ascii="Arial" w:cs="Arial" w:eastAsia="Arial" w:hAnsi="Arial"/>
          <w:sz w:val="18"/>
          <w:szCs w:val="18"/>
          <w:color w:val="auto"/>
        </w:rPr>
      </w:pPr>
    </w:p>
    <w:p>
      <w:pPr>
        <w:ind w:left="800" w:hanging="144"/>
        <w:spacing w:after="0"/>
        <w:tabs>
          <w:tab w:leader="none" w:pos="8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to the Original Agreement is hereby amended in its entirety to read as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attached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100" w:firstLine="656"/>
        <w:spacing w:after="0" w:line="297" w:lineRule="auto"/>
        <w:tabs>
          <w:tab w:leader="none" w:pos="7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Ratable Loans</w:t>
      </w:r>
      <w:r>
        <w:rPr>
          <w:rFonts w:ascii="Arial" w:cs="Arial" w:eastAsia="Arial" w:hAnsi="Arial"/>
          <w:sz w:val="16"/>
          <w:szCs w:val="16"/>
          <w:color w:val="auto"/>
        </w:rPr>
        <w:t>. In connection herewith, on and as of the Amendment Effective Date, Borrower, Administrative Agent and Lenders shall make adjustments to the then outstanding principal amount of Loans (but not any interest accrued thereon prior to the Amendment Effective Date), including the borrowing of additional Loans and/or repayment of outstanding Loans, plus all applicable accrued interest, fees and expenses, as shall be necessary to repay in full all Exiting Lenders, and to provide for Loans hereunder by each Lender in the amount of its Applicable Percentage of all Loans as of the Amendment Effective Date, but in no event shall such adjustment of any Eurocurrency Rate Loans (i) constitute a payment or prepayment of all or a portion</w:t>
      </w:r>
    </w:p>
    <w:p>
      <w:pPr>
        <w:sectPr>
          <w:pgSz w:w="11900" w:h="16838" w:orient="portrait"/>
          <w:cols w:equalWidth="0" w:num="1">
            <w:col w:w="11420"/>
          </w:cols>
          <w:pgMar w:left="240" w:top="108" w:right="239" w:bottom="0" w:gutter="0" w:footer="0" w:header="0"/>
        </w:sectPr>
      </w:pPr>
    </w:p>
    <w:bookmarkStart w:id="17" w:name="page18"/>
    <w:bookmarkEnd w:id="17"/>
    <w:p>
      <w:pPr>
        <w:jc w:val="both"/>
        <w:ind w:right="80"/>
        <w:spacing w:after="0" w:line="264" w:lineRule="auto"/>
        <w:rPr>
          <w:sz w:val="20"/>
          <w:szCs w:val="20"/>
          <w:color w:val="auto"/>
        </w:rPr>
      </w:pPr>
      <w:r>
        <w:rPr>
          <w:rFonts w:ascii="Arial" w:cs="Arial" w:eastAsia="Arial" w:hAnsi="Arial"/>
          <w:sz w:val="18"/>
          <w:szCs w:val="18"/>
          <w:color w:val="auto"/>
        </w:rPr>
        <w:t xml:space="preserve">of any such Eurocurrency Rate Loans or (ii) entitle any Lender to any reimbursement under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of the Credit Agreement, and each Lender shall be deemed to have made an assignment of its outstanding Loans under the Credit Agreement, and assumed outstanding Loans of other Lenders under the Credit Agreement, as may be necessary to effect the foregoing.</w:t>
      </w:r>
    </w:p>
    <w:p>
      <w:pPr>
        <w:spacing w:after="0" w:line="181" w:lineRule="exact"/>
        <w:rPr>
          <w:sz w:val="20"/>
          <w:szCs w:val="20"/>
          <w:color w:val="auto"/>
        </w:rPr>
      </w:pPr>
    </w:p>
    <w:p>
      <w:pPr>
        <w:jc w:val="both"/>
        <w:ind w:right="220" w:firstLine="656"/>
        <w:spacing w:after="0" w:line="264"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Exiting Lenders</w:t>
      </w:r>
      <w:r>
        <w:rPr>
          <w:rFonts w:ascii="Arial" w:cs="Arial" w:eastAsia="Arial" w:hAnsi="Arial"/>
          <w:sz w:val="18"/>
          <w:szCs w:val="18"/>
          <w:color w:val="auto"/>
        </w:rPr>
        <w:t>. On and as of the Amendment Effective Date, contemporaneous with repayment in full of each Exiting Lender’s Loans, plus all applicable accrued interest, fees and expenses, and the Credit Agreement shall have no further force and effect as to such Exiting Lender other than such provisions that expressly survive termination of such Exiting Lender’s Commitments.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60" w:firstLine="656"/>
        <w:spacing w:after="0" w:line="277" w:lineRule="auto"/>
        <w:tabs>
          <w:tab w:leader="none" w:pos="7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ind w:right="20" w:firstLine="656"/>
        <w:spacing w:after="0" w:line="302" w:lineRule="auto"/>
        <w:tabs>
          <w:tab w:leader="none" w:pos="13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telecopies or other electronic copies (followed promptly by originals) unless otherwise specified, each properly executed by a Responsible Officer of the Borrower,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4" w:lineRule="exact"/>
        <w:rPr>
          <w:rFonts w:ascii="Arial" w:cs="Arial" w:eastAsia="Arial" w:hAnsi="Arial"/>
          <w:sz w:val="16"/>
          <w:szCs w:val="16"/>
          <w:color w:val="auto"/>
        </w:rPr>
      </w:pPr>
    </w:p>
    <w:p>
      <w:pPr>
        <w:ind w:left="2020" w:hanging="715"/>
        <w:spacing w:after="0"/>
        <w:tabs>
          <w:tab w:leader="none" w:pos="202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executed counterparts of this Amendment, sufficient in number for distribution to the Administrative Agent, each Lender and</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Borrower;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so requested within three Business Days prior to the Amendment Effective Date, a Note executed by Borrower in favor of each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requesting Lender;</w:t>
      </w:r>
    </w:p>
    <w:p>
      <w:pPr>
        <w:spacing w:after="0" w:line="210" w:lineRule="exact"/>
        <w:rPr>
          <w:rFonts w:ascii="Arial" w:cs="Arial" w:eastAsia="Arial" w:hAnsi="Arial"/>
          <w:sz w:val="16"/>
          <w:szCs w:val="16"/>
          <w:color w:val="auto"/>
        </w:rPr>
      </w:pPr>
    </w:p>
    <w:p>
      <w:pPr>
        <w:ind w:left="660" w:right="260" w:firstLine="645"/>
        <w:spacing w:after="0" w:line="259" w:lineRule="auto"/>
        <w:tabs>
          <w:tab w:leader="none" w:pos="2028"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such certificates of resolutions or other action, incumbency certificates and/or other certificates of Responsible Officers of Borrower as the Administrative Agent may 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to which Borrower is a party;</w:t>
      </w:r>
    </w:p>
    <w:p>
      <w:pPr>
        <w:spacing w:after="0" w:line="186" w:lineRule="exact"/>
        <w:rPr>
          <w:rFonts w:ascii="Arial" w:cs="Arial" w:eastAsia="Arial" w:hAnsi="Arial"/>
          <w:sz w:val="18"/>
          <w:szCs w:val="18"/>
          <w:color w:val="auto"/>
        </w:rPr>
      </w:pPr>
    </w:p>
    <w:p>
      <w:pPr>
        <w:ind w:left="660" w:firstLine="645"/>
        <w:spacing w:after="0" w:line="264" w:lineRule="auto"/>
        <w:tabs>
          <w:tab w:leader="none" w:pos="2018" w:val="left"/>
        </w:tabs>
        <w:numPr>
          <w:ilvl w:val="1"/>
          <w:numId w:val="42"/>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Borrower, General Partner and GP LLC are duly organized or formed, and that Borrower is validly existing and in good standing in its jurisdiction of organization, issued by the appropriate authorities of such jurisdiction;</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2013" w:val="left"/>
        </w:tabs>
        <w:numPr>
          <w:ilvl w:val="1"/>
          <w:numId w:val="42"/>
        </w:numPr>
        <w:rPr>
          <w:rFonts w:ascii="Arial" w:cs="Arial" w:eastAsia="Arial" w:hAnsi="Arial"/>
          <w:sz w:val="18"/>
          <w:szCs w:val="18"/>
          <w:color w:val="auto"/>
        </w:rPr>
      </w:pPr>
      <w:r>
        <w:rPr>
          <w:rFonts w:ascii="Arial" w:cs="Arial" w:eastAsia="Arial" w:hAnsi="Arial"/>
          <w:sz w:val="18"/>
          <w:szCs w:val="18"/>
          <w:color w:val="auto"/>
        </w:rPr>
        <w:t>favorable opinions of (A) Richard McGee, Esq., General Counsel for Borrower and (B) Norton Rose Fulbright US LLP, special Texas and New York counsel to Borrower, addressed to the Administrative Agent and each Lender;</w:t>
      </w:r>
    </w:p>
    <w:p>
      <w:pPr>
        <w:spacing w:after="0" w:line="170" w:lineRule="exact"/>
        <w:rPr>
          <w:rFonts w:ascii="Arial" w:cs="Arial" w:eastAsia="Arial" w:hAnsi="Arial"/>
          <w:sz w:val="18"/>
          <w:szCs w:val="18"/>
          <w:color w:val="auto"/>
        </w:rPr>
      </w:pPr>
    </w:p>
    <w:p>
      <w:pPr>
        <w:ind w:left="660" w:right="60" w:firstLine="645"/>
        <w:spacing w:after="0" w:line="286" w:lineRule="auto"/>
        <w:tabs>
          <w:tab w:leader="none" w:pos="2018"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Borrower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the Credit Agreement have been satisfied, (B) that there has been no event or circumstance since December 31, 2015 that has had or could be reasonably expected to have, either individually or in the aggregate, a Material Adverse Effect and (C) the current Debt Ratings; and</w:t>
      </w:r>
    </w:p>
    <w:p>
      <w:pPr>
        <w:spacing w:after="0" w:line="165" w:lineRule="exact"/>
        <w:rPr>
          <w:rFonts w:ascii="Arial" w:cs="Arial" w:eastAsia="Arial" w:hAnsi="Arial"/>
          <w:sz w:val="17"/>
          <w:szCs w:val="17"/>
          <w:color w:val="auto"/>
        </w:rPr>
      </w:pPr>
    </w:p>
    <w:p>
      <w:pPr>
        <w:ind w:left="2020" w:hanging="715"/>
        <w:spacing w:after="0"/>
        <w:tabs>
          <w:tab w:leader="none" w:pos="2020" w:val="left"/>
        </w:tabs>
        <w:numPr>
          <w:ilvl w:val="1"/>
          <w:numId w:val="42"/>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6" w:lineRule="exact"/>
        <w:rPr>
          <w:rFonts w:ascii="Arial" w:cs="Arial" w:eastAsia="Arial" w:hAnsi="Arial"/>
          <w:sz w:val="17"/>
          <w:szCs w:val="17"/>
          <w:color w:val="auto"/>
        </w:rPr>
      </w:pPr>
    </w:p>
    <w:p>
      <w:pPr>
        <w:ind w:right="340" w:firstLine="656"/>
        <w:spacing w:after="0" w:line="264"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Borrower and the validity against Borrower of this Amendment and each of the other Loan Documents to which it is a party shall have been obtained and shall be in full force and effect.</w:t>
      </w:r>
    </w:p>
    <w:p>
      <w:pPr>
        <w:spacing w:after="0" w:line="187" w:lineRule="exact"/>
        <w:rPr>
          <w:rFonts w:ascii="Arial" w:cs="Arial" w:eastAsia="Arial" w:hAnsi="Arial"/>
          <w:sz w:val="18"/>
          <w:szCs w:val="18"/>
          <w:color w:val="auto"/>
        </w:rPr>
      </w:pPr>
    </w:p>
    <w:p>
      <w:pPr>
        <w:ind w:firstLine="656"/>
        <w:spacing w:after="0" w:line="273" w:lineRule="auto"/>
        <w:tabs>
          <w:tab w:leader="none" w:pos="13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shall not have occurred during the period from December 31, 2015 through and including the Amendment Effective Date any event or condition that has had or could reasonably be expected, either individually or in the aggregate, to have a Material Adverse Effect, and there shall be no actions, suits, investigations, proceedings, claims or disputes pending or, to the knowledge of Borrower, threatened in writing, at law, in equity, in arbitration or before any Governmental Authority, by or against Borrower or any of its Subsidiaries or against any of their properties or revenues that either individually or in the aggregate, could reasonably be expected to have a Material Adverse Effect.</w:t>
      </w:r>
    </w:p>
    <w:p>
      <w:pPr>
        <w:spacing w:after="0" w:line="184" w:lineRule="exact"/>
        <w:rPr>
          <w:rFonts w:ascii="Arial" w:cs="Arial" w:eastAsia="Arial" w:hAnsi="Arial"/>
          <w:sz w:val="17"/>
          <w:szCs w:val="17"/>
          <w:color w:val="auto"/>
        </w:rPr>
      </w:pPr>
    </w:p>
    <w:p>
      <w:pPr>
        <w:ind w:right="120" w:firstLine="656"/>
        <w:spacing w:after="0" w:line="259" w:lineRule="auto"/>
        <w:tabs>
          <w:tab w:leader="none" w:pos="13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fees due the Lead Arranger, Administrative Agent or any Lender, including any arrangement fees, agency fees and upfront fees, and any expenses incurred by the Lead Arranger and Administrative Agent, in each case, as agreed in writing by Borrower, required to be paid on or before the Amendment Effective Date shall have been paid.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56"/>
        <w:spacing w:after="0" w:line="268"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Borrower shall have paid all reasonable fees, charges and disbursements of counsel to the Administrative Agent to the extent invoiced prior to the Amendment Effective Date.</w:t>
      </w:r>
    </w:p>
    <w:p>
      <w:pPr>
        <w:spacing w:after="0" w:line="18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Borrower with a copy of any such notice received by the Administrative Agent.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ectPr>
          <w:pgSz w:w="11900" w:h="16838" w:orient="portrait"/>
          <w:cols w:equalWidth="0" w:num="1">
            <w:col w:w="11400"/>
          </w:cols>
          <w:pgMar w:left="240" w:top="125" w:right="259" w:bottom="32" w:gutter="0" w:footer="0" w:header="0"/>
        </w:sectPr>
      </w:pPr>
    </w:p>
    <w:bookmarkStart w:id="18" w:name="page19"/>
    <w:bookmarkEnd w:id="18"/>
    <w:p>
      <w:pPr>
        <w:ind w:right="720" w:firstLine="656"/>
        <w:spacing w:after="0" w:line="277" w:lineRule="auto"/>
        <w:tabs>
          <w:tab w:leader="none" w:pos="783"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Borrower</w:t>
      </w:r>
      <w:r>
        <w:rPr>
          <w:rFonts w:ascii="Arial" w:cs="Arial" w:eastAsia="Arial" w:hAnsi="Arial"/>
          <w:sz w:val="18"/>
          <w:szCs w:val="18"/>
          <w:color w:val="auto"/>
        </w:rPr>
        <w:t>. In order to induce Administrative Agent and Lenders to enter into this Amendment, Borrower represents and warrants to Administrative Agent and each Lender that:</w:t>
      </w:r>
    </w:p>
    <w:p>
      <w:pPr>
        <w:spacing w:after="0" w:line="170" w:lineRule="exact"/>
        <w:rPr>
          <w:sz w:val="20"/>
          <w:szCs w:val="20"/>
          <w:color w:val="auto"/>
        </w:rPr>
      </w:pPr>
    </w:p>
    <w:p>
      <w:pPr>
        <w:ind w:right="40" w:firstLine="656"/>
        <w:spacing w:after="0" w:line="276" w:lineRule="auto"/>
        <w:tabs>
          <w:tab w:leader="none" w:pos="13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Borrower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Credit Agreement and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7"/>
          <w:szCs w:val="17"/>
          <w:u w:val="single" w:color="auto"/>
          <w:color w:val="auto"/>
        </w:rPr>
        <w:t>subsections (a)</w:t>
      </w:r>
      <w:r>
        <w:rPr>
          <w:rFonts w:ascii="Arial" w:cs="Arial" w:eastAsia="Arial" w:hAnsi="Arial"/>
          <w:sz w:val="17"/>
          <w:szCs w:val="17"/>
          <w:color w:val="auto"/>
        </w:rPr>
        <w:t xml:space="preserve"> and (b) of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of the Credit Agreement shall be deemed to refer to the most recent statements furnished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(b), respectively,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of the Credit Agreement.</w:t>
      </w:r>
    </w:p>
    <w:p>
      <w:pPr>
        <w:spacing w:after="0" w:line="172" w:lineRule="exact"/>
        <w:rPr>
          <w:rFonts w:ascii="Arial" w:cs="Arial" w:eastAsia="Arial" w:hAnsi="Arial"/>
          <w:sz w:val="17"/>
          <w:szCs w:val="17"/>
          <w:color w:val="auto"/>
        </w:rPr>
      </w:pPr>
    </w:p>
    <w:p>
      <w:pPr>
        <w:ind w:left="1360" w:hanging="704"/>
        <w:spacing w:after="0"/>
        <w:tabs>
          <w:tab w:leader="none" w:pos="1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Default has occurred and is continuing as of the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-421640</wp:posOffset>
            </wp:positionV>
            <wp:extent cx="1619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1925" cy="8890"/>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-284480</wp:posOffset>
            </wp:positionV>
            <wp:extent cx="1619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00" w:firstLine="656"/>
        <w:spacing w:after="0" w:line="297" w:lineRule="auto"/>
        <w:tabs>
          <w:tab w:leader="none" w:pos="783"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Ratification of Agreements</w:t>
      </w:r>
      <w:r>
        <w:rPr>
          <w:rFonts w:ascii="Arial" w:cs="Arial" w:eastAsia="Arial" w:hAnsi="Arial"/>
          <w:sz w:val="16"/>
          <w:szCs w:val="16"/>
          <w:color w:val="auto"/>
        </w:rPr>
        <w:t>. The Original Agreement, as hereby amended, is hereby ratified and confirmed in all respects. The Loan Documents, as they may be amended or affected by this Amendment, are hereby ratified and confirmed in all respects by Borrower.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or any Lender under the Credit Agreement or any other Loan Document nor constitute a waiver of any provision of the Credit Agreement or any other Loan Document.</w:t>
      </w:r>
    </w:p>
    <w:p>
      <w:pPr>
        <w:spacing w:after="0" w:line="158" w:lineRule="exact"/>
        <w:rPr>
          <w:rFonts w:ascii="Arial" w:cs="Arial" w:eastAsia="Arial" w:hAnsi="Arial"/>
          <w:sz w:val="16"/>
          <w:szCs w:val="16"/>
          <w:color w:val="auto"/>
        </w:rPr>
      </w:pPr>
    </w:p>
    <w:p>
      <w:pPr>
        <w:ind w:left="800" w:hanging="144"/>
        <w:spacing w:after="0"/>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color w:val="auto"/>
        </w:rPr>
      </w:pPr>
    </w:p>
    <w:p>
      <w:pPr>
        <w:ind w:right="120" w:firstLine="656"/>
        <w:spacing w:after="0" w:line="282" w:lineRule="auto"/>
        <w:tabs>
          <w:tab w:leader="none" w:pos="783"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5.3. GOVERNING LAW. THIS AMENDMENT SHALL BE GOVERNED BY, AND CONSTRUED IN ACCORDANCE WITH, THE </w:t>
      </w:r>
      <w:r>
        <w:rPr>
          <w:rFonts w:ascii="Arial" w:cs="Arial" w:eastAsia="Arial" w:hAnsi="Arial"/>
          <w:sz w:val="18"/>
          <w:szCs w:val="18"/>
          <w:b w:val="1"/>
          <w:bCs w:val="1"/>
          <w:u w:val="single" w:color="auto"/>
          <w:color w:val="auto"/>
        </w:rPr>
        <w:t>LAWS OF THE STATE OF NEW YORK, WITHOUT REGARD TO PRINCIPLES OF CONFLICTS OF LAW</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80" w:firstLine="656"/>
        <w:spacing w:after="0" w:line="277" w:lineRule="auto"/>
        <w:tabs>
          <w:tab w:leader="none" w:pos="7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in different counterparts), each of which shall constitute an original,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-593725</wp:posOffset>
            </wp:positionV>
            <wp:extent cx="67036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70" w:lineRule="exact"/>
        <w:rPr>
          <w:sz w:val="20"/>
          <w:szCs w:val="20"/>
          <w:color w:val="auto"/>
        </w:rPr>
      </w:pPr>
    </w:p>
    <w:p>
      <w:pPr>
        <w:ind w:right="180" w:firstLine="656"/>
        <w:spacing w:after="0" w:line="264" w:lineRule="auto"/>
        <w:tabs>
          <w:tab w:leader="none" w:pos="783"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is executed as of the date first above written.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6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Sharon S. Spurlin</w:t>
            </w:r>
          </w:p>
        </w:tc>
      </w:tr>
      <w:tr>
        <w:trPr>
          <w:trHeight w:val="230"/>
        </w:trPr>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Rosanne Parsill</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Rosanne Parsill</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20"/>
          </w:cols>
          <w:pgMar w:left="240" w:top="125" w:right="239" w:bottom="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as a Lender</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/s/Adam H. Fey</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Adam H. Fey</w:t>
            </w:r>
          </w:p>
        </w:tc>
      </w:tr>
      <w:tr>
        <w:trPr>
          <w:trHeight w:val="426"/>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Maureen P. Maroney</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Maureen P. Maroney</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DNB CAPITAL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Hykle</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Joe Hykle</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r>
        <w:trPr>
          <w:trHeight w:val="642"/>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Jodie Gildersleeve</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Jodie Gildersleeve</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Ming K. Chu</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64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Virginia Cosenza</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1" w:gutter="0" w:footer="0" w:header="0"/>
        </w:sectPr>
      </w:pPr>
    </w:p>
    <w:bookmarkStart w:id="20" w:name="page21"/>
    <w:bookmarkEnd w:id="20"/>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Stephanie Balette</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MIZUHO BANK,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Mo</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Leon Mo</w:t>
            </w:r>
          </w:p>
        </w:tc>
      </w:tr>
      <w:tr>
        <w:trPr>
          <w:trHeight w:val="42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MORGAN STANLEY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Name:</w:t>
        <w:tab/>
        <w:t>Jeffery Cobb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BRANCH BANKING AND TRUST COMPANY,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Lincoln LaCour</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Lincoln LaCour</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HE BANK OF NOVA SCOTIA,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Frazell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ectPr>
          <w:pgSz w:w="11900" w:h="16847" w:orient="portrait"/>
          <w:cols w:equalWidth="0" w:num="1">
            <w:col w:w="11420"/>
          </w:cols>
          <w:pgMar w:left="240" w:top="121" w:right="239" w:bottom="0" w:gutter="0" w:footer="0" w:header="0"/>
        </w:sectPr>
      </w:pPr>
    </w:p>
    <w:bookmarkStart w:id="21" w:name="page22"/>
    <w:bookmarkEnd w:id="21"/>
    <w:p>
      <w:pPr>
        <w:spacing w:after="0" w:line="32"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Frazell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BANK OF TOKYO-MITSUBISHI UFJ,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Oberreuter</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Christopher Aitkin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BNP PARIBAS,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Onischuk</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Joe Onischuk</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4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Reginald Crichlow</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Reginald Crichlow</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COMPASS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Kirshman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Blake Kirshman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640"/>
        <w:spacing w:after="0"/>
        <w:rPr>
          <w:sz w:val="20"/>
          <w:szCs w:val="20"/>
          <w:color w:val="auto"/>
        </w:rPr>
      </w:pPr>
      <w:r>
        <w:rPr>
          <w:rFonts w:ascii="Arial" w:cs="Arial" w:eastAsia="Arial" w:hAnsi="Arial"/>
          <w:sz w:val="18"/>
          <w:szCs w:val="18"/>
          <w:b w:val="1"/>
          <w:bCs w:val="1"/>
          <w:color w:val="auto"/>
        </w:rPr>
        <w:t>CANADIAN IMPERIAL BANK OF COMMERCE, NEW YORK</w:t>
      </w:r>
    </w:p>
    <w:p>
      <w:pPr>
        <w:sectPr>
          <w:pgSz w:w="11900" w:h="16870" w:orient="portrait"/>
          <w:cols w:equalWidth="0" w:num="1">
            <w:col w:w="11420"/>
          </w:cols>
          <w:pgMar w:left="240" w:top="341" w:right="239" w:bottom="0" w:gutter="0" w:footer="0" w:header="0"/>
        </w:sectPr>
      </w:pPr>
    </w:p>
    <w:bookmarkStart w:id="22" w:name="page23"/>
    <w:bookmarkEnd w:id="22"/>
    <w:p>
      <w:pPr>
        <w:ind w:left="5720"/>
        <w:spacing w:after="0"/>
        <w:rPr>
          <w:sz w:val="20"/>
          <w:szCs w:val="20"/>
          <w:color w:val="auto"/>
        </w:rPr>
      </w:pPr>
      <w:r>
        <w:rPr>
          <w:rFonts w:ascii="Arial" w:cs="Arial" w:eastAsia="Arial" w:hAnsi="Arial"/>
          <w:sz w:val="18"/>
          <w:szCs w:val="18"/>
          <w:b w:val="1"/>
          <w:bCs w:val="1"/>
          <w:color w:val="auto"/>
        </w:rPr>
        <w:t>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Antl</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Richard Antl</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2"/>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Reid</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M. Reid</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SUMITOMO MITSUI BANKING CORPORATION,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Weinstein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D. Weinstein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SUNTRUST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Chulley Bogle</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Chulley Bogle</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UBS AG, STAMFORD BRANCH,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Chin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Chin</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 Banking Products Services, US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BMO HARRIS BANK N.A.,</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Gumaro Tijerina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23" w:name="page24"/>
    <w:bookmarkEnd w:id="23"/>
    <w:p>
      <w:pPr>
        <w:spacing w:after="0" w:line="32"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Gumaro Tijerina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ING CAPITAL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LaBelle</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Cheryl LaBelle</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r>
        <w:trPr>
          <w:trHeight w:val="64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Subha Pasumarti</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Subha Pasumarti</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REGIONS BANK,</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Valentine</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David Valentine</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U.S. BANK NATIONAL ASSOCIATION,</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Jeffrey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Patrick Jeffrey</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PNC BANK, NATIONAL ASSOCIATION</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Colin Warman</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 Colin Warman</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840"/>
        <w:spacing w:after="0"/>
        <w:rPr>
          <w:sz w:val="20"/>
          <w:szCs w:val="20"/>
          <w:color w:val="auto"/>
        </w:rPr>
      </w:pPr>
      <w:r>
        <w:rPr>
          <w:rFonts w:ascii="Arial" w:cs="Arial" w:eastAsia="Arial" w:hAnsi="Arial"/>
          <w:sz w:val="18"/>
          <w:szCs w:val="18"/>
          <w:b w:val="1"/>
          <w:bCs w:val="1"/>
          <w:color w:val="auto"/>
        </w:rPr>
        <w:t>MORGAN STANLEY SENIOR FUNDING, INC.</w:t>
      </w:r>
      <w:r>
        <w:rPr>
          <w:rFonts w:ascii="Arial" w:cs="Arial" w:eastAsia="Arial" w:hAnsi="Arial"/>
          <w:sz w:val="18"/>
          <w:szCs w:val="18"/>
          <w:color w:val="auto"/>
        </w:rPr>
        <w:t>,</w:t>
      </w:r>
    </w:p>
    <w:p>
      <w:pPr>
        <w:sectPr>
          <w:pgSz w:w="11900" w:h="16870" w:orient="portrait"/>
          <w:cols w:equalWidth="0" w:num="1">
            <w:col w:w="11420"/>
          </w:cols>
          <w:pgMar w:left="240" w:top="341" w:right="239" w:bottom="0" w:gutter="0" w:footer="0" w:header="0"/>
        </w:sectPr>
      </w:pPr>
    </w:p>
    <w:bookmarkStart w:id="24" w:name="page25"/>
    <w:bookmarkEnd w:id="24"/>
    <w:tbl>
      <w:tblPr>
        <w:tblLayout w:type="fixed"/>
        <w:tblInd w:w="57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w w:val="88"/>
              </w:rPr>
              <w:t>as a Lender</w:t>
            </w:r>
          </w:p>
        </w:tc>
        <w:tc>
          <w:tcPr>
            <w:tcW w:w="48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41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Michael King</w:t>
            </w:r>
          </w:p>
        </w:tc>
      </w:tr>
      <w:tr>
        <w:trPr>
          <w:trHeight w:val="426"/>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PAA 364-Day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w w:val="96"/>
              </w:rPr>
              <w:t>SCHEDULE 2.01</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64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COMMITMENTS</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6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w w:val="98"/>
              </w:rPr>
              <w:t>AND APPLICABLE PERCENTAGES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Lender</w:t>
            </w:r>
          </w:p>
        </w:tc>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Commitment</w:t>
            </w:r>
          </w:p>
        </w:tc>
        <w:tc>
          <w:tcPr>
            <w:tcW w:w="1900" w:type="dxa"/>
            <w:vAlign w:val="bottom"/>
            <w:gridSpan w:val="3"/>
          </w:tcPr>
          <w:p>
            <w:pPr>
              <w:ind w:left="520"/>
              <w:spacing w:after="0"/>
              <w:rPr>
                <w:sz w:val="20"/>
                <w:szCs w:val="20"/>
                <w:color w:val="auto"/>
              </w:rPr>
            </w:pPr>
            <w:r>
              <w:rPr>
                <w:rFonts w:ascii="Arial" w:cs="Arial" w:eastAsia="Arial" w:hAnsi="Arial"/>
                <w:sz w:val="14"/>
                <w:szCs w:val="14"/>
                <w:b w:val="1"/>
                <w:bCs w:val="1"/>
                <w:color w:val="auto"/>
              </w:rPr>
              <w:t>Applicable</w:t>
            </w: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900" w:type="dxa"/>
            <w:vAlign w:val="bottom"/>
            <w:gridSpan w:val="3"/>
          </w:tcPr>
          <w:p>
            <w:pPr>
              <w:ind w:left="5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Citibank, N.A.</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DNB Capital LLC</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Deutsche Bank AG New York Branch</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Mizuho Bank, Ltd.</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Wells Fargo Bank, National Association</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58,437,500.00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Morgan Stanley Bank, N.A.</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52,500,000.00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Branch Banking and Trust Company</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The Bank of Nova Scotia</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43,000,000.00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The Bank of Tokyo-Mitsubishi UFJ, Ltd.</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43,000,000.00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Barclays Bank PLC</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43,000,000.00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4.300000000%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BNP Paribas</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Compass Bank</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1"/>
              </w:rPr>
              <w:t>Canadian Imperial Bank of Commerce, New York Branch</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Sumitomo Mitsui Banking Corporation</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SunTrust Bank</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UBS AG, Stamford Branch</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37,500,000.00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3.750000000%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BMO Harris Bank N.A.</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ING Capital LLC</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26,500,000.00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Regions Bank</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26,500,000.00</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2.650000000%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20,000,000.00</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Morgan Stanley Senior Funding, Inc.</w:t>
            </w:r>
          </w:p>
        </w:tc>
        <w:tc>
          <w:tcPr>
            <w:tcW w:w="3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5,937,500.00</w:t>
            </w:r>
          </w:p>
        </w:tc>
        <w:tc>
          <w:tcPr>
            <w:tcW w:w="28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0.593750000%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1,000,000,000.00</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11,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MARKETING,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MIDSTREAM CANADA ULC,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Guarantor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and Swing Line Lender,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BANK OF AMERICA, N.A. and WELLS FARGO BANK,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L/C Issuers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 and SOCIÉTÉ GÉNÉRALE,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MERRILL LYNCH, PIERCE, FENNER &amp; SMITH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CITIGROUP GLOBAL MARKETS INC. and SOCIÉTÉ GÉNÉRALE,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Lead Arrangers and Joint Bookrunners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Secured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Hedged Inventory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AMENDMENT TO THIRD AMENDED AND RESTATED CREDIT AGREEMENT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THIS THIRD AMENDMENT TO THIRD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11th day of August, 2016, is by and among PLAINS MARKETING, L.P., a Texas limited partnership (the “</w:t>
      </w:r>
      <w:r>
        <w:rPr>
          <w:rFonts w:ascii="Arial" w:cs="Arial" w:eastAsia="Arial" w:hAnsi="Arial"/>
          <w:sz w:val="18"/>
          <w:szCs w:val="18"/>
          <w:u w:val="single" w:color="auto"/>
          <w:color w:val="auto"/>
        </w:rPr>
        <w:t>Company</w:t>
      </w:r>
      <w:r>
        <w:rPr>
          <w:rFonts w:ascii="Arial" w:cs="Arial" w:eastAsia="Arial" w:hAnsi="Arial"/>
          <w:sz w:val="18"/>
          <w:szCs w:val="18"/>
          <w:color w:val="auto"/>
        </w:rPr>
        <w:t>”), PLAINS MIDSTREAM CANADA ULC, a British Columbia unlimited liability company (“</w:t>
      </w:r>
      <w:r>
        <w:rPr>
          <w:rFonts w:ascii="Arial" w:cs="Arial" w:eastAsia="Arial" w:hAnsi="Arial"/>
          <w:sz w:val="18"/>
          <w:szCs w:val="18"/>
          <w:u w:val="single" w:color="auto"/>
          <w:color w:val="auto"/>
        </w:rPr>
        <w:t>PMCULC</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Borrower</w:t>
      </w:r>
      <w:r>
        <w:rPr>
          <w:rFonts w:ascii="Arial" w:cs="Arial" w:eastAsia="Arial" w:hAnsi="Arial"/>
          <w:sz w:val="18"/>
          <w:szCs w:val="18"/>
          <w:color w:val="auto"/>
        </w:rPr>
        <w:t>”), PLAINS ALL AMERICAN PIPELINE, L.P., as guarantor, BANK OF AMERICA, N.A., as Administrative Agent and an L/C Issuer, WELLS FARGO BANK, NATIONAL ASSOCIATION, as an L/C Issuer, and the Lenders party 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Borrowers, Administrative Agent, certain of the L/C Issuers and certain of the Lenders entered into that certain Third Amended and Restated Credit Agreement dated as of August 19, 2011, as amended by First Amendment to Third Amended and Restated Credit Agreement dated as of June 27, 2012 and Second Amendment to Third Amended and Restated Credit Agreement dated as of August 16, 2013 (as heretofore amended, the “</w:t>
      </w:r>
      <w:r>
        <w:rPr>
          <w:rFonts w:ascii="Arial" w:cs="Arial" w:eastAsia="Arial" w:hAnsi="Arial"/>
          <w:sz w:val="18"/>
          <w:szCs w:val="18"/>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for the purposes and consideration therein expressed; and</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WHEREAS, Merrill Lynch, Pierce, Fenner &amp; Smith, Incorporated (“</w:t>
      </w:r>
      <w:r>
        <w:rPr>
          <w:rFonts w:ascii="Arial" w:cs="Arial" w:eastAsia="Arial" w:hAnsi="Arial"/>
          <w:sz w:val="18"/>
          <w:szCs w:val="18"/>
          <w:u w:val="single" w:color="auto"/>
          <w:color w:val="auto"/>
        </w:rPr>
        <w:t>MLPFS</w:t>
      </w:r>
      <w:r>
        <w:rPr>
          <w:rFonts w:ascii="Arial" w:cs="Arial" w:eastAsia="Arial" w:hAnsi="Arial"/>
          <w:sz w:val="18"/>
          <w:szCs w:val="18"/>
          <w:color w:val="auto"/>
        </w:rPr>
        <w:t>”) and the other joint lead arrangers and joint bookrunners, have, at the Company’s request, syndicated and arranged for an extension of the maturity date set forth in, and other amendments to, the Original Agreement, and pursuant thereto, the Borrowers, Administrative Agent, L/C Issuers and the Lenders party hereto desire to amend the Original Agreement for the purposes described herein;</w:t>
      </w:r>
    </w:p>
    <w:p>
      <w:pPr>
        <w:spacing w:after="0" w:line="187"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I. — </w:t>
      </w:r>
      <w:r>
        <w:rPr>
          <w:rFonts w:ascii="Arial" w:cs="Arial" w:eastAsia="Arial" w:hAnsi="Arial"/>
          <w:sz w:val="18"/>
          <w:szCs w:val="18"/>
          <w:u w:val="single" w:color="auto"/>
          <w:color w:val="auto"/>
        </w:rPr>
        <w:t>Definitions and References</w:t>
      </w:r>
    </w:p>
    <w:p>
      <w:pPr>
        <w:spacing w:after="0" w:line="225" w:lineRule="exact"/>
        <w:rPr>
          <w:sz w:val="20"/>
          <w:szCs w:val="20"/>
          <w:color w:val="auto"/>
        </w:rPr>
      </w:pPr>
    </w:p>
    <w:p>
      <w:pPr>
        <w:ind w:right="240" w:firstLine="656"/>
        <w:spacing w:after="0" w:line="277" w:lineRule="auto"/>
        <w:tabs>
          <w:tab w:leader="none" w:pos="783"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Original Agreement</w:t>
      </w:r>
      <w:r>
        <w:rPr>
          <w:rFonts w:ascii="Arial" w:cs="Arial" w:eastAsia="Arial" w:hAnsi="Arial"/>
          <w:sz w:val="18"/>
          <w:szCs w:val="18"/>
          <w:color w:val="auto"/>
        </w:rPr>
        <w:t>. Unless the context otherwise requires or unless otherwise expressly defined herein, the terms defined in the Credit Agreement shall have the same meanings whenever used in this Amendment.</w:t>
      </w:r>
    </w:p>
    <w:p>
      <w:pPr>
        <w:sectPr>
          <w:pgSz w:w="11900" w:h="16838" w:orient="portrait"/>
          <w:cols w:equalWidth="0" w:num="1">
            <w:col w:w="11420"/>
          </w:cols>
          <w:pgMar w:left="240" w:top="121" w:right="239" w:bottom="0" w:gutter="0" w:footer="0" w:header="0"/>
        </w:sectPr>
      </w:pPr>
    </w:p>
    <w:bookmarkStart w:id="26" w:name="page27"/>
    <w:bookmarkEnd w:id="26"/>
    <w:p>
      <w:pPr>
        <w:ind w:right="220" w:firstLine="656"/>
        <w:spacing w:after="0" w:line="277" w:lineRule="auto"/>
        <w:tabs>
          <w:tab w:leader="none" w:pos="783"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Defined Terms</w:t>
      </w:r>
      <w:r>
        <w:rPr>
          <w:rFonts w:ascii="Arial" w:cs="Arial" w:eastAsia="Arial" w:hAnsi="Arial"/>
          <w:sz w:val="18"/>
          <w:szCs w:val="18"/>
          <w:color w:val="auto"/>
        </w:rPr>
        <w:t xml:space="preserve">. Unless the context otherwise requires, the following terms when used in this Amendment shall have the meanings assigned to them in this </w:t>
      </w:r>
      <w:r>
        <w:rPr>
          <w:rFonts w:ascii="Arial" w:cs="Arial" w:eastAsia="Arial" w:hAnsi="Arial"/>
          <w:sz w:val="18"/>
          <w:szCs w:val="18"/>
          <w:u w:val="single" w:color="auto"/>
          <w:color w:val="auto"/>
        </w:rPr>
        <w:t>§ 1.2</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w:t>
      </w:r>
      <w:r>
        <w:rPr>
          <w:rFonts w:ascii="Arial" w:cs="Arial" w:eastAsia="Arial" w:hAnsi="Arial"/>
          <w:sz w:val="18"/>
          <w:szCs w:val="18"/>
          <w:color w:val="auto"/>
        </w:rPr>
        <w:t>” means this Third Amendment to Third Amended and Restated Credit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of this Amendment.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the Original Agreement as amended hereby.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800" w:hanging="144"/>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360" w:hanging="704"/>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CDOR</w:t>
      </w:r>
      <w:r>
        <w:rPr>
          <w:rFonts w:ascii="Arial" w:cs="Arial" w:eastAsia="Arial" w:hAnsi="Arial"/>
          <w:sz w:val="17"/>
          <w:szCs w:val="17"/>
          <w:color w:val="auto"/>
        </w:rPr>
        <w:t xml:space="preserve">. The definition of “CDOR”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of the Original Agreement is hereby amended by adding the following at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end 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and if CDOR shall be less than zero, such rate shall be deemed zero for purposes of this Agreement.</w:t>
      </w:r>
    </w:p>
    <w:p>
      <w:pPr>
        <w:spacing w:after="0" w:line="225" w:lineRule="exact"/>
        <w:rPr>
          <w:sz w:val="20"/>
          <w:szCs w:val="20"/>
          <w:color w:val="auto"/>
        </w:rPr>
      </w:pPr>
    </w:p>
    <w:p>
      <w:pPr>
        <w:ind w:right="20" w:firstLine="656"/>
        <w:spacing w:after="0" w:line="25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Committed Loan Notice</w:t>
      </w:r>
      <w:r>
        <w:rPr>
          <w:rFonts w:ascii="Arial" w:cs="Arial" w:eastAsia="Arial" w:hAnsi="Arial"/>
          <w:sz w:val="18"/>
          <w:szCs w:val="18"/>
          <w:color w:val="auto"/>
        </w:rPr>
        <w:t xml:space="preserve">. The reference to “which, if in writing,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 the end of the definition of “Committed Loan Notice”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“which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8" w:lineRule="exact"/>
        <w:rPr>
          <w:rFonts w:ascii="Arial" w:cs="Arial" w:eastAsia="Arial" w:hAnsi="Arial"/>
          <w:sz w:val="18"/>
          <w:szCs w:val="18"/>
          <w:color w:val="auto"/>
        </w:rPr>
      </w:pPr>
    </w:p>
    <w:p>
      <w:pPr>
        <w:ind w:right="520" w:firstLine="656"/>
        <w:spacing w:after="0" w:line="277" w:lineRule="auto"/>
        <w:tabs>
          <w:tab w:leader="none" w:pos="134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of “Defaulting Lender”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changing “, or (iii)” therein to “, (iii) become the subject of a Bail-In Action or (iv)”.</w:t>
      </w:r>
    </w:p>
    <w:p>
      <w:pPr>
        <w:spacing w:after="0" w:line="170" w:lineRule="exact"/>
        <w:rPr>
          <w:rFonts w:ascii="Arial" w:cs="Arial" w:eastAsia="Arial" w:hAnsi="Arial"/>
          <w:sz w:val="18"/>
          <w:szCs w:val="18"/>
          <w:color w:val="auto"/>
        </w:rPr>
      </w:pPr>
    </w:p>
    <w:p>
      <w:pPr>
        <w:ind w:firstLine="656"/>
        <w:spacing w:after="0" w:line="264"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Eurocurrency Rate</w:t>
      </w:r>
      <w:r>
        <w:rPr>
          <w:rFonts w:ascii="Arial" w:cs="Arial" w:eastAsia="Arial" w:hAnsi="Arial"/>
          <w:sz w:val="18"/>
          <w:szCs w:val="18"/>
          <w:color w:val="auto"/>
        </w:rPr>
        <w:t xml:space="preserve">. The reference to “; and” at the end of </w:t>
      </w:r>
      <w:r>
        <w:rPr>
          <w:rFonts w:ascii="Arial" w:cs="Arial" w:eastAsia="Arial" w:hAnsi="Arial"/>
          <w:sz w:val="18"/>
          <w:szCs w:val="18"/>
          <w:u w:val="single" w:color="auto"/>
          <w:color w:val="auto"/>
        </w:rPr>
        <w:t>subclause (a)(i)</w:t>
      </w:r>
      <w:r>
        <w:rPr>
          <w:rFonts w:ascii="Arial" w:cs="Arial" w:eastAsia="Arial" w:hAnsi="Arial"/>
          <w:sz w:val="18"/>
          <w:szCs w:val="18"/>
          <w:color w:val="auto"/>
        </w:rPr>
        <w:t xml:space="preserve"> of the definition of “Eurocurrency Rate”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 and if the Eurodollar Rate shall be less than zero, such rate shall be deemed zero for purposes of this Agreement; and”.</w:t>
      </w:r>
    </w:p>
    <w:p>
      <w:pPr>
        <w:spacing w:after="0" w:line="181" w:lineRule="exact"/>
        <w:rPr>
          <w:rFonts w:ascii="Arial" w:cs="Arial" w:eastAsia="Arial" w:hAnsi="Arial"/>
          <w:sz w:val="18"/>
          <w:szCs w:val="18"/>
          <w:color w:val="auto"/>
        </w:rPr>
      </w:pPr>
    </w:p>
    <w:p>
      <w:pPr>
        <w:ind w:right="280" w:firstLine="656"/>
        <w:spacing w:after="0" w:line="277" w:lineRule="auto"/>
        <w:tabs>
          <w:tab w:leader="none" w:pos="134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The first sentence of the definition of “Responsible Officer”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adding the following at the end thereof:</w:t>
      </w:r>
    </w:p>
    <w:p>
      <w:pPr>
        <w:spacing w:after="0" w:line="170"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or any other officer or employee of such Loan Party, or any general partner thereof or any general partner of any such general partner or any sole member thereof, designated in or pursuant to an agreement between such Loan Party and the Administrative Agent.</w:t>
      </w:r>
    </w:p>
    <w:p>
      <w:pPr>
        <w:spacing w:after="0" w:line="147" w:lineRule="exact"/>
        <w:rPr>
          <w:sz w:val="20"/>
          <w:szCs w:val="20"/>
          <w:color w:val="auto"/>
        </w:rPr>
      </w:pPr>
    </w:p>
    <w:p>
      <w:pPr>
        <w:ind w:right="20" w:firstLine="656"/>
        <w:spacing w:after="0" w:line="257" w:lineRule="auto"/>
        <w:tabs>
          <w:tab w:leader="none" w:pos="1368"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The reference to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 the end of the definition of “Swing Line Loan Notice”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to refer instead to “which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may be approved by the Administrative Agent and the requesting Borrower (including any form on an electronic platform or electronic transmission system as shall be approved by the Administrative Agent) appropriately completed and signed by a Responsible Officer of the requesting Borrower”.</w:t>
      </w:r>
    </w:p>
    <w:p>
      <w:pPr>
        <w:spacing w:after="0" w:line="188" w:lineRule="exact"/>
        <w:rPr>
          <w:rFonts w:ascii="Arial" w:cs="Arial" w:eastAsia="Arial" w:hAnsi="Arial"/>
          <w:sz w:val="18"/>
          <w:szCs w:val="18"/>
          <w:color w:val="auto"/>
        </w:rPr>
      </w:pPr>
    </w:p>
    <w:p>
      <w:pPr>
        <w:ind w:right="20" w:firstLine="656"/>
        <w:spacing w:after="0" w:line="277" w:lineRule="auto"/>
        <w:tabs>
          <w:tab w:leader="none" w:pos="135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New Defined Terms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Original Agreement is hereby amended by adding the following new defined terms in appropriate alphabetical order, to read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jc w:val="both"/>
        <w:ind w:left="660"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Person</w:t>
      </w:r>
      <w:r>
        <w:rPr>
          <w:rFonts w:ascii="Arial" w:cs="Arial" w:eastAsia="Arial" w:hAnsi="Arial"/>
          <w:sz w:val="18"/>
          <w:szCs w:val="18"/>
          <w:color w:val="auto"/>
        </w:rPr>
        <w:t xml:space="preserve">” has the </w:t>
      </w:r>
      <w:r>
        <w:rPr>
          <w:rFonts w:ascii="Arial" w:cs="Arial" w:eastAsia="Arial" w:hAnsi="Arial"/>
          <w:sz w:val="17"/>
          <w:szCs w:val="17"/>
          <w:color w:val="auto"/>
        </w:rPr>
        <w:t>meaning specified in</w:t>
      </w:r>
      <w:r>
        <w:rPr>
          <w:rFonts w:ascii="Arial" w:cs="Arial" w:eastAsia="Arial" w:hAnsi="Arial"/>
          <w:sz w:val="18"/>
          <w:szCs w:val="18"/>
          <w:color w:val="auto"/>
        </w:rPr>
        <w:t xml:space="preserve"> </w:t>
      </w:r>
      <w:r>
        <w:rPr>
          <w:rFonts w:ascii="Arial" w:cs="Arial" w:eastAsia="Arial" w:hAnsi="Arial"/>
          <w:sz w:val="17"/>
          <w:szCs w:val="17"/>
          <w:u w:val="single" w:color="auto"/>
          <w:color w:val="auto"/>
        </w:rPr>
        <w:t>Section 5.14</w:t>
      </w:r>
      <w:r>
        <w:rPr>
          <w:rFonts w:ascii="Arial" w:cs="Arial" w:eastAsia="Arial" w:hAnsi="Arial"/>
          <w:sz w:val="17"/>
          <w:szCs w:val="17"/>
          <w:color w:val="auto"/>
        </w:rPr>
        <w:t>.</w:t>
      </w:r>
    </w:p>
    <w:p>
      <w:pPr>
        <w:spacing w:after="0" w:line="225" w:lineRule="exact"/>
        <w:rPr>
          <w:sz w:val="20"/>
          <w:szCs w:val="20"/>
          <w:color w:val="auto"/>
        </w:rPr>
      </w:pPr>
    </w:p>
    <w:p>
      <w:pPr>
        <w:ind w:left="660"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660"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ectPr>
          <w:pgSz w:w="11900" w:h="16838" w:orient="portrait"/>
          <w:cols w:equalWidth="0" w:num="1">
            <w:col w:w="11420"/>
          </w:cols>
          <w:pgMar w:left="240" w:top="125" w:right="239" w:bottom="0" w:gutter="0" w:footer="0" w:header="0"/>
        </w:sectPr>
      </w:pPr>
    </w:p>
    <w:bookmarkStart w:id="27" w:name="page28"/>
    <w:bookmarkEnd w:id="27"/>
    <w:p>
      <w:pPr>
        <w:spacing w:after="0" w:line="95"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means the Office of </w:t>
      </w:r>
      <w:r>
        <w:rPr>
          <w:rFonts w:ascii="Arial" w:cs="Arial" w:eastAsia="Arial" w:hAnsi="Arial"/>
          <w:sz w:val="17"/>
          <w:szCs w:val="17"/>
          <w:color w:val="auto"/>
        </w:rPr>
        <w:t>Foreign Assets Control of the United States Department of the Treasury.</w:t>
      </w:r>
    </w:p>
    <w:p>
      <w:pPr>
        <w:spacing w:after="0" w:line="225" w:lineRule="exact"/>
        <w:rPr>
          <w:sz w:val="20"/>
          <w:szCs w:val="20"/>
          <w:color w:val="auto"/>
        </w:rPr>
      </w:pPr>
    </w:p>
    <w:p>
      <w:pPr>
        <w:ind w:left="660" w:right="1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w:t>
      </w:r>
      <w:r>
        <w:rPr>
          <w:rFonts w:ascii="Arial" w:cs="Arial" w:eastAsia="Arial" w:hAnsi="Arial"/>
          <w:sz w:val="17"/>
          <w:szCs w:val="17"/>
          <w:color w:val="auto"/>
        </w:rPr>
        <w:t xml:space="preserve">” means any economic or trade sanction administered by the United States Government (including, </w:t>
      </w:r>
      <w:r>
        <w:rPr>
          <w:rFonts w:ascii="Arial" w:cs="Arial" w:eastAsia="Arial" w:hAnsi="Arial"/>
          <w:sz w:val="16"/>
          <w:szCs w:val="16"/>
          <w:color w:val="auto"/>
        </w:rPr>
        <w:t>without</w:t>
      </w:r>
      <w:r>
        <w:rPr>
          <w:rFonts w:ascii="Arial" w:cs="Arial" w:eastAsia="Arial" w:hAnsi="Arial"/>
          <w:sz w:val="17"/>
          <w:szCs w:val="17"/>
          <w:color w:val="auto"/>
        </w:rPr>
        <w:t xml:space="preserve"> limitation, any economic or trade sanction administered by OFAC), and any other economic or trade sanction administered by any other sanctions authority of any relevant jurisdiction where any Restricted Person maintains assets or engages in business (including, if applicable, any economic or trade sanction administered by the United Nations Security Council, the European Union or Her Majesty’s Treasury).</w:t>
      </w:r>
    </w:p>
    <w:p>
      <w:pPr>
        <w:spacing w:after="0" w:line="171" w:lineRule="exact"/>
        <w:rPr>
          <w:sz w:val="20"/>
          <w:szCs w:val="20"/>
          <w:color w:val="auto"/>
        </w:rPr>
      </w:pPr>
    </w:p>
    <w:p>
      <w:pPr>
        <w:jc w:val="both"/>
        <w:ind w:left="660"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0" w:hanging="14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Borrowings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of the Original Agreement is hereby amended as follows:</w:t>
      </w:r>
    </w:p>
    <w:p>
      <w:pPr>
        <w:spacing w:after="0" w:line="225" w:lineRule="exact"/>
        <w:rPr>
          <w:rFonts w:ascii="Arial" w:cs="Arial" w:eastAsia="Arial" w:hAnsi="Arial"/>
          <w:sz w:val="18"/>
          <w:szCs w:val="18"/>
          <w:color w:val="auto"/>
        </w:rPr>
      </w:pPr>
    </w:p>
    <w:p>
      <w:pPr>
        <w:ind w:left="660" w:right="660" w:firstLine="645"/>
        <w:spacing w:after="0" w:line="264" w:lineRule="auto"/>
        <w:tabs>
          <w:tab w:leader="none" w:pos="20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reference to “telephone” at the end of the first sentence is hereby amended to refer instead to “(A) telephone, or (B) a Committed Loan Notice; provided that any telephonic notice must be confirmed immediately by delivery to the Administrative Agent of a Committed Loan Notice”.</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20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reference to “Each such notice” at the beginning of the second sentence is hereby amended to refer instead to “Each such Committed Loan Notice”.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fourth sentence (beginning “Each telephonic notice . . .”) is hereby deleted in its entirety.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parenthetical “(whether telephonic or written)” in the seventh sentence is hereby deleted in its entirety.</w:t>
      </w:r>
    </w:p>
    <w:p>
      <w:pPr>
        <w:spacing w:after="0" w:line="225" w:lineRule="exact"/>
        <w:rPr>
          <w:rFonts w:ascii="Arial" w:cs="Arial" w:eastAsia="Arial" w:hAnsi="Arial"/>
          <w:sz w:val="18"/>
          <w:szCs w:val="18"/>
          <w:color w:val="auto"/>
        </w:rPr>
      </w:pPr>
    </w:p>
    <w:p>
      <w:pPr>
        <w:ind w:left="800" w:hanging="144"/>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Swing Line Borrowings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of the Original Agreement is hereby amended as follows:</w:t>
      </w:r>
    </w:p>
    <w:p>
      <w:pPr>
        <w:spacing w:after="0" w:line="225" w:lineRule="exact"/>
        <w:rPr>
          <w:rFonts w:ascii="Arial" w:cs="Arial" w:eastAsia="Arial" w:hAnsi="Arial"/>
          <w:sz w:val="18"/>
          <w:szCs w:val="18"/>
          <w:color w:val="auto"/>
        </w:rPr>
      </w:pPr>
    </w:p>
    <w:p>
      <w:pPr>
        <w:ind w:left="660" w:right="160" w:firstLine="645"/>
        <w:spacing w:after="0" w:line="264" w:lineRule="auto"/>
        <w:tabs>
          <w:tab w:leader="none" w:pos="20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reference to “telephone” at the end of the first sentence is hereby amended to refer instead to “(A) telephone, or (B) a Swing Line Loan Notice; provided that any telephonic notice must be confirmed promptly by delivery to the Swing Line Lender and the Administrative Agent of a Swing Line Loan Notice”.</w:t>
      </w:r>
    </w:p>
    <w:p>
      <w:pPr>
        <w:spacing w:after="0" w:line="181" w:lineRule="exact"/>
        <w:rPr>
          <w:rFonts w:ascii="Arial" w:cs="Arial" w:eastAsia="Arial" w:hAnsi="Arial"/>
          <w:sz w:val="18"/>
          <w:szCs w:val="18"/>
          <w:color w:val="auto"/>
        </w:rPr>
      </w:pPr>
    </w:p>
    <w:p>
      <w:pPr>
        <w:ind w:left="660" w:right="360" w:firstLine="645"/>
        <w:spacing w:after="0" w:line="277" w:lineRule="auto"/>
        <w:tabs>
          <w:tab w:leader="none" w:pos="201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reference to “Each such notice” at the beginning of the second sentence is hereby amended to refer instead to “Each such Swing Line Loan Notice”.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third sentence (beginning “Each such telephonic notice . . .”) is hereby deleted in its entirety.</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reference to “telephonic Swing Line Loan Notice” in the fourth sentence is hereby amended to refer instead to “Swing Line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Loan Notice”.</w:t>
      </w:r>
    </w:p>
    <w:p>
      <w:pPr>
        <w:spacing w:after="0" w:line="210" w:lineRule="exact"/>
        <w:rPr>
          <w:rFonts w:ascii="Arial" w:cs="Arial" w:eastAsia="Arial" w:hAnsi="Arial"/>
          <w:sz w:val="16"/>
          <w:szCs w:val="16"/>
          <w:color w:val="auto"/>
        </w:rPr>
      </w:pPr>
    </w:p>
    <w:p>
      <w:pPr>
        <w:ind w:left="800" w:hanging="144"/>
        <w:spacing w:after="0"/>
        <w:tabs>
          <w:tab w:leader="none" w:pos="8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FATCA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of the Original Agreement is hereby amended by adding a new </w:t>
      </w:r>
      <w:r>
        <w:rPr>
          <w:rFonts w:ascii="Arial" w:cs="Arial" w:eastAsia="Arial" w:hAnsi="Arial"/>
          <w:sz w:val="17"/>
          <w:szCs w:val="17"/>
          <w:u w:val="single" w:color="auto"/>
          <w:color w:val="auto"/>
        </w:rPr>
        <w:t>subsection (v)</w:t>
      </w:r>
      <w:r>
        <w:rPr>
          <w:rFonts w:ascii="Arial" w:cs="Arial" w:eastAsia="Arial" w:hAnsi="Arial"/>
          <w:sz w:val="17"/>
          <w:szCs w:val="17"/>
          <w:color w:val="auto"/>
        </w:rPr>
        <w:t xml:space="preserve"> at the end thereof, to read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340" w:firstLine="645"/>
        <w:spacing w:after="0" w:line="302" w:lineRule="auto"/>
        <w:tabs>
          <w:tab w:leader="none" w:pos="2013" w:val="left"/>
        </w:tabs>
        <w:numPr>
          <w:ilvl w:val="1"/>
          <w:numId w:val="56"/>
        </w:numPr>
        <w:rPr>
          <w:rFonts w:ascii="Arial" w:cs="Arial" w:eastAsia="Arial" w:hAnsi="Arial"/>
          <w:sz w:val="16"/>
          <w:szCs w:val="16"/>
          <w:color w:val="auto"/>
        </w:rPr>
      </w:pPr>
      <w:r>
        <w:rPr>
          <w:rFonts w:ascii="Arial" w:cs="Arial" w:eastAsia="Arial" w:hAnsi="Arial"/>
          <w:sz w:val="16"/>
          <w:szCs w:val="16"/>
          <w:color w:val="auto"/>
        </w:rPr>
        <w:t>For purposes of determining withholding Taxes imposed under FATCA, from and after “Amendment Effective Date” (as such term is defined in that certain Third Amendment to Third Amended and Restated Credit Agreement dated as of August 11, 2016 amending this Agreement), the Company and the Administrative Agent shall treat (and the Lenders hereby authorize the Administrative Agent to treat) this Agreement as not qualifying as a “grandfathered obligation” within the meaning of Treasury Regulation Section 1.1471-2(b)(2)(i).</w:t>
      </w:r>
    </w:p>
    <w:p>
      <w:pPr>
        <w:spacing w:after="0" w:line="154" w:lineRule="exact"/>
        <w:rPr>
          <w:rFonts w:ascii="Arial" w:cs="Arial" w:eastAsia="Arial" w:hAnsi="Arial"/>
          <w:sz w:val="16"/>
          <w:szCs w:val="16"/>
          <w:color w:val="auto"/>
        </w:rPr>
      </w:pPr>
    </w:p>
    <w:p>
      <w:pPr>
        <w:ind w:right="240" w:firstLine="656"/>
        <w:spacing w:after="0" w:line="277" w:lineRule="auto"/>
        <w:tabs>
          <w:tab w:leader="none" w:pos="7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OFAC; Anti-Corruption Laws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Original Agreement is hereby amended by adding new </w:t>
      </w:r>
      <w:r>
        <w:rPr>
          <w:rFonts w:ascii="Arial" w:cs="Arial" w:eastAsia="Arial" w:hAnsi="Arial"/>
          <w:sz w:val="18"/>
          <w:szCs w:val="18"/>
          <w:u w:val="single" w:color="auto"/>
          <w:color w:val="auto"/>
        </w:rPr>
        <w:t>Sections 5.14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5.15</w:t>
      </w:r>
      <w:r>
        <w:rPr>
          <w:rFonts w:ascii="Arial" w:cs="Arial" w:eastAsia="Arial" w:hAnsi="Arial"/>
          <w:sz w:val="18"/>
          <w:szCs w:val="18"/>
          <w:color w:val="auto"/>
        </w:rPr>
        <w:t xml:space="preserve"> at the end thereof, to read as follows:</w:t>
      </w:r>
    </w:p>
    <w:p>
      <w:pPr>
        <w:spacing w:after="0" w:line="166" w:lineRule="exact"/>
        <w:rPr>
          <w:sz w:val="20"/>
          <w:szCs w:val="20"/>
          <w:color w:val="auto"/>
        </w:rPr>
      </w:pPr>
    </w:p>
    <w:p>
      <w:pPr>
        <w:ind w:left="660" w:right="80" w:firstLine="648"/>
        <w:spacing w:after="0" w:line="282" w:lineRule="auto"/>
        <w:rPr>
          <w:sz w:val="20"/>
          <w:szCs w:val="20"/>
          <w:color w:val="auto"/>
        </w:rPr>
      </w:pPr>
      <w:r>
        <w:rPr>
          <w:rFonts w:ascii="Arial" w:cs="Arial" w:eastAsia="Arial" w:hAnsi="Arial"/>
          <w:sz w:val="18"/>
          <w:szCs w:val="18"/>
          <w:b w:val="1"/>
          <w:bCs w:val="1"/>
          <w:color w:val="auto"/>
        </w:rPr>
        <w:t>5.14 OFAC</w:t>
      </w:r>
      <w:r>
        <w:rPr>
          <w:rFonts w:ascii="Arial" w:cs="Arial" w:eastAsia="Arial" w:hAnsi="Arial"/>
          <w:sz w:val="18"/>
          <w:szCs w:val="18"/>
          <w:color w:val="auto"/>
        </w:rPr>
        <w:t>. Neither the Company, nor any of its Subsidiaries, nor, to the knowledge of the Company and its Subsidiaries, any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directors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officers, or any of their respective agents or representatives acting or benefiting in any such capacity in connection with this Agreement, is a Person</w:t>
      </w:r>
    </w:p>
    <w:p>
      <w:pPr>
        <w:spacing w:after="0" w:line="46" w:lineRule="exact"/>
        <w:rPr>
          <w:sz w:val="20"/>
          <w:szCs w:val="20"/>
          <w:color w:val="auto"/>
        </w:rPr>
      </w:pPr>
    </w:p>
    <w:p>
      <w:pPr>
        <w:ind w:left="660" w:hanging="4"/>
        <w:spacing w:after="0" w:line="254" w:lineRule="auto"/>
        <w:tabs>
          <w:tab w:leader="none" w:pos="8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currently the subject of any Sanction, (ii) listed in the most current annex to, or otherwise currently the subject of the provisions of, any executive order administered by OFAC or the U.S. Department of State, or (iii) named as a “Specially Designated National” in the most current list published by OFAC at its official website or any replacement website or other replacement official publication of such list (each Person referred to in any of the preceding clauses (i) - (iii), a “</w:t>
      </w:r>
      <w:r>
        <w:rPr>
          <w:rFonts w:ascii="Arial" w:cs="Arial" w:eastAsia="Arial" w:hAnsi="Arial"/>
          <w:sz w:val="18"/>
          <w:szCs w:val="18"/>
          <w:u w:val="single" w:color="auto"/>
          <w:color w:val="auto"/>
        </w:rPr>
        <w:t>Designated Person</w:t>
      </w:r>
      <w:r>
        <w:rPr>
          <w:rFonts w:ascii="Arial" w:cs="Arial" w:eastAsia="Arial" w:hAnsi="Arial"/>
          <w:sz w:val="18"/>
          <w:szCs w:val="18"/>
          <w:color w:val="auto"/>
        </w:rPr>
        <w:t>”).</w:t>
      </w:r>
    </w:p>
    <w:p>
      <w:pPr>
        <w:spacing w:after="0" w:line="186" w:lineRule="exact"/>
        <w:rPr>
          <w:sz w:val="20"/>
          <w:szCs w:val="20"/>
          <w:color w:val="auto"/>
        </w:rPr>
      </w:pPr>
    </w:p>
    <w:p>
      <w:pPr>
        <w:ind w:left="660" w:right="120" w:firstLine="648"/>
        <w:spacing w:after="0" w:line="292" w:lineRule="auto"/>
        <w:rPr>
          <w:sz w:val="20"/>
          <w:szCs w:val="20"/>
          <w:color w:val="auto"/>
        </w:rPr>
      </w:pPr>
      <w:r>
        <w:rPr>
          <w:rFonts w:ascii="Arial" w:cs="Arial" w:eastAsia="Arial" w:hAnsi="Arial"/>
          <w:sz w:val="16"/>
          <w:szCs w:val="16"/>
          <w:b w:val="1"/>
          <w:bCs w:val="1"/>
          <w:color w:val="auto"/>
        </w:rPr>
        <w:t>5.15 Anti-Corruption Laws</w:t>
      </w:r>
      <w:r>
        <w:rPr>
          <w:rFonts w:ascii="Arial" w:cs="Arial" w:eastAsia="Arial" w:hAnsi="Arial"/>
          <w:sz w:val="16"/>
          <w:szCs w:val="16"/>
          <w:color w:val="auto"/>
        </w:rPr>
        <w:t>. The Company and its Subsidiaries (a) are in compliance with (i) the United States Foreign Corrupt</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Act of 1977, as applicable to them, and (ii) other similar anti-corruption legislation in other relevant jurisdictions in which they maintain assets or engage in business, which otherwise are applicable to them (collectively, the Laws referred to in the preceding clauses (i) and (ii),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other than any failure or failures to comply with Anti-Corruption Laws (A) that are isolated and do not evidence a pervasive or systemic pattern of violations of such laws and regulations or a significant deficiency in the implementation of the hereinafter referenced policies and procedures to promote and achieve compliance by the Company and its Subsidiaries with Anti-Corruption Laws and are immaterial to the Company and its Subsidiaries taken as a whole, or (B) that arise from actions or incidents that have been publicly disclosed by the</w:t>
      </w:r>
    </w:p>
    <w:p>
      <w:pPr>
        <w:sectPr>
          <w:pgSz w:w="11900" w:h="16933" w:orient="portrait"/>
          <w:cols w:equalWidth="0" w:num="1">
            <w:col w:w="11420"/>
          </w:cols>
          <w:pgMar w:left="240" w:top="125" w:right="239" w:bottom="0" w:gutter="0" w:footer="0" w:header="0"/>
        </w:sectPr>
      </w:pPr>
    </w:p>
    <w:bookmarkStart w:id="28" w:name="page29"/>
    <w:bookmarkEnd w:id="28"/>
    <w:p>
      <w:pPr>
        <w:ind w:left="660" w:right="120"/>
        <w:spacing w:after="0" w:line="264" w:lineRule="auto"/>
        <w:rPr>
          <w:sz w:val="20"/>
          <w:szCs w:val="20"/>
          <w:color w:val="auto"/>
        </w:rPr>
      </w:pPr>
      <w:r>
        <w:rPr>
          <w:rFonts w:ascii="Arial" w:cs="Arial" w:eastAsia="Arial" w:hAnsi="Arial"/>
          <w:sz w:val="18"/>
          <w:szCs w:val="18"/>
          <w:color w:val="auto"/>
        </w:rPr>
        <w:t>Company or disclosed in writing to the Administrative Agent (with a copy to Lenders), in each case, at least twenty (20) days prior to the Closing Date, and (b) have instituted and maintain commercially reasonable policies and procedures which they reasonably believe are designed to promote and achieve their respective compliance with such laws.</w:t>
      </w:r>
    </w:p>
    <w:p>
      <w:pPr>
        <w:spacing w:after="0" w:line="181" w:lineRule="exact"/>
        <w:rPr>
          <w:sz w:val="20"/>
          <w:szCs w:val="20"/>
          <w:color w:val="auto"/>
        </w:rPr>
      </w:pPr>
    </w:p>
    <w:p>
      <w:pPr>
        <w:ind w:right="440" w:firstLine="656"/>
        <w:spacing w:after="0" w:line="264" w:lineRule="auto"/>
        <w:tabs>
          <w:tab w:leader="none" w:pos="783"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Compliance wth Laws</w:t>
      </w:r>
      <w:r>
        <w:rPr>
          <w:rFonts w:ascii="Arial" w:cs="Arial" w:eastAsia="Arial" w:hAnsi="Arial"/>
          <w:sz w:val="18"/>
          <w:szCs w:val="18"/>
          <w:color w:val="auto"/>
        </w:rPr>
        <w:t xml:space="preserve">. The reference to “requirements of all Laws” in the first sentence of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of the Original Agreement is hereby amended to refer instead to “requirements of all Laws (including Anti-Corruption Laws)”, and a new sentence is added at the end of such Section 6.08, to read as follows:</w:t>
      </w:r>
    </w:p>
    <w:p>
      <w:pPr>
        <w:spacing w:after="0" w:line="18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The Company and its Subsidiaries will institute and maintain commercially reasonably policies and procedures which they reasonably believe are designed to promote and achieve their respective compliance with Anti-Corruption Laws.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 2.7.</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r>
        <w:rPr>
          <w:rFonts w:ascii="Arial" w:cs="Arial" w:eastAsia="Arial" w:hAnsi="Arial"/>
          <w:sz w:val="16"/>
          <w:szCs w:val="16"/>
          <w:u w:val="single" w:color="auto"/>
          <w:color w:val="auto"/>
        </w:rPr>
        <w:t xml:space="preserve"> Section 7.06 </w:t>
      </w:r>
      <w:r>
        <w:rPr>
          <w:rFonts w:ascii="Arial" w:cs="Arial" w:eastAsia="Arial" w:hAnsi="Arial"/>
          <w:sz w:val="16"/>
          <w:szCs w:val="16"/>
          <w:color w:val="auto"/>
        </w:rPr>
        <w:t>of the Original Agreement is hereby amended in its entirety to read as follows:</w:t>
      </w:r>
    </w:p>
    <w:p>
      <w:pPr>
        <w:spacing w:after="0" w:line="221" w:lineRule="exact"/>
        <w:rPr>
          <w:sz w:val="20"/>
          <w:szCs w:val="20"/>
          <w:color w:val="auto"/>
        </w:rPr>
      </w:pPr>
    </w:p>
    <w:p>
      <w:pPr>
        <w:ind w:left="660" w:right="20" w:firstLine="648"/>
        <w:spacing w:after="0" w:line="295" w:lineRule="auto"/>
        <w:rPr>
          <w:sz w:val="20"/>
          <w:szCs w:val="20"/>
          <w:color w:val="auto"/>
        </w:rPr>
      </w:pPr>
      <w:r>
        <w:rPr>
          <w:rFonts w:ascii="Arial" w:cs="Arial" w:eastAsia="Arial" w:hAnsi="Arial"/>
          <w:sz w:val="16"/>
          <w:szCs w:val="16"/>
          <w:b w:val="1"/>
          <w:bCs w:val="1"/>
          <w:color w:val="auto"/>
        </w:rPr>
        <w:t>7.06 Use of Proceeds</w:t>
      </w:r>
      <w:r>
        <w:rPr>
          <w:rFonts w:ascii="Arial" w:cs="Arial" w:eastAsia="Arial" w:hAnsi="Arial"/>
          <w:sz w:val="16"/>
          <w:szCs w:val="16"/>
          <w:color w:val="auto"/>
        </w:rPr>
        <w:t>. Use the proceeds of any Loans, whether directly or indirectly, and whether immediately, incidentally or</w:t>
      </w:r>
      <w:r>
        <w:rPr>
          <w:rFonts w:ascii="Arial" w:cs="Arial" w:eastAsia="Arial" w:hAnsi="Arial"/>
          <w:sz w:val="16"/>
          <w:szCs w:val="16"/>
          <w:b w:val="1"/>
          <w:bCs w:val="1"/>
          <w:color w:val="auto"/>
        </w:rPr>
        <w:t xml:space="preserve"> </w:t>
      </w:r>
      <w:r>
        <w:rPr>
          <w:rFonts w:ascii="Arial" w:cs="Arial" w:eastAsia="Arial" w:hAnsi="Arial"/>
          <w:sz w:val="16"/>
          <w:szCs w:val="16"/>
          <w:color w:val="auto"/>
        </w:rPr>
        <w:t>ultimately, (a) to purchase or carry margin stock or to extend credit to others for the purpose of purchasing or carrying margin stock or to refund indebtedness originally incurred for such purpose (within the meaning of Regulation U of the FRB), (b) to fund any activities or business of, or with, any Designated Person or in any country or territory that, at the time of such funding, is the subject of any Sanctions, (c) in any manner that would result in a material violation of any Sanctions by the Company or its Subsidiaries, or (d) in furtherance of an offer, payment, promise to pay, or authorization of the payment or giving of money, or anything else of value, to any Person in violation of any Anti-Corruption Laws.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 2.8.</w:t>
      </w:r>
      <w:r>
        <w:rPr>
          <w:sz w:val="20"/>
          <w:szCs w:val="20"/>
          <w:color w:val="auto"/>
        </w:rPr>
        <w:tab/>
      </w:r>
      <w:r>
        <w:rPr>
          <w:rFonts w:ascii="Arial" w:cs="Arial" w:eastAsia="Arial" w:hAnsi="Arial"/>
          <w:sz w:val="16"/>
          <w:szCs w:val="16"/>
          <w:u w:val="single" w:color="auto"/>
          <w:color w:val="auto"/>
        </w:rPr>
        <w:t>Consolidated Leverage Ratio</w:t>
      </w:r>
      <w:r>
        <w:rPr>
          <w:rFonts w:ascii="Arial" w:cs="Arial" w:eastAsia="Arial" w:hAnsi="Arial"/>
          <w:sz w:val="16"/>
          <w:szCs w:val="16"/>
          <w:color w:val="auto"/>
        </w:rPr>
        <w:t>. The table set forth in</w:t>
      </w:r>
      <w:r>
        <w:rPr>
          <w:rFonts w:ascii="Arial" w:cs="Arial" w:eastAsia="Arial" w:hAnsi="Arial"/>
          <w:sz w:val="16"/>
          <w:szCs w:val="16"/>
          <w:u w:val="single" w:color="auto"/>
          <w:color w:val="auto"/>
        </w:rPr>
        <w:t xml:space="preserve"> Section 7.07 </w:t>
      </w:r>
      <w:r>
        <w:rPr>
          <w:rFonts w:ascii="Arial" w:cs="Arial" w:eastAsia="Arial" w:hAnsi="Arial"/>
          <w:sz w:val="16"/>
          <w:szCs w:val="16"/>
          <w:color w:val="auto"/>
        </w:rPr>
        <w:t>of the Original Agreement is hereby amended in its entirety to read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Applicable Period</w:t>
            </w: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w:t>
            </w:r>
          </w:p>
        </w:tc>
        <w:tc>
          <w:tcPr>
            <w:tcW w:w="0" w:type="dxa"/>
            <w:vAlign w:val="bottom"/>
          </w:tcPr>
          <w:p>
            <w:pPr>
              <w:spacing w:after="0"/>
              <w:rPr>
                <w:sz w:val="1"/>
                <w:szCs w:val="1"/>
                <w:color w:val="auto"/>
              </w:rPr>
            </w:pPr>
          </w:p>
        </w:tc>
      </w:tr>
      <w:tr>
        <w:trPr>
          <w:trHeight w:val="171"/>
        </w:trPr>
        <w:tc>
          <w:tcPr>
            <w:tcW w:w="5520" w:type="dxa"/>
            <w:vAlign w:val="bottom"/>
            <w:gridSpan w:val="2"/>
            <w:vMerge w:val="continue"/>
          </w:tcPr>
          <w:p>
            <w:pPr>
              <w:spacing w:after="0"/>
              <w:rPr>
                <w:sz w:val="14"/>
                <w:szCs w:val="14"/>
                <w:color w:val="auto"/>
              </w:rPr>
            </w:pPr>
          </w:p>
        </w:tc>
        <w:tc>
          <w:tcPr>
            <w:tcW w:w="4520" w:type="dxa"/>
            <w:vAlign w:val="bottom"/>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195"/>
        </w:trPr>
        <w:tc>
          <w:tcPr>
            <w:tcW w:w="5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(i)  During the GP Simplification Period (as defined in the PAA Credit</w:t>
            </w:r>
          </w:p>
        </w:tc>
        <w:tc>
          <w:tcPr>
            <w:tcW w:w="260" w:type="dxa"/>
            <w:vAlign w:val="bottom"/>
            <w:tcBorders>
              <w:top w:val="single" w:sz="8" w:color="CCEEFF"/>
            </w:tcBorders>
            <w:shd w:val="clear" w:color="auto" w:fill="CCEEFF"/>
          </w:tcPr>
          <w:p>
            <w:pPr>
              <w:spacing w:after="0"/>
              <w:rPr>
                <w:sz w:val="16"/>
                <w:szCs w:val="16"/>
                <w:color w:val="auto"/>
              </w:rPr>
            </w:pPr>
          </w:p>
        </w:tc>
        <w:tc>
          <w:tcPr>
            <w:tcW w:w="45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5.50:1.0</w:t>
            </w: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Agreement)</w:t>
            </w:r>
          </w:p>
        </w:tc>
        <w:tc>
          <w:tcPr>
            <w:tcW w:w="4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gridSpan w:val="2"/>
          </w:tcPr>
          <w:p>
            <w:pPr>
              <w:spacing w:after="0" w:line="201" w:lineRule="exact"/>
              <w:rPr>
                <w:sz w:val="20"/>
                <w:szCs w:val="20"/>
                <w:color w:val="auto"/>
              </w:rPr>
            </w:pPr>
            <w:r>
              <w:rPr>
                <w:rFonts w:ascii="Arial" w:cs="Arial" w:eastAsia="Arial" w:hAnsi="Arial"/>
                <w:sz w:val="18"/>
                <w:szCs w:val="18"/>
                <w:color w:val="auto"/>
              </w:rPr>
              <w:t>(ii)  Prior to or following the GP Simplification Period (as defined in</w:t>
            </w:r>
          </w:p>
        </w:tc>
        <w:tc>
          <w:tcPr>
            <w:tcW w:w="4520" w:type="dxa"/>
            <w:vAlign w:val="bottom"/>
          </w:tcPr>
          <w:p>
            <w:pPr>
              <w:jc w:val="center"/>
              <w:spacing w:after="0" w:line="201" w:lineRule="exact"/>
              <w:rPr>
                <w:sz w:val="20"/>
                <w:szCs w:val="20"/>
                <w:color w:val="auto"/>
              </w:rPr>
            </w:pPr>
            <w:r>
              <w:rPr>
                <w:rFonts w:ascii="Arial" w:cs="Arial" w:eastAsia="Arial" w:hAnsi="Arial"/>
                <w:sz w:val="18"/>
                <w:szCs w:val="18"/>
                <w:color w:val="auto"/>
                <w:w w:val="92"/>
              </w:rPr>
              <w:t>5.50:1.0</w:t>
            </w:r>
          </w:p>
        </w:tc>
        <w:tc>
          <w:tcPr>
            <w:tcW w:w="0" w:type="dxa"/>
            <w:vAlign w:val="bottom"/>
          </w:tcPr>
          <w:p>
            <w:pPr>
              <w:spacing w:after="0"/>
              <w:rPr>
                <w:sz w:val="1"/>
                <w:szCs w:val="1"/>
                <w:color w:val="auto"/>
              </w:rPr>
            </w:pPr>
          </w:p>
        </w:tc>
      </w:tr>
      <w:tr>
        <w:trPr>
          <w:trHeight w:val="216"/>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the PAA Credit Agreement) and during an Acquisition Period (as</w:t>
            </w: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320"/>
              <w:spacing w:after="0"/>
              <w:rPr>
                <w:sz w:val="20"/>
                <w:szCs w:val="20"/>
                <w:color w:val="auto"/>
              </w:rPr>
            </w:pPr>
            <w:r>
              <w:rPr>
                <w:rFonts w:ascii="Arial" w:cs="Arial" w:eastAsia="Arial" w:hAnsi="Arial"/>
                <w:sz w:val="18"/>
                <w:szCs w:val="18"/>
                <w:color w:val="auto"/>
              </w:rPr>
              <w:t>defined in the PAA Credit Agreement)</w:t>
            </w: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(iii) Prior to or following the GP Simplification Period (as defined in</w:t>
            </w:r>
          </w:p>
        </w:tc>
        <w:tc>
          <w:tcPr>
            <w:tcW w:w="4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5.00:1.0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the PAA Credit Agreement) and other than during an Acquisition</w:t>
            </w:r>
          </w:p>
        </w:tc>
        <w:tc>
          <w:tcPr>
            <w:tcW w:w="4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Period (as defined in the PAA Credit Agreement)</w:t>
            </w:r>
          </w:p>
        </w:tc>
        <w:tc>
          <w:tcPr>
            <w:tcW w:w="4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656"/>
        <w:spacing w:after="0" w:line="264" w:lineRule="auto"/>
        <w:tabs>
          <w:tab w:leader="none" w:pos="7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 xml:space="preserve">. The reference to “Borrower Materials through the internet” in the fourth sentence of </w:t>
      </w:r>
      <w:r>
        <w:rPr>
          <w:rFonts w:ascii="Arial" w:cs="Arial" w:eastAsia="Arial" w:hAnsi="Arial"/>
          <w:sz w:val="18"/>
          <w:szCs w:val="18"/>
          <w:u w:val="single" w:color="auto"/>
          <w:color w:val="auto"/>
        </w:rPr>
        <w:t>Section 11.02(c)</w:t>
      </w:r>
      <w:r>
        <w:rPr>
          <w:rFonts w:ascii="Arial" w:cs="Arial" w:eastAsia="Arial" w:hAnsi="Arial"/>
          <w:sz w:val="18"/>
          <w:szCs w:val="18"/>
          <w:color w:val="auto"/>
        </w:rPr>
        <w:t xml:space="preserve"> of the Original Agreement is hereby amended to refer instead to “Borrower Materials or notices through the Platform, any other electronic platform or electronic messaging service, or through the internet”.</w:t>
      </w:r>
    </w:p>
    <w:p>
      <w:pPr>
        <w:spacing w:after="0" w:line="181" w:lineRule="exact"/>
        <w:rPr>
          <w:rFonts w:ascii="Arial" w:cs="Arial" w:eastAsia="Arial" w:hAnsi="Arial"/>
          <w:sz w:val="18"/>
          <w:szCs w:val="18"/>
          <w:color w:val="auto"/>
        </w:rPr>
      </w:pPr>
    </w:p>
    <w:p>
      <w:pPr>
        <w:ind w:right="100" w:firstLine="656"/>
        <w:spacing w:after="0" w:line="257" w:lineRule="auto"/>
        <w:tabs>
          <w:tab w:leader="none" w:pos="7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 xml:space="preserve">. The reference to “in any Assignment and Assumption or in any amendment or other modification hereof (including waivers and consents)” in </w:t>
      </w:r>
      <w:r>
        <w:rPr>
          <w:rFonts w:ascii="Arial" w:cs="Arial" w:eastAsia="Arial" w:hAnsi="Arial"/>
          <w:sz w:val="18"/>
          <w:szCs w:val="18"/>
          <w:u w:val="single" w:color="auto"/>
          <w:color w:val="auto"/>
        </w:rPr>
        <w:t>Section 11.18</w:t>
      </w:r>
      <w:r>
        <w:rPr>
          <w:rFonts w:ascii="Arial" w:cs="Arial" w:eastAsia="Arial" w:hAnsi="Arial"/>
          <w:sz w:val="18"/>
          <w:szCs w:val="18"/>
          <w:color w:val="auto"/>
        </w:rPr>
        <w:t xml:space="preserve"> of the Original Agreement is hereby amended to refer instead to “in or related to any document to be signed in connection with this Agreement and the transactions contemplated hereby (including without limitation Assignment and Assumptions, amendments or other modifications, Committed Loan Notices, Swingline Loan Notices, waivers and consents)”, and the following proviso is added at the end of such </w:t>
      </w:r>
      <w:r>
        <w:rPr>
          <w:rFonts w:ascii="Arial" w:cs="Arial" w:eastAsia="Arial" w:hAnsi="Arial"/>
          <w:sz w:val="18"/>
          <w:szCs w:val="18"/>
          <w:u w:val="single" w:color="auto"/>
          <w:color w:val="auto"/>
        </w:rPr>
        <w:t>Section 11.18</w:t>
      </w:r>
      <w:r>
        <w:rPr>
          <w:rFonts w:ascii="Arial" w:cs="Arial" w:eastAsia="Arial" w:hAnsi="Arial"/>
          <w:sz w:val="18"/>
          <w:szCs w:val="18"/>
          <w:color w:val="auto"/>
        </w:rPr>
        <w:t>:</w:t>
      </w:r>
    </w:p>
    <w:p>
      <w:pPr>
        <w:spacing w:after="0" w:line="188" w:lineRule="exact"/>
        <w:rPr>
          <w:sz w:val="20"/>
          <w:szCs w:val="20"/>
          <w:color w:val="auto"/>
        </w:rPr>
      </w:pPr>
    </w:p>
    <w:p>
      <w:pPr>
        <w:ind w:left="660" w:hanging="4"/>
        <w:spacing w:after="0" w:line="260" w:lineRule="auto"/>
        <w:tabs>
          <w:tab w:leader="none" w:pos="7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provided, that notwithstanding anything contained herein to the contrary neither the Administrative Agent nor any Borrower is under any obligation to agree to accept electronic signatures in any form or in any format unless expressly agreed to by it pursuant to procedures approved by it </w:t>
      </w:r>
      <w:r>
        <w:rPr>
          <w:rFonts w:ascii="Arial" w:cs="Arial" w:eastAsia="Arial" w:hAnsi="Arial"/>
          <w:sz w:val="17"/>
          <w:szCs w:val="17"/>
          <w:color w:val="auto"/>
        </w:rPr>
        <w:t>(for the</w:t>
      </w:r>
      <w:r>
        <w:rPr>
          <w:rFonts w:ascii="Arial" w:cs="Arial" w:eastAsia="Arial" w:hAnsi="Arial"/>
          <w:sz w:val="18"/>
          <w:szCs w:val="18"/>
          <w:color w:val="auto"/>
        </w:rPr>
        <w:t xml:space="preserve"> </w:t>
      </w:r>
      <w:r>
        <w:rPr>
          <w:rFonts w:ascii="Arial" w:cs="Arial" w:eastAsia="Arial" w:hAnsi="Arial"/>
          <w:sz w:val="17"/>
          <w:szCs w:val="17"/>
          <w:color w:val="auto"/>
        </w:rPr>
        <w:t xml:space="preserve">avoidance of doubt, it is agreed and acknowledged by each of the Administrative Agent and each Borrower that any manually executed document, or any manually executed signature page thereto, transmitted by facsimile or other electronic imaging means (e.g. “pdf” or “tif”), does not constitute an “electronic signature” as described in, or contemplated by, this </w:t>
      </w:r>
      <w:r>
        <w:rPr>
          <w:rFonts w:ascii="Arial" w:cs="Arial" w:eastAsia="Arial" w:hAnsi="Arial"/>
          <w:sz w:val="17"/>
          <w:szCs w:val="17"/>
          <w:u w:val="single" w:color="auto"/>
          <w:color w:val="auto"/>
        </w:rPr>
        <w:t>Section 11.18</w:t>
      </w:r>
      <w:r>
        <w:rPr>
          <w:rFonts w:ascii="Arial" w:cs="Arial" w:eastAsia="Arial" w:hAnsi="Arial"/>
          <w:sz w:val="17"/>
          <w:szCs w:val="17"/>
          <w:color w:val="auto"/>
        </w:rPr>
        <w:t>)</w:t>
      </w:r>
      <w:r>
        <w:rPr>
          <w:rFonts w:ascii="Arial" w:cs="Arial" w:eastAsia="Arial" w:hAnsi="Arial"/>
          <w:sz w:val="18"/>
          <w:szCs w:val="18"/>
          <w:color w:val="auto"/>
        </w:rPr>
        <w:t>.</w:t>
      </w:r>
    </w:p>
    <w:p>
      <w:pPr>
        <w:spacing w:after="0" w:line="188" w:lineRule="exact"/>
        <w:rPr>
          <w:sz w:val="20"/>
          <w:szCs w:val="20"/>
          <w:color w:val="auto"/>
        </w:rPr>
      </w:pPr>
    </w:p>
    <w:p>
      <w:pPr>
        <w:ind w:right="200" w:firstLine="656"/>
        <w:spacing w:after="0" w:line="277" w:lineRule="auto"/>
        <w:tabs>
          <w:tab w:leader="none" w:pos="7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Bail-In of EEA Financial Institutions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of the Original Agreement is hereby amended by adding a new </w:t>
      </w:r>
      <w:r>
        <w:rPr>
          <w:rFonts w:ascii="Arial" w:cs="Arial" w:eastAsia="Arial" w:hAnsi="Arial"/>
          <w:sz w:val="18"/>
          <w:szCs w:val="18"/>
          <w:u w:val="single" w:color="auto"/>
          <w:color w:val="auto"/>
        </w:rPr>
        <w:t>Section 11.24</w:t>
      </w:r>
      <w:r>
        <w:rPr>
          <w:rFonts w:ascii="Arial" w:cs="Arial" w:eastAsia="Arial" w:hAnsi="Arial"/>
          <w:sz w:val="18"/>
          <w:szCs w:val="18"/>
          <w:color w:val="auto"/>
        </w:rPr>
        <w:t xml:space="preserve"> at the end thereof, to read as follows:</w:t>
      </w:r>
    </w:p>
    <w:p>
      <w:pPr>
        <w:spacing w:after="0" w:line="166" w:lineRule="exact"/>
        <w:rPr>
          <w:sz w:val="20"/>
          <w:szCs w:val="20"/>
          <w:color w:val="auto"/>
        </w:rPr>
      </w:pPr>
    </w:p>
    <w:p>
      <w:pPr>
        <w:ind w:left="660" w:right="60" w:firstLine="648"/>
        <w:spacing w:after="0" w:line="289" w:lineRule="auto"/>
        <w:rPr>
          <w:sz w:val="20"/>
          <w:szCs w:val="20"/>
          <w:color w:val="auto"/>
        </w:rPr>
      </w:pPr>
      <w:r>
        <w:rPr>
          <w:rFonts w:ascii="Arial" w:cs="Arial" w:eastAsia="Arial" w:hAnsi="Arial"/>
          <w:sz w:val="17"/>
          <w:szCs w:val="17"/>
          <w:b w:val="1"/>
          <w:bCs w:val="1"/>
          <w:color w:val="auto"/>
        </w:rPr>
        <w:t>11.24 Acknowledgement and Consent to Bail-In of EEA Financial Institutions</w:t>
      </w:r>
      <w:r>
        <w:rPr>
          <w:rFonts w:ascii="Arial" w:cs="Arial" w:eastAsia="Arial" w:hAnsi="Arial"/>
          <w:sz w:val="17"/>
          <w:szCs w:val="17"/>
          <w:color w:val="auto"/>
        </w:rPr>
        <w:t>. Solely to the extent any Lender or L/C Issuer that is</w:t>
      </w:r>
      <w:r>
        <w:rPr>
          <w:rFonts w:ascii="Arial" w:cs="Arial" w:eastAsia="Arial" w:hAnsi="Arial"/>
          <w:sz w:val="17"/>
          <w:szCs w:val="17"/>
          <w:b w:val="1"/>
          <w:bCs w:val="1"/>
          <w:color w:val="auto"/>
        </w:rPr>
        <w:t xml:space="preserve"> </w:t>
      </w:r>
      <w:r>
        <w:rPr>
          <w:rFonts w:ascii="Arial" w:cs="Arial" w:eastAsia="Arial" w:hAnsi="Arial"/>
          <w:sz w:val="17"/>
          <w:szCs w:val="17"/>
          <w:color w:val="auto"/>
        </w:rPr>
        <w:t>an EEA Financial Institution is a party to this Agreement and notwithstanding anything to the contrary in any Loan Document or in any other agreement, arrangement or understanding among any such parties, each party hereto acknowledges that any liability of any Lender or L/C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24" w:lineRule="exact"/>
        <w:rPr>
          <w:sz w:val="20"/>
          <w:szCs w:val="20"/>
          <w:color w:val="auto"/>
        </w:rPr>
      </w:pPr>
    </w:p>
    <w:p>
      <w:pPr>
        <w:ind w:left="660" w:right="620" w:firstLine="645"/>
        <w:spacing w:after="0" w:line="277" w:lineRule="auto"/>
        <w:tabs>
          <w:tab w:leader="none" w:pos="200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ectPr>
          <w:pgSz w:w="11900" w:h="16838" w:orient="portrait"/>
          <w:cols w:equalWidth="0" w:num="1">
            <w:col w:w="11400"/>
          </w:cols>
          <w:pgMar w:left="240" w:top="125" w:right="259" w:bottom="154" w:gutter="0" w:footer="0" w:header="0"/>
        </w:sectPr>
      </w:pPr>
    </w:p>
    <w:bookmarkStart w:id="29" w:name="page30"/>
    <w:bookmarkEnd w:id="29"/>
    <w:p>
      <w:pPr>
        <w:ind w:left="1300" w:right="160" w:firstLine="653"/>
        <w:spacing w:after="0" w:line="259" w:lineRule="auto"/>
        <w:tabs>
          <w:tab w:leader="none" w:pos="26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1300" w:right="220" w:firstLine="653"/>
        <w:spacing w:after="0" w:line="277" w:lineRule="auto"/>
        <w:tabs>
          <w:tab w:leader="none" w:pos="26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IIA. — </w:t>
      </w:r>
      <w:r>
        <w:rPr>
          <w:rFonts w:ascii="Arial" w:cs="Arial" w:eastAsia="Arial" w:hAnsi="Arial"/>
          <w:sz w:val="18"/>
          <w:szCs w:val="18"/>
          <w:u w:val="single" w:color="auto"/>
          <w:color w:val="auto"/>
        </w:rPr>
        <w:t>Extension of Maturity Date</w:t>
      </w:r>
    </w:p>
    <w:p>
      <w:pPr>
        <w:spacing w:after="0" w:line="225" w:lineRule="exact"/>
        <w:rPr>
          <w:sz w:val="20"/>
          <w:szCs w:val="20"/>
          <w:color w:val="auto"/>
        </w:rPr>
      </w:pPr>
    </w:p>
    <w:p>
      <w:pPr>
        <w:ind w:right="20" w:firstLine="656"/>
        <w:spacing w:after="0" w:line="259" w:lineRule="auto"/>
        <w:tabs>
          <w:tab w:leader="none" w:pos="78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2A.1. </w:t>
      </w:r>
      <w:r>
        <w:rPr>
          <w:rFonts w:ascii="Arial" w:cs="Arial" w:eastAsia="Arial" w:hAnsi="Arial"/>
          <w:sz w:val="18"/>
          <w:szCs w:val="18"/>
          <w:u w:val="single" w:color="auto"/>
          <w:color w:val="auto"/>
        </w:rPr>
        <w:t>Extension of Maturity Date</w:t>
      </w:r>
      <w:r>
        <w:rPr>
          <w:rFonts w:ascii="Arial" w:cs="Arial" w:eastAsia="Arial" w:hAnsi="Arial"/>
          <w:sz w:val="18"/>
          <w:szCs w:val="18"/>
          <w:color w:val="auto"/>
        </w:rPr>
        <w:t xml:space="preserve">. With respect to the Company’s request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to extend the Maturity Date applicable to each Lender for one additional year from the Existing Maturity Date (the “</w:t>
      </w:r>
      <w:r>
        <w:rPr>
          <w:rFonts w:ascii="Arial" w:cs="Arial" w:eastAsia="Arial" w:hAnsi="Arial"/>
          <w:sz w:val="18"/>
          <w:szCs w:val="18"/>
          <w:u w:val="single" w:color="auto"/>
          <w:color w:val="auto"/>
        </w:rPr>
        <w:t>Extension</w:t>
      </w:r>
      <w:r>
        <w:rPr>
          <w:rFonts w:ascii="Arial" w:cs="Arial" w:eastAsia="Arial" w:hAnsi="Arial"/>
          <w:sz w:val="18"/>
          <w:szCs w:val="18"/>
          <w:color w:val="auto"/>
        </w:rPr>
        <w:t>”), Administrative Agent has notified the Company of the Extending Lenders and Non-Extending Lenders with respect thereto as set forth on Schedule A attached hereto. Subject to the satisfaction of the conditions precedent set forth in Article III:</w:t>
      </w:r>
    </w:p>
    <w:p>
      <w:pPr>
        <w:spacing w:after="0" w:line="187" w:lineRule="exact"/>
        <w:rPr>
          <w:sz w:val="20"/>
          <w:szCs w:val="20"/>
          <w:color w:val="auto"/>
        </w:rPr>
      </w:pPr>
    </w:p>
    <w:p>
      <w:pPr>
        <w:ind w:left="1360" w:hanging="704"/>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Effective as of August 16, 2016, the Maturity Date with respect to each such Extending Lender is August 16, 2019;</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Existing Maturity Date of August 16, 2018 shall remain in effect with respect to each such Non-Extending Lender; and</w:t>
      </w:r>
    </w:p>
    <w:p>
      <w:pPr>
        <w:spacing w:after="0" w:line="225" w:lineRule="exact"/>
        <w:rPr>
          <w:rFonts w:ascii="Arial" w:cs="Arial" w:eastAsia="Arial" w:hAnsi="Arial"/>
          <w:sz w:val="18"/>
          <w:szCs w:val="18"/>
          <w:color w:val="auto"/>
        </w:rPr>
      </w:pPr>
    </w:p>
    <w:p>
      <w:pPr>
        <w:ind w:right="520" w:firstLine="656"/>
        <w:spacing w:after="0" w:line="277" w:lineRule="auto"/>
        <w:tabs>
          <w:tab w:leader="none" w:pos="13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hereto agree that with respect to the Extension, the certification by the Company required by Section 2.14(f) of the Credit Agreement is hereby satisfied by the Company’s execution and delivery of this Amendment.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III. — </w:t>
      </w:r>
      <w:r>
        <w:rPr>
          <w:rFonts w:ascii="Arial" w:cs="Arial" w:eastAsia="Arial" w:hAnsi="Arial"/>
          <w:sz w:val="18"/>
          <w:szCs w:val="18"/>
          <w:u w:val="single" w:color="auto"/>
          <w:color w:val="auto"/>
        </w:rPr>
        <w:t>Conditions of Effectiveness</w:t>
      </w:r>
    </w:p>
    <w:p>
      <w:pPr>
        <w:spacing w:after="0" w:line="225" w:lineRule="exact"/>
        <w:rPr>
          <w:sz w:val="20"/>
          <w:szCs w:val="20"/>
          <w:color w:val="auto"/>
        </w:rPr>
      </w:pPr>
    </w:p>
    <w:p>
      <w:pPr>
        <w:ind w:right="60" w:firstLine="656"/>
        <w:spacing w:after="0" w:line="277" w:lineRule="auto"/>
        <w:tabs>
          <w:tab w:leader="none" w:pos="78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This Amendment shall become effective as of the date first written above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upon the satisfaction of the following conditions precedent: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56"/>
        <w:spacing w:after="0" w:line="302" w:lineRule="auto"/>
        <w:tabs>
          <w:tab w:leader="none" w:pos="1343"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w:t>
      </w:r>
    </w:p>
    <w:p>
      <w:pPr>
        <w:spacing w:after="0" w:line="154" w:lineRule="exact"/>
        <w:rPr>
          <w:rFonts w:ascii="Arial" w:cs="Arial" w:eastAsia="Arial" w:hAnsi="Arial"/>
          <w:sz w:val="16"/>
          <w:szCs w:val="16"/>
          <w:color w:val="auto"/>
        </w:rPr>
      </w:pPr>
    </w:p>
    <w:p>
      <w:pPr>
        <w:ind w:left="660" w:right="260" w:firstLine="645"/>
        <w:spacing w:after="0" w:line="277" w:lineRule="auto"/>
        <w:tabs>
          <w:tab w:leader="none" w:pos="20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executed counterparts of this Amendment, sufficient in number for distribution to the Administrative Agent, each Lender, each Borrower and PAA;</w:t>
      </w:r>
    </w:p>
    <w:p>
      <w:pPr>
        <w:spacing w:after="0" w:line="170" w:lineRule="exact"/>
        <w:rPr>
          <w:rFonts w:ascii="Arial" w:cs="Arial" w:eastAsia="Arial" w:hAnsi="Arial"/>
          <w:sz w:val="18"/>
          <w:szCs w:val="18"/>
          <w:color w:val="auto"/>
        </w:rPr>
      </w:pPr>
    </w:p>
    <w:p>
      <w:pPr>
        <w:jc w:val="both"/>
        <w:ind w:left="660" w:right="160" w:firstLine="645"/>
        <w:spacing w:after="0" w:line="259" w:lineRule="auto"/>
        <w:tabs>
          <w:tab w:leader="none" w:pos="2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 xml:space="preserve">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w:t>
      </w:r>
      <w:r>
        <w:rPr>
          <w:rFonts w:ascii="Arial" w:cs="Arial" w:eastAsia="Arial" w:hAnsi="Arial"/>
          <w:sz w:val="18"/>
          <w:szCs w:val="18"/>
          <w:u w:val="single" w:color="auto"/>
          <w:color w:val="auto"/>
        </w:rPr>
        <w:t>§ 3.1</w:t>
      </w:r>
      <w:r>
        <w:rPr>
          <w:rFonts w:ascii="Arial" w:cs="Arial" w:eastAsia="Arial" w:hAnsi="Arial"/>
          <w:sz w:val="18"/>
          <w:szCs w:val="18"/>
          <w:color w:val="auto"/>
        </w:rPr>
        <w:t xml:space="preserve"> to which such Loan Party is a party;</w:t>
      </w:r>
    </w:p>
    <w:p>
      <w:pPr>
        <w:spacing w:after="0" w:line="186" w:lineRule="exact"/>
        <w:rPr>
          <w:rFonts w:ascii="Arial" w:cs="Arial" w:eastAsia="Arial" w:hAnsi="Arial"/>
          <w:sz w:val="18"/>
          <w:szCs w:val="18"/>
          <w:color w:val="auto"/>
        </w:rPr>
      </w:pPr>
    </w:p>
    <w:p>
      <w:pPr>
        <w:jc w:val="both"/>
        <w:ind w:left="660" w:right="420" w:firstLine="645"/>
        <w:spacing w:after="0" w:line="264" w:lineRule="auto"/>
        <w:tabs>
          <w:tab w:leader="none" w:pos="20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and General Partner is duly organized or formed, and that each Borrower is validly existing and in good standing in its jurisdiction of organization, issued by the appropriate authorities of such jurisdiction;</w:t>
      </w:r>
    </w:p>
    <w:p>
      <w:pPr>
        <w:spacing w:after="0" w:line="181" w:lineRule="exact"/>
        <w:rPr>
          <w:rFonts w:ascii="Arial" w:cs="Arial" w:eastAsia="Arial" w:hAnsi="Arial"/>
          <w:sz w:val="18"/>
          <w:szCs w:val="18"/>
          <w:color w:val="auto"/>
        </w:rPr>
      </w:pPr>
    </w:p>
    <w:p>
      <w:pPr>
        <w:ind w:left="660" w:right="240" w:firstLine="645"/>
        <w:spacing w:after="0" w:line="264" w:lineRule="auto"/>
        <w:tabs>
          <w:tab w:leader="none" w:pos="2018" w:val="left"/>
        </w:tabs>
        <w:numPr>
          <w:ilvl w:val="1"/>
          <w:numId w:val="67"/>
        </w:numPr>
        <w:rPr>
          <w:rFonts w:ascii="Arial" w:cs="Arial" w:eastAsia="Arial" w:hAnsi="Arial"/>
          <w:sz w:val="18"/>
          <w:szCs w:val="18"/>
          <w:color w:val="auto"/>
        </w:rPr>
      </w:pPr>
      <w:r>
        <w:rPr>
          <w:rFonts w:ascii="Arial" w:cs="Arial" w:eastAsia="Arial" w:hAnsi="Arial"/>
          <w:sz w:val="18"/>
          <w:szCs w:val="18"/>
          <w:color w:val="auto"/>
        </w:rPr>
        <w:t>favorable opinions of (A) Richard McGee, Esq., General Counsel for Borrowers and PAA, (B) Norton Rose Fulbright US LLP, special Texas and New York counsel to Borrowers and PAA, and (C) Patterson Adams, special Canadian counsel to PMCULC, addressed to the Administrative Agent and each Lender;</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Company certifying (A) that the conditions specified in </w:t>
      </w:r>
      <w:r>
        <w:rPr>
          <w:rFonts w:ascii="Arial" w:cs="Arial" w:eastAsia="Arial" w:hAnsi="Arial"/>
          <w:sz w:val="17"/>
          <w:szCs w:val="17"/>
          <w:u w:val="single" w:color="auto"/>
          <w:color w:val="auto"/>
        </w:rPr>
        <w:t>Section 4.02(a)</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ind w:left="660" w:hanging="4"/>
        <w:spacing w:after="0" w:line="254" w:lineRule="auto"/>
        <w:tabs>
          <w:tab w:leader="none" w:pos="915" w:val="left"/>
        </w:tabs>
        <w:numPr>
          <w:ilvl w:val="0"/>
          <w:numId w:val="6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Credit Agreement have been satisfied (and in the case of said </w:t>
      </w:r>
      <w:r>
        <w:rPr>
          <w:rFonts w:ascii="Arial" w:cs="Arial" w:eastAsia="Arial" w:hAnsi="Arial"/>
          <w:sz w:val="18"/>
          <w:szCs w:val="18"/>
          <w:u w:val="single" w:color="auto"/>
          <w:color w:val="auto"/>
        </w:rPr>
        <w:t>Section 4.02(d)</w:t>
      </w:r>
      <w:r>
        <w:rPr>
          <w:rFonts w:ascii="Arial" w:cs="Arial" w:eastAsia="Arial" w:hAnsi="Arial"/>
          <w:sz w:val="18"/>
          <w:szCs w:val="18"/>
          <w:color w:val="auto"/>
        </w:rPr>
        <w:t>, if no Request for Credit Extension is made on the Amendment Effective Date, then determined in respect to then Outstanding Amount of Obligations, if any, of each Borrower), (B) that there has been no event or circumstance since December 31, 2015 that has had or could be reasonably expected to have, either individually or in the aggregate, a Material Adverse Effect, and (C) the current PAA Debt Ratings; and</w:t>
      </w:r>
    </w:p>
    <w:p>
      <w:pPr>
        <w:spacing w:after="0" w:line="189" w:lineRule="exact"/>
        <w:rPr>
          <w:rFonts w:ascii="Arial" w:cs="Arial" w:eastAsia="Arial" w:hAnsi="Arial"/>
          <w:sz w:val="18"/>
          <w:szCs w:val="18"/>
          <w:u w:val="single" w:color="auto"/>
          <w:color w:val="auto"/>
        </w:rPr>
      </w:pPr>
    </w:p>
    <w:p>
      <w:pPr>
        <w:ind w:left="2020" w:hanging="715"/>
        <w:spacing w:after="0"/>
        <w:tabs>
          <w:tab w:leader="none" w:pos="20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such other assurances, certificates, documents, consents or opinions as the Administrative Agent may reasonably require.</w:t>
      </w:r>
    </w:p>
    <w:p>
      <w:pPr>
        <w:spacing w:after="0" w:line="237" w:lineRule="exact"/>
        <w:rPr>
          <w:sz w:val="20"/>
          <w:szCs w:val="20"/>
          <w:color w:val="auto"/>
        </w:rPr>
      </w:pPr>
    </w:p>
    <w:p>
      <w:pPr>
        <w:ind w:right="80" w:firstLine="656"/>
        <w:spacing w:after="0" w:line="264" w:lineRule="auto"/>
        <w:tabs>
          <w:tab w:leader="none" w:pos="1353"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w:t>
      </w:r>
    </w:p>
    <w:p>
      <w:pPr>
        <w:spacing w:after="0" w:line="181" w:lineRule="exact"/>
        <w:rPr>
          <w:rFonts w:ascii="Arial" w:cs="Arial" w:eastAsia="Arial" w:hAnsi="Arial"/>
          <w:sz w:val="18"/>
          <w:szCs w:val="18"/>
          <w:color w:val="auto"/>
        </w:rPr>
      </w:pPr>
    </w:p>
    <w:p>
      <w:pPr>
        <w:ind w:right="120" w:firstLine="656"/>
        <w:spacing w:after="0" w:line="264" w:lineRule="auto"/>
        <w:tabs>
          <w:tab w:leader="none" w:pos="13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shall not have occurred during the period from December 31, 2015 through and including the Amendment Effective Date any event or condition that has had or could reasonably be expected, either individually or in the aggregate, to have a Material Adverse Effect, and there shall be no actions, suits, investigations, proceedings, claims or disputes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pending or, to the knowledge of PAA, threatened in writing, at law, in equity, in arbitration or before any Governmental Authority, by or against PAA or any of its Subsidiaries or against any of their properties or revenues that either individually or in the aggregate, could reasonably be expected to have a Material Adverse Effect.</w:t>
      </w:r>
    </w:p>
    <w:p>
      <w:pPr>
        <w:sectPr>
          <w:pgSz w:w="11900" w:h="16838" w:orient="portrait"/>
          <w:cols w:equalWidth="0" w:num="1">
            <w:col w:w="11400"/>
          </w:cols>
          <w:pgMar w:left="240" w:top="125" w:right="259" w:bottom="0" w:gutter="0" w:footer="0" w:header="0"/>
        </w:sectPr>
      </w:pPr>
    </w:p>
    <w:bookmarkStart w:id="30" w:name="page31"/>
    <w:bookmarkEnd w:id="30"/>
    <w:p>
      <w:pPr>
        <w:ind w:right="140" w:firstLine="656"/>
        <w:spacing w:after="0" w:line="264" w:lineRule="auto"/>
        <w:tabs>
          <w:tab w:leader="none" w:pos="13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fees due MLPFS, Administrative Agent or any Lender, including any arrangement fees, agency fees and upfront fees, and any expenses incurred by MLPFS and Administrative Agent, in each case, as agreed in writing by the Company, required to be paid on or before the Amendment Effective Date shall have been paid.</w:t>
      </w:r>
    </w:p>
    <w:p>
      <w:pPr>
        <w:spacing w:after="0" w:line="181" w:lineRule="exact"/>
        <w:rPr>
          <w:rFonts w:ascii="Arial" w:cs="Arial" w:eastAsia="Arial" w:hAnsi="Arial"/>
          <w:sz w:val="18"/>
          <w:szCs w:val="18"/>
          <w:color w:val="auto"/>
        </w:rPr>
      </w:pPr>
    </w:p>
    <w:p>
      <w:pPr>
        <w:ind w:right="120" w:firstLine="656"/>
        <w:spacing w:after="0" w:line="277" w:lineRule="auto"/>
        <w:tabs>
          <w:tab w:leader="none" w:pos="13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paid all reasonable fees, charges and disbursements of counsel to the Administrative Agent to the extent invoiced prior to the Amendment Effective Date.</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For purposes of determining compliance with the conditions specified in this </w:t>
      </w:r>
      <w:r>
        <w:rPr>
          <w:rFonts w:ascii="Arial" w:cs="Arial" w:eastAsia="Arial" w:hAnsi="Arial"/>
          <w:sz w:val="18"/>
          <w:szCs w:val="18"/>
          <w:u w:val="single" w:color="auto"/>
          <w:color w:val="auto"/>
        </w:rPr>
        <w:t>§ 3.1</w:t>
      </w:r>
      <w:r>
        <w:rPr>
          <w:rFonts w:ascii="Arial" w:cs="Arial" w:eastAsia="Arial" w:hAnsi="Arial"/>
          <w:sz w:val="18"/>
          <w:szCs w:val="18"/>
          <w:color w:val="auto"/>
        </w:rPr>
        <w:t>,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ARTICLE IV. — </w:t>
      </w: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560" w:firstLine="656"/>
        <w:spacing w:after="0" w:line="277" w:lineRule="auto"/>
        <w:tabs>
          <w:tab w:leader="none" w:pos="78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order to induce Administrative Agent, L/C Issuers and Lenders to enter into this Amendment, the Company represents and warrants to Administrative Agent, L/C Issuers and each Lender that:</w:t>
      </w:r>
    </w:p>
    <w:p>
      <w:pPr>
        <w:spacing w:after="0" w:line="170" w:lineRule="exact"/>
        <w:rPr>
          <w:sz w:val="20"/>
          <w:szCs w:val="20"/>
          <w:color w:val="auto"/>
        </w:rPr>
      </w:pPr>
    </w:p>
    <w:p>
      <w:pPr>
        <w:ind w:right="220" w:firstLine="656"/>
        <w:spacing w:after="0" w:line="297" w:lineRule="auto"/>
        <w:tabs>
          <w:tab w:leader="none" w:pos="1343"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(i) the Company (and PMCULC, solely as to itself) contained in Article V of the Credit Agreement and (ii) each Loan Party in any other Loan Document are true and correct in all material respects on and as of the Amendment Effective Date,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of the Credit Agreement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respectively, of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of the Credit Agreement.</w:t>
      </w:r>
    </w:p>
    <w:p>
      <w:pPr>
        <w:spacing w:after="0" w:line="158" w:lineRule="exact"/>
        <w:rPr>
          <w:rFonts w:ascii="Arial" w:cs="Arial" w:eastAsia="Arial" w:hAnsi="Arial"/>
          <w:sz w:val="16"/>
          <w:szCs w:val="16"/>
          <w:color w:val="auto"/>
        </w:rPr>
      </w:pPr>
    </w:p>
    <w:p>
      <w:pPr>
        <w:ind w:left="1360" w:hanging="704"/>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Default has occurred and is continuing as of the Amendment Effective Date.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ARTICLE V.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20" w:firstLine="656"/>
        <w:spacing w:after="0" w:line="257" w:lineRule="auto"/>
        <w:tabs>
          <w:tab w:leader="none" w:pos="7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Ratification of Agreements</w:t>
      </w:r>
      <w:r>
        <w:rPr>
          <w:rFonts w:ascii="Arial" w:cs="Arial" w:eastAsia="Arial" w:hAnsi="Arial"/>
          <w:sz w:val="18"/>
          <w:szCs w:val="18"/>
          <w:color w:val="auto"/>
        </w:rPr>
        <w:t>.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any L/C Issuer or any Lender under the Credit Agreement or any other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Loan Document nor constitute a waiver of any provision of the Credit Agreement or any other Loan Document.</w:t>
      </w:r>
    </w:p>
    <w:p>
      <w:pPr>
        <w:spacing w:after="0" w:line="225" w:lineRule="exact"/>
        <w:rPr>
          <w:sz w:val="20"/>
          <w:szCs w:val="20"/>
          <w:color w:val="auto"/>
        </w:rPr>
      </w:pPr>
    </w:p>
    <w:p>
      <w:pPr>
        <w:ind w:right="120" w:firstLine="656"/>
        <w:spacing w:after="0" w:line="273" w:lineRule="auto"/>
        <w:tabs>
          <w:tab w:leader="none" w:pos="783"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Ratification of PAA Guaranty and Collateral Documents</w:t>
      </w:r>
      <w:r>
        <w:rPr>
          <w:rFonts w:ascii="Arial" w:cs="Arial" w:eastAsia="Arial" w:hAnsi="Arial"/>
          <w:sz w:val="17"/>
          <w:szCs w:val="17"/>
          <w:color w:val="auto"/>
        </w:rPr>
        <w:t>.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w:t>
      </w:r>
    </w:p>
    <w:p>
      <w:pPr>
        <w:spacing w:after="0" w:line="178" w:lineRule="exact"/>
        <w:rPr>
          <w:rFonts w:ascii="Arial" w:cs="Arial" w:eastAsia="Arial" w:hAnsi="Arial"/>
          <w:sz w:val="17"/>
          <w:szCs w:val="17"/>
          <w:color w:val="auto"/>
        </w:rPr>
      </w:pPr>
    </w:p>
    <w:p>
      <w:pPr>
        <w:ind w:left="800" w:hanging="144"/>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Loan Documents</w:t>
      </w:r>
      <w:r>
        <w:rPr>
          <w:rFonts w:ascii="Arial" w:cs="Arial" w:eastAsia="Arial" w:hAnsi="Arial"/>
          <w:sz w:val="16"/>
          <w:szCs w:val="16"/>
          <w:color w:val="auto"/>
        </w:rPr>
        <w:t>. This Amendment is a Loan Document, and all provisions in the Credit Agreement pertaining to Loan Documents apply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06" w:lineRule="exact"/>
        <w:rPr>
          <w:rFonts w:ascii="Arial" w:cs="Arial" w:eastAsia="Arial" w:hAnsi="Arial"/>
          <w:sz w:val="16"/>
          <w:szCs w:val="16"/>
          <w:color w:val="auto"/>
        </w:rPr>
      </w:pPr>
    </w:p>
    <w:p>
      <w:pPr>
        <w:ind w:right="160" w:firstLine="656"/>
        <w:spacing w:after="0" w:line="282" w:lineRule="auto"/>
        <w:tabs>
          <w:tab w:leader="none" w:pos="78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5.4. GOVERNING LAW. THIS AMENDMENT SHALL BE GOVERNED BY, AND CONSTRUED IN ACCORDANCE WITH, THE </w:t>
      </w:r>
      <w:r>
        <w:rPr>
          <w:rFonts w:ascii="Arial" w:cs="Arial" w:eastAsia="Arial" w:hAnsi="Arial"/>
          <w:sz w:val="18"/>
          <w:szCs w:val="18"/>
          <w:b w:val="1"/>
          <w:bCs w:val="1"/>
          <w:u w:val="single" w:color="auto"/>
          <w:color w:val="auto"/>
        </w:rPr>
        <w:t>LAWS OF THE STATE OF NEW YORK, WITHOUT REGARD TO PRINCIPLES OF CONFLICTS OF LAW</w:t>
      </w:r>
      <w:r>
        <w:rPr>
          <w:rFonts w:ascii="Arial" w:cs="Arial" w:eastAsia="Arial" w:hAnsi="Arial"/>
          <w:sz w:val="18"/>
          <w:szCs w:val="18"/>
          <w:color w:val="auto"/>
        </w:rPr>
        <w:t>.</w:t>
      </w:r>
    </w:p>
    <w:p>
      <w:pPr>
        <w:spacing w:after="0" w:line="165" w:lineRule="exact"/>
        <w:rPr>
          <w:rFonts w:ascii="Arial" w:cs="Arial" w:eastAsia="Arial" w:hAnsi="Arial"/>
          <w:sz w:val="18"/>
          <w:szCs w:val="18"/>
          <w:b w:val="1"/>
          <w:bCs w:val="1"/>
          <w:color w:val="auto"/>
        </w:rPr>
      </w:pPr>
    </w:p>
    <w:p>
      <w:pPr>
        <w:ind w:right="140" w:firstLine="656"/>
        <w:spacing w:after="0" w:line="312" w:lineRule="auto"/>
        <w:tabs>
          <w:tab w:leader="none" w:pos="783"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rFonts w:ascii="Arial" w:cs="Arial" w:eastAsia="Arial" w:hAnsi="Arial"/>
          <w:sz w:val="16"/>
          <w:szCs w:val="16"/>
          <w:color w:val="auto"/>
        </w:rPr>
      </w:pPr>
    </w:p>
    <w:p>
      <w:pPr>
        <w:ind w:right="220" w:firstLine="656"/>
        <w:spacing w:after="0" w:line="264" w:lineRule="auto"/>
        <w:tabs>
          <w:tab w:leader="none" w:pos="7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-1273175</wp:posOffset>
            </wp:positionV>
            <wp:extent cx="67036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p>
        </w:tc>
        <w:tc>
          <w:tcPr>
            <w:tcW w:w="9600" w:type="dxa"/>
            <w:vAlign w:val="bottom"/>
          </w:tcPr>
          <w:p>
            <w:pPr>
              <w:jc w:val="center"/>
              <w:ind w:right="1800"/>
              <w:spacing w:after="0"/>
              <w:rPr>
                <w:sz w:val="20"/>
                <w:szCs w:val="20"/>
                <w:color w:val="auto"/>
              </w:rPr>
            </w:pPr>
            <w:r>
              <w:rPr>
                <w:rFonts w:ascii="Arial" w:cs="Arial" w:eastAsia="Arial" w:hAnsi="Arial"/>
                <w:sz w:val="18"/>
                <w:szCs w:val="18"/>
                <w:i w:val="1"/>
                <w:iCs w:val="1"/>
                <w:color w:val="auto"/>
                <w:w w:val="93"/>
              </w:rPr>
              <w:t>[Remainder of Page Intentionally Left Blank]</w:t>
            </w:r>
          </w:p>
        </w:tc>
      </w:tr>
      <w:tr>
        <w:trPr>
          <w:trHeight w:val="432"/>
        </w:trPr>
        <w:tc>
          <w:tcPr>
            <w:tcW w:w="1860" w:type="dxa"/>
            <w:vAlign w:val="bottom"/>
          </w:tcPr>
          <w:p>
            <w:pPr>
              <w:spacing w:after="0"/>
              <w:rPr>
                <w:sz w:val="24"/>
                <w:szCs w:val="24"/>
                <w:color w:val="auto"/>
              </w:rPr>
            </w:pPr>
          </w:p>
        </w:tc>
        <w:tc>
          <w:tcPr>
            <w:tcW w:w="9600" w:type="dxa"/>
            <w:vAlign w:val="bottom"/>
          </w:tcPr>
          <w:p>
            <w:pPr>
              <w:jc w:val="center"/>
              <w:ind w:right="1820"/>
              <w:spacing w:after="0"/>
              <w:rPr>
                <w:sz w:val="20"/>
                <w:szCs w:val="20"/>
                <w:color w:val="auto"/>
              </w:rPr>
            </w:pPr>
            <w:r>
              <w:rPr>
                <w:rFonts w:ascii="Arial" w:cs="Arial" w:eastAsia="Arial" w:hAnsi="Arial"/>
                <w:sz w:val="18"/>
                <w:szCs w:val="18"/>
                <w:color w:val="auto"/>
                <w:w w:val="89"/>
              </w:rPr>
              <w:t>10</w:t>
            </w:r>
          </w:p>
        </w:tc>
      </w:tr>
      <w:tr>
        <w:trPr>
          <w:trHeight w:val="132"/>
        </w:trPr>
        <w:tc>
          <w:tcPr>
            <w:tcW w:w="1860" w:type="dxa"/>
            <w:vAlign w:val="bottom"/>
            <w:tcBorders>
              <w:bottom w:val="single" w:sz="8" w:color="808080"/>
            </w:tcBorders>
          </w:tcPr>
          <w:p>
            <w:pPr>
              <w:spacing w:after="0"/>
              <w:rPr>
                <w:sz w:val="11"/>
                <w:szCs w:val="11"/>
                <w:color w:val="auto"/>
              </w:rPr>
            </w:pPr>
          </w:p>
        </w:tc>
        <w:tc>
          <w:tcPr>
            <w:tcW w:w="9600" w:type="dxa"/>
            <w:vAlign w:val="bottom"/>
            <w:tcBorders>
              <w:bottom w:val="single" w:sz="8" w:color="808080"/>
            </w:tcBorders>
          </w:tcPr>
          <w:p>
            <w:pPr>
              <w:spacing w:after="0"/>
              <w:rPr>
                <w:sz w:val="11"/>
                <w:szCs w:val="11"/>
                <w:color w:val="auto"/>
              </w:rPr>
            </w:pPr>
          </w:p>
        </w:tc>
      </w:tr>
      <w:tr>
        <w:trPr>
          <w:trHeight w:val="780"/>
        </w:trPr>
        <w:tc>
          <w:tcPr>
            <w:tcW w:w="1860" w:type="dxa"/>
            <w:vAlign w:val="bottom"/>
          </w:tcPr>
          <w:p>
            <w:pPr>
              <w:spacing w:after="0"/>
              <w:rPr>
                <w:sz w:val="24"/>
                <w:szCs w:val="24"/>
                <w:color w:val="auto"/>
              </w:rPr>
            </w:pPr>
          </w:p>
        </w:tc>
        <w:tc>
          <w:tcPr>
            <w:tcW w:w="9600" w:type="dxa"/>
            <w:vAlign w:val="bottom"/>
          </w:tcPr>
          <w:p>
            <w:pPr>
              <w:jc w:val="center"/>
              <w:ind w:right="1820"/>
              <w:spacing w:after="0"/>
              <w:rPr>
                <w:sz w:val="20"/>
                <w:szCs w:val="20"/>
                <w:color w:val="auto"/>
              </w:rPr>
            </w:pPr>
            <w:r>
              <w:rPr>
                <w:rFonts w:ascii="Arial" w:cs="Arial" w:eastAsia="Arial" w:hAnsi="Arial"/>
                <w:sz w:val="18"/>
                <w:szCs w:val="18"/>
                <w:color w:val="auto"/>
                <w:w w:val="91"/>
              </w:rPr>
              <w:t>IN WITNESS WHEREOF, this Amendment is executed as of the date first above written.</w:t>
            </w:r>
          </w:p>
        </w:tc>
      </w:tr>
      <w:tr>
        <w:trPr>
          <w:trHeight w:val="418"/>
        </w:trPr>
        <w:tc>
          <w:tcPr>
            <w:tcW w:w="1860" w:type="dxa"/>
            <w:vAlign w:val="bottom"/>
          </w:tcPr>
          <w:p>
            <w:pPr>
              <w:spacing w:after="0"/>
              <w:rPr>
                <w:sz w:val="20"/>
                <w:szCs w:val="20"/>
                <w:color w:val="auto"/>
              </w:rPr>
            </w:pPr>
            <w:r>
              <w:rPr>
                <w:rFonts w:ascii="Arial" w:cs="Arial" w:eastAsia="Arial" w:hAnsi="Arial"/>
                <w:sz w:val="18"/>
                <w:szCs w:val="18"/>
                <w:b w:val="1"/>
                <w:bCs w:val="1"/>
                <w:color w:val="auto"/>
              </w:rPr>
              <w:t>BORROWERS</w:t>
            </w:r>
            <w:r>
              <w:rPr>
                <w:rFonts w:ascii="Arial" w:cs="Arial" w:eastAsia="Arial" w:hAnsi="Arial"/>
                <w:sz w:val="18"/>
                <w:szCs w:val="18"/>
                <w:color w:val="auto"/>
              </w:rPr>
              <w:t>:</w:t>
            </w:r>
          </w:p>
        </w:tc>
        <w:tc>
          <w:tcPr>
            <w:tcW w:w="9600" w:type="dxa"/>
            <w:vAlign w:val="bottom"/>
          </w:tcPr>
          <w:p>
            <w:pPr>
              <w:ind w:left="3860"/>
              <w:spacing w:after="0"/>
              <w:rPr>
                <w:sz w:val="20"/>
                <w:szCs w:val="20"/>
                <w:color w:val="auto"/>
              </w:rPr>
            </w:pPr>
            <w:r>
              <w:rPr>
                <w:rFonts w:ascii="Arial" w:cs="Arial" w:eastAsia="Arial" w:hAnsi="Arial"/>
                <w:sz w:val="18"/>
                <w:szCs w:val="18"/>
                <w:b w:val="1"/>
                <w:bCs w:val="1"/>
                <w:color w:val="auto"/>
              </w:rPr>
              <w:t>PLAINS MARKETING, L.P.</w:t>
            </w:r>
            <w:r>
              <w:rPr>
                <w:rFonts w:ascii="Arial" w:cs="Arial" w:eastAsia="Arial" w:hAnsi="Arial"/>
                <w:sz w:val="18"/>
                <w:szCs w:val="18"/>
                <w:color w:val="auto"/>
              </w:rPr>
              <w:t>,</w:t>
            </w:r>
          </w:p>
        </w:tc>
      </w:tr>
      <w:tr>
        <w:trPr>
          <w:trHeight w:val="230"/>
        </w:trPr>
        <w:tc>
          <w:tcPr>
            <w:tcW w:w="1860" w:type="dxa"/>
            <w:vAlign w:val="bottom"/>
          </w:tcPr>
          <w:p>
            <w:pPr>
              <w:spacing w:after="0"/>
              <w:rPr>
                <w:sz w:val="20"/>
                <w:szCs w:val="20"/>
                <w:color w:val="auto"/>
              </w:rPr>
            </w:pPr>
          </w:p>
        </w:tc>
        <w:tc>
          <w:tcPr>
            <w:tcW w:w="9600" w:type="dxa"/>
            <w:vAlign w:val="bottom"/>
          </w:tcPr>
          <w:p>
            <w:pPr>
              <w:ind w:left="3860"/>
              <w:spacing w:after="0"/>
              <w:rPr>
                <w:sz w:val="20"/>
                <w:szCs w:val="20"/>
                <w:color w:val="auto"/>
              </w:rPr>
            </w:pPr>
            <w:r>
              <w:rPr>
                <w:rFonts w:ascii="Arial" w:cs="Arial" w:eastAsia="Arial" w:hAnsi="Arial"/>
                <w:sz w:val="18"/>
                <w:szCs w:val="18"/>
                <w:color w:val="auto"/>
              </w:rPr>
              <w:t>as the Company and a Borrower</w:t>
            </w:r>
          </w:p>
        </w:tc>
      </w:tr>
      <w:tr>
        <w:trPr>
          <w:trHeight w:val="418"/>
        </w:trPr>
        <w:tc>
          <w:tcPr>
            <w:tcW w:w="1860" w:type="dxa"/>
            <w:vAlign w:val="bottom"/>
          </w:tcPr>
          <w:p>
            <w:pPr>
              <w:spacing w:after="0"/>
              <w:rPr>
                <w:sz w:val="24"/>
                <w:szCs w:val="24"/>
                <w:color w:val="auto"/>
              </w:rPr>
            </w:pPr>
          </w:p>
        </w:tc>
        <w:tc>
          <w:tcPr>
            <w:tcW w:w="9600" w:type="dxa"/>
            <w:vAlign w:val="bottom"/>
          </w:tcPr>
          <w:p>
            <w:pPr>
              <w:ind w:left="3860"/>
              <w:spacing w:after="0"/>
              <w:rPr>
                <w:sz w:val="20"/>
                <w:szCs w:val="20"/>
                <w:color w:val="auto"/>
              </w:rPr>
            </w:pPr>
            <w:r>
              <w:rPr>
                <w:rFonts w:ascii="Arial" w:cs="Arial" w:eastAsia="Arial" w:hAnsi="Arial"/>
                <w:sz w:val="18"/>
                <w:szCs w:val="18"/>
                <w:color w:val="auto"/>
                <w:w w:val="97"/>
              </w:rPr>
              <w:t>By:PLAINS GP LLC,</w:t>
            </w:r>
          </w:p>
        </w:tc>
      </w:tr>
      <w:tr>
        <w:trPr>
          <w:trHeight w:val="230"/>
        </w:trPr>
        <w:tc>
          <w:tcPr>
            <w:tcW w:w="1860" w:type="dxa"/>
            <w:vAlign w:val="bottom"/>
          </w:tcPr>
          <w:p>
            <w:pPr>
              <w:spacing w:after="0"/>
              <w:rPr>
                <w:sz w:val="20"/>
                <w:szCs w:val="20"/>
                <w:color w:val="auto"/>
              </w:rPr>
            </w:pPr>
          </w:p>
        </w:tc>
        <w:tc>
          <w:tcPr>
            <w:tcW w:w="9600" w:type="dxa"/>
            <w:vAlign w:val="bottom"/>
          </w:tcPr>
          <w:p>
            <w:pPr>
              <w:ind w:left="4460"/>
              <w:spacing w:after="0"/>
              <w:rPr>
                <w:sz w:val="20"/>
                <w:szCs w:val="20"/>
                <w:color w:val="auto"/>
              </w:rPr>
            </w:pPr>
            <w:r>
              <w:rPr>
                <w:rFonts w:ascii="Arial" w:cs="Arial" w:eastAsia="Arial" w:hAnsi="Arial"/>
                <w:sz w:val="18"/>
                <w:szCs w:val="18"/>
                <w:color w:val="auto"/>
              </w:rPr>
              <w:t>its general partner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9"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Sharon S. Spurlin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Vice President and Treasurer</w:t>
            </w:r>
          </w:p>
        </w:tc>
      </w:tr>
      <w:tr>
        <w:trPr>
          <w:trHeight w:val="634"/>
        </w:trPr>
        <w:tc>
          <w:tcPr>
            <w:tcW w:w="3600" w:type="dxa"/>
            <w:vAlign w:val="bottom"/>
          </w:tcPr>
          <w:p>
            <w:pPr>
              <w:spacing w:after="0"/>
              <w:rPr>
                <w:sz w:val="24"/>
                <w:szCs w:val="24"/>
                <w:color w:val="auto"/>
              </w:rPr>
            </w:pPr>
          </w:p>
        </w:tc>
        <w:tc>
          <w:tcPr>
            <w:tcW w:w="7860" w:type="dxa"/>
            <w:vAlign w:val="bottom"/>
            <w:gridSpan w:val="4"/>
          </w:tcPr>
          <w:p>
            <w:pPr>
              <w:ind w:left="2120"/>
              <w:spacing w:after="0"/>
              <w:rPr>
                <w:sz w:val="20"/>
                <w:szCs w:val="20"/>
                <w:color w:val="auto"/>
              </w:rPr>
            </w:pPr>
            <w:r>
              <w:rPr>
                <w:rFonts w:ascii="Arial" w:cs="Arial" w:eastAsia="Arial" w:hAnsi="Arial"/>
                <w:sz w:val="18"/>
                <w:szCs w:val="18"/>
                <w:b w:val="1"/>
                <w:bCs w:val="1"/>
                <w:color w:val="auto"/>
              </w:rPr>
              <w:t>PLAINS MIDSTREAM CANADA ULC,</w:t>
            </w:r>
          </w:p>
        </w:tc>
      </w:tr>
      <w:tr>
        <w:trPr>
          <w:trHeight w:val="230"/>
        </w:trPr>
        <w:tc>
          <w:tcPr>
            <w:tcW w:w="3600" w:type="dxa"/>
            <w:vAlign w:val="bottom"/>
          </w:tcPr>
          <w:p>
            <w:pPr>
              <w:spacing w:after="0"/>
              <w:rPr>
                <w:sz w:val="20"/>
                <w:szCs w:val="20"/>
                <w:color w:val="auto"/>
              </w:rPr>
            </w:pPr>
          </w:p>
        </w:tc>
        <w:tc>
          <w:tcPr>
            <w:tcW w:w="7860" w:type="dxa"/>
            <w:vAlign w:val="bottom"/>
            <w:gridSpan w:val="4"/>
          </w:tcPr>
          <w:p>
            <w:pPr>
              <w:ind w:left="2120"/>
              <w:spacing w:after="0"/>
              <w:rPr>
                <w:sz w:val="20"/>
                <w:szCs w:val="20"/>
                <w:color w:val="auto"/>
              </w:rPr>
            </w:pPr>
            <w:r>
              <w:rPr>
                <w:rFonts w:ascii="Arial" w:cs="Arial" w:eastAsia="Arial" w:hAnsi="Arial"/>
                <w:sz w:val="18"/>
                <w:szCs w:val="18"/>
                <w:color w:val="auto"/>
              </w:rPr>
              <w:t>as PMCULC and a Borrower</w:t>
            </w:r>
          </w:p>
        </w:tc>
      </w:tr>
      <w:tr>
        <w:trPr>
          <w:trHeight w:val="432"/>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Sharon S. Spurlin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Vice President and Treasurer</w:t>
            </w:r>
          </w:p>
        </w:tc>
      </w:tr>
      <w:tr>
        <w:trPr>
          <w:trHeight w:val="648"/>
        </w:trPr>
        <w:tc>
          <w:tcPr>
            <w:tcW w:w="3600" w:type="dxa"/>
            <w:vAlign w:val="bottom"/>
          </w:tcPr>
          <w:p>
            <w:pPr>
              <w:spacing w:after="0"/>
              <w:rPr>
                <w:sz w:val="20"/>
                <w:szCs w:val="20"/>
                <w:color w:val="auto"/>
              </w:rPr>
            </w:pPr>
            <w:r>
              <w:rPr>
                <w:rFonts w:ascii="Arial" w:cs="Arial" w:eastAsia="Arial" w:hAnsi="Arial"/>
                <w:sz w:val="18"/>
                <w:szCs w:val="18"/>
                <w:b w:val="1"/>
                <w:bCs w:val="1"/>
                <w:color w:val="auto"/>
              </w:rPr>
              <w:t>PAA:</w:t>
            </w:r>
          </w:p>
        </w:tc>
        <w:tc>
          <w:tcPr>
            <w:tcW w:w="7860" w:type="dxa"/>
            <w:vAlign w:val="bottom"/>
            <w:gridSpan w:val="4"/>
          </w:tcPr>
          <w:p>
            <w:pPr>
              <w:ind w:left="2120"/>
              <w:spacing w:after="0"/>
              <w:rPr>
                <w:sz w:val="20"/>
                <w:szCs w:val="20"/>
                <w:color w:val="auto"/>
              </w:rPr>
            </w:pPr>
            <w:r>
              <w:rPr>
                <w:rFonts w:ascii="Arial" w:cs="Arial" w:eastAsia="Arial" w:hAnsi="Arial"/>
                <w:sz w:val="18"/>
                <w:szCs w:val="18"/>
                <w:b w:val="1"/>
                <w:bCs w:val="1"/>
                <w:color w:val="auto"/>
              </w:rPr>
              <w:t>PLAINS ALL AMERICAN PIPELINE, L.P.</w:t>
            </w:r>
          </w:p>
        </w:tc>
      </w:tr>
      <w:tr>
        <w:trPr>
          <w:trHeight w:val="432"/>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 Sharon S. Spurlin</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Sharon S. Spurlin</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Vice President and Treasurer</w:t>
            </w:r>
          </w:p>
        </w:tc>
      </w:tr>
      <w:tr>
        <w:trPr>
          <w:trHeight w:val="514"/>
        </w:trPr>
        <w:tc>
          <w:tcPr>
            <w:tcW w:w="3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2"/>
          </w:tcPr>
          <w:p>
            <w:pPr>
              <w:ind w:left="3480"/>
              <w:spacing w:after="0"/>
              <w:rPr>
                <w:sz w:val="20"/>
                <w:szCs w:val="20"/>
                <w:color w:val="auto"/>
              </w:rPr>
            </w:pPr>
            <w:r>
              <w:rPr>
                <w:rFonts w:ascii="Arial" w:cs="Arial" w:eastAsia="Arial" w:hAnsi="Arial"/>
                <w:sz w:val="18"/>
                <w:szCs w:val="18"/>
                <w:color w:val="auto"/>
                <w:w w:val="91"/>
              </w:rPr>
              <w:t>PMLP 3</w:t>
            </w:r>
            <w:r>
              <w:rPr>
                <w:rFonts w:ascii="Arial" w:cs="Arial" w:eastAsia="Arial" w:hAnsi="Arial"/>
                <w:sz w:val="23"/>
                <w:szCs w:val="23"/>
                <w:color w:val="auto"/>
                <w:w w:val="91"/>
                <w:vertAlign w:val="superscript"/>
              </w:rPr>
              <w:t>rd</w:t>
            </w:r>
            <w:r>
              <w:rPr>
                <w:rFonts w:ascii="Arial" w:cs="Arial" w:eastAsia="Arial" w:hAnsi="Arial"/>
                <w:sz w:val="18"/>
                <w:szCs w:val="18"/>
                <w:color w:val="auto"/>
                <w:w w:val="91"/>
              </w:rPr>
              <w:t xml:space="preserve"> Amendment</w:t>
            </w:r>
          </w:p>
        </w:tc>
      </w:tr>
      <w:tr>
        <w:trPr>
          <w:trHeight w:val="350"/>
        </w:trPr>
        <w:tc>
          <w:tcPr>
            <w:tcW w:w="3600" w:type="dxa"/>
            <w:vAlign w:val="bottom"/>
          </w:tcPr>
          <w:p>
            <w:pPr>
              <w:spacing w:after="0"/>
              <w:rPr>
                <w:sz w:val="24"/>
                <w:szCs w:val="24"/>
                <w:color w:val="auto"/>
              </w:rPr>
            </w:pPr>
          </w:p>
        </w:tc>
        <w:tc>
          <w:tcPr>
            <w:tcW w:w="2680" w:type="dxa"/>
            <w:vAlign w:val="bottom"/>
          </w:tcPr>
          <w:p>
            <w:pPr>
              <w:ind w:left="1980"/>
              <w:spacing w:after="0"/>
              <w:rPr>
                <w:sz w:val="20"/>
                <w:szCs w:val="20"/>
                <w:color w:val="auto"/>
              </w:rPr>
            </w:pPr>
            <w:r>
              <w:rPr>
                <w:rFonts w:ascii="Arial" w:cs="Arial" w:eastAsia="Arial" w:hAnsi="Arial"/>
                <w:sz w:val="18"/>
                <w:szCs w:val="18"/>
                <w:color w:val="auto"/>
              </w:rPr>
              <w:t>S-1</w:t>
            </w:r>
          </w:p>
        </w:tc>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00" w:type="dxa"/>
            <w:vAlign w:val="bottom"/>
            <w:tcBorders>
              <w:bottom w:val="single" w:sz="8" w:color="808080"/>
            </w:tcBorders>
          </w:tcPr>
          <w:p>
            <w:pPr>
              <w:spacing w:after="0"/>
              <w:rPr>
                <w:sz w:val="11"/>
                <w:szCs w:val="11"/>
                <w:color w:val="auto"/>
              </w:rPr>
            </w:pPr>
          </w:p>
        </w:tc>
        <w:tc>
          <w:tcPr>
            <w:tcW w:w="7860" w:type="dxa"/>
            <w:vAlign w:val="bottom"/>
            <w:tcBorders>
              <w:bottom w:val="single" w:sz="8" w:color="808080"/>
            </w:tcBorders>
            <w:gridSpan w:val="4"/>
          </w:tcPr>
          <w:p>
            <w:pPr>
              <w:spacing w:after="0"/>
              <w:rPr>
                <w:sz w:val="11"/>
                <w:szCs w:val="11"/>
                <w:color w:val="auto"/>
              </w:rPr>
            </w:pPr>
          </w:p>
        </w:tc>
      </w:tr>
      <w:tr>
        <w:trPr>
          <w:trHeight w:val="766"/>
        </w:trPr>
        <w:tc>
          <w:tcPr>
            <w:tcW w:w="3600" w:type="dxa"/>
            <w:vAlign w:val="bottom"/>
          </w:tcPr>
          <w:p>
            <w:pPr>
              <w:spacing w:after="0"/>
              <w:rPr>
                <w:sz w:val="20"/>
                <w:szCs w:val="20"/>
                <w:color w:val="auto"/>
              </w:rPr>
            </w:pPr>
            <w:r>
              <w:rPr>
                <w:rFonts w:ascii="Arial" w:cs="Arial" w:eastAsia="Arial" w:hAnsi="Arial"/>
                <w:sz w:val="18"/>
                <w:szCs w:val="18"/>
                <w:b w:val="1"/>
                <w:bCs w:val="1"/>
                <w:color w:val="auto"/>
              </w:rPr>
              <w:t>LENDER PARTIES</w:t>
            </w:r>
            <w:r>
              <w:rPr>
                <w:rFonts w:ascii="Arial" w:cs="Arial" w:eastAsia="Arial" w:hAnsi="Arial"/>
                <w:sz w:val="18"/>
                <w:szCs w:val="18"/>
                <w:color w:val="auto"/>
              </w:rPr>
              <w:t>:</w:t>
            </w:r>
          </w:p>
        </w:tc>
        <w:tc>
          <w:tcPr>
            <w:tcW w:w="7860" w:type="dxa"/>
            <w:vAlign w:val="bottom"/>
            <w:gridSpan w:val="4"/>
          </w:tcPr>
          <w:p>
            <w:pPr>
              <w:ind w:left="2120"/>
              <w:spacing w:after="0"/>
              <w:rPr>
                <w:sz w:val="20"/>
                <w:szCs w:val="20"/>
                <w:color w:val="auto"/>
              </w:rPr>
            </w:pPr>
            <w:r>
              <w:rPr>
                <w:rFonts w:ascii="Arial" w:cs="Arial" w:eastAsia="Arial" w:hAnsi="Arial"/>
                <w:sz w:val="18"/>
                <w:szCs w:val="18"/>
                <w:color w:val="auto"/>
              </w:rPr>
              <w:t>BANK OF AMERICA, N.A.,</w:t>
            </w:r>
          </w:p>
        </w:tc>
      </w:tr>
      <w:tr>
        <w:trPr>
          <w:trHeight w:val="230"/>
        </w:trPr>
        <w:tc>
          <w:tcPr>
            <w:tcW w:w="3600" w:type="dxa"/>
            <w:vAlign w:val="bottom"/>
          </w:tcPr>
          <w:p>
            <w:pPr>
              <w:spacing w:after="0"/>
              <w:rPr>
                <w:sz w:val="20"/>
                <w:szCs w:val="20"/>
                <w:color w:val="auto"/>
              </w:rPr>
            </w:pPr>
          </w:p>
        </w:tc>
        <w:tc>
          <w:tcPr>
            <w:tcW w:w="7860" w:type="dxa"/>
            <w:vAlign w:val="bottom"/>
            <w:gridSpan w:val="4"/>
          </w:tcPr>
          <w:p>
            <w:pPr>
              <w:ind w:left="2120"/>
              <w:spacing w:after="0"/>
              <w:rPr>
                <w:sz w:val="20"/>
                <w:szCs w:val="20"/>
                <w:color w:val="auto"/>
              </w:rPr>
            </w:pPr>
            <w:r>
              <w:rPr>
                <w:rFonts w:ascii="Arial" w:cs="Arial" w:eastAsia="Arial" w:hAnsi="Arial"/>
                <w:sz w:val="18"/>
                <w:szCs w:val="18"/>
                <w:color w:val="auto"/>
              </w:rPr>
              <w:t>Administrative Agent</w:t>
            </w:r>
          </w:p>
        </w:tc>
      </w:tr>
      <w:tr>
        <w:trPr>
          <w:trHeight w:val="648"/>
        </w:trPr>
        <w:tc>
          <w:tcPr>
            <w:tcW w:w="3600" w:type="dxa"/>
            <w:vAlign w:val="bottom"/>
          </w:tcPr>
          <w:p>
            <w:pPr>
              <w:spacing w:after="0"/>
              <w:rPr>
                <w:sz w:val="24"/>
                <w:szCs w:val="24"/>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180" w:type="dxa"/>
            <w:vAlign w:val="bottom"/>
            <w:gridSpan w:val="3"/>
          </w:tcPr>
          <w:p>
            <w:pPr>
              <w:spacing w:after="0"/>
              <w:rPr>
                <w:sz w:val="20"/>
                <w:szCs w:val="20"/>
                <w:color w:val="auto"/>
              </w:rPr>
            </w:pPr>
            <w:r>
              <w:rPr>
                <w:rFonts w:ascii="Arial" w:cs="Arial" w:eastAsia="Arial" w:hAnsi="Arial"/>
                <w:sz w:val="18"/>
                <w:szCs w:val="18"/>
                <w:color w:val="auto"/>
              </w:rPr>
              <w:t>/s/ Rosanne Parsill</w:t>
            </w:r>
          </w:p>
        </w:tc>
      </w:tr>
      <w:tr>
        <w:trPr>
          <w:trHeight w:val="195"/>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 Rosanne Parsill</w:t>
            </w:r>
          </w:p>
        </w:tc>
        <w:tc>
          <w:tcPr>
            <w:tcW w:w="4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Title: Vice 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-1356360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-1356360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Lender, Swing Line Lender and an L/C Issuer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/s/Adam H. Fey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Adam H.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 Lender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Maureen P. Maroney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Maureen P.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SOCIÉTÉ GÉNÉRALE</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BNP PARIBAS</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 Onischuk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Joe Onischuk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326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60"/>
          </w:cols>
          <w:pgMar w:left="240" w:top="125" w:right="199" w:bottom="193" w:gutter="0" w:footer="0" w:header="0"/>
        </w:sectPr>
      </w:pPr>
    </w:p>
    <w:bookmarkStart w:id="32" w:name="page33"/>
    <w:bookmarkEnd w:id="32"/>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Reginald Crichlow</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Reginald Crichlow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670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DNB CAPITAL LLC</w:t>
      </w:r>
      <w:r>
        <w:rPr>
          <w:rFonts w:ascii="Arial" w:cs="Arial" w:eastAsia="Arial" w:hAnsi="Arial"/>
          <w:sz w:val="17"/>
          <w:szCs w:val="17"/>
          <w:color w:val="auto"/>
        </w:rPr>
        <w: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 Hykle</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Joe Hykle</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Senior Vice President</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Jodie Gildersleeve</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Jodie Gildersleeve</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JPMORGAN CHASE BANK, N.A.</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Stephanie Balette</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Stephanie Balette</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Authorized Officer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MIZUHO BANK, LTD.</w:t>
            </w:r>
            <w:r>
              <w:rPr>
                <w:rFonts w:ascii="Arial" w:cs="Arial" w:eastAsia="Arial" w:hAnsi="Arial"/>
                <w:sz w:val="17"/>
                <w:szCs w:val="17"/>
                <w:color w:val="auto"/>
              </w:rPr>
              <w:t>, Lender</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Leon Mo</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Leon Mo</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WELLS FARGO BANK, NATIONAL ASSOCIATION</w:t>
      </w:r>
      <w:r>
        <w:rPr>
          <w:rFonts w:ascii="Arial" w:cs="Arial" w:eastAsia="Arial" w:hAnsi="Arial"/>
          <w:sz w:val="17"/>
          <w:szCs w:val="17"/>
          <w:color w:val="auto"/>
        </w:rPr>
        <w:t>, Lender and an 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Issuer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Jeffery Cobb</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Jeffery Cobb</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BANK OF MONTREAL</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Gumaro Tijerina</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Gumaro Tijerina</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BARCLAYS BANK PLC</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Aitkin</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Christopher Aitkin</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Assistant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CANADIAN IMPERIAL BANK OF COMMERCE, NEW YORK AGENCY</w:t>
      </w:r>
      <w:r>
        <w:rPr>
          <w:rFonts w:ascii="Arial" w:cs="Arial" w:eastAsia="Arial" w:hAnsi="Arial"/>
          <w:sz w:val="16"/>
          <w:szCs w:val="16"/>
          <w:color w:val="auto"/>
        </w:rPr>
        <w:t>,</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ectPr>
          <w:pgSz w:w="11900" w:h="16838"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Antl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29210</wp:posOffset>
            </wp:positionV>
            <wp:extent cx="32416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33" w:name="page34"/>
    <w:bookmarkEnd w:id="33"/>
    <w:tbl>
      <w:tblPr>
        <w:tblLayout w:type="fixed"/>
        <w:tblInd w:w="45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Name: Richard Antl</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M. Reid</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William M. Reid</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COMPASS BANK</w:t>
            </w:r>
            <w:r>
              <w:rPr>
                <w:rFonts w:ascii="Arial" w:cs="Arial" w:eastAsia="Arial" w:hAnsi="Arial"/>
                <w:sz w:val="17"/>
                <w:szCs w:val="17"/>
                <w:color w:val="auto"/>
              </w:rPr>
              <w:t>, Lender</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Blake Kirshman</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Blake Kirshman</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Senior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MORGAN STANLEY BANK, N.A.</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King</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Michael King</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ROYAL BANK OF CANADA</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-130810</wp:posOffset>
            </wp:positionV>
            <wp:extent cx="32416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SUMITOMO MITSUI BANKING CORPORATION</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D. Weinstein</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James D. Weinstein</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SUNTRUST BANK</w:t>
            </w:r>
            <w:r>
              <w:rPr>
                <w:rFonts w:ascii="Arial" w:cs="Arial" w:eastAsia="Arial" w:hAnsi="Arial"/>
                <w:sz w:val="17"/>
                <w:szCs w:val="17"/>
                <w:color w:val="auto"/>
              </w:rPr>
              <w:t>, Lender</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Chulley Bogle</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Chulley Bogle</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NOVA SCOTIA</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Frazell</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John Frazell</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00" w:lineRule="exact"/>
        <w:rPr>
          <w:sz w:val="20"/>
          <w:szCs w:val="20"/>
          <w:color w:val="auto"/>
        </w:rPr>
      </w:pPr>
    </w:p>
    <w:p>
      <w:pPr>
        <w:spacing w:after="0" w:line="227"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Oberreuter</w:t>
            </w:r>
          </w:p>
        </w:tc>
      </w:tr>
      <w:tr>
        <w:trPr>
          <w:trHeight w:val="195"/>
        </w:trPr>
        <w:tc>
          <w:tcPr>
            <w:tcW w:w="6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Mark Oberreuter</w:t>
            </w:r>
          </w:p>
        </w:tc>
      </w:tr>
      <w:tr>
        <w:trPr>
          <w:trHeight w:val="230"/>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UBS LOAN FINANCE LLC</w:t>
      </w:r>
      <w:r>
        <w:rPr>
          <w:rFonts w:ascii="Arial" w:cs="Arial" w:eastAsia="Arial" w:hAnsi="Arial"/>
          <w:sz w:val="17"/>
          <w:szCs w:val="17"/>
          <w:color w:val="auto"/>
        </w:rPr>
        <w:t>, Lender</w:t>
      </w:r>
    </w:p>
    <w:p>
      <w:pPr>
        <w:sectPr>
          <w:pgSz w:w="11900" w:h="16838" w:orient="portrait"/>
          <w:cols w:equalWidth="0" w:num="1">
            <w:col w:w="10220"/>
          </w:cols>
          <w:pgMar w:left="1440" w:top="125"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Darlene Arias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29210</wp:posOffset>
            </wp:positionV>
            <wp:extent cx="32416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Name: Darlene Arias</w:t>
            </w:r>
          </w:p>
        </w:tc>
      </w:tr>
      <w:tr>
        <w:trPr>
          <w:trHeight w:val="230"/>
        </w:trPr>
        <w:tc>
          <w:tcPr>
            <w:tcW w:w="6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632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/s/ Kenneth Chin</w:t>
            </w:r>
          </w:p>
        </w:tc>
      </w:tr>
      <w:tr>
        <w:trPr>
          <w:trHeight w:val="195"/>
        </w:trPr>
        <w:tc>
          <w:tcPr>
            <w:tcW w:w="632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Kenneth Chin</w:t>
            </w:r>
          </w:p>
        </w:tc>
        <w:tc>
          <w:tcPr>
            <w:tcW w:w="40" w:type="dxa"/>
            <w:vAlign w:val="bottom"/>
          </w:tcPr>
          <w:p>
            <w:pPr>
              <w:spacing w:after="0"/>
              <w:rPr>
                <w:sz w:val="16"/>
                <w:szCs w:val="16"/>
                <w:color w:val="auto"/>
              </w:rPr>
            </w:pPr>
          </w:p>
        </w:tc>
      </w:tr>
      <w:tr>
        <w:trPr>
          <w:trHeight w:val="230"/>
        </w:trPr>
        <w:tc>
          <w:tcPr>
            <w:tcW w:w="63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Title: Director Banking Products Services, US</w:t>
            </w:r>
          </w:p>
        </w:tc>
      </w:tr>
      <w:tr>
        <w:trPr>
          <w:trHeight w:val="514"/>
        </w:trPr>
        <w:tc>
          <w:tcPr>
            <w:tcW w:w="6320" w:type="dxa"/>
            <w:vAlign w:val="bottom"/>
          </w:tcPr>
          <w:p>
            <w:pPr>
              <w:spacing w:after="0"/>
              <w:rPr>
                <w:sz w:val="24"/>
                <w:szCs w:val="24"/>
                <w:color w:val="auto"/>
              </w:rPr>
            </w:pPr>
          </w:p>
        </w:tc>
        <w:tc>
          <w:tcPr>
            <w:tcW w:w="5140" w:type="dxa"/>
            <w:vAlign w:val="bottom"/>
            <w:gridSpan w:val="2"/>
          </w:tcPr>
          <w:p>
            <w:pPr>
              <w:ind w:left="3480"/>
              <w:spacing w:after="0"/>
              <w:rPr>
                <w:sz w:val="20"/>
                <w:szCs w:val="20"/>
                <w:color w:val="auto"/>
              </w:rPr>
            </w:pPr>
            <w:r>
              <w:rPr>
                <w:rFonts w:ascii="Arial" w:cs="Arial" w:eastAsia="Arial" w:hAnsi="Arial"/>
                <w:sz w:val="18"/>
                <w:szCs w:val="18"/>
                <w:color w:val="auto"/>
                <w:w w:val="91"/>
              </w:rPr>
              <w:t>PMLP 3</w:t>
            </w:r>
            <w:r>
              <w:rPr>
                <w:rFonts w:ascii="Arial" w:cs="Arial" w:eastAsia="Arial" w:hAnsi="Arial"/>
                <w:sz w:val="23"/>
                <w:szCs w:val="23"/>
                <w:color w:val="auto"/>
                <w:w w:val="91"/>
                <w:vertAlign w:val="superscript"/>
              </w:rPr>
              <w:t>rd</w:t>
            </w:r>
            <w:r>
              <w:rPr>
                <w:rFonts w:ascii="Arial" w:cs="Arial" w:eastAsia="Arial" w:hAnsi="Arial"/>
                <w:sz w:val="18"/>
                <w:szCs w:val="18"/>
                <w:color w:val="auto"/>
                <w:w w:val="91"/>
              </w:rPr>
              <w:t xml:space="preserve"> Amendment</w:t>
            </w:r>
          </w:p>
        </w:tc>
      </w:tr>
      <w:tr>
        <w:trPr>
          <w:trHeight w:val="350"/>
        </w:trPr>
        <w:tc>
          <w:tcPr>
            <w:tcW w:w="6320" w:type="dxa"/>
            <w:vAlign w:val="bottom"/>
          </w:tcPr>
          <w:p>
            <w:pPr>
              <w:ind w:left="5580"/>
              <w:spacing w:after="0"/>
              <w:rPr>
                <w:sz w:val="20"/>
                <w:szCs w:val="20"/>
                <w:color w:val="auto"/>
              </w:rPr>
            </w:pPr>
            <w:r>
              <w:rPr>
                <w:rFonts w:ascii="Arial" w:cs="Arial" w:eastAsia="Arial" w:hAnsi="Arial"/>
                <w:sz w:val="18"/>
                <w:szCs w:val="18"/>
                <w:color w:val="auto"/>
              </w:rPr>
              <w:t>S-5</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DEUTSCHE BANK AG NEW YORK BRANCH</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Ming K. Chu</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Ming K. Chu</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Virginia Cosenza</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Virginia Cosenza</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FIFTH THIRD BANK</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Hayes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ING CAPITAL LLC</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Cheryl LaBelle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Cheryl LaBelle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Subha Pasumarti</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Subha Pasumarti</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PNC BANK, NATIONAL ASSOCIATION</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 Colin Warman</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M. Colin Warman</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Managing Director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color w:val="auto"/>
              </w:rPr>
              <w:t>REGIONS BANK</w:t>
            </w:r>
            <w:r>
              <w:rPr>
                <w:rFonts w:ascii="Arial" w:cs="Arial" w:eastAsia="Arial" w:hAnsi="Arial"/>
                <w:sz w:val="17"/>
                <w:szCs w:val="17"/>
                <w:color w:val="auto"/>
              </w:rPr>
              <w:t>, Lender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Valentine</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David Valentine</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r>
        <w:rPr>
          <w:rFonts w:ascii="Arial" w:cs="Arial" w:eastAsia="Arial" w:hAnsi="Arial"/>
          <w:sz w:val="17"/>
          <w:szCs w:val="17"/>
          <w:color w:val="auto"/>
        </w:rPr>
        <w:t>, Lender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Jeffrey</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Patrick Jeffrey</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ectPr>
          <w:pgSz w:w="11900" w:h="16838" w:orient="portrait"/>
          <w:cols w:equalWidth="0" w:num="1">
            <w:col w:w="11460"/>
          </w:cols>
          <w:pgMar w:left="240" w:top="125" w:right="199" w:bottom="0" w:gutter="0" w:footer="0" w:header="0"/>
        </w:sectPr>
      </w:pPr>
    </w:p>
    <w:bookmarkStart w:id="35" w:name="page36"/>
    <w:bookmarkEnd w:id="35"/>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PMLP EXTENDING AND NON-EXTENDING LENDERS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EXTENDING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Bank,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Montreal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Imperial Bank of Commerce, New York Agency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Compass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Sumitomo Mitsui Banking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Nova Scotia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Tokyo-Mitsubishi UFJ,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Loan Finance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 New York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NON-EXTENDING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Société Generalé</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PMLP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o"/>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lowerLetter"/>
      <w:start w:val="2"/>
    </w:lvl>
  </w:abstractNum>
  <w:abstractNum w:abstractNumId="5">
    <w:nsid w:val="2D517796"/>
    <w:multiLevelType w:val="hybridMultilevel"/>
    <w:lvl w:ilvl="0">
      <w:lvlJc w:val="left"/>
      <w:lvlText w:val="(%1)"/>
      <w:numFmt w:val="lowerLetter"/>
      <w:start w:val="6"/>
    </w:lvl>
  </w:abstractNum>
  <w:abstractNum w:abstractNumId="6">
    <w:nsid w:val="580BD78F"/>
    <w:multiLevelType w:val="hybridMultilevel"/>
    <w:lvl w:ilvl="0">
      <w:lvlJc w:val="left"/>
      <w:lvlText w:val="§"/>
      <w:numFmt w:val="bullet"/>
      <w:start w:val="1"/>
    </w:lvl>
    <w:lvl w:ilvl="1">
      <w:lvlJc w:val="left"/>
      <w:lvlText w:val="(%2)"/>
      <w:numFmt w:val="lowerLetter"/>
      <w:start w:val="1"/>
    </w:lvl>
  </w:abstractNum>
  <w:abstractNum w:abstractNumId="7">
    <w:nsid w:val="153EA438"/>
    <w:multiLevelType w:val="hybridMultilevel"/>
    <w:lvl w:ilvl="0">
      <w:lvlJc w:val="left"/>
      <w:lvlText w:val="§"/>
      <w:numFmt w:val="bullet"/>
      <w:start w:val="1"/>
    </w:lvl>
    <w:lvl w:ilvl="1">
      <w:lvlJc w:val="left"/>
      <w:lvlText w:val="(%2)"/>
      <w:numFmt w:val="lowerRoman"/>
      <w:start w:val="5"/>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1)"/>
      <w:numFmt w:val="lowerLetter"/>
      <w:start w:val="1"/>
    </w:lvl>
    <w:lvl w:ilvl="1">
      <w:lvlJc w:val="left"/>
      <w:lvlText w:val="(%2)"/>
      <w:numFmt w:val="upperLetter"/>
      <w:start w:val="3"/>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lowerRoman"/>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lowerLetter"/>
      <w:start w:val="1"/>
    </w:lvl>
    <w:lvl w:ilvl="1">
      <w:lvlJc w:val="left"/>
      <w:lvlText w:val="(%2)"/>
      <w:numFmt w:val="lowerLetter"/>
      <w:start w:val="9"/>
    </w:lvl>
  </w:abstractNum>
  <w:abstractNum w:abstractNumId="19">
    <w:nsid w:val="6DE91B18"/>
    <w:multiLevelType w:val="hybridMultilevel"/>
    <w:lvl w:ilvl="0">
      <w:lvlJc w:val="left"/>
      <w:lvlText w:val="(%1)"/>
      <w:numFmt w:val="lowerRoman"/>
      <w:start w:val="2"/>
    </w:lvl>
  </w:abstractNum>
  <w:abstractNum w:abstractNumId="20">
    <w:nsid w:val="38437FDB"/>
    <w:multiLevelType w:val="hybridMultilevel"/>
    <w:lvl w:ilvl="0">
      <w:lvlJc w:val="left"/>
      <w:lvlText w:val="%1"/>
      <w:numFmt w:val="lowerLetter"/>
      <w:start w:val="1"/>
    </w:lvl>
    <w:lvl w:ilvl="1">
      <w:lvlJc w:val="left"/>
      <w:lvlText w:val="(%2)"/>
      <w:numFmt w:val="lowerRoman"/>
      <w:start w:val="4"/>
    </w:lvl>
  </w:abstractNum>
  <w:abstractNum w:abstractNumId="21">
    <w:nsid w:val="7644A45C"/>
    <w:multiLevelType w:val="hybridMultilevel"/>
    <w:lvl w:ilvl="0">
      <w:lvlJc w:val="left"/>
      <w:lvlText w:val="(%1)"/>
      <w:numFmt w:val="lowerLetter"/>
      <w:start w:val="2"/>
    </w:lvl>
    <w:lvl w:ilvl="1">
      <w:lvlJc w:val="left"/>
      <w:lvlText w:val="(%2)"/>
      <w:numFmt w:val="lowerRoman"/>
      <w:start w:val="6"/>
    </w:lvl>
  </w:abstractNum>
  <w:abstractNum w:abstractNumId="22">
    <w:nsid w:val="32FFF902"/>
    <w:multiLevelType w:val="hybridMultilevel"/>
    <w:lvl w:ilvl="0">
      <w:lvlJc w:val="left"/>
      <w:lvlText w:val="(%1)"/>
      <w:numFmt w:val="lowerLetter"/>
      <w:start w:val="2"/>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lowerLetter"/>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3"/>
    </w:lvl>
  </w:abstractNum>
  <w:abstractNum w:abstractNumId="31">
    <w:nsid w:val="70C6A529"/>
    <w:multiLevelType w:val="hybridMultilevel"/>
    <w:lvl w:ilvl="0">
      <w:lvlJc w:val="left"/>
      <w:lvlText w:val="§"/>
      <w:numFmt w:val="bullet"/>
      <w:start w:val="1"/>
    </w:lvl>
    <w:lvl w:ilvl="1">
      <w:lvlJc w:val="left"/>
      <w:lvlText w:val="(%2)"/>
      <w:numFmt w:val="lowerRoman"/>
      <w:start w:val="5"/>
    </w:lvl>
  </w:abstractNum>
  <w:abstractNum w:abstractNumId="32">
    <w:nsid w:val="520EEDD1"/>
    <w:multiLevelType w:val="hybridMultilevel"/>
    <w:lvl w:ilvl="0">
      <w:lvlJc w:val="left"/>
      <w:lvlText w:val="(%1)"/>
      <w:numFmt w:val="lowerLetter"/>
      <w:start w:val="1"/>
    </w:lvl>
  </w:abstractNum>
  <w:abstractNum w:abstractNumId="33">
    <w:nsid w:val="374A3FE6"/>
    <w:multiLevelType w:val="hybridMultilevel"/>
    <w:lvl w:ilvl="0">
      <w:lvlJc w:val="left"/>
      <w:lvlText w:val="(%1)"/>
      <w:numFmt w:val="lowerLetter"/>
      <w:start w:val="2"/>
    </w:lvl>
    <w:lvl w:ilvl="1">
      <w:lvlJc w:val="left"/>
      <w:lvlText w:val="(%2)"/>
      <w:numFmt w:val="upperLetter"/>
      <w:start w:val="3"/>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1)"/>
      <w:numFmt w:val="lowerLetter"/>
      <w:start w:val="1"/>
    </w:lvl>
    <w:lvl w:ilvl="1">
      <w:lvlJc w:val="left"/>
      <w:lvlText w:val="(%2)"/>
      <w:numFmt w:val="lowerRoman"/>
      <w:start w:val="1"/>
    </w:lvl>
  </w:abstractNum>
  <w:abstractNum w:abstractNumId="36">
    <w:nsid w:val="649BB77C"/>
    <w:multiLevelType w:val="hybridMultilevel"/>
    <w:lvl w:ilvl="0">
      <w:lvlJc w:val="left"/>
      <w:lvlText w:val="§"/>
      <w:numFmt w:val="bullet"/>
      <w:start w:val="1"/>
    </w:lvl>
    <w:lvl w:ilvl="1">
      <w:lvlJc w:val="left"/>
      <w:lvlText w:val="(%2)"/>
      <w:numFmt w:val="lowerRoman"/>
      <w:start w:val="3"/>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1)"/>
      <w:numFmt w:val="lowerLetter"/>
      <w:start w:val="1"/>
    </w:lvl>
    <w:lvl w:ilvl="1">
      <w:lvlJc w:val="left"/>
      <w:lvlText w:val="(%2)"/>
      <w:numFmt w:val="lowerLetter"/>
      <w:start w:val="9"/>
    </w:lvl>
  </w:abstractNum>
  <w:abstractNum w:abstractNumId="41">
    <w:nsid w:val="235BA861"/>
    <w:multiLevelType w:val="hybridMultilevel"/>
    <w:lvl w:ilvl="0">
      <w:lvlJc w:val="left"/>
      <w:lvlText w:val="%1"/>
      <w:numFmt w:val="lowerLetter"/>
      <w:start w:val="1"/>
    </w:lvl>
    <w:lvl w:ilvl="1">
      <w:lvlJc w:val="left"/>
      <w:lvlText w:val="(%2)"/>
      <w:numFmt w:val="lowerRoman"/>
      <w:start w:val="2"/>
    </w:lvl>
  </w:abstractNum>
  <w:abstractNum w:abstractNumId="42">
    <w:nsid w:val="47398C89"/>
    <w:multiLevelType w:val="hybridMultilevel"/>
    <w:lvl w:ilvl="0">
      <w:lvlJc w:val="left"/>
      <w:lvlText w:val="(%1)"/>
      <w:numFmt w:val="lowerLetter"/>
      <w:start w:val="2"/>
    </w:lvl>
    <w:lvl w:ilvl="1">
      <w:lvlJc w:val="left"/>
      <w:lvlText w:val="%2"/>
      <w:numFmt w:val="lowerRoman"/>
      <w:start w:val="1"/>
    </w:lvl>
  </w:abstractNum>
  <w:abstractNum w:abstractNumId="43">
    <w:nsid w:val="354FE9F9"/>
    <w:multiLevelType w:val="hybridMultilevel"/>
    <w:lvl w:ilvl="0">
      <w:lvlJc w:val="left"/>
      <w:lvlText w:val="(%1)"/>
      <w:numFmt w:val="lowerLetter"/>
      <w:start w:val="5"/>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1)"/>
      <w:numFmt w:val="lowerLetter"/>
      <w:start w:val="1"/>
    </w:lvl>
  </w:abstractNum>
  <w:abstractNum w:abstractNumId="52">
    <w:nsid w:val="579BE4F1"/>
    <w:multiLevelType w:val="hybridMultilevel"/>
    <w:lvl w:ilvl="0">
      <w:lvlJc w:val="left"/>
      <w:lvlText w:val="(%1)"/>
      <w:numFmt w:val="lowerLetter"/>
      <w:start w:val="2"/>
    </w:lvl>
  </w:abstractNum>
  <w:abstractNum w:abstractNumId="53">
    <w:nsid w:val="310C50B3"/>
    <w:multiLevelType w:val="hybridMultilevel"/>
    <w:lvl w:ilvl="0">
      <w:lvlJc w:val="left"/>
      <w:lvlText w:val="(%1)"/>
      <w:numFmt w:val="lowerLetter"/>
      <w:start w:val="6"/>
    </w:lvl>
  </w:abstractNum>
  <w:abstractNum w:abstractNumId="54">
    <w:nsid w:val="5FF87E05"/>
    <w:multiLevelType w:val="hybridMultilevel"/>
    <w:lvl w:ilvl="0">
      <w:lvlJc w:val="left"/>
      <w:lvlText w:val="§"/>
      <w:numFmt w:val="bullet"/>
      <w:start w:val="1"/>
    </w:lvl>
    <w:lvl w:ilvl="1">
      <w:lvlJc w:val="left"/>
      <w:lvlText w:val="(%2)"/>
      <w:numFmt w:val="lowerLetter"/>
      <w:start w:val="1"/>
    </w:lvl>
  </w:abstractNum>
  <w:abstractNum w:abstractNumId="55">
    <w:nsid w:val="2F305DEF"/>
    <w:multiLevelType w:val="hybridMultilevel"/>
    <w:lvl w:ilvl="0">
      <w:lvlJc w:val="left"/>
      <w:lvlText w:val="§"/>
      <w:numFmt w:val="bullet"/>
      <w:start w:val="1"/>
    </w:lvl>
    <w:lvl w:ilvl="1">
      <w:lvlJc w:val="left"/>
      <w:lvlText w:val="(%2)"/>
      <w:numFmt w:val="lowerRoman"/>
      <w:start w:val="5"/>
    </w:lvl>
  </w:abstractNum>
  <w:abstractNum w:abstractNumId="56">
    <w:nsid w:val="25A70BF7"/>
    <w:multiLevelType w:val="hybridMultilevel"/>
    <w:lvl w:ilvl="0">
      <w:lvlJc w:val="left"/>
      <w:lvlText w:val="(%1)"/>
      <w:numFmt w:val="lowerRoman"/>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lowerLetter"/>
      <w:start w:val="1"/>
    </w:lvl>
    <w:lvl w:ilvl="1">
      <w:lvlJc w:val="left"/>
      <w:lvlText w:val="(%2)"/>
      <w:numFmt w:val="lowerLetter"/>
      <w:start w:val="9"/>
    </w:lvl>
  </w:abstractNum>
  <w:abstractNum w:abstractNumId="62">
    <w:nsid w:val="100F8FCA"/>
    <w:multiLevelType w:val="hybridMultilevel"/>
    <w:lvl w:ilvl="0">
      <w:lvlJc w:val="left"/>
      <w:lvlText w:val="(%1)"/>
      <w:numFmt w:val="lowerRoman"/>
      <w:start w:val="2"/>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lowerLetter"/>
      <w:start w:val="1"/>
    </w:lvl>
    <w:lvl w:ilvl="1">
      <w:lvlJc w:val="left"/>
      <w:lvlText w:val="(%2)"/>
      <w:numFmt w:val="lowerRoman"/>
      <w:start w:val="1"/>
    </w:lvl>
  </w:abstractNum>
  <w:abstractNum w:abstractNumId="67">
    <w:nsid w:val="799D0247"/>
    <w:multiLevelType w:val="hybridMultilevel"/>
    <w:lvl w:ilvl="0">
      <w:lvlJc w:val="left"/>
      <w:lvlText w:val="%1"/>
      <w:numFmt w:val="lowerLetter"/>
      <w:start w:val="1"/>
    </w:lvl>
    <w:lvl w:ilvl="1">
      <w:lvlJc w:val="left"/>
      <w:lvlText w:val="(%2)"/>
      <w:numFmt w:val="lowerRoman"/>
      <w:start w:val="6"/>
    </w:lvl>
  </w:abstractNum>
  <w:abstractNum w:abstractNumId="68">
    <w:nsid w:val="6B94764"/>
    <w:multiLevelType w:val="hybridMultilevel"/>
    <w:lvl w:ilvl="0">
      <w:lvlJc w:val="left"/>
      <w:lvlText w:val="(%1)"/>
      <w:numFmt w:val="lowerLetter"/>
      <w:start w:val="2"/>
    </w:lvl>
  </w:abstractNum>
  <w:abstractNum w:abstractNumId="69">
    <w:nsid w:val="42C296BD"/>
    <w:multiLevelType w:val="hybridMultilevel"/>
    <w:lvl w:ilvl="0">
      <w:lvlJc w:val="left"/>
      <w:lvlText w:val="(%1)"/>
      <w:numFmt w:val="lowerLetter"/>
      <w:start w:val="4"/>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2020-01-21T03:48:58Z</dcterms:created>
  <dcterms:modified xsi:type="dcterms:W3CDTF">2020-01-21T03:48:58Z</dcterms:modified>
</cp:coreProperties>
</file>