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333-214778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142875</wp:posOffset>
            </wp:positionV>
            <wp:extent cx="200660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660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143,936,001 Common Units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40" w:firstLine="324"/>
        <w:spacing w:after="0" w:line="279" w:lineRule="auto"/>
        <w:rPr>
          <w:sz w:val="20"/>
          <w:szCs w:val="20"/>
          <w:color w:val="auto"/>
        </w:rPr>
      </w:pPr>
      <w:r>
        <w:rPr>
          <w:rFonts w:ascii="Arial" w:cs="Arial" w:eastAsia="Arial" w:hAnsi="Arial"/>
          <w:sz w:val="17"/>
          <w:szCs w:val="17"/>
          <w:color w:val="auto"/>
        </w:rPr>
        <w:t>This prospectus supplement updates and amends certain information contained in the prospectus dated December 7, 2016, as supplemented by the prospectus supplement dated December 30, 2016 (as supplemented, the “Prospectus”), covering the resale by selling unitholders of up to an aggregate of 143,936,001 common units representing limited partner interests in us. This prospectus supplement is not complete without, and may not be utilized except in connection with, the Prospectus, including any additional amendments or supplements thereto.</w:t>
      </w:r>
    </w:p>
    <w:p>
      <w:pPr>
        <w:spacing w:after="0" w:line="167" w:lineRule="exact"/>
        <w:rPr>
          <w:sz w:val="24"/>
          <w:szCs w:val="24"/>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the prospectus dated December 7, 2016 before you make an investment in our common units.</w:t>
      </w:r>
    </w:p>
    <w:p>
      <w:pPr>
        <w:spacing w:after="0" w:line="176" w:lineRule="exact"/>
        <w:rPr>
          <w:sz w:val="24"/>
          <w:szCs w:val="24"/>
          <w:color w:val="auto"/>
        </w:rPr>
      </w:pPr>
    </w:p>
    <w:p>
      <w:pPr>
        <w:ind w:right="44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common units or determined if this prospectus supplement is truthful or complete. Any representation to the contrary is a criminal offense.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580" w:firstLine="324"/>
        <w:spacing w:after="0" w:line="286" w:lineRule="auto"/>
        <w:rPr>
          <w:sz w:val="20"/>
          <w:szCs w:val="20"/>
          <w:color w:val="auto"/>
        </w:rPr>
      </w:pPr>
      <w:r>
        <w:rPr>
          <w:rFonts w:ascii="Arial" w:cs="Arial" w:eastAsia="Arial" w:hAnsi="Arial"/>
          <w:sz w:val="17"/>
          <w:szCs w:val="17"/>
          <w:color w:val="auto"/>
        </w:rPr>
        <w:t>This prospectus supplement is being filed to amend and supplement the information that appears under the caption “Selling Unitholders” in the Prospectus. Capitalized terms that are not defined in this prospectus supplement are defined in the Prospectus. All AAP unit amounts appearing in this prospectus supplement have been adjusted to reflect the reverse split effected by Plains AAP, L.P. on November 15, 2016.</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UNITHOLDERS</w:t>
      </w:r>
    </w:p>
    <w:p>
      <w:pPr>
        <w:spacing w:after="0" w:line="229" w:lineRule="exact"/>
        <w:rPr>
          <w:sz w:val="24"/>
          <w:szCs w:val="24"/>
          <w:color w:val="auto"/>
        </w:rPr>
      </w:pPr>
    </w:p>
    <w:p>
      <w:pPr>
        <w:ind w:right="40" w:firstLine="324"/>
        <w:spacing w:after="0" w:line="259" w:lineRule="auto"/>
        <w:rPr>
          <w:sz w:val="20"/>
          <w:szCs w:val="20"/>
          <w:color w:val="auto"/>
        </w:rPr>
      </w:pPr>
      <w:r>
        <w:rPr>
          <w:rFonts w:ascii="Arial" w:cs="Arial" w:eastAsia="Arial" w:hAnsi="Arial"/>
          <w:sz w:val="18"/>
          <w:szCs w:val="18"/>
          <w:color w:val="auto"/>
        </w:rPr>
        <w:t>On or about December 31, 2016, PAA Management, L.P. (“PAA Management”) and its general partner, PAA Management LLC, dissolved and wound up their affairs (the “Dissolution”). As a result of the Dissolution, 8,199,844 AAP Units previously held by PAA Management were distributed pro rata to the partners of PAA Management, all of whom are either current or former members of PAA senior management or affiliates of current and former members of PAA senior management.</w:t>
      </w:r>
    </w:p>
    <w:p>
      <w:pPr>
        <w:spacing w:after="0" w:line="187" w:lineRule="exact"/>
        <w:rPr>
          <w:sz w:val="24"/>
          <w:szCs w:val="24"/>
          <w:color w:val="auto"/>
        </w:rPr>
      </w:pPr>
    </w:p>
    <w:p>
      <w:pPr>
        <w:ind w:right="640" w:firstLine="324"/>
        <w:spacing w:after="0" w:line="277" w:lineRule="auto"/>
        <w:rPr>
          <w:sz w:val="20"/>
          <w:szCs w:val="20"/>
          <w:color w:val="auto"/>
        </w:rPr>
      </w:pPr>
      <w:r>
        <w:rPr>
          <w:rFonts w:ascii="Arial" w:cs="Arial" w:eastAsia="Arial" w:hAnsi="Arial"/>
          <w:sz w:val="18"/>
          <w:szCs w:val="18"/>
          <w:color w:val="auto"/>
        </w:rPr>
        <w:t>We are amending the Selling Unitholders table in the Prospectus to reflect these transfers and to include or update information with respect to the transferees of such interests.</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March 15, 2017, there were 723,404,994 common units outstanding.</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Percentage of</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Common Units</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Common Units</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be</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Unitholders</w:t>
            </w: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Offered</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the Offering</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the Offering</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Hereby</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Offering</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PAA Management, L.P.</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Current and Former Executive Officers: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Greg Armstrong(1)</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7,225,139</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5,757,268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1,467,871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Harry Pefanis(2)</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4,616,520</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3,768,988</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847,532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 Gorman(3)</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1,201,095</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1,026,441</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174,654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Phillip Kramer(4)</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1,176,465</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781,144</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395,321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 Swanson(5)</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534,618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433,620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100,998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W. David Duckett(6)</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500,248</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500,248</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John von Berg(7)</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344,451</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344,451</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Daniel Nerbonne(8)</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160,913</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4,913</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156,000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Richard McGee(9)</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128,159</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14,739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Christopher Herbold(10)</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42,427</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8,200</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34,227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Current Officers as a Group</w:t>
            </w:r>
            <w:r>
              <w:rPr>
                <w:rFonts w:ascii="Arial" w:cs="Arial" w:eastAsia="Arial" w:hAnsi="Arial"/>
                <w:sz w:val="18"/>
                <w:szCs w:val="18"/>
                <w:color w:val="auto"/>
              </w:rPr>
              <w:t>(11)</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2,674,243</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1,769,804</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904,439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Other Former Officers as a Group</w:t>
            </w:r>
            <w:r>
              <w:rPr>
                <w:rFonts w:ascii="Arial" w:cs="Arial" w:eastAsia="Arial" w:hAnsi="Arial"/>
                <w:sz w:val="18"/>
                <w:szCs w:val="18"/>
                <w:color w:val="auto"/>
              </w:rPr>
              <w:t>(12)</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2,734,192</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1,788,831</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945,361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Selling Unitholders as a Group</w:t>
            </w:r>
            <w:r>
              <w:rPr>
                <w:rFonts w:ascii="Arial" w:cs="Arial" w:eastAsia="Arial" w:hAnsi="Arial"/>
                <w:sz w:val="18"/>
                <w:szCs w:val="18"/>
                <w:color w:val="auto"/>
              </w:rPr>
              <w:t>(13)</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211,406</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211,206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0" w:gutter="0" w:footer="0" w:header="0"/>
        </w:sectPr>
      </w:pPr>
    </w:p>
    <w:bookmarkStart w:id="1" w:name="page2"/>
    <w:bookmarkEnd w:id="1"/>
    <w:p>
      <w:pPr>
        <w:ind w:left="612" w:hanging="612"/>
        <w:spacing w:after="0"/>
        <w:tabs>
          <w:tab w:leader="none" w:pos="612"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t>Less than one percent.</w:t>
      </w:r>
    </w:p>
    <w:p>
      <w:pPr>
        <w:spacing w:after="0" w:line="23" w:lineRule="exact"/>
        <w:rPr>
          <w:sz w:val="20"/>
          <w:szCs w:val="20"/>
          <w:color w:val="auto"/>
        </w:rPr>
      </w:pPr>
    </w:p>
    <w:p>
      <w:pPr>
        <w:ind w:left="612" w:hanging="612"/>
        <w:spacing w:after="0" w:line="250" w:lineRule="auto"/>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Armstrong is the Chairman of the board of directors of PAGP GP and Chief Executive Officer of GP LLC. Common units offered hereby for Mr. Armstrong includes 2,071,859 AAP units received in connection with the Dissolution, and 3,685,409 AAP units previously acquired and covered by this Prospectus.</w:t>
      </w:r>
    </w:p>
    <w:p>
      <w:pPr>
        <w:spacing w:after="0" w:line="1" w:lineRule="exact"/>
        <w:rPr>
          <w:rFonts w:ascii="Arial" w:cs="Arial" w:eastAsia="Arial" w:hAnsi="Arial"/>
          <w:sz w:val="18"/>
          <w:szCs w:val="18"/>
          <w:color w:val="auto"/>
        </w:rPr>
      </w:pPr>
    </w:p>
    <w:p>
      <w:pPr>
        <w:ind w:left="612" w:right="100" w:hanging="612"/>
        <w:spacing w:after="0" w:line="281" w:lineRule="auto"/>
        <w:tabs>
          <w:tab w:leader="none" w:pos="612"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Pefanis is a director of PAGP GP and President and Chief Operating Officer of GP LLC. Common units offered hereby for Mr. Pefanis includes 1,181,676 AAP units received in connection with the Dissolution, and 2,587,312 AAP units previously acquired and covered by this Prospectus.</w:t>
      </w:r>
    </w:p>
    <w:p>
      <w:pPr>
        <w:spacing w:after="0" w:line="1" w:lineRule="exact"/>
        <w:rPr>
          <w:rFonts w:ascii="Arial" w:cs="Arial" w:eastAsia="Arial" w:hAnsi="Arial"/>
          <w:sz w:val="16"/>
          <w:szCs w:val="16"/>
          <w:color w:val="auto"/>
        </w:rPr>
      </w:pPr>
    </w:p>
    <w:p>
      <w:pPr>
        <w:ind w:left="612" w:right="520" w:hanging="612"/>
        <w:spacing w:after="0" w:line="250" w:lineRule="auto"/>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Gorman is an Executive Vice President of GP LLC. Common units offered hereby for Mr. Gorman includes 16,400 AAP units received in connection with the Dissolution, and 1,010,041 AAP units previously acquired and covered by this Prospectus.</w:t>
      </w:r>
    </w:p>
    <w:p>
      <w:pPr>
        <w:ind w:left="612" w:hanging="612"/>
        <w:spacing w:after="0"/>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Kramer is a former Executive Vice President of GP LLC.</w:t>
      </w:r>
    </w:p>
    <w:p>
      <w:pPr>
        <w:spacing w:after="0" w:line="9" w:lineRule="exact"/>
        <w:rPr>
          <w:rFonts w:ascii="Arial" w:cs="Arial" w:eastAsia="Arial" w:hAnsi="Arial"/>
          <w:sz w:val="18"/>
          <w:szCs w:val="18"/>
          <w:color w:val="auto"/>
        </w:rPr>
      </w:pPr>
    </w:p>
    <w:p>
      <w:pPr>
        <w:ind w:left="612" w:hanging="612"/>
        <w:spacing w:after="0"/>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Swanson is the Executive Vice President and Chief Financial Officer of GP LLC.</w:t>
      </w:r>
    </w:p>
    <w:p>
      <w:pPr>
        <w:spacing w:after="0" w:line="9" w:lineRule="exact"/>
        <w:rPr>
          <w:rFonts w:ascii="Arial" w:cs="Arial" w:eastAsia="Arial" w:hAnsi="Arial"/>
          <w:sz w:val="18"/>
          <w:szCs w:val="18"/>
          <w:color w:val="auto"/>
        </w:rPr>
      </w:pPr>
    </w:p>
    <w:p>
      <w:pPr>
        <w:ind w:left="612" w:hanging="612"/>
        <w:spacing w:after="0"/>
        <w:tabs>
          <w:tab w:leader="none" w:pos="612" w:val="left"/>
        </w:tabs>
        <w:numPr>
          <w:ilvl w:val="0"/>
          <w:numId w:val="2"/>
        </w:numPr>
        <w:rPr>
          <w:rFonts w:ascii="Arial" w:cs="Arial" w:eastAsia="Arial" w:hAnsi="Arial"/>
          <w:sz w:val="17"/>
          <w:szCs w:val="17"/>
          <w:color w:val="auto"/>
        </w:rPr>
      </w:pPr>
      <w:r>
        <w:rPr>
          <w:rFonts w:ascii="Arial" w:cs="Arial" w:eastAsia="Arial" w:hAnsi="Arial"/>
          <w:sz w:val="17"/>
          <w:szCs w:val="17"/>
          <w:color w:val="auto"/>
        </w:rPr>
        <w:t>Mr. Duckett is the former Chief Executive Officer of Plains Midstream Canada ULC (“Plains Midstream Canada”), our wholly owned subsidiary.</w:t>
      </w:r>
    </w:p>
    <w:p>
      <w:pPr>
        <w:spacing w:after="0" w:line="20" w:lineRule="exact"/>
        <w:rPr>
          <w:rFonts w:ascii="Arial" w:cs="Arial" w:eastAsia="Arial" w:hAnsi="Arial"/>
          <w:sz w:val="17"/>
          <w:szCs w:val="17"/>
          <w:color w:val="auto"/>
        </w:rPr>
      </w:pPr>
    </w:p>
    <w:p>
      <w:pPr>
        <w:ind w:left="612" w:hanging="612"/>
        <w:spacing w:after="0"/>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von Berg is the Executive Vice President of Commercial Activities of GP LLC.</w:t>
      </w:r>
    </w:p>
    <w:p>
      <w:pPr>
        <w:spacing w:after="0" w:line="9" w:lineRule="exact"/>
        <w:rPr>
          <w:rFonts w:ascii="Arial" w:cs="Arial" w:eastAsia="Arial" w:hAnsi="Arial"/>
          <w:sz w:val="18"/>
          <w:szCs w:val="18"/>
          <w:color w:val="auto"/>
        </w:rPr>
      </w:pPr>
    </w:p>
    <w:p>
      <w:pPr>
        <w:ind w:left="612" w:hanging="612"/>
        <w:spacing w:after="0"/>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Nerbonne is the Executive Vice President of Operations &amp; Engineering of GP LLC.</w:t>
      </w:r>
    </w:p>
    <w:p>
      <w:pPr>
        <w:spacing w:after="0" w:line="9" w:lineRule="exact"/>
        <w:rPr>
          <w:rFonts w:ascii="Arial" w:cs="Arial" w:eastAsia="Arial" w:hAnsi="Arial"/>
          <w:sz w:val="18"/>
          <w:szCs w:val="18"/>
          <w:color w:val="auto"/>
        </w:rPr>
      </w:pPr>
    </w:p>
    <w:p>
      <w:pPr>
        <w:ind w:left="612" w:hanging="612"/>
        <w:spacing w:after="0"/>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McGee is the Executive Vice President, General Counsel and Secretary of GP LLC.</w:t>
      </w:r>
    </w:p>
    <w:p>
      <w:pPr>
        <w:spacing w:after="0" w:line="9" w:lineRule="exact"/>
        <w:rPr>
          <w:rFonts w:ascii="Arial" w:cs="Arial" w:eastAsia="Arial" w:hAnsi="Arial"/>
          <w:sz w:val="18"/>
          <w:szCs w:val="18"/>
          <w:color w:val="auto"/>
        </w:rPr>
      </w:pPr>
    </w:p>
    <w:p>
      <w:pPr>
        <w:ind w:left="612" w:hanging="612"/>
        <w:spacing w:after="0"/>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Herbold is the Vice President of Accounting and Chief Accounting Officer of GP LLC.</w:t>
      </w:r>
    </w:p>
    <w:p>
      <w:pPr>
        <w:spacing w:after="0" w:line="9" w:lineRule="exact"/>
        <w:rPr>
          <w:rFonts w:ascii="Arial" w:cs="Arial" w:eastAsia="Arial" w:hAnsi="Arial"/>
          <w:sz w:val="18"/>
          <w:szCs w:val="18"/>
          <w:color w:val="auto"/>
        </w:rPr>
      </w:pPr>
    </w:p>
    <w:p>
      <w:pPr>
        <w:ind w:left="612" w:right="120" w:hanging="612"/>
        <w:spacing w:after="0" w:line="281" w:lineRule="auto"/>
        <w:tabs>
          <w:tab w:leader="none" w:pos="612"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eight persons not otherwise listed above that collectively beneficially own approximately 0.37% of the common units. All of the selling unitholders in this group are current officers of GP LLC. Common units offered hereby for Other Current Officers as a Group includes an aggregate of 887,500 AAP units received in connection with the Dissolution, and 882,304 AAP units previously acquired and covered by this Prospectus.</w:t>
      </w:r>
    </w:p>
    <w:p>
      <w:pPr>
        <w:spacing w:after="0" w:line="2" w:lineRule="exact"/>
        <w:rPr>
          <w:rFonts w:ascii="Arial" w:cs="Arial" w:eastAsia="Arial" w:hAnsi="Arial"/>
          <w:sz w:val="16"/>
          <w:szCs w:val="16"/>
          <w:color w:val="auto"/>
        </w:rPr>
      </w:pPr>
    </w:p>
    <w:p>
      <w:pPr>
        <w:ind w:left="612" w:right="180" w:hanging="612"/>
        <w:spacing w:after="0" w:line="250" w:lineRule="auto"/>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nine persons not otherwise listed above that collectively beneficially own approximately 0.38% of the common units. All of the selling unitholders in this group are former officers of GP LLC or Plains Midstream Canada. Common units offered hereby for Other Former Officers as a Group includes an aggregate of 1,726,202 AAP units received in connection with the Dissolution, and 62,629 AAP units previously acquired and covered by this Prospectus.</w:t>
      </w:r>
    </w:p>
    <w:p>
      <w:pPr>
        <w:spacing w:after="0" w:line="1" w:lineRule="exact"/>
        <w:rPr>
          <w:rFonts w:ascii="Arial" w:cs="Arial" w:eastAsia="Arial" w:hAnsi="Arial"/>
          <w:sz w:val="18"/>
          <w:szCs w:val="18"/>
          <w:color w:val="auto"/>
        </w:rPr>
      </w:pPr>
    </w:p>
    <w:p>
      <w:pPr>
        <w:ind w:left="612" w:right="160" w:hanging="612"/>
        <w:spacing w:after="0" w:line="261" w:lineRule="auto"/>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a total of six trusts established for the benefit of the children of a current officer and a former officer. Collectively, these trusts beneficially own approximately 0.03% of the common units.</w:t>
      </w:r>
    </w:p>
    <w:p>
      <w:pPr>
        <w:spacing w:after="0" w:line="18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72"/>
      </w:cols>
      <w:pgMar w:left="248" w:top="24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2020-01-16T17:35:36Z</dcterms:created>
  <dcterms:modified xsi:type="dcterms:W3CDTF">2020-01-16T17:35:36Z</dcterms:modified>
</cp:coreProperties>
</file>