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18386d1_8k.htm"/>
      <w:bookmarkStart w:id="1" w:name="kstm2418386d1_8k"/>
      <w:bookmarkEnd w:id="0"/>
      <w:bookmarkEnd w:id="1"/>
      <w:r>
        <w:rPr/>
        <w:t> </w:t>
      </w:r>
    </w:p>
    <w:p>
      <w:pPr>
        <w:pStyle w:val="TextBody"/>
        <w:bidi w:val="0"/>
        <w:jc w:val="center"/>
        <w:rPr/>
      </w:pPr>
      <w:bookmarkStart w:id="2" w:name="xdx_908_edei--EntityRegistrantName_dxL_c"/>
      <w:bookmarkEnd w:id="2"/>
      <w:r>
        <w:rPr/>
        <w:t>PLAINS GP HOLDINGS LP</w:t>
      </w:r>
    </w:p>
    <w:p>
      <w:pPr>
        <w:pStyle w:val="TextBody"/>
        <w:bidi w:val="0"/>
        <w:jc w:val="center"/>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0_edei--DocumentType_c20240627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0_edei--DocumentPeriodEndDate_c202"/>
      <w:bookmarkEnd w:id="4"/>
      <w:r>
        <w:rPr>
          <w:rFonts w:ascii="Times New Roman;Times;Serif" w:hAnsi="Times New Roman;Times;Serif"/>
          <w:b/>
          <w:i w:val="false"/>
          <w:caps w:val="false"/>
          <w:smallCaps w:val="false"/>
          <w:sz w:val="20"/>
        </w:rPr>
        <w:t>June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2_edei--EntityFileNumber_c20240627"/>
            <w:bookmarkEnd w:id="6"/>
            <w:r>
              <w:rPr>
                <w:rFonts w:ascii="Times New Roman;Times;Serif" w:hAnsi="Times New Roman;Times;Serif"/>
                <w:b/>
                <w:i w:val="false"/>
                <w:caps w:val="false"/>
                <w:smallCaps w:val="false"/>
                <w:sz w:val="20"/>
              </w:rPr>
              <w:t>1-36132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90-1005472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333 Clay Street, </w:t>
      </w:r>
      <w:bookmarkStart w:id="9" w:name="xdx_903_edei--EntityAddressAddressLine2_"/>
      <w:bookmarkEnd w:id="9"/>
      <w:r>
        <w:rPr>
          <w:rFonts w:ascii="Times New Roman;Times;Serif" w:hAnsi="Times New Roman;Times;Serif"/>
          <w:b/>
          <w:i w:val="false"/>
          <w:caps w:val="false"/>
          <w:smallCaps w:val="false"/>
          <w:sz w:val="20"/>
        </w:rPr>
        <w:t xml:space="preserve">Suite 1600, </w:t>
      </w:r>
      <w:bookmarkStart w:id="10" w:name="xdx_908_edei--EntityAddressCityOrTown_c2"/>
      <w:bookmarkEnd w:id="10"/>
      <w:r>
        <w:rPr>
          <w:rFonts w:ascii="Times New Roman;Times;Serif" w:hAnsi="Times New Roman;Times;Serif"/>
          <w:b/>
          <w:i w:val="false"/>
          <w:caps w:val="false"/>
          <w:smallCaps w:val="false"/>
          <w:sz w:val="20"/>
        </w:rPr>
        <w:t xml:space="preserve">Houston,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7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ityAreaCode_c20240627__20"/>
      <w:bookmarkEnd w:id="13"/>
      <w:r>
        <w:rPr>
          <w:rFonts w:ascii="Times New Roman;Times;Serif" w:hAnsi="Times New Roman;Times;Serif"/>
          <w:b/>
          <w:i w:val="false"/>
          <w:caps w:val="false"/>
          <w:smallCaps w:val="false"/>
          <w:sz w:val="20"/>
        </w:rPr>
        <w:t>713-</w:t>
      </w:r>
      <w:bookmarkStart w:id="14" w:name="xdx_904_edei--LocalPhoneNumber_c20240627"/>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5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xdx_909_edei--SolicitingMaterial_c202406"/>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8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 w:name="xdx_909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1580"/>
        <w:gridCol w:w="60"/>
        <w:gridCol w:w="1655"/>
        <w:gridCol w:w="60"/>
        <w:gridCol w:w="2855"/>
      </w:tblGrid>
      <w:tr>
        <w:trPr/>
        <w:tc>
          <w:tcPr>
            <w:tcW w:w="1580"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 xml:space="preserve">registered </w:t>
            </w:r>
          </w:p>
        </w:tc>
      </w:tr>
      <w:tr>
        <w:trPr/>
        <w:tc>
          <w:tcPr>
            <w:tcW w:w="1580" w:type="dxa"/>
            <w:tcBorders/>
            <w:tcMar>
              <w:bottom w:w="0" w:type="dxa"/>
            </w:tcMar>
            <w:vAlign w:val="center"/>
          </w:tcPr>
          <w:p>
            <w:pPr>
              <w:pStyle w:val="TableContents"/>
              <w:bidi w:val="0"/>
              <w:spacing w:before="0" w:after="283"/>
              <w:jc w:val="center"/>
              <w:rPr>
                <w:sz w:val="20"/>
              </w:rPr>
            </w:pPr>
            <w:bookmarkStart w:id="19" w:name="xdx_906_edei--Security12bTitle_c20240627"/>
            <w:bookmarkEnd w:id="19"/>
            <w:r>
              <w:rPr>
                <w:sz w:val="20"/>
              </w:rPr>
              <w:t xml:space="preserve">Class A Shares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bookmarkStart w:id="20" w:name="xdx_90D_edei--TradingSymbol_c20240627__2"/>
            <w:bookmarkEnd w:id="20"/>
            <w:r>
              <w:rPr>
                <w:sz w:val="20"/>
              </w:rPr>
              <w:t xml:space="preserve">PAGP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sz w:val="20"/>
              </w:rPr>
            </w:pPr>
            <w:bookmarkStart w:id="21" w:name="xdx_900_edei--SecurityExchangeName_c2024"/>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the registrant’s consolidated subsidiaries, Plains All American Pipeline, L.P. (“PAA”) and PAA Finance Corp. (together with PAA, the “Issuers”) completed the public offering (the “Offering”) of $650 million aggregate principal amount of the Issuers’ 5.700% Senior Notes due 2034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Notes are governed by the indenture (the “Base Indenture,” and as amended and supplemented by the Supplemental Indenture (defined below), the “Indenture”) dated as of September 25, 2002 by and among the Issuers and U.S. Bank Trust Company, National Association (as successor trustee), as trustee (the “Trustee”), as supplemented by the Thirty-Third Supplemental Indenture dated as of June 27, 2024 by and among the Issuers and the Trustee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September 15, 2034. Interest is payable on the Notes on each March 15 and September 15, commencing on March 15, 2025. The Issuers may redeem some or all of the Notes at any time and from time to time prior to maturity at the redemption prices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events of default with respect to the Notes, including:</w:t>
      </w:r>
    </w:p>
    <w:p>
      <w:pPr>
        <w:pStyle w:val="TextBody"/>
        <w:bidi w:val="0"/>
        <w:spacing w:before="0" w:after="0"/>
        <w:ind w:left="0" w:right="0" w:hanging="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9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85" w:type="dxa"/>
            <w:tcBorders/>
            <w:vAlign w:val="center"/>
          </w:tcPr>
          <w:p>
            <w:pPr>
              <w:pStyle w:val="TableContents"/>
              <w:bidi w:val="0"/>
              <w:spacing w:before="0" w:after="283"/>
              <w:jc w:val="left"/>
              <w:rPr/>
            </w:pPr>
            <w:r>
              <w:rPr/>
              <w:t>default in any payment of interest on any Note of that series when due, continued for 60 days;</w:t>
            </w:r>
          </w:p>
        </w:tc>
      </w:tr>
    </w:tbl>
    <w:p>
      <w:pPr>
        <w:pStyle w:val="TextBody"/>
        <w:bidi w:val="0"/>
        <w:spacing w:before="0" w:after="0"/>
        <w:ind w:left="0" w:right="0" w:hanging="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95"/>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30" w:type="dxa"/>
            <w:tcBorders/>
            <w:vAlign w:val="center"/>
          </w:tcPr>
          <w:p>
            <w:pPr>
              <w:pStyle w:val="TableContents"/>
              <w:bidi w:val="0"/>
              <w:spacing w:before="0" w:after="283"/>
              <w:jc w:val="left"/>
              <w:rPr/>
            </w:pPr>
            <w:r>
              <w:rPr/>
              <w:t>default in the payment of principal of or premium, if any, on any Note of that series when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failure by PAA to comply with its obligations under the Indenture, in certain cases subject to notice and grace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payment defaults and accelerations with respect to other indebtedness of PAA and its Subsidiaries (as defined in the Indenture) in the aggregate principal amount of $150.0 million or more;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certain events of bankruptcy, insolvency or reorganization of PAA or, if and so long as the Notes of that series are guaranteed by a subsidiary guarantor, by such subsidiary guarantor; or</w:t>
            </w:r>
          </w:p>
        </w:tc>
      </w:tr>
    </w:tbl>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95"/>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30" w:type="dxa"/>
            <w:tcBorders/>
            <w:vAlign w:val="center"/>
          </w:tcPr>
          <w:p>
            <w:pPr>
              <w:pStyle w:val="TableContents"/>
              <w:bidi w:val="0"/>
              <w:spacing w:before="0" w:after="283"/>
              <w:jc w:val="left"/>
              <w:rPr/>
            </w:pPr>
            <w:r>
              <w:rPr/>
              <w:t>if and so long as the Notes of that series are guaranteed by a subsidiary guarantor: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guarantee by such subsidiary guarantor ceases to be in full force and effect, except as otherwise provided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9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left"/>
              <w:rPr/>
            </w:pPr>
            <w:r>
              <w:rPr/>
              <w:t>the guarantee by such subsidiary guarantor is declared null and void in a judicial proceeding; or</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9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left"/>
              <w:rPr/>
            </w:pPr>
            <w:r>
              <w:rPr/>
              <w:t>such subsidiary guarantor denies or disaffirms its obligations under the Indenture or its guarantee.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material terms of the Notes, the Base Indenture and the Supplemental Indenture are described in the prospectus supplement, dated June 17, 2024. The foregoing descriptions of the Indenture and the Notes are qualified in their entirety by reference to such Indenture (including the form of Notes attached thereto). A copy of the Supplemental Indenture is filed as Exhibit 4.1 to PAA’s Current Report on Form 8-K filed as of the date hereof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48"/>
        <w:gridCol w:w="9319"/>
      </w:tblGrid>
      <w:tr>
        <w:trPr/>
        <w:tc>
          <w:tcPr>
            <w:tcW w:w="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b/>
              </w:rPr>
            </w:pPr>
            <w:r>
              <w:rPr>
                <w:b/>
              </w:rPr>
              <w:t>Item 2.03</w:t>
            </w:r>
          </w:p>
        </w:tc>
        <w:tc>
          <w:tcPr>
            <w:tcW w:w="9319"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90"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Thirty-Third Supplemental Indenture (5.700% Senior Notes due 2034) dated June 27, 2024, by and among Plains All American Pipeline, L.P., PAA Finance Corp. and U.S. Bank Trust Company, National Association, as trustee (incorporated by reference to Exhibit 4.1 of PAA’s Current Report on Form 8-K filed on June 27, 2024).</w:t>
              </w:r>
            </w:hyperlink>
          </w:p>
        </w:tc>
      </w:tr>
      <w:tr>
        <w:trPr/>
        <w:tc>
          <w:tcPr>
            <w:tcW w:w="890" w:type="dxa"/>
            <w:tcBorders/>
            <w:tcMar>
              <w:bottom w:w="0" w:type="dxa"/>
            </w:tcMar>
            <w:vAlign w:val="center"/>
          </w:tcPr>
          <w:p>
            <w:pPr>
              <w:pStyle w:val="TableContents"/>
              <w:bidi w:val="0"/>
              <w:spacing w:before="0" w:after="283"/>
              <w:jc w:val="center"/>
              <w:rPr/>
            </w:pPr>
            <w:hyperlink r:id="rId4">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5.700% Senior Notes due 2034 (included as Exhibit A in Exhibit 4.1) (incorporated by reference to Exhibit 4.2 of PAA’s Current Report on Form 8-K filed on June 27, 2024).</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655"/>
        <w:gridCol w:w="545"/>
        <w:gridCol w:w="450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27, 2024</w:t>
            </w:r>
          </w:p>
        </w:tc>
        <w:tc>
          <w:tcPr>
            <w:tcW w:w="50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Holdings LLC, its general partner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0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McGee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McGee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0423/000110465924075672/tm2418387d1_ex4-1.htm" TargetMode="External"/><Relationship Id="rId3" Type="http://schemas.openxmlformats.org/officeDocument/2006/relationships/hyperlink" Target="http://www.sec.gov/Archives/edgar/data/1070423/000110465924075672/tm2418387d1_ex4-1.htm" TargetMode="External"/><Relationship Id="rId4" Type="http://schemas.openxmlformats.org/officeDocument/2006/relationships/hyperlink" Target="http://www.sec.gov/Archives/edgar/data/1070423/000110465924075672/tm2418387d1_ex4-1.htm" TargetMode="External"/><Relationship Id="rId5" Type="http://schemas.openxmlformats.org/officeDocument/2006/relationships/hyperlink" Target="http://www.sec.gov/Archives/edgar/data/1070423/000110465924075672/tm2418387d1_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1152</Words>
  <Characters>6020</Characters>
  <CharactersWithSpaces>7193</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