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275830" cy="9368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936879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L.P.</w:t>
        </w:r>
      </w:hyperlink>
    </w:p>
    <w:p>
      <w:pPr>
        <w:spacing w:after="0" w:line="31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right="960"/>
        <w:spacing w:after="0" w:line="335" w:lineRule="auto"/>
        <w:rPr>
          <w:sz w:val="20"/>
          <w:szCs w:val="20"/>
          <w:color w:val="auto"/>
        </w:rPr>
      </w:pPr>
      <w:r>
        <w:rPr>
          <w:rFonts w:ascii="Arial" w:cs="Arial" w:eastAsia="Arial" w:hAnsi="Arial"/>
          <w:sz w:val="17"/>
          <w:szCs w:val="17"/>
          <w:color w:val="0000FF"/>
        </w:rPr>
        <w:t>1800 AVENUE OF THE STARS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12/30/2016</w:t>
      </w:r>
    </w:p>
    <w:p>
      <w:pPr>
        <w:spacing w:after="0" w:line="20" w:lineRule="exact"/>
        <w:rPr>
          <w:sz w:val="24"/>
          <w:szCs w:val="24"/>
          <w:color w:val="auto"/>
        </w:rPr>
      </w:pPr>
      <w:r>
        <w:rPr>
          <w:sz w:val="24"/>
          <w:szCs w:val="24"/>
          <w:color w:val="auto"/>
        </w:rPr>
        <w:br w:type="column"/>
      </w:r>
    </w:p>
    <w:p>
      <w:pPr>
        <w:ind w:left="-6" w:right="700" w:firstLine="6"/>
        <w:spacing w:after="0" w:line="243"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554" w:type="dxa"/>
        <w:tblCellMar>
          <w:top w:w="0" w:type="dxa"/>
          <w:left w:w="0" w:type="dxa"/>
          <w:bottom w:w="0" w:type="dxa"/>
          <w:right w:w="0" w:type="dxa"/>
        </w:tblCellMar>
      </w:tblPr>
      <w:tr>
        <w:trPr>
          <w:trHeight w:val="157"/>
        </w:trPr>
        <w:tc>
          <w:tcPr>
            <w:tcW w:w="112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112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112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34"/>
        <w:spacing w:after="0"/>
        <w:rPr>
          <w:sz w:val="20"/>
          <w:szCs w:val="20"/>
          <w:color w:val="auto"/>
        </w:rPr>
      </w:pPr>
      <w:r>
        <w:rPr>
          <w:rFonts w:ascii="Arial" w:cs="Arial" w:eastAsia="Arial" w:hAnsi="Arial"/>
          <w:sz w:val="17"/>
          <w:szCs w:val="17"/>
          <w:color w:val="0000FF"/>
        </w:rPr>
        <w:t>See remarks</w:t>
      </w:r>
    </w:p>
    <w:p>
      <w:pPr>
        <w:spacing w:after="0" w:line="482" w:lineRule="exact"/>
        <w:rPr>
          <w:sz w:val="24"/>
          <w:szCs w:val="24"/>
          <w:color w:val="auto"/>
        </w:rPr>
      </w:pPr>
    </w:p>
    <w:p>
      <w:pPr>
        <w:sectPr>
          <w:pgSz w:w="11900" w:h="16838" w:orient="portrait"/>
          <w:cols w:equalWidth="0" w:num="3">
            <w:col w:w="3340" w:space="720"/>
            <w:col w:w="3266" w:space="720"/>
            <w:col w:w="347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0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0" w:type="dxa"/>
            <w:vAlign w:val="bottom"/>
            <w:gridSpan w:val="10"/>
            <w:vMerge w:val="restart"/>
          </w:tcPr>
          <w:p>
            <w:pPr>
              <w:jc w:val="center"/>
              <w:spacing w:after="0" w:line="146" w:lineRule="exact"/>
              <w:rPr>
                <w:sz w:val="20"/>
                <w:szCs w:val="20"/>
                <w:color w:val="auto"/>
              </w:rPr>
            </w:pPr>
            <w:r>
              <w:rPr>
                <w:rFonts w:ascii="Arial" w:cs="Arial" w:eastAsia="Arial" w:hAnsi="Arial"/>
                <w:sz w:val="13"/>
                <w:szCs w:val="13"/>
                <w:color w:val="auto"/>
              </w:rPr>
              <w:t>4. If Amendment, Date of Original Filed (Month/Day/Year)</w:t>
            </w:r>
          </w:p>
        </w:tc>
        <w:tc>
          <w:tcPr>
            <w:tcW w:w="4020" w:type="dxa"/>
            <w:vAlign w:val="bottom"/>
            <w:gridSpan w:val="12"/>
            <w:vMerge w:val="restart"/>
          </w:tcPr>
          <w:p>
            <w:pPr>
              <w:ind w:left="54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3600" w:type="dxa"/>
            <w:vAlign w:val="bottom"/>
            <w:gridSpan w:val="10"/>
            <w:vMerge w:val="continue"/>
          </w:tcPr>
          <w:p>
            <w:pPr>
              <w:spacing w:after="0"/>
              <w:rPr>
                <w:sz w:val="2"/>
                <w:szCs w:val="2"/>
                <w:color w:val="auto"/>
              </w:rPr>
            </w:pPr>
          </w:p>
        </w:tc>
        <w:tc>
          <w:tcPr>
            <w:tcW w:w="4020" w:type="dxa"/>
            <w:vAlign w:val="bottom"/>
            <w:gridSpan w:val="1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4"/>
          </w:tcPr>
          <w:p>
            <w:pPr>
              <w:ind w:left="5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LOS ANGELES  CA</w:t>
            </w:r>
          </w:p>
        </w:tc>
        <w:tc>
          <w:tcPr>
            <w:tcW w:w="1160" w:type="dxa"/>
            <w:vAlign w:val="bottom"/>
            <w:vMerge w:val="restart"/>
          </w:tcPr>
          <w:p>
            <w:pPr>
              <w:ind w:left="20"/>
              <w:spacing w:after="0"/>
              <w:rPr>
                <w:sz w:val="20"/>
                <w:szCs w:val="20"/>
                <w:color w:val="auto"/>
              </w:rPr>
            </w:pPr>
            <w:r>
              <w:rPr>
                <w:rFonts w:ascii="Arial" w:cs="Arial" w:eastAsia="Arial" w:hAnsi="Arial"/>
                <w:sz w:val="17"/>
                <w:szCs w:val="17"/>
                <w:color w:val="0000FF"/>
              </w:rPr>
              <w:t>77002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vMerge w:val="restart"/>
          </w:tcPr>
          <w:p>
            <w:pPr>
              <w:ind w:left="60"/>
              <w:spacing w:after="0"/>
              <w:rPr>
                <w:sz w:val="20"/>
                <w:szCs w:val="20"/>
                <w:color w:val="auto"/>
              </w:rPr>
            </w:pPr>
            <w:r>
              <w:rPr>
                <w:rFonts w:ascii="Arial" w:cs="Arial" w:eastAsia="Arial" w:hAnsi="Arial"/>
                <w:sz w:val="17"/>
                <w:szCs w:val="17"/>
                <w:color w:val="0000FF"/>
                <w:w w:val="87"/>
              </w:rPr>
              <w:t>X</w:t>
            </w:r>
          </w:p>
        </w:tc>
        <w:tc>
          <w:tcPr>
            <w:tcW w:w="3140" w:type="dxa"/>
            <w:vAlign w:val="bottom"/>
            <w:gridSpan w:val="8"/>
            <w:vMerge w:val="restart"/>
          </w:tcPr>
          <w:p>
            <w:pPr>
              <w:jc w:val="center"/>
              <w:ind w:right="4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31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tcBorders>
              <w:top w:val="single" w:sz="8" w:color="EEEEEE"/>
            </w:tcBorders>
            <w:gridSpan w:val="4"/>
            <w:vMerge w:val="restart"/>
          </w:tcPr>
          <w:p>
            <w:pPr>
              <w:ind w:left="580"/>
              <w:spacing w:after="0"/>
              <w:rPr>
                <w:sz w:val="20"/>
                <w:szCs w:val="20"/>
                <w:color w:val="auto"/>
              </w:rPr>
            </w:pPr>
            <w:r>
              <w:rPr>
                <w:rFonts w:ascii="Arial" w:cs="Arial" w:eastAsia="Arial" w:hAnsi="Arial"/>
                <w:sz w:val="13"/>
                <w:szCs w:val="13"/>
                <w:color w:val="auto"/>
              </w:rPr>
              <w:t>(State)</w:t>
            </w:r>
          </w:p>
        </w:tc>
        <w:tc>
          <w:tcPr>
            <w:tcW w:w="116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840" w:type="dxa"/>
            <w:vAlign w:val="bottom"/>
            <w:gridSpan w:val="4"/>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760" w:type="dxa"/>
            <w:vAlign w:val="bottom"/>
            <w:tcBorders>
              <w:bottom w:val="single" w:sz="8" w:color="2C2C2C"/>
            </w:tcBorders>
            <w:gridSpan w:val="6"/>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540" w:type="dxa"/>
            <w:vAlign w:val="bottom"/>
            <w:tcBorders>
              <w:top w:val="single" w:sz="8" w:color="2C2C2C"/>
            </w:tcBorders>
            <w:gridSpan w:val="18"/>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4"/>
                <w:szCs w:val="14"/>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300" w:type="dxa"/>
            <w:vAlign w:val="bottom"/>
            <w:gridSpan w:val="3"/>
          </w:tcPr>
          <w:p>
            <w:pPr>
              <w:jc w:val="center"/>
              <w:ind w:left="101"/>
              <w:spacing w:after="0"/>
              <w:rPr>
                <w:sz w:val="20"/>
                <w:szCs w:val="20"/>
                <w:color w:val="auto"/>
              </w:rPr>
            </w:pPr>
            <w:r>
              <w:rPr>
                <w:rFonts w:ascii="Arial" w:cs="Arial" w:eastAsia="Arial" w:hAnsi="Arial"/>
                <w:sz w:val="12"/>
                <w:szCs w:val="12"/>
                <w:b w:val="1"/>
                <w:bCs w:val="1"/>
                <w:color w:val="auto"/>
                <w:w w:val="98"/>
              </w:rPr>
              <w:t>6. Ownership</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3"/>
          </w:tcPr>
          <w:p>
            <w:pPr>
              <w:jc w:val="center"/>
              <w:ind w:left="61"/>
              <w:spacing w:after="0" w:line="129" w:lineRule="exact"/>
              <w:rPr>
                <w:sz w:val="20"/>
                <w:szCs w:val="20"/>
                <w:color w:val="auto"/>
              </w:rPr>
            </w:pPr>
            <w:r>
              <w:rPr>
                <w:rFonts w:ascii="Arial" w:cs="Arial" w:eastAsia="Arial" w:hAnsi="Arial"/>
                <w:sz w:val="12"/>
                <w:szCs w:val="12"/>
                <w:b w:val="1"/>
                <w:bCs w:val="1"/>
                <w:color w:val="auto"/>
                <w:w w:val="98"/>
              </w:rPr>
              <w:t>Form: Direct</w:t>
            </w:r>
          </w:p>
        </w:tc>
        <w:tc>
          <w:tcPr>
            <w:tcW w:w="12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3"/>
          </w:tcPr>
          <w:p>
            <w:pPr>
              <w:ind w:left="52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3"/>
          </w:tcPr>
          <w:p>
            <w:pPr>
              <w:jc w:val="center"/>
              <w:ind w:left="141"/>
              <w:spacing w:after="0" w:line="132" w:lineRule="exact"/>
              <w:rPr>
                <w:sz w:val="20"/>
                <w:szCs w:val="20"/>
                <w:color w:val="auto"/>
              </w:rPr>
            </w:pPr>
            <w:r>
              <w:rPr>
                <w:rFonts w:ascii="Arial" w:cs="Arial" w:eastAsia="Arial" w:hAnsi="Arial"/>
                <w:sz w:val="12"/>
                <w:szCs w:val="12"/>
                <w:b w:val="1"/>
                <w:bCs w:val="1"/>
                <w:color w:val="auto"/>
                <w:w w:val="99"/>
              </w:rPr>
              <w:t>(D) or Indirect</w:t>
            </w:r>
          </w:p>
        </w:tc>
        <w:tc>
          <w:tcPr>
            <w:tcW w:w="12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340" w:type="dxa"/>
            <w:vAlign w:val="bottom"/>
          </w:tcPr>
          <w:p>
            <w:pPr>
              <w:spacing w:after="0"/>
              <w:rPr>
                <w:sz w:val="11"/>
                <w:szCs w:val="11"/>
                <w:color w:val="auto"/>
              </w:rPr>
            </w:pPr>
          </w:p>
        </w:tc>
        <w:tc>
          <w:tcPr>
            <w:tcW w:w="3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4"/>
              </w:rPr>
              <w:t>Transaction(s)</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5"/>
              </w:rPr>
              <w:t>(Instr. 3 and 4)</w:t>
            </w: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3"/>
            <w:vMerge w:val="restart"/>
          </w:tcPr>
          <w:p>
            <w:pPr>
              <w:ind w:left="620"/>
              <w:spacing w:after="0"/>
              <w:rPr>
                <w:sz w:val="20"/>
                <w:szCs w:val="20"/>
                <w:color w:val="auto"/>
              </w:rPr>
            </w:pPr>
            <w:r>
              <w:rPr>
                <w:rFonts w:ascii="Arial" w:cs="Arial" w:eastAsia="Arial" w:hAnsi="Arial"/>
                <w:sz w:val="17"/>
                <w:szCs w:val="17"/>
                <w:color w:val="0000FF"/>
              </w:rPr>
              <w:t>12/30/2016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A</w:t>
            </w:r>
          </w:p>
        </w:tc>
        <w:tc>
          <w:tcPr>
            <w:tcW w:w="880" w:type="dxa"/>
            <w:vAlign w:val="bottom"/>
            <w:vMerge w:val="restart"/>
          </w:tcPr>
          <w:p>
            <w:pPr>
              <w:jc w:val="right"/>
              <w:ind w:right="115"/>
              <w:spacing w:after="0"/>
              <w:rPr>
                <w:sz w:val="20"/>
                <w:szCs w:val="20"/>
                <w:color w:val="auto"/>
              </w:rPr>
            </w:pPr>
            <w:r>
              <w:rPr>
                <w:rFonts w:ascii="Arial" w:cs="Arial" w:eastAsia="Arial" w:hAnsi="Arial"/>
                <w:sz w:val="17"/>
                <w:szCs w:val="17"/>
                <w:color w:val="0000FF"/>
              </w:rPr>
              <w:t>434,602</w:t>
            </w:r>
          </w:p>
        </w:tc>
        <w:tc>
          <w:tcPr>
            <w:tcW w:w="50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87"/>
              </w:rPr>
              <w:t>434,602</w:t>
            </w:r>
          </w:p>
        </w:tc>
        <w:tc>
          <w:tcPr>
            <w:tcW w:w="660" w:type="dxa"/>
            <w:vAlign w:val="bottom"/>
          </w:tcPr>
          <w:p>
            <w:pPr>
              <w:spacing w:after="0"/>
              <w:rPr>
                <w:sz w:val="22"/>
                <w:szCs w:val="22"/>
                <w:color w:val="auto"/>
              </w:rPr>
            </w:pPr>
          </w:p>
        </w:tc>
        <w:tc>
          <w:tcPr>
            <w:tcW w:w="300" w:type="dxa"/>
            <w:vAlign w:val="bottom"/>
            <w:vMerge w:val="restart"/>
          </w:tcPr>
          <w:p>
            <w:pPr>
              <w:jc w:val="center"/>
              <w:ind w:right="5"/>
              <w:spacing w:after="0"/>
              <w:rPr>
                <w:sz w:val="20"/>
                <w:szCs w:val="20"/>
                <w:color w:val="auto"/>
              </w:rPr>
            </w:pPr>
            <w:r>
              <w:rPr>
                <w:rFonts w:ascii="Arial" w:cs="Arial" w:eastAsia="Arial" w:hAnsi="Arial"/>
                <w:sz w:val="17"/>
                <w:szCs w:val="17"/>
                <w:color w:val="0000FF"/>
              </w:rPr>
              <w:t>I</w:t>
            </w:r>
          </w:p>
        </w:tc>
        <w:tc>
          <w:tcPr>
            <w:tcW w:w="34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0000FF"/>
                <w:w w:val="99"/>
              </w:rPr>
              <w:t>See</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6"/>
              </w:rPr>
              <w:t>Footnotes</w:t>
            </w:r>
            <w:r>
              <w:rPr>
                <w:rFonts w:ascii="Arial" w:cs="Arial" w:eastAsia="Arial" w:hAnsi="Arial"/>
                <w:sz w:val="21"/>
                <w:szCs w:val="21"/>
                <w:color w:val="008000"/>
                <w:w w:val="96"/>
                <w:vertAlign w:val="superscript"/>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7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580" w:type="dxa"/>
            <w:vAlign w:val="bottom"/>
            <w:tcBorders>
              <w:top w:val="single" w:sz="8" w:color="2C2C2C"/>
            </w:tcBorders>
            <w:gridSpan w:val="3"/>
            <w:vMerge w:val="restart"/>
          </w:tcPr>
          <w:p>
            <w:pPr>
              <w:ind w:left="620"/>
              <w:spacing w:after="0"/>
              <w:rPr>
                <w:sz w:val="20"/>
                <w:szCs w:val="20"/>
                <w:color w:val="auto"/>
              </w:rPr>
            </w:pPr>
            <w:r>
              <w:rPr>
                <w:rFonts w:ascii="Arial" w:cs="Arial" w:eastAsia="Arial" w:hAnsi="Arial"/>
                <w:sz w:val="17"/>
                <w:szCs w:val="17"/>
                <w:color w:val="0000FF"/>
              </w:rPr>
              <w:t>12/30/2016</w:t>
            </w: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0000FF"/>
              </w:rPr>
              <w:t>J</w:t>
            </w:r>
          </w:p>
        </w:tc>
        <w:tc>
          <w:tcPr>
            <w:tcW w:w="880" w:type="dxa"/>
            <w:vAlign w:val="bottom"/>
            <w:tcBorders>
              <w:top w:val="single" w:sz="8" w:color="2C2C2C"/>
            </w:tcBorders>
            <w:vMerge w:val="restart"/>
          </w:tcPr>
          <w:p>
            <w:pPr>
              <w:jc w:val="right"/>
              <w:ind w:right="115"/>
              <w:spacing w:after="0"/>
              <w:rPr>
                <w:sz w:val="20"/>
                <w:szCs w:val="20"/>
                <w:color w:val="auto"/>
              </w:rPr>
            </w:pPr>
            <w:r>
              <w:rPr>
                <w:rFonts w:ascii="Arial" w:cs="Arial" w:eastAsia="Arial" w:hAnsi="Arial"/>
                <w:sz w:val="17"/>
                <w:szCs w:val="17"/>
                <w:color w:val="0000FF"/>
              </w:rPr>
              <w:t>434,602</w:t>
            </w:r>
          </w:p>
        </w:tc>
        <w:tc>
          <w:tcPr>
            <w:tcW w:w="50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0</w:t>
            </w:r>
          </w:p>
        </w:tc>
        <w:tc>
          <w:tcPr>
            <w:tcW w:w="6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jc w:val="center"/>
              <w:ind w:right="5"/>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w w:val="99"/>
              </w:rPr>
              <w:t>See</w:t>
            </w:r>
          </w:p>
        </w:tc>
        <w:tc>
          <w:tcPr>
            <w:tcW w:w="8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6"/>
              </w:rPr>
              <w:t>Footnotes</w:t>
            </w:r>
            <w:r>
              <w:rPr>
                <w:rFonts w:ascii="Arial" w:cs="Arial" w:eastAsia="Arial" w:hAnsi="Arial"/>
                <w:sz w:val="21"/>
                <w:szCs w:val="21"/>
                <w:color w:val="008000"/>
                <w:w w:val="96"/>
                <w:vertAlign w:val="superscript"/>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5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Shares</w:t>
            </w:r>
          </w:p>
        </w:tc>
        <w:tc>
          <w:tcPr>
            <w:tcW w:w="7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87"/>
              </w:rPr>
              <w:t>257,624</w:t>
            </w:r>
          </w:p>
        </w:tc>
        <w:tc>
          <w:tcPr>
            <w:tcW w:w="960" w:type="dxa"/>
            <w:vAlign w:val="bottom"/>
            <w:tcBorders>
              <w:top w:val="single" w:sz="8" w:color="2C2C2C"/>
              <w:bottom w:val="single" w:sz="8" w:color="2C2C2C"/>
            </w:tcBorders>
            <w:gridSpan w:val="2"/>
          </w:tcPr>
          <w:p>
            <w:pPr>
              <w:jc w:val="center"/>
              <w:ind w:left="521"/>
              <w:spacing w:after="0" w:line="315"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(4)</w:t>
            </w:r>
          </w:p>
        </w:tc>
        <w:tc>
          <w:tcPr>
            <w:tcW w:w="3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300" w:type="dxa"/>
            <w:vAlign w:val="bottom"/>
            <w:tcBorders>
              <w:top w:val="single" w:sz="8" w:color="2C2C2C"/>
            </w:tcBorders>
            <w:gridSpan w:val="17"/>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8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3"/>
          </w:tcPr>
          <w:p>
            <w:pPr>
              <w:ind w:left="1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Conversion</w:t>
            </w:r>
          </w:p>
        </w:tc>
        <w:tc>
          <w:tcPr>
            <w:tcW w:w="11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5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Exercise</w:t>
            </w:r>
          </w:p>
        </w:tc>
        <w:tc>
          <w:tcPr>
            <w:tcW w:w="11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5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9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Acquired (A)</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Direct (D)</w:t>
            </w:r>
          </w:p>
        </w:tc>
        <w:tc>
          <w:tcPr>
            <w:tcW w:w="9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or 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 Indirect</w:t>
            </w:r>
          </w:p>
        </w:tc>
        <w:tc>
          <w:tcPr>
            <w:tcW w:w="9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4"/>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of 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rPr>
              <w:t>Class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27" w:lineRule="exact"/>
              <w:rPr>
                <w:sz w:val="20"/>
                <w:szCs w:val="20"/>
                <w:color w:val="auto"/>
              </w:rPr>
            </w:pPr>
            <w:r>
              <w:rPr>
                <w:rFonts w:ascii="Arial" w:cs="Arial" w:eastAsia="Arial" w:hAnsi="Arial"/>
                <w:sz w:val="13"/>
                <w:szCs w:val="13"/>
                <w:color w:val="0000FF"/>
                <w:w w:val="93"/>
              </w:rPr>
              <w:t>Shares/Class</w:t>
            </w: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color w:val="008000"/>
              </w:rPr>
              <w:t>(1)(2)</w:t>
            </w:r>
          </w:p>
        </w:tc>
        <w:tc>
          <w:tcPr>
            <w:tcW w:w="880" w:type="dxa"/>
            <w:vAlign w:val="bottom"/>
            <w:vMerge w:val="restart"/>
          </w:tcPr>
          <w:p>
            <w:pPr>
              <w:jc w:val="right"/>
              <w:ind w:right="115"/>
              <w:spacing w:after="0"/>
              <w:rPr>
                <w:sz w:val="20"/>
                <w:szCs w:val="20"/>
                <w:color w:val="auto"/>
              </w:rPr>
            </w:pPr>
            <w:r>
              <w:rPr>
                <w:rFonts w:ascii="Arial" w:cs="Arial" w:eastAsia="Arial" w:hAnsi="Arial"/>
                <w:sz w:val="11"/>
                <w:szCs w:val="11"/>
                <w:color w:val="008000"/>
              </w:rPr>
              <w:t>(1)(2)</w:t>
            </w:r>
          </w:p>
        </w:tc>
        <w:tc>
          <w:tcPr>
            <w:tcW w:w="500" w:type="dxa"/>
            <w:vAlign w:val="bottom"/>
            <w:vMerge w:val="continue"/>
          </w:tcPr>
          <w:p>
            <w:pPr>
              <w:spacing w:after="0"/>
              <w:rPr>
                <w:sz w:val="5"/>
                <w:szCs w:val="5"/>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7"/>
              </w:rPr>
              <w:t>434,602</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vMerge w:val="restart"/>
          </w:tcPr>
          <w:p>
            <w:pPr>
              <w:jc w:val="center"/>
              <w:ind w:right="105"/>
              <w:spacing w:after="0"/>
              <w:rPr>
                <w:sz w:val="20"/>
                <w:szCs w:val="20"/>
                <w:color w:val="auto"/>
              </w:rPr>
            </w:pPr>
            <w:r>
              <w:rPr>
                <w:rFonts w:ascii="Arial" w:cs="Arial" w:eastAsia="Arial" w:hAnsi="Arial"/>
                <w:sz w:val="11"/>
                <w:szCs w:val="11"/>
                <w:color w:val="008000"/>
                <w:w w:val="88"/>
              </w:rPr>
              <w:t>(5)</w:t>
            </w: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restart"/>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gridSpan w:val="3"/>
            <w:vMerge w:val="restart"/>
          </w:tcPr>
          <w:p>
            <w:pPr>
              <w:ind w:left="320"/>
              <w:spacing w:after="0" w:line="145" w:lineRule="exact"/>
              <w:rPr>
                <w:sz w:val="20"/>
                <w:szCs w:val="20"/>
                <w:color w:val="auto"/>
              </w:rPr>
            </w:pPr>
            <w:r>
              <w:rPr>
                <w:rFonts w:ascii="Arial" w:cs="Arial" w:eastAsia="Arial" w:hAnsi="Arial"/>
                <w:sz w:val="13"/>
                <w:szCs w:val="13"/>
                <w:color w:val="0000FF"/>
              </w:rPr>
              <w:t>12/30/2016</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vMerge w:val="restart"/>
          </w:tcPr>
          <w:p>
            <w:pPr>
              <w:ind w:left="360"/>
              <w:spacing w:after="0" w:line="145" w:lineRule="exact"/>
              <w:rPr>
                <w:sz w:val="20"/>
                <w:szCs w:val="20"/>
                <w:color w:val="auto"/>
              </w:rPr>
            </w:pPr>
            <w:r>
              <w:rPr>
                <w:rFonts w:ascii="Arial" w:cs="Arial" w:eastAsia="Arial" w:hAnsi="Arial"/>
                <w:sz w:val="13"/>
                <w:szCs w:val="13"/>
                <w:color w:val="0000FF"/>
                <w:w w:val="97"/>
              </w:rPr>
              <w:t>434,602</w:t>
            </w:r>
          </w:p>
        </w:tc>
        <w:tc>
          <w:tcPr>
            <w:tcW w:w="6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500" w:type="dxa"/>
            <w:vAlign w:val="bottom"/>
            <w:vMerge w:val="restart"/>
          </w:tcPr>
          <w:p>
            <w:pPr>
              <w:ind w:left="240"/>
              <w:spacing w:after="0" w:line="145" w:lineRule="exact"/>
              <w:rPr>
                <w:sz w:val="20"/>
                <w:szCs w:val="20"/>
                <w:color w:val="auto"/>
              </w:rPr>
            </w:pPr>
            <w:r>
              <w:rPr>
                <w:rFonts w:ascii="Arial" w:cs="Arial" w:eastAsia="Arial" w:hAnsi="Arial"/>
                <w:sz w:val="13"/>
                <w:szCs w:val="13"/>
                <w:color w:val="0000FF"/>
              </w:rPr>
              <w:t>A</w:t>
            </w: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right"/>
              <w:ind w:right="267"/>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w w:val="89"/>
              </w:rPr>
              <w:t>24,657,834</w:t>
            </w:r>
          </w:p>
        </w:tc>
        <w:tc>
          <w:tcPr>
            <w:tcW w:w="300" w:type="dxa"/>
            <w:vAlign w:val="bottom"/>
            <w:vMerge w:val="continue"/>
          </w:tcPr>
          <w:p>
            <w:pPr>
              <w:spacing w:after="0"/>
              <w:rPr>
                <w:sz w:val="5"/>
                <w:szCs w:val="5"/>
                <w:color w:val="auto"/>
              </w:rPr>
            </w:pPr>
          </w:p>
        </w:tc>
        <w:tc>
          <w:tcPr>
            <w:tcW w:w="340" w:type="dxa"/>
            <w:vAlign w:val="bottom"/>
            <w:vMerge w:val="restart"/>
          </w:tcPr>
          <w:p>
            <w:pPr>
              <w:ind w:left="300"/>
              <w:spacing w:after="0"/>
              <w:rPr>
                <w:sz w:val="20"/>
                <w:szCs w:val="20"/>
                <w:color w:val="auto"/>
              </w:rPr>
            </w:pPr>
            <w:r>
              <w:rPr>
                <w:rFonts w:ascii="Arial" w:cs="Arial" w:eastAsia="Arial" w:hAnsi="Arial"/>
                <w:sz w:val="10"/>
                <w:szCs w:val="10"/>
                <w:color w:val="0000FF"/>
                <w:w w:val="70"/>
              </w:rPr>
              <w:t>I</w:t>
            </w:r>
          </w:p>
        </w:tc>
        <w:tc>
          <w:tcPr>
            <w:tcW w:w="34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A Units/GP</w:t>
            </w:r>
          </w:p>
        </w:tc>
        <w:tc>
          <w:tcPr>
            <w:tcW w:w="740" w:type="dxa"/>
            <w:vAlign w:val="bottom"/>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gridSpan w:val="3"/>
            <w:vMerge w:val="restart"/>
          </w:tcPr>
          <w:p>
            <w:pPr>
              <w:ind w:left="80"/>
              <w:spacing w:after="0" w:line="162" w:lineRule="exact"/>
              <w:rPr>
                <w:sz w:val="20"/>
                <w:szCs w:val="20"/>
                <w:color w:val="auto"/>
              </w:rPr>
            </w:pPr>
            <w:r>
              <w:rPr>
                <w:rFonts w:ascii="Arial" w:cs="Arial" w:eastAsia="Arial" w:hAnsi="Arial"/>
                <w:sz w:val="12"/>
                <w:szCs w:val="12"/>
                <w:color w:val="0000FF"/>
                <w:w w:val="99"/>
              </w:rPr>
              <w:t>Footnotes</w:t>
            </w:r>
            <w:r>
              <w:rPr>
                <w:rFonts w:ascii="Arial" w:cs="Arial" w:eastAsia="Arial" w:hAnsi="Arial"/>
                <w:sz w:val="18"/>
                <w:szCs w:val="18"/>
                <w:color w:val="008000"/>
                <w:w w:val="99"/>
                <w:vertAlign w:val="superscript"/>
              </w:rPr>
              <w:t>(1)(2)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vMerge w:val="restart"/>
          </w:tcPr>
          <w:p>
            <w:pPr>
              <w:ind w:left="120"/>
              <w:spacing w:after="0"/>
              <w:rPr>
                <w:sz w:val="20"/>
                <w:szCs w:val="20"/>
                <w:color w:val="auto"/>
              </w:rPr>
            </w:pPr>
            <w:r>
              <w:rPr>
                <w:rFonts w:ascii="Arial" w:cs="Arial" w:eastAsia="Arial" w:hAnsi="Arial"/>
                <w:sz w:val="13"/>
                <w:szCs w:val="13"/>
                <w:color w:val="0000FF"/>
                <w:w w:val="92"/>
              </w:rPr>
              <w:t>shares</w:t>
            </w:r>
          </w:p>
        </w:tc>
        <w:tc>
          <w:tcPr>
            <w:tcW w:w="6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spacing w:after="0" w:line="219" w:lineRule="exact"/>
              <w:rPr>
                <w:rFonts w:ascii="Arial" w:cs="Arial" w:eastAsia="Arial" w:hAnsi="Arial"/>
                <w:sz w:val="21"/>
                <w:szCs w:val="21"/>
                <w:color w:val="0000EE"/>
              </w:rPr>
            </w:pPr>
            <w:hyperlink r:id="rId12">
              <w:r>
                <w:rPr>
                  <w:rFonts w:ascii="Arial" w:cs="Arial" w:eastAsia="Arial" w:hAnsi="Arial"/>
                  <w:sz w:val="21"/>
                  <w:szCs w:val="21"/>
                  <w:color w:val="0000EE"/>
                </w:rPr>
                <w:t>KAFU HOLDINGS, L.P.</w:t>
              </w:r>
            </w:hyperlink>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5"/>
          </w:tcPr>
          <w:p>
            <w:pPr>
              <w:spacing w:after="0"/>
              <w:rPr>
                <w:sz w:val="20"/>
                <w:szCs w:val="20"/>
                <w:color w:val="auto"/>
              </w:rPr>
            </w:pPr>
            <w:r>
              <w:rPr>
                <w:rFonts w:ascii="Arial" w:cs="Arial" w:eastAsia="Arial" w:hAnsi="Arial"/>
                <w:sz w:val="17"/>
                <w:szCs w:val="17"/>
                <w:color w:val="0000FF"/>
              </w:rPr>
              <w:t>1800 AVENUE OF THE STARS</w:t>
            </w: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0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60" w:type="dxa"/>
            <w:vAlign w:val="bottom"/>
          </w:tcPr>
          <w:p>
            <w:pPr>
              <w:ind w:left="380"/>
              <w:spacing w:after="0"/>
              <w:rPr>
                <w:sz w:val="20"/>
                <w:szCs w:val="20"/>
                <w:color w:val="auto"/>
              </w:rPr>
            </w:pPr>
            <w:r>
              <w:rPr>
                <w:rFonts w:ascii="Arial" w:cs="Arial" w:eastAsia="Arial" w:hAnsi="Arial"/>
                <w:sz w:val="17"/>
                <w:szCs w:val="17"/>
                <w:color w:val="0000FF"/>
              </w:rPr>
              <w:t>77002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spacing w:after="0" w:line="219" w:lineRule="exact"/>
              <w:rPr>
                <w:rFonts w:ascii="Arial" w:cs="Arial" w:eastAsia="Arial" w:hAnsi="Arial"/>
                <w:sz w:val="21"/>
                <w:szCs w:val="21"/>
                <w:color w:val="0000EE"/>
              </w:rPr>
            </w:pPr>
            <w:hyperlink r:id="rId14">
              <w:r>
                <w:rPr>
                  <w:rFonts w:ascii="Arial" w:cs="Arial" w:eastAsia="Arial" w:hAnsi="Arial"/>
                  <w:sz w:val="21"/>
                  <w:szCs w:val="21"/>
                  <w:color w:val="0000EE"/>
                </w:rPr>
                <w:t>KAFU Holdings (QP), L.P.</w:t>
              </w:r>
            </w:hyperlink>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6"/>
          </w:tcPr>
          <w:p>
            <w:pPr>
              <w:spacing w:after="0"/>
              <w:rPr>
                <w:sz w:val="20"/>
                <w:szCs w:val="20"/>
                <w:color w:val="auto"/>
              </w:rPr>
            </w:pPr>
            <w:r>
              <w:rPr>
                <w:rFonts w:ascii="Arial" w:cs="Arial" w:eastAsia="Arial" w:hAnsi="Arial"/>
                <w:sz w:val="17"/>
                <w:szCs w:val="17"/>
                <w:color w:val="0000FF"/>
              </w:rPr>
              <w:t>1800 AVENUE OF THE STARS, SUITE 300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0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60" w:type="dxa"/>
            <w:vAlign w:val="bottom"/>
          </w:tcPr>
          <w:p>
            <w:pPr>
              <w:ind w:left="38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-5234305</wp:posOffset>
            </wp:positionV>
            <wp:extent cx="24130" cy="1910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1910715"/>
                    </a:xfrm>
                    <a:prstGeom prst="rect">
                      <a:avLst/>
                    </a:prstGeom>
                    <a:noFill/>
                  </pic:spPr>
                </pic:pic>
              </a:graphicData>
            </a:graphic>
          </wp:anchor>
        </w:drawing>
      </w:r>
    </w:p>
    <w:p>
      <w:pPr>
        <w:spacing w:after="0" w:line="11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520"/>
          </w:cols>
          <w:pgMar w:left="240" w:top="223" w:right="13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KAFU Holdings II, L.P.</w:t>
        </w:r>
      </w:hyperlink>
    </w:p>
    <w:p>
      <w:pPr>
        <w:sectPr>
          <w:pgSz w:w="11900" w:h="16838" w:orient="portrait"/>
          <w:cols w:equalWidth="0" w:num="1">
            <w:col w:w="11520"/>
          </w:cols>
          <w:pgMar w:left="240" w:top="223" w:right="1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60"/>
              <w:spacing w:after="0"/>
              <w:rPr>
                <w:sz w:val="20"/>
                <w:szCs w:val="20"/>
                <w:color w:val="auto"/>
              </w:rPr>
            </w:pPr>
            <w:r>
              <w:rPr>
                <w:rFonts w:ascii="Arial" w:cs="Arial" w:eastAsia="Arial" w:hAnsi="Arial"/>
                <w:sz w:val="13"/>
                <w:szCs w:val="13"/>
                <w:color w:val="auto"/>
              </w:rPr>
              <w:t>(First)</w:t>
            </w:r>
          </w:p>
        </w:tc>
        <w:tc>
          <w:tcPr>
            <w:tcW w:w="174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2600" w:type="dxa"/>
            <w:vAlign w:val="bottom"/>
            <w:gridSpan w:val="2"/>
          </w:tcPr>
          <w:p>
            <w:pPr>
              <w:spacing w:after="0"/>
              <w:rPr>
                <w:sz w:val="20"/>
                <w:szCs w:val="20"/>
                <w:color w:val="auto"/>
              </w:rPr>
            </w:pPr>
            <w:r>
              <w:rPr>
                <w:rFonts w:ascii="Arial" w:cs="Arial" w:eastAsia="Arial" w:hAnsi="Arial"/>
                <w:sz w:val="17"/>
                <w:szCs w:val="17"/>
                <w:color w:val="0000FF"/>
              </w:rPr>
              <w:t>1800 AVENUE OF THE STARS</w:t>
            </w:r>
          </w:p>
        </w:tc>
        <w:tc>
          <w:tcPr>
            <w:tcW w:w="174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3RD FLOOR</w:t>
            </w:r>
          </w:p>
        </w:tc>
        <w:tc>
          <w:tcPr>
            <w:tcW w:w="1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153"/>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261"/>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5"/>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60"/>
              <w:spacing w:after="0"/>
              <w:rPr>
                <w:sz w:val="20"/>
                <w:szCs w:val="20"/>
                <w:color w:val="auto"/>
              </w:rPr>
            </w:pPr>
            <w:r>
              <w:rPr>
                <w:rFonts w:ascii="Arial" w:cs="Arial" w:eastAsia="Arial" w:hAnsi="Arial"/>
                <w:sz w:val="17"/>
                <w:szCs w:val="17"/>
                <w:color w:val="0000FF"/>
              </w:rPr>
              <w:t>CA</w:t>
            </w:r>
          </w:p>
        </w:tc>
        <w:tc>
          <w:tcPr>
            <w:tcW w:w="1740" w:type="dxa"/>
            <w:vAlign w:val="bottom"/>
          </w:tcPr>
          <w:p>
            <w:pPr>
              <w:ind w:left="320"/>
              <w:spacing w:after="0"/>
              <w:rPr>
                <w:sz w:val="20"/>
                <w:szCs w:val="20"/>
                <w:color w:val="auto"/>
              </w:rPr>
            </w:pPr>
            <w:r>
              <w:rPr>
                <w:rFonts w:ascii="Arial" w:cs="Arial" w:eastAsia="Arial" w:hAnsi="Arial"/>
                <w:sz w:val="17"/>
                <w:szCs w:val="17"/>
                <w:color w:val="0000FF"/>
              </w:rPr>
              <w:t>90067</w:t>
            </w:r>
          </w:p>
        </w:tc>
      </w:tr>
      <w:tr>
        <w:trPr>
          <w:trHeight w:val="153"/>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74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2920365" cy="3032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0365" cy="30327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KAYNE ANDERSON CAPITAL ADVISORS LP</w:t>
        </w:r>
      </w:hyperlink>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60"/>
              <w:spacing w:after="0"/>
              <w:rPr>
                <w:sz w:val="20"/>
                <w:szCs w:val="20"/>
                <w:color w:val="auto"/>
              </w:rPr>
            </w:pPr>
            <w:r>
              <w:rPr>
                <w:rFonts w:ascii="Arial" w:cs="Arial" w:eastAsia="Arial" w:hAnsi="Arial"/>
                <w:sz w:val="13"/>
                <w:szCs w:val="13"/>
                <w:color w:val="auto"/>
              </w:rPr>
              <w:t>(First)</w:t>
            </w:r>
          </w:p>
        </w:tc>
        <w:tc>
          <w:tcPr>
            <w:tcW w:w="174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2600" w:type="dxa"/>
            <w:vAlign w:val="bottom"/>
            <w:gridSpan w:val="2"/>
          </w:tcPr>
          <w:p>
            <w:pPr>
              <w:spacing w:after="0"/>
              <w:rPr>
                <w:sz w:val="20"/>
                <w:szCs w:val="20"/>
                <w:color w:val="auto"/>
              </w:rPr>
            </w:pPr>
            <w:r>
              <w:rPr>
                <w:rFonts w:ascii="Arial" w:cs="Arial" w:eastAsia="Arial" w:hAnsi="Arial"/>
                <w:sz w:val="17"/>
                <w:szCs w:val="17"/>
                <w:color w:val="0000FF"/>
              </w:rPr>
              <w:t>1800 AVENUE OF THE STARS</w:t>
            </w:r>
          </w:p>
        </w:tc>
        <w:tc>
          <w:tcPr>
            <w:tcW w:w="174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3RD FLOOR</w:t>
            </w:r>
          </w:p>
        </w:tc>
        <w:tc>
          <w:tcPr>
            <w:tcW w:w="1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153"/>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261"/>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5"/>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60"/>
              <w:spacing w:after="0"/>
              <w:rPr>
                <w:sz w:val="20"/>
                <w:szCs w:val="20"/>
                <w:color w:val="auto"/>
              </w:rPr>
            </w:pPr>
            <w:r>
              <w:rPr>
                <w:rFonts w:ascii="Arial" w:cs="Arial" w:eastAsia="Arial" w:hAnsi="Arial"/>
                <w:sz w:val="17"/>
                <w:szCs w:val="17"/>
                <w:color w:val="0000FF"/>
              </w:rPr>
              <w:t>CA</w:t>
            </w:r>
          </w:p>
        </w:tc>
        <w:tc>
          <w:tcPr>
            <w:tcW w:w="1740" w:type="dxa"/>
            <w:vAlign w:val="bottom"/>
          </w:tcPr>
          <w:p>
            <w:pPr>
              <w:ind w:left="320"/>
              <w:spacing w:after="0"/>
              <w:rPr>
                <w:sz w:val="20"/>
                <w:szCs w:val="20"/>
                <w:color w:val="auto"/>
              </w:rPr>
            </w:pPr>
            <w:r>
              <w:rPr>
                <w:rFonts w:ascii="Arial" w:cs="Arial" w:eastAsia="Arial" w:hAnsi="Arial"/>
                <w:sz w:val="17"/>
                <w:szCs w:val="17"/>
                <w:color w:val="0000FF"/>
              </w:rPr>
              <w:t>90067</w:t>
            </w:r>
          </w:p>
        </w:tc>
      </w:tr>
      <w:tr>
        <w:trPr>
          <w:trHeight w:val="153"/>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74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right="80" w:firstLine="5"/>
        <w:spacing w:after="0" w:line="238"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KAFU Holdings (QP), L.P., KAFU Holdings, L.P., and KAFU Holdings II, L.P. (collectively "KAFU") along with Kayne Anderson Capital Advisors, L.P. ("KACALP") hold Class B shares representing limited partners interest in Plains GP Holdings L.P. (the "Issuer"), an equivalent number of units representing limited liability company interests of the Issuer's general partner ("GP Units"), and an equivalent number of Class A Units representing limited partner interests in Plains AAP, L.P. ("AAP"). The Eight Amended and Restated Limited Partnership Agreement of AAP provides that each limited partner of AAP, including KAFU and KACALP, has the right at any time (without expiration) to immediately exchange (the "exchange Right") its Class A units in AAP together with a like number of Class B shares and the GP Units, for a like number of Class A shares of the Issuer.</w:t>
      </w:r>
    </w:p>
    <w:p>
      <w:pPr>
        <w:spacing w:after="0" w:line="33" w:lineRule="exact"/>
        <w:rPr>
          <w:rFonts w:ascii="Arial" w:cs="Arial" w:eastAsia="Arial" w:hAnsi="Arial"/>
          <w:sz w:val="13"/>
          <w:szCs w:val="13"/>
          <w:color w:val="008000"/>
        </w:rPr>
      </w:pPr>
    </w:p>
    <w:p>
      <w:pPr>
        <w:ind w:firstLine="5"/>
        <w:spacing w:after="0" w:line="257"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KACALP is the manager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spacing w:after="0" w:line="21"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involves an in-kind distribution to redeeming limited partners of KAFU Holdings (QP), L.P. and KAFU Holdings, L.P.</w:t>
      </w:r>
    </w:p>
    <w:p>
      <w:pPr>
        <w:spacing w:after="0" w:line="47"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Kayne Anderson Capital Advisors, L.P.</w:t>
      </w:r>
    </w:p>
    <w:p>
      <w:pPr>
        <w:spacing w:after="0" w:line="47" w:lineRule="exact"/>
        <w:rPr>
          <w:rFonts w:ascii="Arial" w:cs="Arial" w:eastAsia="Arial" w:hAnsi="Arial"/>
          <w:sz w:val="13"/>
          <w:szCs w:val="13"/>
          <w:color w:val="008000"/>
        </w:rPr>
      </w:pPr>
    </w:p>
    <w:p>
      <w:pPr>
        <w:ind w:right="100" w:firstLine="5"/>
        <w:spacing w:after="0" w:line="244"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3,035,517 Class A units. As a result, such Class A units were cancelled and 3,035,517 Common Units of Plains All American Pipeline, L.P. were distributed by AAP to KAFU. The number of derivative securities owned reflects both the exchange transaction reported herein and the simultaneous redemption transaction.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2"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KAFU Holdings, L.P., and KAFU Holdings II,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41"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01/04/2017</w:t>
            </w:r>
          </w:p>
        </w:tc>
      </w:tr>
      <w:tr>
        <w:trPr>
          <w:trHeight w:val="20"/>
        </w:trPr>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660" w:firstLine="5"/>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7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9001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638385" TargetMode="External"/><Relationship Id="rId16" Type="http://schemas.openxmlformats.org/officeDocument/2006/relationships/hyperlink" Target="http://www.sec.gov/cgi-bin/browse-edgar?action=getcompany&amp;CIK=0001590087" TargetMode="External"/><Relationship Id="rId18"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2019-12-24T06:39:27Z</dcterms:created>
  <dcterms:modified xsi:type="dcterms:W3CDTF">2019-12-24T06:39:27Z</dcterms:modified>
</cp:coreProperties>
</file>