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48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OMB</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APPROVAL</w:t>
            </w:r>
          </w:p>
        </w:tc>
        <w:tc>
          <w:tcPr>
            <w:tcW w:w="132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OMB</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Number: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3235-0145</w:t>
            </w:r>
          </w:p>
        </w:tc>
      </w:tr>
    </w:tbl>
    <w:p>
      <w:pPr>
        <w:ind w:left="5480"/>
        <w:spacing w:after="0" w:line="238" w:lineRule="auto"/>
        <w:rPr>
          <w:sz w:val="20"/>
          <w:szCs w:val="20"/>
          <w:color w:val="auto"/>
        </w:rPr>
      </w:pPr>
      <w:r>
        <w:rPr>
          <w:rFonts w:ascii="Courier New" w:cs="Courier New" w:eastAsia="Courier New" w:hAnsi="Courier New"/>
          <w:sz w:val="18"/>
          <w:szCs w:val="18"/>
          <w:color w:val="auto"/>
        </w:rPr>
        <w:t>Expires: October 31, 2002</w:t>
      </w:r>
    </w:p>
    <w:p>
      <w:pPr>
        <w:ind w:left="5480"/>
        <w:spacing w:after="0"/>
        <w:rPr>
          <w:sz w:val="20"/>
          <w:szCs w:val="20"/>
          <w:color w:val="auto"/>
        </w:rPr>
      </w:pPr>
      <w:r>
        <w:rPr>
          <w:rFonts w:ascii="Courier New" w:cs="Courier New" w:eastAsia="Courier New" w:hAnsi="Courier New"/>
          <w:sz w:val="18"/>
          <w:szCs w:val="18"/>
          <w:color w:val="auto"/>
        </w:rPr>
        <w:t>Estimated average burden</w:t>
      </w:r>
    </w:p>
    <w:p>
      <w:pPr>
        <w:spacing w:after="0" w:line="3"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Hours per response ... 14.90</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ALL AMERICAN PIPELINE, LP</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UNITS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726503105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right"/>
        <w:ind w:left="960" w:right="2739"/>
        <w:spacing w:after="0" w:line="268" w:lineRule="auto"/>
        <w:rPr>
          <w:sz w:val="20"/>
          <w:szCs w:val="20"/>
          <w:color w:val="auto"/>
        </w:rPr>
      </w:pPr>
      <w:r>
        <w:rPr>
          <w:rFonts w:ascii="Courier New" w:cs="Courier New" w:eastAsia="Courier New" w:hAnsi="Courier New"/>
          <w:sz w:val="16"/>
          <w:szCs w:val="16"/>
          <w:color w:val="auto"/>
        </w:rPr>
        <w:t>DAVID J. SHLADOVSKY, C/O KAYNE ANDERSON CAPITAL ADVISORS, L.P. 1800 AVENUE OF THE STARS, SECOND FLOOR, LOS ANGELES, CA 90067</w:t>
      </w:r>
    </w:p>
    <w:p>
      <w:pPr>
        <w:ind w:left="4120" w:hanging="636"/>
        <w:spacing w:after="0" w:line="233"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556-2721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01-20-05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CUSIP NO. 726503105</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2 OF 7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960"/>
        <w:spacing w:after="0"/>
        <w:tabs>
          <w:tab w:leader="none" w:pos="5360" w:val="left"/>
        </w:tabs>
        <w:rPr>
          <w:sz w:val="20"/>
          <w:szCs w:val="20"/>
          <w:color w:val="auto"/>
        </w:rPr>
      </w:pPr>
      <w:r>
        <w:rPr>
          <w:rFonts w:ascii="Courier New" w:cs="Courier New" w:eastAsia="Courier New" w:hAnsi="Courier New"/>
          <w:sz w:val="18"/>
          <w:szCs w:val="18"/>
          <w:color w:val="auto"/>
        </w:rPr>
        <w:t>RICHARD A. KAYNE</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628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U.S.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hanging="742"/>
        <w:spacing w:after="0"/>
        <w:tabs>
          <w:tab w:leader="none" w:pos="3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235,730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8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4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54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4,659,591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28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rPr>
                <w:sz w:val="17"/>
                <w:szCs w:val="17"/>
                <w:color w:val="auto"/>
              </w:rPr>
            </w:pPr>
          </w:p>
        </w:tc>
        <w:tc>
          <w:tcPr>
            <w:tcW w:w="15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9</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235,730</w:t>
            </w:r>
          </w:p>
        </w:tc>
      </w:tr>
      <w:tr>
        <w:trPr>
          <w:trHeight w:val="203"/>
        </w:trPr>
        <w:tc>
          <w:tcPr>
            <w:tcW w:w="2160" w:type="dxa"/>
            <w:vAlign w:val="bottom"/>
          </w:tcPr>
          <w:p>
            <w:pPr>
              <w:spacing w:after="0"/>
              <w:rPr>
                <w:sz w:val="17"/>
                <w:szCs w:val="17"/>
                <w:color w:val="auto"/>
              </w:rPr>
            </w:pPr>
          </w:p>
        </w:tc>
        <w:tc>
          <w:tcPr>
            <w:tcW w:w="628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rPr>
                <w:sz w:val="17"/>
                <w:szCs w:val="17"/>
                <w:color w:val="auto"/>
              </w:rPr>
            </w:pPr>
          </w:p>
        </w:tc>
        <w:tc>
          <w:tcPr>
            <w:tcW w:w="15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10</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4,659,591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4,895,321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7220" w:type="dxa"/>
            <w:vAlign w:val="bottom"/>
          </w:tcPr>
          <w:p>
            <w:pPr>
              <w:ind w:left="380"/>
              <w:spacing w:after="0"/>
              <w:rPr>
                <w:sz w:val="20"/>
                <w:szCs w:val="20"/>
                <w:color w:val="auto"/>
              </w:rPr>
            </w:pPr>
            <w:r>
              <w:rPr>
                <w:rFonts w:ascii="Courier New" w:cs="Courier New" w:eastAsia="Courier New" w:hAnsi="Courier New"/>
                <w:sz w:val="18"/>
                <w:szCs w:val="18"/>
                <w:color w:val="auto"/>
              </w:rPr>
              <w:t>CHECK BOX IF THE AGGREGATE AMOUNT IN ROW (11) EXCLUDES CERTAIN</w:t>
            </w:r>
          </w:p>
        </w:tc>
        <w:tc>
          <w:tcPr>
            <w:tcW w:w="6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CUSIP NO. 726503105</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3 OF 7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960"/>
        <w:spacing w:after="0"/>
        <w:tabs>
          <w:tab w:leader="none" w:pos="5360" w:val="left"/>
        </w:tabs>
        <w:rPr>
          <w:sz w:val="20"/>
          <w:szCs w:val="20"/>
          <w:color w:val="auto"/>
        </w:rPr>
      </w:pPr>
      <w:r>
        <w:rPr>
          <w:rFonts w:ascii="Courier New" w:cs="Courier New" w:eastAsia="Courier New" w:hAnsi="Courier New"/>
          <w:sz w:val="18"/>
          <w:szCs w:val="18"/>
          <w:color w:val="auto"/>
        </w:rPr>
        <w:t>KAYNE ANDERSON CAPITAL ADVISORS, L.P.</w:t>
      </w:r>
      <w:r>
        <w:rPr>
          <w:sz w:val="20"/>
          <w:szCs w:val="20"/>
          <w:color w:val="auto"/>
        </w:rPr>
        <w:tab/>
      </w:r>
      <w:r>
        <w:rPr>
          <w:rFonts w:ascii="Courier New" w:cs="Courier New" w:eastAsia="Courier New" w:hAnsi="Courier New"/>
          <w:sz w:val="16"/>
          <w:szCs w:val="16"/>
          <w:color w:val="auto"/>
        </w:rPr>
        <w:t>- 95-4486379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73"/>
              </w:rPr>
              <w:t>2</w:t>
            </w:r>
          </w:p>
        </w:tc>
        <w:tc>
          <w:tcPr>
            <w:tcW w:w="628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847"/>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CALIFORNIA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hanging="742"/>
        <w:spacing w:after="0"/>
        <w:tabs>
          <w:tab w:leader="none" w:pos="3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4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8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4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EACH REPORTING</w:t>
            </w:r>
          </w:p>
        </w:tc>
        <w:tc>
          <w:tcPr>
            <w:tcW w:w="1540" w:type="dxa"/>
            <w:vAlign w:val="bottom"/>
          </w:tcPr>
          <w:p>
            <w:pPr>
              <w:spacing w:after="0"/>
              <w:rPr>
                <w:sz w:val="24"/>
                <w:szCs w:val="24"/>
                <w:color w:val="auto"/>
              </w:rPr>
            </w:pPr>
          </w:p>
        </w:tc>
        <w:tc>
          <w:tcPr>
            <w:tcW w:w="4740" w:type="dxa"/>
            <w:vAlign w:val="bottom"/>
          </w:tcPr>
          <w:p>
            <w:pPr>
              <w:ind w:left="100"/>
              <w:spacing w:after="0"/>
              <w:rPr>
                <w:sz w:val="20"/>
                <w:szCs w:val="20"/>
                <w:color w:val="auto"/>
              </w:rPr>
            </w:pPr>
            <w:r>
              <w:rPr>
                <w:rFonts w:ascii="Courier New" w:cs="Courier New" w:eastAsia="Courier New" w:hAnsi="Courier New"/>
                <w:sz w:val="18"/>
                <w:szCs w:val="18"/>
                <w:color w:val="auto"/>
              </w:rPr>
              <w:t>4,659,591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28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rPr>
                <w:sz w:val="17"/>
                <w:szCs w:val="17"/>
                <w:color w:val="auto"/>
              </w:rPr>
            </w:pPr>
          </w:p>
        </w:tc>
        <w:tc>
          <w:tcPr>
            <w:tcW w:w="15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9</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405"/>
        </w:trPr>
        <w:tc>
          <w:tcPr>
            <w:tcW w:w="2160" w:type="dxa"/>
            <w:vAlign w:val="bottom"/>
          </w:tcPr>
          <w:p>
            <w:pPr>
              <w:spacing w:after="0"/>
              <w:rPr>
                <w:sz w:val="24"/>
                <w:szCs w:val="24"/>
                <w:color w:val="auto"/>
              </w:rPr>
            </w:pPr>
          </w:p>
        </w:tc>
        <w:tc>
          <w:tcPr>
            <w:tcW w:w="6280" w:type="dxa"/>
            <w:vAlign w:val="bottom"/>
            <w:gridSpan w:val="2"/>
          </w:tcPr>
          <w:p>
            <w:pPr>
              <w:ind w:left="7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rPr>
                <w:sz w:val="17"/>
                <w:szCs w:val="17"/>
                <w:color w:val="auto"/>
              </w:rPr>
            </w:pPr>
          </w:p>
        </w:tc>
        <w:tc>
          <w:tcPr>
            <w:tcW w:w="15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10</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4,659,591</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4,659,591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12</w:t>
            </w:r>
          </w:p>
        </w:tc>
        <w:tc>
          <w:tcPr>
            <w:tcW w:w="7220" w:type="dxa"/>
            <w:vAlign w:val="bottom"/>
          </w:tcPr>
          <w:p>
            <w:pPr>
              <w:ind w:left="380"/>
              <w:spacing w:after="0"/>
              <w:rPr>
                <w:sz w:val="20"/>
                <w:szCs w:val="20"/>
                <w:color w:val="auto"/>
              </w:rPr>
            </w:pPr>
            <w:r>
              <w:rPr>
                <w:rFonts w:ascii="Courier New" w:cs="Courier New" w:eastAsia="Courier New" w:hAnsi="Courier New"/>
                <w:sz w:val="18"/>
                <w:szCs w:val="18"/>
                <w:color w:val="auto"/>
              </w:rPr>
              <w:t>CHECK BOX IF THE AGGREGATE AMOUNT IN ROW (11) EXCLUDES CERTAIN</w:t>
            </w:r>
          </w:p>
        </w:tc>
        <w:tc>
          <w:tcPr>
            <w:tcW w:w="6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580"/>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Units, $0.10 par value.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Plains All American Pipeline, LP</w:t>
      </w:r>
    </w:p>
    <w:p>
      <w:pPr>
        <w:ind w:left="96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Houston, TX</w:t>
        <w:tab/>
        <w:t>77002</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Reporting Persons include Kayne Anderson Capital Advisors, L.P. and Richard A. Kayne.</w:t>
      </w:r>
    </w:p>
    <w:p>
      <w:pPr>
        <w:spacing w:after="0" w:line="203"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w:t>
      </w:r>
    </w:p>
    <w:p>
      <w:pPr>
        <w:spacing w:after="0" w:line="206" w:lineRule="exact"/>
        <w:rPr>
          <w:rFonts w:ascii="Courier New" w:cs="Courier New" w:eastAsia="Courier New" w:hAnsi="Courier New"/>
          <w:sz w:val="18"/>
          <w:szCs w:val="18"/>
          <w:color w:val="auto"/>
        </w:rPr>
      </w:pPr>
    </w:p>
    <w:p>
      <w:pPr>
        <w:ind w:left="6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investment adviser to Kayne Anderson MLP Investment Company ("KAMIC"), a publicly traded closed-end fund, and a small number of separate account clients which hold the issuer's Common Stock.</w:t>
      </w:r>
    </w:p>
    <w:p>
      <w:pPr>
        <w:spacing w:after="0" w:line="212" w:lineRule="exact"/>
        <w:rPr>
          <w:rFonts w:ascii="Courier New" w:cs="Courier New" w:eastAsia="Courier New" w:hAnsi="Courier New"/>
          <w:sz w:val="18"/>
          <w:szCs w:val="18"/>
          <w:color w:val="auto"/>
        </w:rPr>
      </w:pPr>
    </w:p>
    <w:p>
      <w:pPr>
        <w:ind w:left="64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17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A. KAYNE</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 U.S. citizen, is President, Chief Executive Officer and Director of KAIM and KA Holdings.</w:t>
      </w:r>
    </w:p>
    <w:p>
      <w:pPr>
        <w:spacing w:after="0" w:line="208"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also serves as Co-Management Chair and Chief Executive Officer of Kayne Anderson Rudnick Investment Management, LLC, a California limited liability company ("KARIM"), and President and Director of KA Associates, Inc., a Nevada corporation ("KAA"). KARIM is a registered investment adviser. KAA is a registered broker/dealer. The principal business address of KARIM and KAA is 1800 Avenue of the Stars, Second Floor, Los Angeles, CA 90067.</w:t>
      </w:r>
    </w:p>
    <w:p>
      <w:pPr>
        <w:spacing w:after="0" w:line="211"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0219"/>
          </w:cols>
          <w:pgMar w:left="240" w:top="514" w:right="1440" w:bottom="1440" w:gutter="0" w:footer="0" w:header="0"/>
        </w:sectPr>
      </w:pPr>
    </w:p>
    <w:bookmarkStart w:id="4" w:name="page5"/>
    <w:bookmarkEnd w:id="4"/>
    <w:p>
      <w:pPr>
        <w:ind w:left="640" w:right="1879" w:hanging="632"/>
        <w:spacing w:after="0" w:line="238"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additional persons are officers and/or directors of one or more of KAIM and KA Holdings. (KACALP, a limited partnership, does not have any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JOHN E. ANDERSON.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Chairman of Topa Equities, Ltd., a diversified investment company located at 1800 Avenue of the Stars, Suite 1400, Los Angeles, California 90067. Mr. Anderson is Director of KAIM and KA Holdings.</w:t>
      </w:r>
    </w:p>
    <w:p>
      <w:pPr>
        <w:spacing w:after="0" w:line="200" w:lineRule="exact"/>
        <w:rPr>
          <w:sz w:val="20"/>
          <w:szCs w:val="20"/>
          <w:color w:val="auto"/>
        </w:rPr>
      </w:pPr>
    </w:p>
    <w:p>
      <w:pPr>
        <w:sectPr>
          <w:pgSz w:w="11900" w:h="16838" w:orient="portrait"/>
          <w:cols w:equalWidth="0" w:num="2">
            <w:col w:w="2660" w:space="720"/>
            <w:col w:w="6839"/>
          </w:cols>
          <w:pgMar w:left="240" w:top="520" w:right="1440" w:bottom="1440" w:gutter="0" w:footer="0" w:header="0"/>
          <w:type w:val="continuous"/>
        </w:sectPr>
      </w:pP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HOWARD M. ZELIKOW.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Director of KAIM</w:t>
      </w:r>
    </w:p>
    <w:p>
      <w:pPr>
        <w:spacing w:after="0" w:line="200" w:lineRule="exact"/>
        <w:rPr>
          <w:sz w:val="20"/>
          <w:szCs w:val="20"/>
          <w:color w:val="auto"/>
        </w:rPr>
      </w:pPr>
    </w:p>
    <w:p>
      <w:pPr>
        <w:sectPr>
          <w:pgSz w:w="11900" w:h="16838" w:orient="portrait"/>
          <w:cols w:equalWidth="0" w:num="2">
            <w:col w:w="2660" w:space="720"/>
            <w:col w:w="6839"/>
          </w:cols>
          <w:pgMar w:left="240" w:top="520"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ROBERT V. SINNOTT.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of KAIM</w:t>
      </w:r>
    </w:p>
    <w:p>
      <w:pPr>
        <w:spacing w:after="0" w:line="200" w:lineRule="exact"/>
        <w:rPr>
          <w:sz w:val="20"/>
          <w:szCs w:val="20"/>
          <w:color w:val="auto"/>
        </w:rPr>
      </w:pPr>
    </w:p>
    <w:p>
      <w:pPr>
        <w:sectPr>
          <w:pgSz w:w="11900" w:h="16838" w:orient="portrait"/>
          <w:cols w:equalWidth="0" w:num="2">
            <w:col w:w="2660" w:space="720"/>
            <w:col w:w="6839"/>
          </w:cols>
          <w:pgMar w:left="240" w:top="520"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RALPH C. WALTER.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Operating Officer of KAIM and KA Holdings.</w:t>
      </w:r>
    </w:p>
    <w:p>
      <w:pPr>
        <w:spacing w:after="0" w:line="200" w:lineRule="exact"/>
        <w:rPr>
          <w:sz w:val="20"/>
          <w:szCs w:val="20"/>
          <w:color w:val="auto"/>
        </w:rPr>
      </w:pPr>
    </w:p>
    <w:p>
      <w:pPr>
        <w:sectPr>
          <w:pgSz w:w="11900" w:h="16838" w:orient="portrait"/>
          <w:cols w:equalWidth="0" w:num="2">
            <w:col w:w="2660" w:space="720"/>
            <w:col w:w="6839"/>
          </w:cols>
          <w:pgMar w:left="240" w:top="520" w:right="1440" w:bottom="1440" w:gutter="0" w:footer="0" w:header="0"/>
          <w:type w:val="continuous"/>
        </w:sectPr>
      </w:pPr>
    </w:p>
    <w:p>
      <w:pPr>
        <w:spacing w:after="0" w:line="24"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DAVID J. SHLADOVSKY.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General Counsel and Secretary of KAIM and KA Holdings.</w:t>
      </w:r>
    </w:p>
    <w:p>
      <w:pPr>
        <w:spacing w:after="0" w:line="200" w:lineRule="exact"/>
        <w:rPr>
          <w:sz w:val="20"/>
          <w:szCs w:val="20"/>
          <w:color w:val="auto"/>
        </w:rPr>
      </w:pPr>
    </w:p>
    <w:p>
      <w:pPr>
        <w:sectPr>
          <w:pgSz w:w="11900" w:h="16838" w:orient="portrait"/>
          <w:cols w:equalWidth="0" w:num="2">
            <w:col w:w="2740" w:space="640"/>
            <w:col w:w="6839"/>
          </w:cols>
          <w:pgMar w:left="240" w:top="520" w:right="1440" w:bottom="1440" w:gutter="0" w:footer="0" w:header="0"/>
          <w:type w:val="continuous"/>
        </w:sectPr>
      </w:pP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JOHN F. DALEY.</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Chief Financial Officer and Treasurer of KAIM and KA Holdings.</w:t>
      </w:r>
    </w:p>
    <w:p>
      <w:pPr>
        <w:spacing w:after="0" w:line="200" w:lineRule="exact"/>
        <w:rPr>
          <w:sz w:val="20"/>
          <w:szCs w:val="20"/>
          <w:color w:val="auto"/>
        </w:rPr>
      </w:pPr>
    </w:p>
    <w:p>
      <w:pPr>
        <w:sectPr>
          <w:pgSz w:w="11900" w:h="16838" w:orient="portrait"/>
          <w:cols w:equalWidth="0" w:num="2">
            <w:col w:w="2660" w:space="720"/>
            <w:col w:w="6839"/>
          </w:cols>
          <w:pgMar w:left="240" w:top="520" w:right="1440" w:bottom="1440" w:gutter="0" w:footer="0" w:header="0"/>
          <w:type w:val="continuous"/>
        </w:sectPr>
      </w:pPr>
    </w:p>
    <w:p>
      <w:pPr>
        <w:spacing w:after="0" w:line="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Schedule 13D is filed for purposes of disclosing that the Reporting Persons have acquired additional shares of Issuer's outstanding Common Units.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As of January 21, 2005, Mr. Kayne beneficially owns 4,895,321 Common Units, or approximately 7.80% of the outstanding Common Units. Of those Common Units, KACALP, as general partner of or investment adviser to investment funds accounts, beneficially owns 4,659,591 Common Units, or approximately 7.43% of the outstanding Common Units. Included in the above Common Unit numbers are 1,460,565 Common Units acquirable currently upon conversion of Series C Common Units of the Issuer.</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(i) Mr. Kayne has the sole power to vote and dispose, or direct the disposition, of 235,730 Common Units, and (ii) Mr. Kayne and KACALP have the shared power to vote and dispose, or direct the disposition, of 4,659,591 Common Units.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by virtue of his indirect interest in the interest of KACALP in such limited partnerships and by his ownership of shares in KAMIC.</w:t>
      </w:r>
    </w:p>
    <w:p>
      <w:pPr>
        <w:sectPr>
          <w:pgSz w:w="11900" w:h="16838" w:orient="portrait"/>
          <w:cols w:equalWidth="0" w:num="1">
            <w:col w:w="10219"/>
          </w:cols>
          <w:pgMar w:left="240" w:top="520"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 The following transactions in the Common Units beneficially owned by the</w:t>
      </w:r>
    </w:p>
    <w:p>
      <w:pPr>
        <w:spacing w:after="0" w:line="238" w:lineRule="auto"/>
        <w:rPr>
          <w:sz w:val="20"/>
          <w:szCs w:val="20"/>
          <w:color w:val="auto"/>
        </w:rPr>
      </w:pPr>
      <w:r>
        <w:rPr>
          <w:rFonts w:ascii="Courier New" w:cs="Courier New" w:eastAsia="Courier New" w:hAnsi="Courier New"/>
          <w:sz w:val="18"/>
          <w:szCs w:val="18"/>
          <w:color w:val="auto"/>
        </w:rPr>
        <w:t>Reporting Persons were effected in the last 60 days: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8"/>
                <w:szCs w:val="18"/>
                <w:color w:val="auto"/>
              </w:rPr>
              <w:t>Common Stock</w:t>
            </w:r>
          </w:p>
        </w:tc>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Stock</w:t>
            </w:r>
          </w:p>
        </w:tc>
        <w:tc>
          <w:tcPr>
            <w:tcW w:w="3520" w:type="dxa"/>
            <w:vAlign w:val="bottom"/>
          </w:tcPr>
          <w:p>
            <w:pPr>
              <w:spacing w:after="0"/>
              <w:rPr>
                <w:sz w:val="17"/>
                <w:szCs w:val="17"/>
                <w:color w:val="auto"/>
              </w:rPr>
            </w:pP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Date</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Type</w:t>
            </w: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of shares</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Price</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Where/how transaction effected</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9"/>
              </w:rPr>
              <w:t>11/30/04</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20,000</w:t>
            </w:r>
          </w:p>
        </w:tc>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37.01</w:t>
            </w:r>
          </w:p>
        </w:tc>
        <w:tc>
          <w:tcPr>
            <w:tcW w:w="3520" w:type="dxa"/>
            <w:vAlign w:val="bottom"/>
          </w:tcPr>
          <w:p>
            <w:pPr>
              <w:ind w:left="360"/>
              <w:spacing w:after="0"/>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12/02/04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35.78</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12/03/04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20,300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35.77</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12/06/04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35.39</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12/07/04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35.53</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12/08/04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35.42</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12/09/04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10,500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35.75</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12/10/04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36.09</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12/13/04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8,400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36.10</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12/14/04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36.25</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12/15/04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36.27</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12/16/04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30,000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36.28</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12/17/04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35.97</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12/20/04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21,900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35.99</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12/21/04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36.05</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12/23/04</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275</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36.50</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01/10/05</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37.13</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01/12/05</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37.54</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r>
        <w:trPr>
          <w:trHeight w:val="203"/>
        </w:trPr>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01/21/05</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buy</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6,500</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39.07</w:t>
            </w:r>
          </w:p>
        </w:tc>
        <w:tc>
          <w:tcPr>
            <w:tcW w:w="3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open market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Not applicable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JANUARY 24, 2005</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535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Richard A. Kayne</w:t>
      </w:r>
    </w:p>
    <w:p>
      <w:pPr>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Richard A. Kayne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KAYNE ANDERSON CAPITAL ADVISORS, L.P.</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Kayne Anderson Investment Management, Inc.</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J. Shladovsky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David J. Shladovsky, Secretary</w:t>
      </w:r>
    </w:p>
    <w:p>
      <w:pPr>
        <w:sectPr>
          <w:pgSz w:w="11900" w:h="16838" w:orient="portrait"/>
          <w:cols w:equalWidth="0" w:num="1">
            <w:col w:w="10219"/>
          </w:cols>
          <w:pgMar w:left="240" w:top="514" w:right="1440" w:bottom="1440" w:gutter="0" w:footer="0" w:header="0"/>
        </w:sectPr>
      </w:pPr>
    </w:p>
    <w:bookmarkStart w:id="6" w:name="page7"/>
    <w:bookmarkEnd w:id="6"/>
    <w:p>
      <w:pPr>
        <w:ind w:left="1580"/>
        <w:spacing w:after="0"/>
        <w:rPr>
          <w:sz w:val="20"/>
          <w:szCs w:val="20"/>
          <w:color w:val="auto"/>
        </w:rPr>
      </w:pPr>
      <w:r>
        <w:rPr>
          <w:rFonts w:ascii="Courier New" w:cs="Courier New" w:eastAsia="Courier New" w:hAnsi="Courier New"/>
          <w:sz w:val="18"/>
          <w:szCs w:val="18"/>
          <w:color w:val="auto"/>
        </w:rPr>
        <w:t>JOINT FILING AGREEMENT PURSUANT TO RULE 13d-1(f)(1)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Richard A. Kayne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Richard A. Kayne</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David J. Shladovsky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Kayne Anderson Capital Advisors, L.P., by</w:t>
      </w:r>
    </w:p>
    <w:p>
      <w:pPr>
        <w:ind w:left="960"/>
        <w:spacing w:after="0" w:line="237" w:lineRule="auto"/>
        <w:rPr>
          <w:sz w:val="20"/>
          <w:szCs w:val="20"/>
          <w:color w:val="auto"/>
        </w:rPr>
      </w:pPr>
      <w:r>
        <w:rPr>
          <w:rFonts w:ascii="Courier New" w:cs="Courier New" w:eastAsia="Courier New" w:hAnsi="Courier New"/>
          <w:sz w:val="18"/>
          <w:szCs w:val="18"/>
          <w:color w:val="auto"/>
        </w:rPr>
        <w:t>David J. Shladovsky, Secretary of</w:t>
      </w:r>
    </w:p>
    <w:p>
      <w:pPr>
        <w:ind w:left="960"/>
        <w:spacing w:after="0" w:line="238" w:lineRule="auto"/>
        <w:rPr>
          <w:sz w:val="20"/>
          <w:szCs w:val="20"/>
          <w:color w:val="auto"/>
        </w:rPr>
      </w:pPr>
      <w:r>
        <w:rPr>
          <w:rFonts w:ascii="Courier New" w:cs="Courier New" w:eastAsia="Courier New" w:hAnsi="Courier New"/>
          <w:sz w:val="18"/>
          <w:szCs w:val="18"/>
          <w:color w:val="auto"/>
        </w:rPr>
        <w:t>Kayne Anderson Investment Management, Inc.,</w:t>
      </w:r>
    </w:p>
    <w:p>
      <w:pPr>
        <w:ind w:left="960"/>
        <w:spacing w:after="0"/>
        <w:rPr>
          <w:sz w:val="20"/>
          <w:szCs w:val="20"/>
          <w:color w:val="auto"/>
        </w:rPr>
      </w:pPr>
      <w:r>
        <w:rPr>
          <w:rFonts w:ascii="Courier New" w:cs="Courier New" w:eastAsia="Courier New" w:hAnsi="Courier New"/>
          <w:sz w:val="18"/>
          <w:szCs w:val="18"/>
          <w:color w:val="auto"/>
        </w:rPr>
        <w:t>general partner</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310"/>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5"/>
      <w:numFmt w:val="bullet"/>
      <w:start w:val="1"/>
    </w:lvl>
  </w:abstractNum>
  <w:abstractNum w:abstractNumId="4">
    <w:nsid w:val="5BD062C2"/>
    <w:multiLevelType w:val="hybridMultilevel"/>
    <w:lvl w:ilvl="0">
      <w:lvlJc w:val="left"/>
      <w:lvlText w:val="6"/>
      <w:numFmt w:val="bullet"/>
      <w:start w:val="1"/>
    </w:lvl>
  </w:abstractNum>
  <w:abstractNum w:abstractNumId="5">
    <w:nsid w:val="12200854"/>
    <w:multiLevelType w:val="hybridMultilevel"/>
    <w:lvl w:ilvl="0">
      <w:lvlJc w:val="left"/>
      <w:lvlText w:val="7"/>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5"/>
      <w:numFmt w:val="bullet"/>
      <w:start w:val="1"/>
    </w:lvl>
  </w:abstractNum>
  <w:abstractNum w:abstractNumId="9">
    <w:nsid w:val="1190CDE7"/>
    <w:multiLevelType w:val="hybridMultilevel"/>
    <w:lvl w:ilvl="0">
      <w:lvlJc w:val="left"/>
      <w:lvlText w:val="6"/>
      <w:numFmt w:val="bullet"/>
      <w:start w:val="1"/>
    </w:lvl>
  </w:abstractNum>
  <w:abstractNum w:abstractNumId="10">
    <w:nsid w:val="66EF438D"/>
    <w:multiLevelType w:val="hybridMultilevel"/>
    <w:lvl w:ilvl="0">
      <w:lvlJc w:val="left"/>
      <w:lvlText w:val="7"/>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2019-12-16T15:00:26Z</dcterms:created>
  <dcterms:modified xsi:type="dcterms:W3CDTF">2019-12-16T15:00:26Z</dcterms:modified>
</cp:coreProperties>
</file>