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1" w:lineRule="exact"/>
        <w:rPr>
          <w:sz w:val="24"/>
          <w:szCs w:val="24"/>
          <w:color w:val="auto"/>
        </w:rPr>
      </w:pPr>
    </w:p>
    <w:p>
      <w:pPr>
        <w:jc w:val="center"/>
        <w:ind w:right="-800"/>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jc w:val="center"/>
        <w:ind w:right="-860"/>
        <w:spacing w:after="0"/>
        <w:rPr>
          <w:sz w:val="20"/>
          <w:szCs w:val="20"/>
          <w:color w:val="auto"/>
        </w:rPr>
      </w:pPr>
      <w:r>
        <w:rPr>
          <w:rFonts w:ascii="Arial" w:cs="Arial" w:eastAsia="Arial" w:hAnsi="Arial"/>
          <w:sz w:val="22"/>
          <w:szCs w:val="22"/>
          <w:b w:val="1"/>
          <w:bCs w:val="1"/>
          <w:color w:val="auto"/>
        </w:rPr>
        <w:t>SECURITIES AND EXCHANGE COMMISSION</w:t>
      </w:r>
    </w:p>
    <w:p>
      <w:pPr>
        <w:spacing w:after="0" w:line="23"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Washington, D.C. 20549</w:t>
      </w:r>
      <w:r>
        <w:rPr>
          <w:rFonts w:ascii="Times New Roman" w:cs="Times New Roman" w:eastAsia="Times New Roman" w:hAnsi="Times New Roman"/>
          <w:sz w:val="21"/>
          <w:szCs w:val="21"/>
          <w:color w:val="auto"/>
        </w:rPr>
        <w:t>​</w:t>
      </w:r>
    </w:p>
    <w:p>
      <w:pPr>
        <w:spacing w:after="0" w:line="207" w:lineRule="exact"/>
        <w:rPr>
          <w:sz w:val="24"/>
          <w:szCs w:val="24"/>
          <w:color w:val="auto"/>
        </w:rPr>
      </w:pPr>
    </w:p>
    <w:p>
      <w:pPr>
        <w:jc w:val="center"/>
        <w:ind w:right="-860"/>
        <w:spacing w:after="0"/>
        <w:rPr>
          <w:sz w:val="20"/>
          <w:szCs w:val="20"/>
          <w:color w:val="auto"/>
        </w:rPr>
      </w:pPr>
      <w:r>
        <w:rPr>
          <w:rFonts w:ascii="Arial" w:cs="Arial" w:eastAsia="Arial" w:hAnsi="Arial"/>
          <w:sz w:val="25"/>
          <w:szCs w:val="25"/>
          <w:b w:val="1"/>
          <w:bCs w:val="1"/>
          <w:color w:val="auto"/>
        </w:rPr>
        <w:t>SCHEDULE 14A</w:t>
      </w:r>
    </w:p>
    <w:p>
      <w:pPr>
        <w:spacing w:after="0" w:line="218"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the Securities Exchange Act of 1934 (Amendment No.       )</w:t>
      </w:r>
    </w:p>
    <w:p>
      <w:pPr>
        <w:spacing w:after="0" w:line="44" w:lineRule="exact"/>
        <w:rPr>
          <w:sz w:val="24"/>
          <w:szCs w:val="24"/>
          <w:color w:val="auto"/>
        </w:rPr>
      </w:pPr>
    </w:p>
    <w:p>
      <w:pPr>
        <w:ind w:left="50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102" w:lineRule="exact"/>
        <w:rPr>
          <w:sz w:val="24"/>
          <w:szCs w:val="24"/>
          <w:color w:val="auto"/>
        </w:rPr>
      </w:pPr>
    </w:p>
    <w:p>
      <w:pPr>
        <w:ind w:left="500"/>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39" w:lineRule="exact"/>
        <w:rPr>
          <w:sz w:val="24"/>
          <w:szCs w:val="24"/>
          <w:color w:val="auto"/>
        </w:rPr>
      </w:pPr>
    </w:p>
    <w:p>
      <w:pPr>
        <w:ind w:left="500"/>
        <w:spacing w:after="0"/>
        <w:rPr>
          <w:sz w:val="20"/>
          <w:szCs w:val="20"/>
          <w:color w:val="auto"/>
        </w:rPr>
      </w:pPr>
      <w:r>
        <w:rPr>
          <w:rFonts w:ascii="Arial" w:cs="Arial" w:eastAsia="Arial" w:hAnsi="Arial"/>
          <w:sz w:val="17"/>
          <w:szCs w:val="17"/>
          <w:color w:val="auto"/>
        </w:rPr>
        <w:t>Check the appropriate box:</w:t>
      </w:r>
    </w:p>
    <w:p>
      <w:pPr>
        <w:spacing w:after="0" w:line="102" w:lineRule="exact"/>
        <w:rPr>
          <w:sz w:val="24"/>
          <w:szCs w:val="24"/>
          <w:color w:val="auto"/>
        </w:rPr>
      </w:pPr>
    </w:p>
    <w:p>
      <w:pPr>
        <w:ind w:left="860" w:hanging="368"/>
        <w:spacing w:after="0"/>
        <w:tabs>
          <w:tab w:leader="none" w:pos="8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01" w:lineRule="exact"/>
        <w:rPr>
          <w:rFonts w:ascii="MS PGothic" w:cs="MS PGothic" w:eastAsia="MS PGothic" w:hAnsi="MS PGothic"/>
          <w:sz w:val="17"/>
          <w:szCs w:val="17"/>
          <w:color w:val="auto"/>
        </w:rPr>
      </w:pPr>
    </w:p>
    <w:p>
      <w:pPr>
        <w:ind w:left="860" w:hanging="368"/>
        <w:spacing w:after="0"/>
        <w:tabs>
          <w:tab w:leader="none" w:pos="8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63" w:lineRule="exact"/>
        <w:rPr>
          <w:rFonts w:ascii="MS PGothic" w:cs="MS PGothic" w:eastAsia="MS PGothic" w:hAnsi="MS PGothic"/>
          <w:sz w:val="17"/>
          <w:szCs w:val="17"/>
          <w:color w:val="auto"/>
        </w:rPr>
      </w:pPr>
    </w:p>
    <w:p>
      <w:pPr>
        <w:ind w:left="500"/>
        <w:spacing w:after="0" w:line="196"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Definitive Proxy Statement</w:t>
      </w:r>
    </w:p>
    <w:p>
      <w:pPr>
        <w:spacing w:after="0" w:line="139" w:lineRule="exact"/>
        <w:rPr>
          <w:rFonts w:ascii="MS PGothic" w:cs="MS PGothic" w:eastAsia="MS PGothic" w:hAnsi="MS PGothic"/>
          <w:sz w:val="17"/>
          <w:szCs w:val="17"/>
          <w:color w:val="auto"/>
        </w:rPr>
      </w:pPr>
    </w:p>
    <w:p>
      <w:pPr>
        <w:ind w:left="860" w:hanging="368"/>
        <w:spacing w:after="0"/>
        <w:tabs>
          <w:tab w:leader="none" w:pos="8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01" w:lineRule="exact"/>
        <w:rPr>
          <w:rFonts w:ascii="MS PGothic" w:cs="MS PGothic" w:eastAsia="MS PGothic" w:hAnsi="MS PGothic"/>
          <w:sz w:val="17"/>
          <w:szCs w:val="17"/>
          <w:color w:val="auto"/>
        </w:rPr>
      </w:pPr>
    </w:p>
    <w:p>
      <w:pPr>
        <w:ind w:left="860" w:hanging="368"/>
        <w:spacing w:after="0"/>
        <w:tabs>
          <w:tab w:leader="none" w:pos="8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under §240.14a-12</w:t>
      </w:r>
    </w:p>
    <w:p>
      <w:pPr>
        <w:spacing w:after="0" w:line="211" w:lineRule="exact"/>
        <w:rPr>
          <w:sz w:val="24"/>
          <w:szCs w:val="24"/>
          <w:color w:val="auto"/>
        </w:rPr>
      </w:pPr>
    </w:p>
    <w:p>
      <w:pPr>
        <w:jc w:val="center"/>
        <w:ind w:right="-860"/>
        <w:spacing w:after="0"/>
        <w:rPr>
          <w:sz w:val="20"/>
          <w:szCs w:val="20"/>
          <w:color w:val="auto"/>
        </w:rPr>
      </w:pPr>
      <w:r>
        <w:rPr>
          <w:rFonts w:ascii="Arial" w:cs="Arial" w:eastAsia="Arial" w:hAnsi="Arial"/>
          <w:sz w:val="29"/>
          <w:szCs w:val="29"/>
          <w:b w:val="1"/>
          <w:bCs w:val="1"/>
          <w:color w:val="auto"/>
        </w:rPr>
        <w:t>PLAINS ALL AMERICAN PIPELINE, L.P.</w:t>
      </w:r>
    </w:p>
    <w:p>
      <w:pPr>
        <w:spacing w:after="0" w:line="38"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(Name of Registrant as Specified In Its Charter)</w:t>
      </w:r>
      <w:r>
        <w:rPr>
          <w:rFonts w:ascii="Times New Roman" w:cs="Times New Roman" w:eastAsia="Times New Roman" w:hAnsi="Times New Roman"/>
          <w:sz w:val="28"/>
          <w:szCs w:val="2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-196215</wp:posOffset>
            </wp:positionV>
            <wp:extent cx="61893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197485</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324" w:lineRule="exact"/>
        <w:rPr>
          <w:sz w:val="24"/>
          <w:szCs w:val="24"/>
          <w:color w:val="auto"/>
        </w:rPr>
      </w:pPr>
    </w:p>
    <w:p>
      <w:pPr>
        <w:ind w:left="3120"/>
        <w:spacing w:after="0"/>
        <w:rPr>
          <w:sz w:val="20"/>
          <w:szCs w:val="20"/>
          <w:color w:val="auto"/>
        </w:rPr>
      </w:pPr>
      <w:r>
        <w:rPr>
          <w:rFonts w:ascii="Arial" w:cs="Arial" w:eastAsia="Arial" w:hAnsi="Arial"/>
          <w:sz w:val="14"/>
          <w:szCs w:val="14"/>
          <w:color w:val="auto"/>
        </w:rPr>
        <w:t>(Name of Person(s) Filing Proxy Statement, if other than the Registrant)</w:t>
      </w:r>
      <w:r>
        <w:rPr>
          <w:rFonts w:ascii="Times New Roman" w:cs="Times New Roman" w:eastAsia="Times New Roman" w:hAnsi="Times New Roman"/>
          <w:sz w:val="17"/>
          <w:szCs w:val="17"/>
          <w:color w:val="auto"/>
        </w:rPr>
        <w:t>​</w:t>
      </w:r>
    </w:p>
    <w:p>
      <w:pPr>
        <w:spacing w:after="0" w:line="208" w:lineRule="exact"/>
        <w:rPr>
          <w:sz w:val="24"/>
          <w:szCs w:val="24"/>
          <w:color w:val="auto"/>
        </w:rPr>
      </w:pPr>
    </w:p>
    <w:p>
      <w:pPr>
        <w:ind w:left="500"/>
        <w:spacing w:after="0"/>
        <w:rPr>
          <w:sz w:val="20"/>
          <w:szCs w:val="20"/>
          <w:color w:val="auto"/>
        </w:rPr>
      </w:pPr>
      <w:r>
        <w:rPr>
          <w:rFonts w:ascii="Arial" w:cs="Arial" w:eastAsia="Arial" w:hAnsi="Arial"/>
          <w:sz w:val="17"/>
          <w:szCs w:val="17"/>
          <w:color w:val="auto"/>
        </w:rPr>
        <w:t>Payment of Filing Fee (Check the appropriate box):</w:t>
      </w:r>
    </w:p>
    <w:p>
      <w:pPr>
        <w:spacing w:after="0" w:line="102" w:lineRule="exact"/>
        <w:rPr>
          <w:sz w:val="24"/>
          <w:szCs w:val="24"/>
          <w:color w:val="auto"/>
        </w:rPr>
      </w:pPr>
    </w:p>
    <w:p>
      <w:pPr>
        <w:ind w:left="860" w:hanging="368"/>
        <w:spacing w:after="0"/>
        <w:tabs>
          <w:tab w:leader="none" w:pos="8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102" w:lineRule="exact"/>
        <w:rPr>
          <w:sz w:val="24"/>
          <w:szCs w:val="24"/>
          <w:color w:val="auto"/>
        </w:rPr>
      </w:pPr>
    </w:p>
    <w:p>
      <w:pPr>
        <w:ind w:left="860" w:hanging="368"/>
        <w:spacing w:after="0"/>
        <w:tabs>
          <w:tab w:leader="none" w:pos="8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101" w:lineRule="exact"/>
        <w:rPr>
          <w:rFonts w:ascii="MS PGothic" w:cs="MS PGothic" w:eastAsia="MS PGothic" w:hAnsi="MS PGothic"/>
          <w:sz w:val="17"/>
          <w:szCs w:val="17"/>
          <w:color w:val="auto"/>
        </w:rPr>
      </w:pPr>
    </w:p>
    <w:p>
      <w:pPr>
        <w:ind w:left="860" w:hanging="368"/>
        <w:spacing w:after="0"/>
        <w:tabs>
          <w:tab w:leader="none" w:pos="8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0 -11.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3665220</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2308860</wp:posOffset>
            </wp:positionH>
            <wp:positionV relativeFrom="paragraph">
              <wp:posOffset>329565</wp:posOffset>
            </wp:positionV>
            <wp:extent cx="2194560" cy="368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456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ind w:right="419"/>
        <w:spacing w:after="0"/>
        <w:rPr>
          <w:sz w:val="20"/>
          <w:szCs w:val="20"/>
          <w:color w:val="auto"/>
        </w:rPr>
      </w:pPr>
      <w:r>
        <w:rPr>
          <w:rFonts w:ascii="Arial" w:cs="Arial" w:eastAsia="Arial" w:hAnsi="Arial"/>
          <w:sz w:val="18"/>
          <w:szCs w:val="18"/>
          <w:color w:val="auto"/>
        </w:rPr>
        <w:t>April 10, 2026</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Dear Fellow Plains Investors,</w:t>
      </w:r>
    </w:p>
    <w:p>
      <w:pPr>
        <w:spacing w:after="0" w:line="63" w:lineRule="exact"/>
        <w:rPr>
          <w:sz w:val="20"/>
          <w:szCs w:val="20"/>
          <w:color w:val="auto"/>
        </w:rPr>
      </w:pPr>
    </w:p>
    <w:p>
      <w:pPr>
        <w:ind w:left="1260" w:right="439" w:firstLine="360"/>
        <w:spacing w:after="0" w:line="290" w:lineRule="auto"/>
        <w:rPr>
          <w:sz w:val="20"/>
          <w:szCs w:val="20"/>
          <w:color w:val="auto"/>
        </w:rPr>
      </w:pPr>
      <w:r>
        <w:rPr>
          <w:rFonts w:ascii="Arial" w:cs="Arial" w:eastAsia="Arial" w:hAnsi="Arial"/>
          <w:sz w:val="17"/>
          <w:szCs w:val="17"/>
          <w:color w:val="auto"/>
        </w:rPr>
        <w:t>We sincerely appreciate your continued support and investment in Plains. Your trust and partnership play a vital role in our success, and we are pleased to invite you to join us for our 2026 Annual Meeting.</w:t>
      </w:r>
    </w:p>
    <w:p>
      <w:pPr>
        <w:ind w:left="1620"/>
        <w:spacing w:after="0"/>
        <w:rPr>
          <w:sz w:val="20"/>
          <w:szCs w:val="20"/>
          <w:color w:val="auto"/>
        </w:rPr>
      </w:pPr>
      <w:r>
        <w:rPr>
          <w:rFonts w:ascii="Arial" w:cs="Arial" w:eastAsia="Arial" w:hAnsi="Arial"/>
          <w:sz w:val="18"/>
          <w:szCs w:val="18"/>
          <w:color w:val="auto"/>
        </w:rPr>
        <w:t>2025 was a year marked by a complex macro backdrop with increased volatility, global uncertainty</w:t>
      </w:r>
    </w:p>
    <w:p>
      <w:pPr>
        <w:spacing w:after="0" w:line="14" w:lineRule="exact"/>
        <w:rPr>
          <w:sz w:val="20"/>
          <w:szCs w:val="20"/>
          <w:color w:val="auto"/>
        </w:rPr>
      </w:pPr>
    </w:p>
    <w:p>
      <w:pPr>
        <w:ind w:left="1260" w:right="739"/>
        <w:spacing w:after="0"/>
        <w:rPr>
          <w:sz w:val="20"/>
          <w:szCs w:val="20"/>
          <w:color w:val="auto"/>
        </w:rPr>
      </w:pPr>
      <w:r>
        <w:rPr>
          <w:rFonts w:ascii="Arial" w:cs="Arial" w:eastAsia="Arial" w:hAnsi="Arial"/>
          <w:sz w:val="17"/>
          <w:szCs w:val="17"/>
          <w:color w:val="auto"/>
        </w:rPr>
        <w:t>and OPEC+ supply increases all resulting in softening markets and a lower than expected oil price environment. Plains executed well during 2025 despite this challenging environment, managing what</w:t>
      </w:r>
    </w:p>
    <w:p>
      <w:pPr>
        <w:ind w:left="1260"/>
        <w:spacing w:after="0" w:line="235" w:lineRule="auto"/>
        <w:rPr>
          <w:sz w:val="20"/>
          <w:szCs w:val="20"/>
          <w:color w:val="auto"/>
        </w:rPr>
      </w:pPr>
      <w:r>
        <w:rPr>
          <w:rFonts w:ascii="Arial" w:cs="Arial" w:eastAsia="Arial" w:hAnsi="Arial"/>
          <w:sz w:val="18"/>
          <w:szCs w:val="18"/>
          <w:color w:val="auto"/>
        </w:rPr>
        <w:t>was in our control and delivering on our capital allocation framework and efficient growth strategy. We</w:t>
      </w:r>
    </w:p>
    <w:p>
      <w:pPr>
        <w:ind w:left="1260" w:right="439"/>
        <w:spacing w:after="0"/>
        <w:rPr>
          <w:sz w:val="20"/>
          <w:szCs w:val="20"/>
          <w:color w:val="auto"/>
        </w:rPr>
      </w:pPr>
      <w:r>
        <w:rPr>
          <w:rFonts w:ascii="Arial" w:cs="Arial" w:eastAsia="Arial" w:hAnsi="Arial"/>
          <w:sz w:val="17"/>
          <w:szCs w:val="17"/>
          <w:color w:val="auto"/>
        </w:rPr>
        <w:t>proactively executed several major transactions and self-help initiatives to position the partnership as the premier North American crude oil midstream company and better prepare Plains for the increased global</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volatility and uncertainty that has characterized markets for the first four months of 2026.</w:t>
      </w:r>
    </w:p>
    <w:p>
      <w:pPr>
        <w:spacing w:after="0" w:line="4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Notable 2025 accomplishments included:</w:t>
      </w:r>
    </w:p>
    <w:p>
      <w:pPr>
        <w:spacing w:after="0" w:line="90" w:lineRule="exact"/>
        <w:rPr>
          <w:sz w:val="20"/>
          <w:szCs w:val="20"/>
          <w:color w:val="auto"/>
        </w:rPr>
      </w:pPr>
    </w:p>
    <w:p>
      <w:pPr>
        <w:ind w:left="1800" w:right="479" w:hanging="180"/>
        <w:spacing w:after="0" w:line="28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Reached an agreement to sell our Canadian NGL business to Keyera at an attractive valuation of ~$3.75 billion, with closing targeted for May 2026.</w:t>
      </w:r>
    </w:p>
    <w:p>
      <w:pPr>
        <w:spacing w:after="0" w:line="44" w:lineRule="exact"/>
        <w:rPr>
          <w:rFonts w:ascii="Arial" w:cs="Arial" w:eastAsia="Arial" w:hAnsi="Arial"/>
          <w:sz w:val="18"/>
          <w:szCs w:val="18"/>
          <w:color w:val="auto"/>
        </w:rPr>
      </w:pPr>
    </w:p>
    <w:p>
      <w:pPr>
        <w:ind w:left="1800" w:right="739" w:hanging="180"/>
        <w:spacing w:after="0" w:line="262"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Proactively redeployed the anticipated NGL sale proceeds to acquire the EPIC crude system, renamed Cactus III, for ~$2.9 billion in a transaction that was immediately accretive to distributable cash flow (DCF) and provided Plains with a higher quality and more durable cash flow stream.</w:t>
      </w:r>
    </w:p>
    <w:p>
      <w:pPr>
        <w:spacing w:after="0" w:line="68" w:lineRule="exact"/>
        <w:rPr>
          <w:rFonts w:ascii="Arial" w:cs="Arial" w:eastAsia="Arial" w:hAnsi="Arial"/>
          <w:sz w:val="18"/>
          <w:szCs w:val="18"/>
          <w:color w:val="auto"/>
        </w:rPr>
      </w:pPr>
    </w:p>
    <w:p>
      <w:pPr>
        <w:ind w:left="1800" w:right="599" w:hanging="180"/>
        <w:spacing w:after="0" w:line="28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Progressed our efficient growth strategy and completed five accretive bolt-on acquisitions for an aggregate purchase price of approximately $800 million net to Plains.</w:t>
      </w:r>
    </w:p>
    <w:p>
      <w:pPr>
        <w:spacing w:after="0" w:line="44" w:lineRule="exact"/>
        <w:rPr>
          <w:rFonts w:ascii="Arial" w:cs="Arial" w:eastAsia="Arial" w:hAnsi="Arial"/>
          <w:sz w:val="18"/>
          <w:szCs w:val="18"/>
          <w:color w:val="auto"/>
        </w:rPr>
      </w:pPr>
    </w:p>
    <w:p>
      <w:pPr>
        <w:ind w:left="1800" w:right="459" w:hanging="180"/>
        <w:spacing w:after="0" w:line="28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Accelerated streamlining and optimization initiatives that are expected to result in ~$100 million of cost savings by the end of 2027, with approximately half to be realized in 2026.</w:t>
      </w:r>
    </w:p>
    <w:p>
      <w:pPr>
        <w:spacing w:after="0" w:line="44" w:lineRule="exact"/>
        <w:rPr>
          <w:rFonts w:ascii="Arial" w:cs="Arial" w:eastAsia="Arial" w:hAnsi="Arial"/>
          <w:sz w:val="18"/>
          <w:szCs w:val="18"/>
          <w:color w:val="auto"/>
        </w:rPr>
      </w:pPr>
    </w:p>
    <w:p>
      <w:pPr>
        <w:ind w:left="1800" w:right="439" w:hanging="180"/>
        <w:spacing w:after="0" w:line="306" w:lineRule="auto"/>
        <w:tabs>
          <w:tab w:leader="none" w:pos="1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Increased our annualized distribution by $0.15/unit (10%) in February 2026 and delivered strong total unitholder and shareholder returns in 2025 of 14% and 13% for PAA and PAGP, respectively.</w:t>
      </w:r>
    </w:p>
    <w:p>
      <w:pPr>
        <w:spacing w:after="0" w:line="1"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These accomplishments position Plains well for continued global volatility and uncertainty and frame 2026 as a year of execution for Plains. During 2026, we will focus on closing the sale of our Canadian</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NGL business, capturing ~$50 million of synergies on the Cactus III pipeline, and realizing ~$100 million</w:t>
      </w:r>
    </w:p>
    <w:p>
      <w:pPr>
        <w:spacing w:after="0" w:line="7" w:lineRule="exact"/>
        <w:rPr>
          <w:sz w:val="20"/>
          <w:szCs w:val="20"/>
          <w:color w:val="auto"/>
        </w:rPr>
      </w:pPr>
    </w:p>
    <w:p>
      <w:pPr>
        <w:ind w:left="1260" w:right="979"/>
        <w:spacing w:after="0"/>
        <w:rPr>
          <w:sz w:val="20"/>
          <w:szCs w:val="20"/>
          <w:color w:val="auto"/>
        </w:rPr>
      </w:pPr>
      <w:r>
        <w:rPr>
          <w:rFonts w:ascii="Arial" w:cs="Arial" w:eastAsia="Arial" w:hAnsi="Arial"/>
          <w:sz w:val="17"/>
          <w:szCs w:val="17"/>
          <w:color w:val="auto"/>
        </w:rPr>
        <w:t>of cost savings through 2027 (with ~$50 million recognized in 2026), while successfully navigating through the market uncertainty, capturing opportunities and limiting downsides. Execution of 2026</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initiatives is expected to result in ~13% year-over-year growth in the crude segment, despite a relatively</w:t>
      </w:r>
    </w:p>
    <w:p>
      <w:pPr>
        <w:spacing w:after="0" w:line="7" w:lineRule="exact"/>
        <w:rPr>
          <w:sz w:val="20"/>
          <w:szCs w:val="20"/>
          <w:color w:val="auto"/>
        </w:rPr>
      </w:pPr>
    </w:p>
    <w:p>
      <w:pPr>
        <w:ind w:left="1260" w:right="539"/>
        <w:spacing w:after="0"/>
        <w:rPr>
          <w:sz w:val="20"/>
          <w:szCs w:val="20"/>
          <w:color w:val="auto"/>
        </w:rPr>
      </w:pPr>
      <w:r>
        <w:rPr>
          <w:rFonts w:ascii="Arial" w:cs="Arial" w:eastAsia="Arial" w:hAnsi="Arial"/>
          <w:sz w:val="17"/>
          <w:szCs w:val="17"/>
          <w:color w:val="auto"/>
        </w:rPr>
        <w:t>flat Permian production outlook for 2026. Moving into 2027, we expect growth to resume in the Permian based on improving fundamentals, and we believe Plains is well-positioned to capture value with a</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premier footprint and operating leverage.</w:t>
      </w:r>
    </w:p>
    <w:p>
      <w:pPr>
        <w:spacing w:after="0" w:line="4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Recent geopolitical conflicts in the Middle East highlight the critical role the U.S. energy industry</w:t>
      </w:r>
    </w:p>
    <w:p>
      <w:pPr>
        <w:spacing w:after="0" w:line="14" w:lineRule="exact"/>
        <w:rPr>
          <w:sz w:val="20"/>
          <w:szCs w:val="20"/>
          <w:color w:val="auto"/>
        </w:rPr>
      </w:pPr>
    </w:p>
    <w:p>
      <w:pPr>
        <w:ind w:left="1260" w:right="659"/>
        <w:spacing w:after="0"/>
        <w:rPr>
          <w:sz w:val="20"/>
          <w:szCs w:val="20"/>
          <w:color w:val="auto"/>
        </w:rPr>
      </w:pPr>
      <w:r>
        <w:rPr>
          <w:rFonts w:ascii="Arial" w:cs="Arial" w:eastAsia="Arial" w:hAnsi="Arial"/>
          <w:sz w:val="17"/>
          <w:szCs w:val="17"/>
          <w:color w:val="auto"/>
        </w:rPr>
        <w:t>plays as an essential provider of global energy reliability, affordability and security. With our network of strategically located North American midstream assets and our focus on the long-term optimization of</w:t>
      </w:r>
    </w:p>
    <w:p>
      <w:pPr>
        <w:spacing w:after="0" w:line="1" w:lineRule="exact"/>
        <w:rPr>
          <w:sz w:val="20"/>
          <w:szCs w:val="20"/>
          <w:color w:val="auto"/>
        </w:rPr>
      </w:pPr>
    </w:p>
    <w:p>
      <w:pPr>
        <w:ind w:left="1260" w:right="599"/>
        <w:spacing w:after="0"/>
        <w:rPr>
          <w:sz w:val="20"/>
          <w:szCs w:val="20"/>
          <w:color w:val="auto"/>
        </w:rPr>
      </w:pPr>
      <w:r>
        <w:rPr>
          <w:rFonts w:ascii="Arial" w:cs="Arial" w:eastAsia="Arial" w:hAnsi="Arial"/>
          <w:sz w:val="17"/>
          <w:szCs w:val="17"/>
          <w:color w:val="auto"/>
        </w:rPr>
        <w:t>our business, we believe we are well positioned to play a critical role in the delivery of energy across North America and globally. As we do so, we will remain focused on our key objectives of being a safe,</w:t>
      </w:r>
    </w:p>
    <w:p>
      <w:pPr>
        <w:ind w:left="1260"/>
        <w:spacing w:after="0" w:line="235" w:lineRule="auto"/>
        <w:rPr>
          <w:sz w:val="20"/>
          <w:szCs w:val="20"/>
          <w:color w:val="auto"/>
        </w:rPr>
      </w:pPr>
      <w:r>
        <w:rPr>
          <w:rFonts w:ascii="Arial" w:cs="Arial" w:eastAsia="Arial" w:hAnsi="Arial"/>
          <w:sz w:val="18"/>
          <w:szCs w:val="18"/>
          <w:color w:val="auto"/>
        </w:rPr>
        <w:t>reliable and responsible operator, generating strong cash flow, exercising capital discipline, increasing</w:t>
      </w:r>
    </w:p>
    <w:p>
      <w:pPr>
        <w:ind w:left="1260" w:right="739"/>
        <w:spacing w:after="0" w:line="237" w:lineRule="auto"/>
        <w:rPr>
          <w:sz w:val="20"/>
          <w:szCs w:val="20"/>
          <w:color w:val="auto"/>
        </w:rPr>
      </w:pPr>
      <w:r>
        <w:rPr>
          <w:rFonts w:ascii="Arial" w:cs="Arial" w:eastAsia="Arial" w:hAnsi="Arial"/>
          <w:sz w:val="18"/>
          <w:szCs w:val="18"/>
          <w:color w:val="auto"/>
        </w:rPr>
        <w:t>returns of capital to our investors, and maintaining financial flexibility. We believe the execution of our plan will deliver strong performance and enhanced value for our investors over the long term.</w:t>
      </w:r>
    </w:p>
    <w:p>
      <w:pPr>
        <w:spacing w:after="0" w:line="32" w:lineRule="exact"/>
        <w:rPr>
          <w:sz w:val="20"/>
          <w:szCs w:val="20"/>
          <w:color w:val="auto"/>
        </w:rPr>
      </w:pPr>
    </w:p>
    <w:p>
      <w:pPr>
        <w:ind w:left="1260" w:right="619" w:firstLine="360"/>
        <w:spacing w:after="0" w:line="271" w:lineRule="auto"/>
        <w:rPr>
          <w:sz w:val="20"/>
          <w:szCs w:val="20"/>
          <w:color w:val="auto"/>
        </w:rPr>
      </w:pPr>
      <w:r>
        <w:rPr>
          <w:rFonts w:ascii="Arial" w:cs="Arial" w:eastAsia="Arial" w:hAnsi="Arial"/>
          <w:sz w:val="18"/>
          <w:szCs w:val="18"/>
          <w:color w:val="auto"/>
        </w:rPr>
        <w:t>We appreciate your continued investment and support and we look forward to your participation in our 2026 Annual Meeting in May.</w:t>
      </w:r>
    </w:p>
    <w:p>
      <w:pPr>
        <w:spacing w:after="0" w:line="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69215</wp:posOffset>
            </wp:positionV>
            <wp:extent cx="1054100" cy="402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410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Willie Chiang</w:t>
      </w:r>
    </w:p>
    <w:p>
      <w:pPr>
        <w:spacing w:after="0" w:line="14" w:lineRule="exact"/>
        <w:rPr>
          <w:sz w:val="20"/>
          <w:szCs w:val="20"/>
          <w:color w:val="auto"/>
        </w:rPr>
      </w:pPr>
    </w:p>
    <w:p>
      <w:pPr>
        <w:ind w:left="5580"/>
        <w:spacing w:after="0"/>
        <w:rPr>
          <w:sz w:val="20"/>
          <w:szCs w:val="20"/>
          <w:color w:val="auto"/>
        </w:rPr>
      </w:pPr>
      <w:r>
        <w:rPr>
          <w:rFonts w:ascii="Arial" w:cs="Arial" w:eastAsia="Arial" w:hAnsi="Arial"/>
          <w:sz w:val="18"/>
          <w:szCs w:val="18"/>
          <w:i w:val="1"/>
          <w:iCs w:val="1"/>
          <w:color w:val="auto"/>
        </w:rPr>
        <w:t>Chairman of the Board, CEO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679450</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2308860</wp:posOffset>
            </wp:positionH>
            <wp:positionV relativeFrom="paragraph">
              <wp:posOffset>509905</wp:posOffset>
            </wp:positionV>
            <wp:extent cx="2194560" cy="3689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9456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840"/>
        <w:spacing w:after="0"/>
        <w:rPr>
          <w:sz w:val="20"/>
          <w:szCs w:val="20"/>
          <w:color w:val="auto"/>
        </w:rPr>
      </w:pPr>
      <w:r>
        <w:rPr>
          <w:rFonts w:ascii="Arial" w:cs="Arial" w:eastAsia="Arial" w:hAnsi="Arial"/>
          <w:sz w:val="25"/>
          <w:szCs w:val="25"/>
          <w:b w:val="1"/>
          <w:bCs w:val="1"/>
          <w:color w:val="auto"/>
        </w:rPr>
        <w:t>Plains All American Pipeline, L.P.</w:t>
      </w:r>
    </w:p>
    <w:p>
      <w:pPr>
        <w:spacing w:after="0" w:line="56"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333 Clay Street, Suite 1600</w:t>
      </w:r>
    </w:p>
    <w:p>
      <w:pPr>
        <w:ind w:left="4420"/>
        <w:spacing w:after="0"/>
        <w:rPr>
          <w:sz w:val="20"/>
          <w:szCs w:val="20"/>
          <w:color w:val="auto"/>
        </w:rPr>
      </w:pPr>
      <w:r>
        <w:rPr>
          <w:rFonts w:ascii="Arial" w:cs="Arial" w:eastAsia="Arial" w:hAnsi="Arial"/>
          <w:sz w:val="18"/>
          <w:szCs w:val="18"/>
          <w:b w:val="1"/>
          <w:bCs w:val="1"/>
          <w:color w:val="auto"/>
        </w:rPr>
        <w:t>Houston, Texas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203200</wp:posOffset>
            </wp:positionV>
            <wp:extent cx="1234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NOTICE OF ANNUAL MEETING OF UNITHOLDERS</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To Be Held On May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203200</wp:posOffset>
            </wp:positionV>
            <wp:extent cx="1234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1260" w:right="1479"/>
        <w:spacing w:after="0" w:line="271" w:lineRule="auto"/>
        <w:rPr>
          <w:sz w:val="20"/>
          <w:szCs w:val="20"/>
          <w:color w:val="auto"/>
        </w:rPr>
      </w:pPr>
      <w:r>
        <w:rPr>
          <w:rFonts w:ascii="Arial" w:cs="Arial" w:eastAsia="Arial" w:hAnsi="Arial"/>
          <w:sz w:val="18"/>
          <w:szCs w:val="18"/>
          <w:color w:val="auto"/>
        </w:rPr>
        <w:t>To holders of common units and Series A Convertible Preferred units of Plains All American Pipeline, L.P.:</w:t>
      </w:r>
    </w:p>
    <w:p>
      <w:pPr>
        <w:spacing w:after="0" w:line="73" w:lineRule="exact"/>
        <w:rPr>
          <w:sz w:val="20"/>
          <w:szCs w:val="20"/>
          <w:color w:val="auto"/>
        </w:rPr>
      </w:pPr>
    </w:p>
    <w:p>
      <w:pPr>
        <w:ind w:left="1260" w:right="679" w:firstLine="360"/>
        <w:spacing w:after="0" w:line="234" w:lineRule="auto"/>
        <w:rPr>
          <w:sz w:val="20"/>
          <w:szCs w:val="20"/>
          <w:color w:val="auto"/>
        </w:rPr>
      </w:pPr>
      <w:r>
        <w:rPr>
          <w:rFonts w:ascii="Arial" w:cs="Arial" w:eastAsia="Arial" w:hAnsi="Arial"/>
          <w:sz w:val="17"/>
          <w:szCs w:val="17"/>
          <w:color w:val="auto"/>
        </w:rPr>
        <w:t>The 2026 Annual Meeting (the “PAA Annual Meeting”) of the common unitholders and Series A Convertible Preferred unitholders (collectively, our “Unitholders”) of Plains All American Pipeline, L.P. (“PAA”) will be held on May 20, 2026, at 10:00 a.m. Central Time, in the Texas Room located on the 19</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Floor of Three Allen Center, 333 Clay Street, Houston, Texas 77002. At the PAA Annual Meeting,</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Unitholders (excluding Plains AAP, L.P.) will consider and vote on the following matters:</w:t>
      </w:r>
    </w:p>
    <w:p>
      <w:pPr>
        <w:spacing w:after="0" w:line="99" w:lineRule="exact"/>
        <w:rPr>
          <w:sz w:val="20"/>
          <w:szCs w:val="20"/>
          <w:color w:val="auto"/>
        </w:rPr>
      </w:pPr>
    </w:p>
    <w:p>
      <w:pPr>
        <w:ind w:left="1980" w:right="479" w:hanging="360"/>
        <w:spacing w:after="0" w:line="28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election of four Class I directors to serve on the board of directors (the “Board”) of PAA GP Holdings LLC until the 2029 annual meeting;</w:t>
      </w:r>
    </w:p>
    <w:p>
      <w:pPr>
        <w:spacing w:after="0" w:line="58" w:lineRule="exact"/>
        <w:rPr>
          <w:rFonts w:ascii="Arial" w:cs="Arial" w:eastAsia="Arial" w:hAnsi="Arial"/>
          <w:sz w:val="18"/>
          <w:szCs w:val="18"/>
          <w:color w:val="auto"/>
        </w:rPr>
      </w:pPr>
    </w:p>
    <w:p>
      <w:pPr>
        <w:ind w:left="1980" w:right="1059" w:hanging="360"/>
        <w:spacing w:after="0" w:line="318" w:lineRule="auto"/>
        <w:tabs>
          <w:tab w:leader="none" w:pos="1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ratification of the appointment of PricewaterhouseCoopers LLP as our independent registered public accounting firm for the fiscal year ending December 31, 2026;</w:t>
      </w:r>
    </w:p>
    <w:p>
      <w:pPr>
        <w:spacing w:after="0" w:line="35" w:lineRule="exact"/>
        <w:rPr>
          <w:rFonts w:ascii="Arial" w:cs="Arial" w:eastAsia="Arial" w:hAnsi="Arial"/>
          <w:sz w:val="17"/>
          <w:szCs w:val="17"/>
          <w:color w:val="auto"/>
        </w:rPr>
      </w:pPr>
    </w:p>
    <w:p>
      <w:pPr>
        <w:ind w:left="1980" w:right="1379" w:hanging="360"/>
        <w:spacing w:after="0" w:line="28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approval, on a non-binding advisory basis, of our 2025 named executive officer compensation; and</w:t>
      </w:r>
    </w:p>
    <w:p>
      <w:pPr>
        <w:spacing w:after="0" w:line="58" w:lineRule="exact"/>
        <w:rPr>
          <w:rFonts w:ascii="Arial" w:cs="Arial" w:eastAsia="Arial" w:hAnsi="Arial"/>
          <w:sz w:val="18"/>
          <w:szCs w:val="18"/>
          <w:color w:val="auto"/>
        </w:rPr>
      </w:pPr>
    </w:p>
    <w:p>
      <w:pPr>
        <w:ind w:left="1980" w:right="739" w:hanging="360"/>
        <w:spacing w:after="0" w:line="271"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proposal to transact such other business as may properly come before the PAA Annual Meeting and any adjournment or postponement thereof.</w:t>
      </w:r>
    </w:p>
    <w:p>
      <w:pPr>
        <w:spacing w:after="0" w:line="86" w:lineRule="exact"/>
        <w:rPr>
          <w:sz w:val="20"/>
          <w:szCs w:val="20"/>
          <w:color w:val="auto"/>
        </w:rPr>
      </w:pPr>
    </w:p>
    <w:p>
      <w:pPr>
        <w:ind w:left="1260" w:right="439" w:firstLine="360"/>
        <w:spacing w:after="0" w:line="245" w:lineRule="auto"/>
        <w:rPr>
          <w:sz w:val="20"/>
          <w:szCs w:val="20"/>
          <w:color w:val="auto"/>
        </w:rPr>
      </w:pPr>
      <w:r>
        <w:rPr>
          <w:rFonts w:ascii="Arial" w:cs="Arial" w:eastAsia="Arial" w:hAnsi="Arial"/>
          <w:sz w:val="18"/>
          <w:szCs w:val="18"/>
          <w:b w:val="1"/>
          <w:bCs w:val="1"/>
          <w:color w:val="auto"/>
        </w:rPr>
        <w:t>The Board unanimously recommends that our Unitholders vote “FOR” the election of each director listed in proposal 1 and “FOR” proposals 2 and 3. Additional information regarding these proposals is included in the attached proxy statement. Votes received on proposals 1, 2 and 3 will be “passed through” as voting instructions to PAA, the owner of all of the Class C shares of Plains GP Holdings, L.P. (“PAGP”), who will in turn vote such shares at PAGP’s annual meeting on behalf of our Unitholders pursuant to such instructions. See “Information About the PAGP and PAA Annual Meetings” below for more information.</w:t>
      </w:r>
    </w:p>
    <w:p>
      <w:pPr>
        <w:spacing w:after="0" w:line="87"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8"/>
          <w:szCs w:val="18"/>
          <w:color w:val="auto"/>
        </w:rPr>
        <w:t>Unitholders as of the close of business on March 23, 2026 (the “Record Date”) are entitled to receive notice of and to vote at the PAA Annual Meeting and any postponements or adjournments thereof. A list of Unitholders entitled to vote is on file at our principal offices, 333 Clay Street, Suite 1600, Houston, TX 77002.</w:t>
      </w:r>
    </w:p>
    <w:p>
      <w:pPr>
        <w:spacing w:after="0" w:line="89"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7"/>
          <w:szCs w:val="17"/>
          <w:b w:val="1"/>
          <w:bCs w:val="1"/>
          <w:color w:val="auto"/>
        </w:rPr>
        <w:t xml:space="preserve">Your vote is very important. </w:t>
      </w:r>
      <w:r>
        <w:rPr>
          <w:rFonts w:ascii="Arial" w:cs="Arial" w:eastAsia="Arial" w:hAnsi="Arial"/>
          <w:sz w:val="17"/>
          <w:szCs w:val="17"/>
          <w:color w:val="auto"/>
        </w:rPr>
        <w:t>Whether or not you plan to attend the PAA Annual Meeting, please</w:t>
      </w:r>
      <w:r>
        <w:rPr>
          <w:rFonts w:ascii="Arial" w:cs="Arial" w:eastAsia="Arial" w:hAnsi="Arial"/>
          <w:sz w:val="17"/>
          <w:szCs w:val="17"/>
          <w:b w:val="1"/>
          <w:bCs w:val="1"/>
          <w:color w:val="auto"/>
        </w:rPr>
        <w:t xml:space="preserve"> </w:t>
      </w:r>
      <w:r>
        <w:rPr>
          <w:rFonts w:ascii="Arial" w:cs="Arial" w:eastAsia="Arial" w:hAnsi="Arial"/>
          <w:sz w:val="17"/>
          <w:szCs w:val="17"/>
          <w:color w:val="auto"/>
        </w:rPr>
        <w:t>cast your vote by following the Internet or telephone voting instructions on the proxy card. You may also vote by completing, signing and dating the accompanying proxy card and returning it promptly in the postage-prepaid envelope provided. See “Questions and Answers About the PAA Annual Meeting —  How do I vote?” in the attached proxy statement for more details. Returning the proxy card or voting on the Internet or by telephone does not deprive you of your right to attend the PAA Annual Meeting and to vote your units for the matters to be acted upon at the PAA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1018540</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Order of the Board of Directors of</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PAA GP Holdings LLC, general partner of</w:t>
      </w:r>
    </w:p>
    <w:p>
      <w:pPr>
        <w:ind w:left="4860"/>
        <w:spacing w:after="0" w:line="234" w:lineRule="auto"/>
        <w:rPr>
          <w:sz w:val="20"/>
          <w:szCs w:val="20"/>
          <w:color w:val="auto"/>
        </w:rPr>
      </w:pPr>
      <w:r>
        <w:rPr>
          <w:rFonts w:ascii="Arial" w:cs="Arial" w:eastAsia="Arial" w:hAnsi="Arial"/>
          <w:sz w:val="18"/>
          <w:szCs w:val="18"/>
          <w:color w:val="auto"/>
        </w:rPr>
        <w:t>Plains GP Holdings, L.P., sole member of</w:t>
      </w:r>
    </w:p>
    <w:p>
      <w:pPr>
        <w:spacing w:after="0" w:line="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Plains All American GP LLC, general partner of</w:t>
      </w:r>
    </w:p>
    <w:p>
      <w:pPr>
        <w:spacing w:after="0" w:line="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Plains AAP, L.P., sole member of</w:t>
      </w:r>
    </w:p>
    <w:p>
      <w:pPr>
        <w:ind w:left="4860"/>
        <w:spacing w:after="0" w:line="234" w:lineRule="auto"/>
        <w:rPr>
          <w:sz w:val="20"/>
          <w:szCs w:val="20"/>
          <w:color w:val="auto"/>
        </w:rPr>
      </w:pPr>
      <w:r>
        <w:rPr>
          <w:rFonts w:ascii="Arial" w:cs="Arial" w:eastAsia="Arial" w:hAnsi="Arial"/>
          <w:sz w:val="18"/>
          <w:szCs w:val="18"/>
          <w:color w:val="auto"/>
        </w:rPr>
        <w:t>PAA GP LLC, general partner of</w:t>
      </w:r>
    </w:p>
    <w:p>
      <w:pPr>
        <w:spacing w:after="0" w:line="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Plains All American Pipeline,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3088640</wp:posOffset>
            </wp:positionH>
            <wp:positionV relativeFrom="paragraph">
              <wp:posOffset>100330</wp:posOffset>
            </wp:positionV>
            <wp:extent cx="1851660" cy="402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5166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Richard McGee</w:t>
      </w:r>
    </w:p>
    <w:p>
      <w:pPr>
        <w:spacing w:after="0" w:line="14" w:lineRule="exact"/>
        <w:rPr>
          <w:sz w:val="20"/>
          <w:szCs w:val="20"/>
          <w:color w:val="auto"/>
        </w:rPr>
      </w:pPr>
    </w:p>
    <w:p>
      <w:pPr>
        <w:ind w:left="4860"/>
        <w:spacing w:after="0"/>
        <w:rPr>
          <w:sz w:val="20"/>
          <w:szCs w:val="20"/>
          <w:color w:val="auto"/>
        </w:rPr>
      </w:pPr>
      <w:r>
        <w:rPr>
          <w:rFonts w:ascii="Arial" w:cs="Arial" w:eastAsia="Arial" w:hAnsi="Arial"/>
          <w:sz w:val="17"/>
          <w:szCs w:val="17"/>
          <w:i w:val="1"/>
          <w:iCs w:val="1"/>
          <w:color w:val="auto"/>
        </w:rPr>
        <w:t>Executive Vice President, General Counsel and Secretary</w:t>
      </w:r>
    </w:p>
    <w:p>
      <w:pPr>
        <w:spacing w:after="0" w:line="12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Houston, Texas</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April 10, 2026</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left="1620" w:right="40"/>
        <w:spacing w:after="0" w:line="273"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UNITHOLDERS TO BE HELD ON MAY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-495935</wp:posOffset>
            </wp:positionV>
            <wp:extent cx="5212080" cy="8826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882650"/>
                    </a:xfrm>
                    <a:prstGeom prst="rect">
                      <a:avLst/>
                    </a:prstGeom>
                    <a:noFill/>
                  </pic:spPr>
                </pic:pic>
              </a:graphicData>
            </a:graphic>
          </wp:anchor>
        </w:drawing>
      </w:r>
    </w:p>
    <w:p>
      <w:pPr>
        <w:spacing w:after="0" w:line="3" w:lineRule="exact"/>
        <w:rPr>
          <w:sz w:val="20"/>
          <w:szCs w:val="20"/>
          <w:color w:val="auto"/>
        </w:rPr>
      </w:pPr>
    </w:p>
    <w:p>
      <w:pPr>
        <w:jc w:val="center"/>
        <w:ind w:left="1620"/>
        <w:spacing w:after="0"/>
        <w:rPr>
          <w:sz w:val="20"/>
          <w:szCs w:val="20"/>
          <w:color w:val="auto"/>
        </w:rPr>
      </w:pPr>
      <w:r>
        <w:rPr>
          <w:rFonts w:ascii="Arial" w:cs="Arial" w:eastAsia="Arial" w:hAnsi="Arial"/>
          <w:sz w:val="17"/>
          <w:szCs w:val="17"/>
          <w:b w:val="1"/>
          <w:bCs w:val="1"/>
          <w:color w:val="auto"/>
        </w:rPr>
        <w:t>The Notice of Annual Meeting, the proxy statement for the Annual Meeting and our 2025</w:t>
      </w:r>
    </w:p>
    <w:p>
      <w:pPr>
        <w:spacing w:after="0" w:line="39" w:lineRule="exact"/>
        <w:rPr>
          <w:sz w:val="20"/>
          <w:szCs w:val="20"/>
          <w:color w:val="auto"/>
        </w:rPr>
      </w:pPr>
    </w:p>
    <w:p>
      <w:pPr>
        <w:jc w:val="center"/>
        <w:ind w:left="1620"/>
        <w:spacing w:after="0"/>
        <w:rPr>
          <w:sz w:val="20"/>
          <w:szCs w:val="20"/>
          <w:color w:val="auto"/>
        </w:rPr>
      </w:pPr>
      <w:r>
        <w:rPr>
          <w:rFonts w:ascii="Arial" w:cs="Arial" w:eastAsia="Arial" w:hAnsi="Arial"/>
          <w:sz w:val="18"/>
          <w:szCs w:val="18"/>
          <w:b w:val="1"/>
          <w:bCs w:val="1"/>
          <w:color w:val="auto"/>
        </w:rPr>
        <w:t>Annual Report are available at http://www.astproxyportal.com/ast/02337/.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4888230</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2">
            <w:col w:w="9080" w:space="320"/>
            <w:col w:w="4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TABLE OF CONTENTS</w:t>
      </w:r>
    </w:p>
    <w:p>
      <w:pPr>
        <w:spacing w:after="0" w:line="185"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7240" w:type="dxa"/>
            <w:vAlign w:val="bottom"/>
            <w:tcBorders>
              <w:bottom w:val="single" w:sz="8" w:color="0000EE"/>
            </w:tcBorders>
            <w:gridSpan w:val="19"/>
            <w:shd w:val="clear" w:color="auto" w:fill="CCEEFF"/>
          </w:tcPr>
          <w:p>
            <w:pPr>
              <w:spacing w:after="0"/>
              <w:rPr>
                <w:sz w:val="20"/>
                <w:szCs w:val="20"/>
                <w:color w:val="auto"/>
              </w:rPr>
            </w:pPr>
            <w:r>
              <w:rPr>
                <w:rFonts w:ascii="Arial" w:cs="Arial" w:eastAsia="Arial" w:hAnsi="Arial"/>
                <w:sz w:val="18"/>
                <w:szCs w:val="18"/>
                <w:color w:val="0000EE"/>
                <w:w w:val="97"/>
              </w:rPr>
              <w:t>GENERAL INFORMATION ABOUT THE PLAINS ALL AMERICAN PIPELINE, L.P. ANNUAL</w:t>
            </w:r>
          </w:p>
        </w:tc>
        <w:tc>
          <w:tcPr>
            <w:tcW w:w="460" w:type="dxa"/>
            <w:vAlign w:val="bottom"/>
            <w:tcBorders>
              <w:bottom w:val="single" w:sz="8" w:color="CCEEFF"/>
            </w:tcBorders>
            <w:gridSpan w:val="2"/>
            <w:shd w:val="clear" w:color="auto" w:fill="CCEEFF"/>
          </w:tcPr>
          <w:p>
            <w:pPr>
              <w:spacing w:after="0"/>
              <w:rPr>
                <w:sz w:val="17"/>
                <w:szCs w:val="17"/>
                <w:color w:val="auto"/>
              </w:rPr>
            </w:pPr>
          </w:p>
        </w:tc>
        <w:tc>
          <w:tcPr>
            <w:tcW w:w="320" w:type="dxa"/>
            <w:vAlign w:val="bottom"/>
            <w:tcBorders>
              <w:bottom w:val="single" w:sz="8" w:color="CCEEFF"/>
            </w:tcBorders>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vMerge w:val="restart"/>
            <w:shd w:val="clear" w:color="auto" w:fill="CCEEFF"/>
          </w:tcPr>
          <w:p>
            <w:pPr>
              <w:spacing w:after="0"/>
              <w:rPr>
                <w:sz w:val="17"/>
                <w:szCs w:val="17"/>
                <w:color w:val="auto"/>
              </w:rPr>
            </w:pPr>
          </w:p>
        </w:tc>
        <w:tc>
          <w:tcPr>
            <w:tcW w:w="10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0000EE"/>
                <w:w w:val="79"/>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0000EE"/>
            </w:tcBorders>
            <w:shd w:val="clear" w:color="auto" w:fill="CCEEFF"/>
          </w:tcPr>
          <w:p>
            <w:pPr>
              <w:spacing w:after="0" w:line="196" w:lineRule="exact"/>
              <w:rPr>
                <w:sz w:val="20"/>
                <w:szCs w:val="20"/>
                <w:color w:val="auto"/>
              </w:rPr>
            </w:pPr>
            <w:r>
              <w:rPr>
                <w:rFonts w:ascii="Arial" w:cs="Arial" w:eastAsia="Arial" w:hAnsi="Arial"/>
                <w:sz w:val="18"/>
                <w:szCs w:val="18"/>
                <w:color w:val="0000EE"/>
                <w:w w:val="97"/>
              </w:rPr>
              <w:t>MEETING</w:t>
            </w:r>
          </w:p>
        </w:tc>
        <w:tc>
          <w:tcPr>
            <w:tcW w:w="6700" w:type="dxa"/>
            <w:vAlign w:val="bottom"/>
            <w:tcBorders>
              <w:bottom w:val="single" w:sz="8" w:color="CCEEFF"/>
            </w:tcBorders>
            <w:gridSpan w:val="19"/>
            <w:shd w:val="clear" w:color="auto" w:fill="CCEEFF"/>
          </w:tcPr>
          <w:p>
            <w:pPr>
              <w:spacing w:after="0"/>
              <w:rPr>
                <w:sz w:val="18"/>
                <w:szCs w:val="18"/>
                <w:color w:val="auto"/>
              </w:rPr>
            </w:pPr>
          </w:p>
        </w:tc>
        <w:tc>
          <w:tcPr>
            <w:tcW w:w="32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0000EE"/>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40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7"/>
              </w:rPr>
              <w:t>INFORMATION ABOUT THE PAGP AND PAA ANNUAL MEETINGS</w:t>
            </w:r>
          </w:p>
        </w:tc>
        <w:tc>
          <w:tcPr>
            <w:tcW w:w="100" w:type="dxa"/>
            <w:vAlign w:val="bottom"/>
            <w:vMerge w:val="restart"/>
          </w:tcPr>
          <w:p>
            <w:pPr>
              <w:spacing w:after="0"/>
              <w:rPr>
                <w:sz w:val="21"/>
                <w:szCs w:val="21"/>
                <w:color w:val="auto"/>
              </w:rPr>
            </w:pPr>
          </w:p>
        </w:tc>
        <w:tc>
          <w:tcPr>
            <w:tcW w:w="1340" w:type="dxa"/>
            <w:vAlign w:val="bottom"/>
            <w:vMerge w:val="restart"/>
          </w:tcPr>
          <w:p>
            <w:pPr>
              <w:spacing w:after="0"/>
              <w:rPr>
                <w:sz w:val="21"/>
                <w:szCs w:val="21"/>
                <w:color w:val="auto"/>
              </w:rPr>
            </w:pPr>
          </w:p>
        </w:tc>
        <w:tc>
          <w:tcPr>
            <w:tcW w:w="240" w:type="dxa"/>
            <w:vAlign w:val="bottom"/>
            <w:vMerge w:val="restart"/>
          </w:tcPr>
          <w:p>
            <w:pPr>
              <w:spacing w:after="0"/>
              <w:rPr>
                <w:sz w:val="21"/>
                <w:szCs w:val="21"/>
                <w:color w:val="auto"/>
              </w:rPr>
            </w:pPr>
          </w:p>
        </w:tc>
        <w:tc>
          <w:tcPr>
            <w:tcW w:w="320" w:type="dxa"/>
            <w:vAlign w:val="bottom"/>
            <w:gridSpan w:val="2"/>
            <w:vMerge w:val="restart"/>
          </w:tcPr>
          <w:p>
            <w:pPr>
              <w:spacing w:after="0"/>
              <w:rPr>
                <w:sz w:val="21"/>
                <w:szCs w:val="21"/>
                <w:color w:val="auto"/>
              </w:rPr>
            </w:pPr>
          </w:p>
        </w:tc>
        <w:tc>
          <w:tcPr>
            <w:tcW w:w="300" w:type="dxa"/>
            <w:vAlign w:val="bottom"/>
            <w:vMerge w:val="restart"/>
          </w:tcPr>
          <w:p>
            <w:pPr>
              <w:spacing w:after="0"/>
              <w:rPr>
                <w:sz w:val="21"/>
                <w:szCs w:val="21"/>
                <w:color w:val="auto"/>
              </w:rPr>
            </w:pPr>
          </w:p>
        </w:tc>
        <w:tc>
          <w:tcPr>
            <w:tcW w:w="3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21"/>
                <w:szCs w:val="21"/>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9"/>
              </w:rPr>
              <w:t>1</w:t>
            </w: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1600" w:type="dxa"/>
            <w:vAlign w:val="bottom"/>
            <w:gridSpan w:val="3"/>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00" w:type="dxa"/>
            <w:vAlign w:val="bottom"/>
            <w:tcBorders>
              <w:bottom w:val="single" w:sz="8" w:color="0000EE"/>
            </w:tcBorders>
            <w:gridSpan w:val="16"/>
            <w:shd w:val="clear" w:color="auto" w:fill="CCEEFF"/>
          </w:tcPr>
          <w:p>
            <w:pPr>
              <w:spacing w:after="0"/>
              <w:rPr>
                <w:sz w:val="20"/>
                <w:szCs w:val="20"/>
                <w:color w:val="auto"/>
              </w:rPr>
            </w:pPr>
            <w:r>
              <w:rPr>
                <w:rFonts w:ascii="Arial" w:cs="Arial" w:eastAsia="Arial" w:hAnsi="Arial"/>
                <w:sz w:val="18"/>
                <w:szCs w:val="18"/>
                <w:color w:val="0000EE"/>
                <w:w w:val="98"/>
              </w:rPr>
              <w:t>QUESTIONS AND ANSWERS ABOUT THE PAA ANNUAL MEETING</w:t>
            </w:r>
          </w:p>
        </w:tc>
        <w:tc>
          <w:tcPr>
            <w:tcW w:w="1340" w:type="dxa"/>
            <w:vAlign w:val="bottom"/>
            <w:tcBorders>
              <w:bottom w:val="single" w:sz="8" w:color="CCEEFF"/>
            </w:tcBorders>
            <w:vMerge w:val="restart"/>
            <w:shd w:val="clear" w:color="auto" w:fill="CCEEFF"/>
          </w:tcPr>
          <w:p>
            <w:pPr>
              <w:spacing w:after="0"/>
              <w:rPr>
                <w:sz w:val="21"/>
                <w:szCs w:val="21"/>
                <w:color w:val="auto"/>
              </w:rPr>
            </w:pPr>
          </w:p>
        </w:tc>
        <w:tc>
          <w:tcPr>
            <w:tcW w:w="240" w:type="dxa"/>
            <w:vAlign w:val="bottom"/>
            <w:tcBorders>
              <w:bottom w:val="single" w:sz="8" w:color="CCEEFF"/>
            </w:tcBorders>
            <w:vMerge w:val="restart"/>
            <w:shd w:val="clear" w:color="auto" w:fill="CCEEFF"/>
          </w:tcPr>
          <w:p>
            <w:pPr>
              <w:spacing w:after="0"/>
              <w:rPr>
                <w:sz w:val="21"/>
                <w:szCs w:val="21"/>
                <w:color w:val="auto"/>
              </w:rPr>
            </w:pPr>
          </w:p>
        </w:tc>
        <w:tc>
          <w:tcPr>
            <w:tcW w:w="320" w:type="dxa"/>
            <w:vAlign w:val="bottom"/>
            <w:tcBorders>
              <w:bottom w:val="single" w:sz="8" w:color="CCEEFF"/>
            </w:tcBorders>
            <w:gridSpan w:val="2"/>
            <w:vMerge w:val="restart"/>
            <w:shd w:val="clear" w:color="auto" w:fill="CCEEFF"/>
          </w:tcPr>
          <w:p>
            <w:pPr>
              <w:spacing w:after="0"/>
              <w:rPr>
                <w:sz w:val="21"/>
                <w:szCs w:val="21"/>
                <w:color w:val="auto"/>
              </w:rPr>
            </w:pPr>
          </w:p>
        </w:tc>
        <w:tc>
          <w:tcPr>
            <w:tcW w:w="300" w:type="dxa"/>
            <w:vAlign w:val="bottom"/>
            <w:tcBorders>
              <w:bottom w:val="single" w:sz="8" w:color="CCEEFF"/>
            </w:tcBorders>
            <w:vMerge w:val="restart"/>
            <w:shd w:val="clear" w:color="auto" w:fill="CCEEFF"/>
          </w:tcPr>
          <w:p>
            <w:pPr>
              <w:spacing w:after="0"/>
              <w:rPr>
                <w:sz w:val="21"/>
                <w:szCs w:val="21"/>
                <w:color w:val="auto"/>
              </w:rPr>
            </w:pPr>
          </w:p>
        </w:tc>
        <w:tc>
          <w:tcPr>
            <w:tcW w:w="320" w:type="dxa"/>
            <w:vAlign w:val="bottom"/>
            <w:tcBorders>
              <w:bottom w:val="single" w:sz="8" w:color="CCEEFF"/>
            </w:tcBorders>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vMerge w:val="restart"/>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rPr>
                <w:sz w:val="20"/>
                <w:szCs w:val="20"/>
                <w:color w:val="auto"/>
              </w:rPr>
            </w:pPr>
            <w:r>
              <w:rPr>
                <w:rFonts w:ascii="Arial" w:cs="Arial" w:eastAsia="Arial" w:hAnsi="Arial"/>
                <w:sz w:val="18"/>
                <w:szCs w:val="18"/>
                <w:color w:val="0000EE"/>
                <w:w w:val="79"/>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1600" w:type="dxa"/>
            <w:vAlign w:val="bottom"/>
            <w:tcBorders>
              <w:bottom w:val="single" w:sz="8" w:color="CCEEFF"/>
            </w:tcBorders>
            <w:gridSpan w:val="3"/>
            <w:shd w:val="clear" w:color="auto" w:fill="CCEEFF"/>
          </w:tcPr>
          <w:p>
            <w:pPr>
              <w:spacing w:after="0"/>
              <w:rPr>
                <w:sz w:val="4"/>
                <w:szCs w:val="4"/>
                <w:color w:val="auto"/>
              </w:rPr>
            </w:pPr>
          </w:p>
        </w:tc>
        <w:tc>
          <w:tcPr>
            <w:tcW w:w="2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660" w:type="dxa"/>
            <w:vAlign w:val="bottom"/>
            <w:tcBorders>
              <w:bottom w:val="single" w:sz="8" w:color="CCEEFF"/>
            </w:tcBorders>
            <w:shd w:val="clear" w:color="auto" w:fill="CCEEFF"/>
          </w:tcPr>
          <w:p>
            <w:pPr>
              <w:spacing w:after="0"/>
              <w:rPr>
                <w:sz w:val="4"/>
                <w:szCs w:val="4"/>
                <w:color w:val="auto"/>
              </w:rPr>
            </w:pPr>
          </w:p>
        </w:tc>
        <w:tc>
          <w:tcPr>
            <w:tcW w:w="9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560" w:type="dxa"/>
            <w:vAlign w:val="bottom"/>
            <w:tcBorders>
              <w:bottom w:val="single" w:sz="8" w:color="CCEEFF"/>
            </w:tcBorders>
            <w:gridSpan w:val="2"/>
            <w:shd w:val="clear" w:color="auto" w:fill="CCEEFF"/>
          </w:tcPr>
          <w:p>
            <w:pPr>
              <w:spacing w:after="0"/>
              <w:rPr>
                <w:sz w:val="4"/>
                <w:szCs w:val="4"/>
                <w:color w:val="auto"/>
              </w:rPr>
            </w:pPr>
          </w:p>
        </w:tc>
        <w:tc>
          <w:tcPr>
            <w:tcW w:w="1340" w:type="dxa"/>
            <w:vAlign w:val="bottom"/>
            <w:tcBorders>
              <w:bottom w:val="single" w:sz="8" w:color="CCEEFF"/>
            </w:tcBorders>
            <w:vMerge w:val="continue"/>
            <w:shd w:val="clear" w:color="auto" w:fill="CCEEFF"/>
          </w:tcPr>
          <w:p>
            <w:pPr>
              <w:spacing w:after="0"/>
              <w:rPr>
                <w:sz w:val="4"/>
                <w:szCs w:val="4"/>
                <w:color w:val="auto"/>
              </w:rPr>
            </w:pPr>
          </w:p>
        </w:tc>
        <w:tc>
          <w:tcPr>
            <w:tcW w:w="240" w:type="dxa"/>
            <w:vAlign w:val="bottom"/>
            <w:tcBorders>
              <w:bottom w:val="single" w:sz="8" w:color="CCEEFF"/>
            </w:tcBorders>
            <w:vMerge w:val="continue"/>
            <w:shd w:val="clear" w:color="auto" w:fill="CCEEFF"/>
          </w:tcPr>
          <w:p>
            <w:pPr>
              <w:spacing w:after="0"/>
              <w:rPr>
                <w:sz w:val="4"/>
                <w:szCs w:val="4"/>
                <w:color w:val="auto"/>
              </w:rPr>
            </w:pPr>
          </w:p>
        </w:tc>
        <w:tc>
          <w:tcPr>
            <w:tcW w:w="320" w:type="dxa"/>
            <w:vAlign w:val="bottom"/>
            <w:tcBorders>
              <w:bottom w:val="single" w:sz="8" w:color="CCEEFF"/>
            </w:tcBorders>
            <w:gridSpan w:val="2"/>
            <w:vMerge w:val="continue"/>
            <w:shd w:val="clear" w:color="auto" w:fill="CCEEFF"/>
          </w:tcPr>
          <w:p>
            <w:pPr>
              <w:spacing w:after="0"/>
              <w:rPr>
                <w:sz w:val="4"/>
                <w:szCs w:val="4"/>
                <w:color w:val="auto"/>
              </w:rPr>
            </w:pPr>
          </w:p>
        </w:tc>
        <w:tc>
          <w:tcPr>
            <w:tcW w:w="300" w:type="dxa"/>
            <w:vAlign w:val="bottom"/>
            <w:tcBorders>
              <w:bottom w:val="single" w:sz="8" w:color="CCEEFF"/>
            </w:tcBorders>
            <w:vMerge w:val="continue"/>
            <w:shd w:val="clear" w:color="auto" w:fill="CCEEFF"/>
          </w:tcPr>
          <w:p>
            <w:pPr>
              <w:spacing w:after="0"/>
              <w:rPr>
                <w:sz w:val="4"/>
                <w:szCs w:val="4"/>
                <w:color w:val="auto"/>
              </w:rPr>
            </w:pPr>
          </w:p>
        </w:tc>
        <w:tc>
          <w:tcPr>
            <w:tcW w:w="320" w:type="dxa"/>
            <w:vAlign w:val="bottom"/>
            <w:tcBorders>
              <w:bottom w:val="single" w:sz="8" w:color="CCEEFF"/>
            </w:tcBorders>
            <w:vMerge w:val="continue"/>
            <w:shd w:val="clear" w:color="auto" w:fill="CCEEFF"/>
          </w:tcPr>
          <w:p>
            <w:pPr>
              <w:spacing w:after="0"/>
              <w:rPr>
                <w:sz w:val="4"/>
                <w:szCs w:val="4"/>
                <w:color w:val="auto"/>
              </w:rPr>
            </w:pPr>
          </w:p>
        </w:tc>
        <w:tc>
          <w:tcPr>
            <w:tcW w:w="8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60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7"/>
              </w:rPr>
              <w:t>CORPORATE GOVERNANCE AND RELATED MATTERS</w:t>
            </w:r>
          </w:p>
        </w:tc>
        <w:tc>
          <w:tcPr>
            <w:tcW w:w="340" w:type="dxa"/>
            <w:vAlign w:val="bottom"/>
            <w:vMerge w:val="restart"/>
          </w:tcPr>
          <w:p>
            <w:pPr>
              <w:spacing w:after="0"/>
              <w:rPr>
                <w:sz w:val="20"/>
                <w:szCs w:val="20"/>
                <w:color w:val="auto"/>
              </w:rPr>
            </w:pPr>
          </w:p>
        </w:tc>
        <w:tc>
          <w:tcPr>
            <w:tcW w:w="1900" w:type="dxa"/>
            <w:vAlign w:val="bottom"/>
            <w:gridSpan w:val="3"/>
            <w:vMerge w:val="restart"/>
          </w:tcPr>
          <w:p>
            <w:pPr>
              <w:spacing w:after="0"/>
              <w:rPr>
                <w:sz w:val="20"/>
                <w:szCs w:val="20"/>
                <w:color w:val="auto"/>
              </w:rPr>
            </w:pPr>
          </w:p>
        </w:tc>
        <w:tc>
          <w:tcPr>
            <w:tcW w:w="240" w:type="dxa"/>
            <w:vAlign w:val="bottom"/>
            <w:vMerge w:val="restart"/>
          </w:tcPr>
          <w:p>
            <w:pPr>
              <w:spacing w:after="0"/>
              <w:rPr>
                <w:sz w:val="20"/>
                <w:szCs w:val="20"/>
                <w:color w:val="auto"/>
              </w:rPr>
            </w:pPr>
          </w:p>
        </w:tc>
        <w:tc>
          <w:tcPr>
            <w:tcW w:w="320" w:type="dxa"/>
            <w:vAlign w:val="bottom"/>
            <w:gridSpan w:val="2"/>
            <w:vMerge w:val="restart"/>
          </w:tcPr>
          <w:p>
            <w:pPr>
              <w:spacing w:after="0"/>
              <w:rPr>
                <w:sz w:val="20"/>
                <w:szCs w:val="20"/>
                <w:color w:val="auto"/>
              </w:rPr>
            </w:pPr>
          </w:p>
        </w:tc>
        <w:tc>
          <w:tcPr>
            <w:tcW w:w="300" w:type="dxa"/>
            <w:vAlign w:val="bottom"/>
            <w:vMerge w:val="restart"/>
          </w:tcPr>
          <w:p>
            <w:pPr>
              <w:spacing w:after="0"/>
              <w:rPr>
                <w:sz w:val="20"/>
                <w:szCs w:val="20"/>
                <w:color w:val="auto"/>
              </w:rPr>
            </w:pPr>
          </w:p>
        </w:tc>
        <w:tc>
          <w:tcPr>
            <w:tcW w:w="3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20"/>
                <w:szCs w:val="20"/>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9"/>
              </w:rPr>
              <w:t>8</w:t>
            </w: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600" w:type="dxa"/>
            <w:vAlign w:val="bottom"/>
            <w:gridSpan w:val="3"/>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1900" w:type="dxa"/>
            <w:vAlign w:val="bottom"/>
            <w:gridSpan w:val="3"/>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300" w:type="dxa"/>
            <w:vAlign w:val="bottom"/>
            <w:tcBorders>
              <w:bottom w:val="single" w:sz="8" w:color="0000EE"/>
            </w:tcBorders>
            <w:gridSpan w:val="10"/>
            <w:shd w:val="clear" w:color="auto" w:fill="CCEEFF"/>
          </w:tcPr>
          <w:p>
            <w:pPr>
              <w:spacing w:after="0"/>
              <w:rPr>
                <w:sz w:val="20"/>
                <w:szCs w:val="20"/>
                <w:color w:val="auto"/>
              </w:rPr>
            </w:pPr>
            <w:r>
              <w:rPr>
                <w:rFonts w:ascii="Arial" w:cs="Arial" w:eastAsia="Arial" w:hAnsi="Arial"/>
                <w:sz w:val="18"/>
                <w:szCs w:val="18"/>
                <w:color w:val="0000EE"/>
                <w:w w:val="98"/>
              </w:rPr>
              <w:t>PROPOSAL 1 – ELECTION OF CLASS I DIRECTORS</w:t>
            </w:r>
          </w:p>
        </w:tc>
        <w:tc>
          <w:tcPr>
            <w:tcW w:w="60" w:type="dxa"/>
            <w:vAlign w:val="bottom"/>
            <w:tcBorders>
              <w:bottom w:val="single" w:sz="8" w:color="CCEEFF"/>
            </w:tcBorders>
            <w:vMerge w:val="restart"/>
            <w:shd w:val="clear" w:color="auto" w:fill="CCEEFF"/>
          </w:tcPr>
          <w:p>
            <w:pPr>
              <w:spacing w:after="0"/>
              <w:rPr>
                <w:sz w:val="22"/>
                <w:szCs w:val="22"/>
                <w:color w:val="auto"/>
              </w:rPr>
            </w:pPr>
          </w:p>
        </w:tc>
        <w:tc>
          <w:tcPr>
            <w:tcW w:w="180" w:type="dxa"/>
            <w:vAlign w:val="bottom"/>
            <w:tcBorders>
              <w:bottom w:val="single" w:sz="8" w:color="CCEEFF"/>
            </w:tcBorders>
            <w:vMerge w:val="restart"/>
            <w:shd w:val="clear" w:color="auto" w:fill="CCEEFF"/>
          </w:tcPr>
          <w:p>
            <w:pPr>
              <w:spacing w:after="0"/>
              <w:rPr>
                <w:sz w:val="22"/>
                <w:szCs w:val="22"/>
                <w:color w:val="auto"/>
              </w:rPr>
            </w:pPr>
          </w:p>
        </w:tc>
        <w:tc>
          <w:tcPr>
            <w:tcW w:w="400" w:type="dxa"/>
            <w:vAlign w:val="bottom"/>
            <w:tcBorders>
              <w:bottom w:val="single" w:sz="8" w:color="CCEEFF"/>
            </w:tcBorders>
            <w:gridSpan w:val="2"/>
            <w:vMerge w:val="restart"/>
            <w:shd w:val="clear" w:color="auto" w:fill="CCEEFF"/>
          </w:tcPr>
          <w:p>
            <w:pPr>
              <w:spacing w:after="0"/>
              <w:rPr>
                <w:sz w:val="22"/>
                <w:szCs w:val="22"/>
                <w:color w:val="auto"/>
              </w:rPr>
            </w:pPr>
          </w:p>
        </w:tc>
        <w:tc>
          <w:tcPr>
            <w:tcW w:w="1900" w:type="dxa"/>
            <w:vAlign w:val="bottom"/>
            <w:tcBorders>
              <w:bottom w:val="single" w:sz="8" w:color="CCEEFF"/>
            </w:tcBorders>
            <w:gridSpan w:val="3"/>
            <w:vMerge w:val="restart"/>
            <w:shd w:val="clear" w:color="auto" w:fill="CCEEFF"/>
          </w:tcPr>
          <w:p>
            <w:pPr>
              <w:spacing w:after="0"/>
              <w:rPr>
                <w:sz w:val="22"/>
                <w:szCs w:val="22"/>
                <w:color w:val="auto"/>
              </w:rPr>
            </w:pPr>
          </w:p>
        </w:tc>
        <w:tc>
          <w:tcPr>
            <w:tcW w:w="240" w:type="dxa"/>
            <w:vAlign w:val="bottom"/>
            <w:tcBorders>
              <w:bottom w:val="single" w:sz="8" w:color="CCEEFF"/>
            </w:tcBorders>
            <w:vMerge w:val="restart"/>
            <w:shd w:val="clear" w:color="auto" w:fill="CCEEFF"/>
          </w:tcPr>
          <w:p>
            <w:pPr>
              <w:spacing w:after="0"/>
              <w:rPr>
                <w:sz w:val="22"/>
                <w:szCs w:val="22"/>
                <w:color w:val="auto"/>
              </w:rPr>
            </w:pPr>
          </w:p>
        </w:tc>
        <w:tc>
          <w:tcPr>
            <w:tcW w:w="320" w:type="dxa"/>
            <w:vAlign w:val="bottom"/>
            <w:tcBorders>
              <w:bottom w:val="single" w:sz="8" w:color="CCEEFF"/>
            </w:tcBorders>
            <w:gridSpan w:val="2"/>
            <w:vMerge w:val="restart"/>
            <w:shd w:val="clear" w:color="auto" w:fill="CCEEFF"/>
          </w:tcPr>
          <w:p>
            <w:pPr>
              <w:spacing w:after="0"/>
              <w:rPr>
                <w:sz w:val="22"/>
                <w:szCs w:val="22"/>
                <w:color w:val="auto"/>
              </w:rPr>
            </w:pPr>
          </w:p>
        </w:tc>
        <w:tc>
          <w:tcPr>
            <w:tcW w:w="300" w:type="dxa"/>
            <w:vAlign w:val="bottom"/>
            <w:tcBorders>
              <w:bottom w:val="single" w:sz="8" w:color="CCEEFF"/>
            </w:tcBorders>
            <w:vMerge w:val="restart"/>
            <w:shd w:val="clear" w:color="auto" w:fill="CCEEFF"/>
          </w:tcPr>
          <w:p>
            <w:pPr>
              <w:spacing w:after="0"/>
              <w:rPr>
                <w:sz w:val="22"/>
                <w:szCs w:val="22"/>
                <w:color w:val="auto"/>
              </w:rPr>
            </w:pPr>
          </w:p>
        </w:tc>
        <w:tc>
          <w:tcPr>
            <w:tcW w:w="320" w:type="dxa"/>
            <w:vAlign w:val="bottom"/>
            <w:tcBorders>
              <w:bottom w:val="single" w:sz="8" w:color="CCEEFF"/>
            </w:tcBorders>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79"/>
              </w:rPr>
              <w:t>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1600" w:type="dxa"/>
            <w:vAlign w:val="bottom"/>
            <w:tcBorders>
              <w:bottom w:val="single" w:sz="8" w:color="CCEEFF"/>
            </w:tcBorders>
            <w:gridSpan w:val="3"/>
            <w:shd w:val="clear" w:color="auto" w:fill="CCEEFF"/>
          </w:tcPr>
          <w:p>
            <w:pPr>
              <w:spacing w:after="0"/>
              <w:rPr>
                <w:sz w:val="4"/>
                <w:szCs w:val="4"/>
                <w:color w:val="auto"/>
              </w:rPr>
            </w:pPr>
          </w:p>
        </w:tc>
        <w:tc>
          <w:tcPr>
            <w:tcW w:w="2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660" w:type="dxa"/>
            <w:vAlign w:val="bottom"/>
            <w:tcBorders>
              <w:bottom w:val="single" w:sz="8" w:color="CCEEFF"/>
            </w:tcBorders>
            <w:shd w:val="clear" w:color="auto" w:fill="CCEEFF"/>
          </w:tcPr>
          <w:p>
            <w:pPr>
              <w:spacing w:after="0"/>
              <w:rPr>
                <w:sz w:val="4"/>
                <w:szCs w:val="4"/>
                <w:color w:val="auto"/>
              </w:rPr>
            </w:pPr>
          </w:p>
        </w:tc>
        <w:tc>
          <w:tcPr>
            <w:tcW w:w="9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vMerge w:val="continue"/>
            <w:shd w:val="clear" w:color="auto" w:fill="CCEEFF"/>
          </w:tcPr>
          <w:p>
            <w:pPr>
              <w:spacing w:after="0"/>
              <w:rPr>
                <w:sz w:val="4"/>
                <w:szCs w:val="4"/>
                <w:color w:val="auto"/>
              </w:rPr>
            </w:pPr>
          </w:p>
        </w:tc>
        <w:tc>
          <w:tcPr>
            <w:tcW w:w="180" w:type="dxa"/>
            <w:vAlign w:val="bottom"/>
            <w:tcBorders>
              <w:bottom w:val="single" w:sz="8" w:color="CCEEFF"/>
            </w:tcBorders>
            <w:vMerge w:val="continue"/>
            <w:shd w:val="clear" w:color="auto" w:fill="CCEEFF"/>
          </w:tcPr>
          <w:p>
            <w:pPr>
              <w:spacing w:after="0"/>
              <w:rPr>
                <w:sz w:val="4"/>
                <w:szCs w:val="4"/>
                <w:color w:val="auto"/>
              </w:rPr>
            </w:pPr>
          </w:p>
        </w:tc>
        <w:tc>
          <w:tcPr>
            <w:tcW w:w="400" w:type="dxa"/>
            <w:vAlign w:val="bottom"/>
            <w:tcBorders>
              <w:bottom w:val="single" w:sz="8" w:color="CCEEFF"/>
            </w:tcBorders>
            <w:gridSpan w:val="2"/>
            <w:vMerge w:val="continue"/>
            <w:shd w:val="clear" w:color="auto" w:fill="CCEEFF"/>
          </w:tcPr>
          <w:p>
            <w:pPr>
              <w:spacing w:after="0"/>
              <w:rPr>
                <w:sz w:val="4"/>
                <w:szCs w:val="4"/>
                <w:color w:val="auto"/>
              </w:rPr>
            </w:pPr>
          </w:p>
        </w:tc>
        <w:tc>
          <w:tcPr>
            <w:tcW w:w="1900" w:type="dxa"/>
            <w:vAlign w:val="bottom"/>
            <w:tcBorders>
              <w:bottom w:val="single" w:sz="8" w:color="CCEEFF"/>
            </w:tcBorders>
            <w:gridSpan w:val="3"/>
            <w:vMerge w:val="continue"/>
            <w:shd w:val="clear" w:color="auto" w:fill="CCEEFF"/>
          </w:tcPr>
          <w:p>
            <w:pPr>
              <w:spacing w:after="0"/>
              <w:rPr>
                <w:sz w:val="4"/>
                <w:szCs w:val="4"/>
                <w:color w:val="auto"/>
              </w:rPr>
            </w:pPr>
          </w:p>
        </w:tc>
        <w:tc>
          <w:tcPr>
            <w:tcW w:w="240" w:type="dxa"/>
            <w:vAlign w:val="bottom"/>
            <w:tcBorders>
              <w:bottom w:val="single" w:sz="8" w:color="CCEEFF"/>
            </w:tcBorders>
            <w:vMerge w:val="continue"/>
            <w:shd w:val="clear" w:color="auto" w:fill="CCEEFF"/>
          </w:tcPr>
          <w:p>
            <w:pPr>
              <w:spacing w:after="0"/>
              <w:rPr>
                <w:sz w:val="4"/>
                <w:szCs w:val="4"/>
                <w:color w:val="auto"/>
              </w:rPr>
            </w:pPr>
          </w:p>
        </w:tc>
        <w:tc>
          <w:tcPr>
            <w:tcW w:w="320" w:type="dxa"/>
            <w:vAlign w:val="bottom"/>
            <w:tcBorders>
              <w:bottom w:val="single" w:sz="8" w:color="CCEEFF"/>
            </w:tcBorders>
            <w:gridSpan w:val="2"/>
            <w:vMerge w:val="continue"/>
            <w:shd w:val="clear" w:color="auto" w:fill="CCEEFF"/>
          </w:tcPr>
          <w:p>
            <w:pPr>
              <w:spacing w:after="0"/>
              <w:rPr>
                <w:sz w:val="4"/>
                <w:szCs w:val="4"/>
                <w:color w:val="auto"/>
              </w:rPr>
            </w:pPr>
          </w:p>
        </w:tc>
        <w:tc>
          <w:tcPr>
            <w:tcW w:w="300" w:type="dxa"/>
            <w:vAlign w:val="bottom"/>
            <w:tcBorders>
              <w:bottom w:val="single" w:sz="8" w:color="CCEEFF"/>
            </w:tcBorders>
            <w:vMerge w:val="continue"/>
            <w:shd w:val="clear" w:color="auto" w:fill="CCEEFF"/>
          </w:tcPr>
          <w:p>
            <w:pPr>
              <w:spacing w:after="0"/>
              <w:rPr>
                <w:sz w:val="4"/>
                <w:szCs w:val="4"/>
                <w:color w:val="auto"/>
              </w:rPr>
            </w:pPr>
          </w:p>
        </w:tc>
        <w:tc>
          <w:tcPr>
            <w:tcW w:w="320" w:type="dxa"/>
            <w:vAlign w:val="bottom"/>
            <w:tcBorders>
              <w:bottom w:val="single" w:sz="8" w:color="CCEEFF"/>
            </w:tcBorders>
            <w:vMerge w:val="continue"/>
            <w:shd w:val="clear" w:color="auto" w:fill="CCEEFF"/>
          </w:tcPr>
          <w:p>
            <w:pPr>
              <w:spacing w:after="0"/>
              <w:rPr>
                <w:sz w:val="4"/>
                <w:szCs w:val="4"/>
                <w:color w:val="auto"/>
              </w:rPr>
            </w:pPr>
          </w:p>
        </w:tc>
        <w:tc>
          <w:tcPr>
            <w:tcW w:w="180" w:type="dxa"/>
            <w:vAlign w:val="bottom"/>
            <w:tcBorders>
              <w:bottom w:val="single" w:sz="8" w:color="CCEEFF"/>
            </w:tcBorders>
            <w:gridSpan w:val="2"/>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96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7"/>
              </w:rPr>
              <w:t>EXECUTIVE OFFICERS</w:t>
            </w:r>
          </w:p>
        </w:tc>
        <w:tc>
          <w:tcPr>
            <w:tcW w:w="360" w:type="dxa"/>
            <w:vAlign w:val="bottom"/>
            <w:vMerge w:val="restart"/>
          </w:tcPr>
          <w:p>
            <w:pPr>
              <w:spacing w:after="0"/>
              <w:rPr>
                <w:sz w:val="20"/>
                <w:szCs w:val="20"/>
                <w:color w:val="auto"/>
              </w:rPr>
            </w:pPr>
          </w:p>
        </w:tc>
        <w:tc>
          <w:tcPr>
            <w:tcW w:w="160" w:type="dxa"/>
            <w:vAlign w:val="bottom"/>
            <w:vMerge w:val="restart"/>
          </w:tcPr>
          <w:p>
            <w:pPr>
              <w:spacing w:after="0"/>
              <w:rPr>
                <w:sz w:val="20"/>
                <w:szCs w:val="20"/>
                <w:color w:val="auto"/>
              </w:rPr>
            </w:pPr>
          </w:p>
        </w:tc>
        <w:tc>
          <w:tcPr>
            <w:tcW w:w="660" w:type="dxa"/>
            <w:vAlign w:val="bottom"/>
            <w:vMerge w:val="restart"/>
          </w:tcPr>
          <w:p>
            <w:pPr>
              <w:spacing w:after="0"/>
              <w:rPr>
                <w:sz w:val="20"/>
                <w:szCs w:val="20"/>
                <w:color w:val="auto"/>
              </w:rPr>
            </w:pPr>
          </w:p>
        </w:tc>
        <w:tc>
          <w:tcPr>
            <w:tcW w:w="940" w:type="dxa"/>
            <w:vAlign w:val="bottom"/>
            <w:vMerge w:val="restart"/>
          </w:tcPr>
          <w:p>
            <w:pPr>
              <w:spacing w:after="0"/>
              <w:rPr>
                <w:sz w:val="20"/>
                <w:szCs w:val="20"/>
                <w:color w:val="auto"/>
              </w:rPr>
            </w:pPr>
          </w:p>
        </w:tc>
        <w:tc>
          <w:tcPr>
            <w:tcW w:w="280" w:type="dxa"/>
            <w:vAlign w:val="bottom"/>
            <w:gridSpan w:val="2"/>
            <w:vMerge w:val="restart"/>
          </w:tcPr>
          <w:p>
            <w:pPr>
              <w:spacing w:after="0"/>
              <w:rPr>
                <w:sz w:val="20"/>
                <w:szCs w:val="20"/>
                <w:color w:val="auto"/>
              </w:rPr>
            </w:pPr>
          </w:p>
        </w:tc>
        <w:tc>
          <w:tcPr>
            <w:tcW w:w="180" w:type="dxa"/>
            <w:vAlign w:val="bottom"/>
            <w:vMerge w:val="restart"/>
          </w:tcPr>
          <w:p>
            <w:pPr>
              <w:spacing w:after="0"/>
              <w:rPr>
                <w:sz w:val="20"/>
                <w:szCs w:val="20"/>
                <w:color w:val="auto"/>
              </w:rPr>
            </w:pPr>
          </w:p>
        </w:tc>
        <w:tc>
          <w:tcPr>
            <w:tcW w:w="400" w:type="dxa"/>
            <w:vAlign w:val="bottom"/>
            <w:gridSpan w:val="2"/>
            <w:vMerge w:val="restart"/>
          </w:tcPr>
          <w:p>
            <w:pPr>
              <w:spacing w:after="0"/>
              <w:rPr>
                <w:sz w:val="20"/>
                <w:szCs w:val="20"/>
                <w:color w:val="auto"/>
              </w:rPr>
            </w:pPr>
          </w:p>
        </w:tc>
        <w:tc>
          <w:tcPr>
            <w:tcW w:w="1900" w:type="dxa"/>
            <w:vAlign w:val="bottom"/>
            <w:gridSpan w:val="3"/>
            <w:vMerge w:val="restart"/>
          </w:tcPr>
          <w:p>
            <w:pPr>
              <w:spacing w:after="0"/>
              <w:rPr>
                <w:sz w:val="20"/>
                <w:szCs w:val="20"/>
                <w:color w:val="auto"/>
              </w:rPr>
            </w:pPr>
          </w:p>
        </w:tc>
        <w:tc>
          <w:tcPr>
            <w:tcW w:w="240" w:type="dxa"/>
            <w:vAlign w:val="bottom"/>
            <w:vMerge w:val="restart"/>
          </w:tcPr>
          <w:p>
            <w:pPr>
              <w:spacing w:after="0"/>
              <w:rPr>
                <w:sz w:val="20"/>
                <w:szCs w:val="20"/>
                <w:color w:val="auto"/>
              </w:rPr>
            </w:pPr>
          </w:p>
        </w:tc>
        <w:tc>
          <w:tcPr>
            <w:tcW w:w="320" w:type="dxa"/>
            <w:vAlign w:val="bottom"/>
            <w:gridSpan w:val="2"/>
            <w:vMerge w:val="restart"/>
          </w:tcPr>
          <w:p>
            <w:pPr>
              <w:spacing w:after="0"/>
              <w:rPr>
                <w:sz w:val="20"/>
                <w:szCs w:val="20"/>
                <w:color w:val="auto"/>
              </w:rPr>
            </w:pPr>
          </w:p>
        </w:tc>
        <w:tc>
          <w:tcPr>
            <w:tcW w:w="300" w:type="dxa"/>
            <w:vAlign w:val="bottom"/>
            <w:vMerge w:val="restart"/>
          </w:tcPr>
          <w:p>
            <w:pPr>
              <w:spacing w:after="0"/>
              <w:rPr>
                <w:sz w:val="20"/>
                <w:szCs w:val="20"/>
                <w:color w:val="auto"/>
              </w:rPr>
            </w:pPr>
          </w:p>
        </w:tc>
        <w:tc>
          <w:tcPr>
            <w:tcW w:w="3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24</w:t>
            </w: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600" w:type="dxa"/>
            <w:vAlign w:val="bottom"/>
            <w:gridSpan w:val="3"/>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1900" w:type="dxa"/>
            <w:vAlign w:val="bottom"/>
            <w:gridSpan w:val="3"/>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180" w:type="dxa"/>
            <w:vAlign w:val="bottom"/>
            <w:gridSpan w:val="2"/>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480" w:type="dxa"/>
            <w:vAlign w:val="bottom"/>
            <w:tcBorders>
              <w:bottom w:val="single" w:sz="8" w:color="0000EE"/>
            </w:tcBorders>
            <w:gridSpan w:val="7"/>
            <w:shd w:val="clear" w:color="auto" w:fill="CCEEFF"/>
          </w:tcPr>
          <w:p>
            <w:pPr>
              <w:spacing w:after="0"/>
              <w:rPr>
                <w:sz w:val="20"/>
                <w:szCs w:val="20"/>
                <w:color w:val="auto"/>
              </w:rPr>
            </w:pPr>
            <w:r>
              <w:rPr>
                <w:rFonts w:ascii="Arial" w:cs="Arial" w:eastAsia="Arial" w:hAnsi="Arial"/>
                <w:sz w:val="18"/>
                <w:szCs w:val="18"/>
                <w:color w:val="0000EE"/>
                <w:w w:val="97"/>
              </w:rPr>
              <w:t>EXECUTIVE COMPENSATION</w:t>
            </w:r>
          </w:p>
        </w:tc>
        <w:tc>
          <w:tcPr>
            <w:tcW w:w="660" w:type="dxa"/>
            <w:vAlign w:val="bottom"/>
            <w:tcBorders>
              <w:bottom w:val="single" w:sz="8" w:color="CCEEFF"/>
            </w:tcBorders>
            <w:vMerge w:val="restart"/>
            <w:shd w:val="clear" w:color="auto" w:fill="CCEEFF"/>
          </w:tcPr>
          <w:p>
            <w:pPr>
              <w:spacing w:after="0"/>
              <w:rPr>
                <w:sz w:val="22"/>
                <w:szCs w:val="22"/>
                <w:color w:val="auto"/>
              </w:rPr>
            </w:pPr>
          </w:p>
        </w:tc>
        <w:tc>
          <w:tcPr>
            <w:tcW w:w="940" w:type="dxa"/>
            <w:vAlign w:val="bottom"/>
            <w:tcBorders>
              <w:bottom w:val="single" w:sz="8" w:color="CCEEFF"/>
            </w:tcBorders>
            <w:vMerge w:val="restart"/>
            <w:shd w:val="clear" w:color="auto" w:fill="CCEEFF"/>
          </w:tcPr>
          <w:p>
            <w:pPr>
              <w:spacing w:after="0"/>
              <w:rPr>
                <w:sz w:val="22"/>
                <w:szCs w:val="22"/>
                <w:color w:val="auto"/>
              </w:rPr>
            </w:pPr>
          </w:p>
        </w:tc>
        <w:tc>
          <w:tcPr>
            <w:tcW w:w="280" w:type="dxa"/>
            <w:vAlign w:val="bottom"/>
            <w:tcBorders>
              <w:bottom w:val="single" w:sz="8" w:color="CCEEFF"/>
            </w:tcBorders>
            <w:gridSpan w:val="2"/>
            <w:vMerge w:val="restart"/>
            <w:shd w:val="clear" w:color="auto" w:fill="CCEEFF"/>
          </w:tcPr>
          <w:p>
            <w:pPr>
              <w:spacing w:after="0"/>
              <w:rPr>
                <w:sz w:val="22"/>
                <w:szCs w:val="22"/>
                <w:color w:val="auto"/>
              </w:rPr>
            </w:pPr>
          </w:p>
        </w:tc>
        <w:tc>
          <w:tcPr>
            <w:tcW w:w="180" w:type="dxa"/>
            <w:vAlign w:val="bottom"/>
            <w:tcBorders>
              <w:bottom w:val="single" w:sz="8" w:color="CCEEFF"/>
            </w:tcBorders>
            <w:vMerge w:val="restart"/>
            <w:shd w:val="clear" w:color="auto" w:fill="CCEEFF"/>
          </w:tcPr>
          <w:p>
            <w:pPr>
              <w:spacing w:after="0"/>
              <w:rPr>
                <w:sz w:val="22"/>
                <w:szCs w:val="22"/>
                <w:color w:val="auto"/>
              </w:rPr>
            </w:pPr>
          </w:p>
        </w:tc>
        <w:tc>
          <w:tcPr>
            <w:tcW w:w="400" w:type="dxa"/>
            <w:vAlign w:val="bottom"/>
            <w:tcBorders>
              <w:bottom w:val="single" w:sz="8" w:color="CCEEFF"/>
            </w:tcBorders>
            <w:gridSpan w:val="2"/>
            <w:vMerge w:val="restart"/>
            <w:shd w:val="clear" w:color="auto" w:fill="CCEEFF"/>
          </w:tcPr>
          <w:p>
            <w:pPr>
              <w:spacing w:after="0"/>
              <w:rPr>
                <w:sz w:val="22"/>
                <w:szCs w:val="22"/>
                <w:color w:val="auto"/>
              </w:rPr>
            </w:pPr>
          </w:p>
        </w:tc>
        <w:tc>
          <w:tcPr>
            <w:tcW w:w="1900" w:type="dxa"/>
            <w:vAlign w:val="bottom"/>
            <w:tcBorders>
              <w:bottom w:val="single" w:sz="8" w:color="CCEEFF"/>
            </w:tcBorders>
            <w:gridSpan w:val="3"/>
            <w:vMerge w:val="restart"/>
            <w:shd w:val="clear" w:color="auto" w:fill="CCEEFF"/>
          </w:tcPr>
          <w:p>
            <w:pPr>
              <w:spacing w:after="0"/>
              <w:rPr>
                <w:sz w:val="22"/>
                <w:szCs w:val="22"/>
                <w:color w:val="auto"/>
              </w:rPr>
            </w:pPr>
          </w:p>
        </w:tc>
        <w:tc>
          <w:tcPr>
            <w:tcW w:w="240" w:type="dxa"/>
            <w:vAlign w:val="bottom"/>
            <w:tcBorders>
              <w:bottom w:val="single" w:sz="8" w:color="CCEEFF"/>
            </w:tcBorders>
            <w:vMerge w:val="restart"/>
            <w:shd w:val="clear" w:color="auto" w:fill="CCEEFF"/>
          </w:tcPr>
          <w:p>
            <w:pPr>
              <w:spacing w:after="0"/>
              <w:rPr>
                <w:sz w:val="22"/>
                <w:szCs w:val="22"/>
                <w:color w:val="auto"/>
              </w:rPr>
            </w:pPr>
          </w:p>
        </w:tc>
        <w:tc>
          <w:tcPr>
            <w:tcW w:w="320" w:type="dxa"/>
            <w:vAlign w:val="bottom"/>
            <w:tcBorders>
              <w:bottom w:val="single" w:sz="8" w:color="CCEEFF"/>
            </w:tcBorders>
            <w:gridSpan w:val="2"/>
            <w:vMerge w:val="restart"/>
            <w:shd w:val="clear" w:color="auto" w:fill="CCEEFF"/>
          </w:tcPr>
          <w:p>
            <w:pPr>
              <w:spacing w:after="0"/>
              <w:rPr>
                <w:sz w:val="22"/>
                <w:szCs w:val="22"/>
                <w:color w:val="auto"/>
              </w:rPr>
            </w:pPr>
          </w:p>
        </w:tc>
        <w:tc>
          <w:tcPr>
            <w:tcW w:w="300" w:type="dxa"/>
            <w:vAlign w:val="bottom"/>
            <w:tcBorders>
              <w:bottom w:val="single" w:sz="8" w:color="CCEEFF"/>
            </w:tcBorders>
            <w:vMerge w:val="restart"/>
            <w:shd w:val="clear" w:color="auto" w:fill="CCEEFF"/>
          </w:tcPr>
          <w:p>
            <w:pPr>
              <w:spacing w:after="0"/>
              <w:rPr>
                <w:sz w:val="22"/>
                <w:szCs w:val="22"/>
                <w:color w:val="auto"/>
              </w:rPr>
            </w:pPr>
          </w:p>
        </w:tc>
        <w:tc>
          <w:tcPr>
            <w:tcW w:w="320" w:type="dxa"/>
            <w:vAlign w:val="bottom"/>
            <w:tcBorders>
              <w:bottom w:val="single" w:sz="8" w:color="CCEEFF"/>
            </w:tcBorders>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79"/>
              </w:rPr>
              <w:t>26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1600" w:type="dxa"/>
            <w:vAlign w:val="bottom"/>
            <w:tcBorders>
              <w:bottom w:val="single" w:sz="8" w:color="CCEEFF"/>
            </w:tcBorders>
            <w:gridSpan w:val="3"/>
            <w:shd w:val="clear" w:color="auto" w:fill="CCEEFF"/>
          </w:tcPr>
          <w:p>
            <w:pPr>
              <w:spacing w:after="0"/>
              <w:rPr>
                <w:sz w:val="4"/>
                <w:szCs w:val="4"/>
                <w:color w:val="auto"/>
              </w:rPr>
            </w:pPr>
          </w:p>
        </w:tc>
        <w:tc>
          <w:tcPr>
            <w:tcW w:w="260" w:type="dxa"/>
            <w:vAlign w:val="bottom"/>
            <w:tcBorders>
              <w:bottom w:val="single" w:sz="8" w:color="CCEEFF"/>
            </w:tcBorders>
            <w:shd w:val="clear" w:color="auto" w:fill="CCEEFF"/>
          </w:tcPr>
          <w:p>
            <w:pPr>
              <w:spacing w:after="0"/>
              <w:rPr>
                <w:sz w:val="4"/>
                <w:szCs w:val="4"/>
                <w:color w:val="auto"/>
              </w:rPr>
            </w:pPr>
          </w:p>
        </w:tc>
        <w:tc>
          <w:tcPr>
            <w:tcW w:w="460" w:type="dxa"/>
            <w:vAlign w:val="bottom"/>
            <w:tcBorders>
              <w:bottom w:val="single" w:sz="8" w:color="CCEEFF"/>
            </w:tcBorders>
            <w:gridSpan w:val="2"/>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660" w:type="dxa"/>
            <w:vAlign w:val="bottom"/>
            <w:tcBorders>
              <w:bottom w:val="single" w:sz="8" w:color="CCEEFF"/>
            </w:tcBorders>
            <w:vMerge w:val="continue"/>
            <w:shd w:val="clear" w:color="auto" w:fill="CCEEFF"/>
          </w:tcPr>
          <w:p>
            <w:pPr>
              <w:spacing w:after="0"/>
              <w:rPr>
                <w:sz w:val="4"/>
                <w:szCs w:val="4"/>
                <w:color w:val="auto"/>
              </w:rPr>
            </w:pPr>
          </w:p>
        </w:tc>
        <w:tc>
          <w:tcPr>
            <w:tcW w:w="940" w:type="dxa"/>
            <w:vAlign w:val="bottom"/>
            <w:tcBorders>
              <w:bottom w:val="single" w:sz="8" w:color="CCEEFF"/>
            </w:tcBorders>
            <w:vMerge w:val="continue"/>
            <w:shd w:val="clear" w:color="auto" w:fill="CCEEFF"/>
          </w:tcPr>
          <w:p>
            <w:pPr>
              <w:spacing w:after="0"/>
              <w:rPr>
                <w:sz w:val="4"/>
                <w:szCs w:val="4"/>
                <w:color w:val="auto"/>
              </w:rPr>
            </w:pPr>
          </w:p>
        </w:tc>
        <w:tc>
          <w:tcPr>
            <w:tcW w:w="280" w:type="dxa"/>
            <w:vAlign w:val="bottom"/>
            <w:tcBorders>
              <w:bottom w:val="single" w:sz="8" w:color="CCEEFF"/>
            </w:tcBorders>
            <w:gridSpan w:val="2"/>
            <w:vMerge w:val="continue"/>
            <w:shd w:val="clear" w:color="auto" w:fill="CCEEFF"/>
          </w:tcPr>
          <w:p>
            <w:pPr>
              <w:spacing w:after="0"/>
              <w:rPr>
                <w:sz w:val="4"/>
                <w:szCs w:val="4"/>
                <w:color w:val="auto"/>
              </w:rPr>
            </w:pPr>
          </w:p>
        </w:tc>
        <w:tc>
          <w:tcPr>
            <w:tcW w:w="180" w:type="dxa"/>
            <w:vAlign w:val="bottom"/>
            <w:tcBorders>
              <w:bottom w:val="single" w:sz="8" w:color="CCEEFF"/>
            </w:tcBorders>
            <w:vMerge w:val="continue"/>
            <w:shd w:val="clear" w:color="auto" w:fill="CCEEFF"/>
          </w:tcPr>
          <w:p>
            <w:pPr>
              <w:spacing w:after="0"/>
              <w:rPr>
                <w:sz w:val="4"/>
                <w:szCs w:val="4"/>
                <w:color w:val="auto"/>
              </w:rPr>
            </w:pPr>
          </w:p>
        </w:tc>
        <w:tc>
          <w:tcPr>
            <w:tcW w:w="400" w:type="dxa"/>
            <w:vAlign w:val="bottom"/>
            <w:tcBorders>
              <w:bottom w:val="single" w:sz="8" w:color="CCEEFF"/>
            </w:tcBorders>
            <w:gridSpan w:val="2"/>
            <w:vMerge w:val="continue"/>
            <w:shd w:val="clear" w:color="auto" w:fill="CCEEFF"/>
          </w:tcPr>
          <w:p>
            <w:pPr>
              <w:spacing w:after="0"/>
              <w:rPr>
                <w:sz w:val="4"/>
                <w:szCs w:val="4"/>
                <w:color w:val="auto"/>
              </w:rPr>
            </w:pPr>
          </w:p>
        </w:tc>
        <w:tc>
          <w:tcPr>
            <w:tcW w:w="1900" w:type="dxa"/>
            <w:vAlign w:val="bottom"/>
            <w:tcBorders>
              <w:bottom w:val="single" w:sz="8" w:color="CCEEFF"/>
            </w:tcBorders>
            <w:gridSpan w:val="3"/>
            <w:vMerge w:val="continue"/>
            <w:shd w:val="clear" w:color="auto" w:fill="CCEEFF"/>
          </w:tcPr>
          <w:p>
            <w:pPr>
              <w:spacing w:after="0"/>
              <w:rPr>
                <w:sz w:val="4"/>
                <w:szCs w:val="4"/>
                <w:color w:val="auto"/>
              </w:rPr>
            </w:pPr>
          </w:p>
        </w:tc>
        <w:tc>
          <w:tcPr>
            <w:tcW w:w="240" w:type="dxa"/>
            <w:vAlign w:val="bottom"/>
            <w:tcBorders>
              <w:bottom w:val="single" w:sz="8" w:color="CCEEFF"/>
            </w:tcBorders>
            <w:vMerge w:val="continue"/>
            <w:shd w:val="clear" w:color="auto" w:fill="CCEEFF"/>
          </w:tcPr>
          <w:p>
            <w:pPr>
              <w:spacing w:after="0"/>
              <w:rPr>
                <w:sz w:val="4"/>
                <w:szCs w:val="4"/>
                <w:color w:val="auto"/>
              </w:rPr>
            </w:pPr>
          </w:p>
        </w:tc>
        <w:tc>
          <w:tcPr>
            <w:tcW w:w="320" w:type="dxa"/>
            <w:vAlign w:val="bottom"/>
            <w:tcBorders>
              <w:bottom w:val="single" w:sz="8" w:color="CCEEFF"/>
            </w:tcBorders>
            <w:gridSpan w:val="2"/>
            <w:vMerge w:val="continue"/>
            <w:shd w:val="clear" w:color="auto" w:fill="CCEEFF"/>
          </w:tcPr>
          <w:p>
            <w:pPr>
              <w:spacing w:after="0"/>
              <w:rPr>
                <w:sz w:val="4"/>
                <w:szCs w:val="4"/>
                <w:color w:val="auto"/>
              </w:rPr>
            </w:pPr>
          </w:p>
        </w:tc>
        <w:tc>
          <w:tcPr>
            <w:tcW w:w="300" w:type="dxa"/>
            <w:vAlign w:val="bottom"/>
            <w:tcBorders>
              <w:bottom w:val="single" w:sz="8" w:color="CCEEFF"/>
            </w:tcBorders>
            <w:vMerge w:val="continue"/>
            <w:shd w:val="clear" w:color="auto" w:fill="CCEEFF"/>
          </w:tcPr>
          <w:p>
            <w:pPr>
              <w:spacing w:after="0"/>
              <w:rPr>
                <w:sz w:val="4"/>
                <w:szCs w:val="4"/>
                <w:color w:val="auto"/>
              </w:rPr>
            </w:pPr>
          </w:p>
        </w:tc>
        <w:tc>
          <w:tcPr>
            <w:tcW w:w="320" w:type="dxa"/>
            <w:vAlign w:val="bottom"/>
            <w:tcBorders>
              <w:bottom w:val="single" w:sz="8" w:color="CCEEFF"/>
            </w:tcBorders>
            <w:vMerge w:val="continue"/>
            <w:shd w:val="clear" w:color="auto" w:fill="CCEEFF"/>
          </w:tcPr>
          <w:p>
            <w:pPr>
              <w:spacing w:after="0"/>
              <w:rPr>
                <w:sz w:val="4"/>
                <w:szCs w:val="4"/>
                <w:color w:val="auto"/>
              </w:rPr>
            </w:pPr>
          </w:p>
        </w:tc>
        <w:tc>
          <w:tcPr>
            <w:tcW w:w="180" w:type="dxa"/>
            <w:vAlign w:val="bottom"/>
            <w:tcBorders>
              <w:bottom w:val="single" w:sz="8" w:color="CCEEFF"/>
            </w:tcBorders>
            <w:gridSpan w:val="2"/>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84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8"/>
              </w:rPr>
              <w:t>SECURITY OWNERSHIP OF CERTAIN BENEFICIAL OWNERS AND MANAGEMENT</w:t>
            </w:r>
          </w:p>
        </w:tc>
        <w:tc>
          <w:tcPr>
            <w:tcW w:w="240" w:type="dxa"/>
            <w:vAlign w:val="bottom"/>
            <w:vMerge w:val="restart"/>
          </w:tcPr>
          <w:p>
            <w:pPr>
              <w:spacing w:after="0"/>
              <w:rPr>
                <w:sz w:val="20"/>
                <w:szCs w:val="20"/>
                <w:color w:val="auto"/>
              </w:rPr>
            </w:pPr>
          </w:p>
        </w:tc>
        <w:tc>
          <w:tcPr>
            <w:tcW w:w="320" w:type="dxa"/>
            <w:vAlign w:val="bottom"/>
            <w:gridSpan w:val="2"/>
            <w:vMerge w:val="restart"/>
          </w:tcPr>
          <w:p>
            <w:pPr>
              <w:spacing w:after="0"/>
              <w:rPr>
                <w:sz w:val="20"/>
                <w:szCs w:val="20"/>
                <w:color w:val="auto"/>
              </w:rPr>
            </w:pPr>
          </w:p>
        </w:tc>
        <w:tc>
          <w:tcPr>
            <w:tcW w:w="300" w:type="dxa"/>
            <w:vAlign w:val="bottom"/>
            <w:vMerge w:val="restart"/>
          </w:tcPr>
          <w:p>
            <w:pPr>
              <w:spacing w:after="0"/>
              <w:rPr>
                <w:sz w:val="20"/>
                <w:szCs w:val="20"/>
                <w:color w:val="auto"/>
              </w:rPr>
            </w:pPr>
          </w:p>
        </w:tc>
        <w:tc>
          <w:tcPr>
            <w:tcW w:w="3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60</w:t>
            </w: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600" w:type="dxa"/>
            <w:vAlign w:val="bottom"/>
            <w:gridSpan w:val="3"/>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820" w:type="dxa"/>
            <w:vAlign w:val="bottom"/>
            <w:gridSpan w:val="2"/>
          </w:tcPr>
          <w:p>
            <w:pPr>
              <w:spacing w:after="0"/>
              <w:rPr>
                <w:sz w:val="4"/>
                <w:szCs w:val="4"/>
                <w:color w:val="auto"/>
              </w:rPr>
            </w:pPr>
          </w:p>
        </w:tc>
        <w:tc>
          <w:tcPr>
            <w:tcW w:w="940" w:type="dxa"/>
            <w:vAlign w:val="bottom"/>
          </w:tcPr>
          <w:p>
            <w:pPr>
              <w:spacing w:after="0"/>
              <w:rPr>
                <w:sz w:val="4"/>
                <w:szCs w:val="4"/>
                <w:color w:val="auto"/>
              </w:rPr>
            </w:pPr>
          </w:p>
        </w:tc>
        <w:tc>
          <w:tcPr>
            <w:tcW w:w="28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gridSpan w:val="2"/>
          </w:tcPr>
          <w:p>
            <w:pPr>
              <w:spacing w:after="0"/>
              <w:rPr>
                <w:sz w:val="4"/>
                <w:szCs w:val="4"/>
                <w:color w:val="auto"/>
              </w:rPr>
            </w:pPr>
          </w:p>
        </w:tc>
        <w:tc>
          <w:tcPr>
            <w:tcW w:w="1900" w:type="dxa"/>
            <w:vAlign w:val="bottom"/>
            <w:gridSpan w:val="3"/>
          </w:tcPr>
          <w:p>
            <w:pPr>
              <w:spacing w:after="0"/>
              <w:rPr>
                <w:sz w:val="4"/>
                <w:szCs w:val="4"/>
                <w:color w:val="auto"/>
              </w:rPr>
            </w:pPr>
          </w:p>
        </w:tc>
        <w:tc>
          <w:tcPr>
            <w:tcW w:w="24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180" w:type="dxa"/>
            <w:vAlign w:val="bottom"/>
            <w:gridSpan w:val="2"/>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0000EE"/>
            </w:tcBorders>
            <w:gridSpan w:val="12"/>
            <w:shd w:val="clear" w:color="auto" w:fill="CCEEFF"/>
          </w:tcPr>
          <w:p>
            <w:pPr>
              <w:spacing w:after="0"/>
              <w:rPr>
                <w:sz w:val="20"/>
                <w:szCs w:val="20"/>
                <w:color w:val="auto"/>
              </w:rPr>
            </w:pPr>
            <w:r>
              <w:rPr>
                <w:rFonts w:ascii="Arial" w:cs="Arial" w:eastAsia="Arial" w:hAnsi="Arial"/>
                <w:sz w:val="18"/>
                <w:szCs w:val="18"/>
                <w:color w:val="0000EE"/>
                <w:w w:val="97"/>
              </w:rPr>
              <w:t>EQUITY COMPENSATION PLAN INFORMATION TABLE</w:t>
            </w:r>
          </w:p>
        </w:tc>
        <w:tc>
          <w:tcPr>
            <w:tcW w:w="400" w:type="dxa"/>
            <w:vAlign w:val="bottom"/>
            <w:tcBorders>
              <w:bottom w:val="single" w:sz="8" w:color="CCEEFF"/>
            </w:tcBorders>
            <w:gridSpan w:val="2"/>
            <w:vMerge w:val="restart"/>
            <w:shd w:val="clear" w:color="auto" w:fill="CCEEFF"/>
          </w:tcPr>
          <w:p>
            <w:pPr>
              <w:spacing w:after="0"/>
              <w:rPr>
                <w:sz w:val="22"/>
                <w:szCs w:val="22"/>
                <w:color w:val="auto"/>
              </w:rPr>
            </w:pPr>
          </w:p>
        </w:tc>
        <w:tc>
          <w:tcPr>
            <w:tcW w:w="2140" w:type="dxa"/>
            <w:vAlign w:val="bottom"/>
            <w:tcBorders>
              <w:bottom w:val="single" w:sz="8" w:color="CCEEFF"/>
            </w:tcBorders>
            <w:gridSpan w:val="4"/>
            <w:vMerge w:val="restart"/>
            <w:shd w:val="clear" w:color="auto" w:fill="CCEEFF"/>
          </w:tcPr>
          <w:p>
            <w:pPr>
              <w:spacing w:after="0"/>
              <w:rPr>
                <w:sz w:val="22"/>
                <w:szCs w:val="22"/>
                <w:color w:val="auto"/>
              </w:rPr>
            </w:pPr>
          </w:p>
        </w:tc>
        <w:tc>
          <w:tcPr>
            <w:tcW w:w="320" w:type="dxa"/>
            <w:vAlign w:val="bottom"/>
            <w:tcBorders>
              <w:bottom w:val="single" w:sz="8" w:color="CCEEFF"/>
            </w:tcBorders>
            <w:gridSpan w:val="2"/>
            <w:vMerge w:val="restart"/>
            <w:shd w:val="clear" w:color="auto" w:fill="CCEEFF"/>
          </w:tcPr>
          <w:p>
            <w:pPr>
              <w:spacing w:after="0"/>
              <w:rPr>
                <w:sz w:val="22"/>
                <w:szCs w:val="22"/>
                <w:color w:val="auto"/>
              </w:rPr>
            </w:pPr>
          </w:p>
        </w:tc>
        <w:tc>
          <w:tcPr>
            <w:tcW w:w="300" w:type="dxa"/>
            <w:vAlign w:val="bottom"/>
            <w:tcBorders>
              <w:bottom w:val="single" w:sz="8" w:color="CCEEFF"/>
            </w:tcBorders>
            <w:vMerge w:val="restart"/>
            <w:shd w:val="clear" w:color="auto" w:fill="CCEEFF"/>
          </w:tcPr>
          <w:p>
            <w:pPr>
              <w:spacing w:after="0"/>
              <w:rPr>
                <w:sz w:val="22"/>
                <w:szCs w:val="22"/>
                <w:color w:val="auto"/>
              </w:rPr>
            </w:pPr>
          </w:p>
        </w:tc>
        <w:tc>
          <w:tcPr>
            <w:tcW w:w="320" w:type="dxa"/>
            <w:vAlign w:val="bottom"/>
            <w:tcBorders>
              <w:bottom w:val="single" w:sz="8" w:color="CCEEFF"/>
            </w:tcBorders>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79"/>
              </w:rPr>
              <w:t>64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1600" w:type="dxa"/>
            <w:vAlign w:val="bottom"/>
            <w:tcBorders>
              <w:bottom w:val="single" w:sz="8" w:color="CCEEFF"/>
            </w:tcBorders>
            <w:gridSpan w:val="3"/>
            <w:shd w:val="clear" w:color="auto" w:fill="CCEEFF"/>
          </w:tcPr>
          <w:p>
            <w:pPr>
              <w:spacing w:after="0"/>
              <w:rPr>
                <w:sz w:val="4"/>
                <w:szCs w:val="4"/>
                <w:color w:val="auto"/>
              </w:rPr>
            </w:pPr>
          </w:p>
        </w:tc>
        <w:tc>
          <w:tcPr>
            <w:tcW w:w="260" w:type="dxa"/>
            <w:vAlign w:val="bottom"/>
            <w:tcBorders>
              <w:bottom w:val="single" w:sz="8" w:color="CCEEFF"/>
            </w:tcBorders>
            <w:shd w:val="clear" w:color="auto" w:fill="CCEEFF"/>
          </w:tcPr>
          <w:p>
            <w:pPr>
              <w:spacing w:after="0"/>
              <w:rPr>
                <w:sz w:val="4"/>
                <w:szCs w:val="4"/>
                <w:color w:val="auto"/>
              </w:rPr>
            </w:pPr>
          </w:p>
        </w:tc>
        <w:tc>
          <w:tcPr>
            <w:tcW w:w="460" w:type="dxa"/>
            <w:vAlign w:val="bottom"/>
            <w:tcBorders>
              <w:bottom w:val="single" w:sz="8" w:color="CCEEFF"/>
            </w:tcBorders>
            <w:gridSpan w:val="2"/>
            <w:shd w:val="clear" w:color="auto" w:fill="CCEEFF"/>
          </w:tcPr>
          <w:p>
            <w:pPr>
              <w:spacing w:after="0"/>
              <w:rPr>
                <w:sz w:val="4"/>
                <w:szCs w:val="4"/>
                <w:color w:val="auto"/>
              </w:rPr>
            </w:pPr>
          </w:p>
        </w:tc>
        <w:tc>
          <w:tcPr>
            <w:tcW w:w="820" w:type="dxa"/>
            <w:vAlign w:val="bottom"/>
            <w:tcBorders>
              <w:bottom w:val="single" w:sz="8" w:color="CCEEFF"/>
            </w:tcBorders>
            <w:gridSpan w:val="2"/>
            <w:shd w:val="clear" w:color="auto" w:fill="CCEEFF"/>
          </w:tcPr>
          <w:p>
            <w:pPr>
              <w:spacing w:after="0"/>
              <w:rPr>
                <w:sz w:val="4"/>
                <w:szCs w:val="4"/>
                <w:color w:val="auto"/>
              </w:rPr>
            </w:pPr>
          </w:p>
        </w:tc>
        <w:tc>
          <w:tcPr>
            <w:tcW w:w="94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gridSpan w:val="2"/>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400" w:type="dxa"/>
            <w:vAlign w:val="bottom"/>
            <w:tcBorders>
              <w:bottom w:val="single" w:sz="8" w:color="CCEEFF"/>
            </w:tcBorders>
            <w:gridSpan w:val="2"/>
            <w:vMerge w:val="continue"/>
            <w:shd w:val="clear" w:color="auto" w:fill="CCEEFF"/>
          </w:tcPr>
          <w:p>
            <w:pPr>
              <w:spacing w:after="0"/>
              <w:rPr>
                <w:sz w:val="4"/>
                <w:szCs w:val="4"/>
                <w:color w:val="auto"/>
              </w:rPr>
            </w:pPr>
          </w:p>
        </w:tc>
        <w:tc>
          <w:tcPr>
            <w:tcW w:w="2140" w:type="dxa"/>
            <w:vAlign w:val="bottom"/>
            <w:tcBorders>
              <w:bottom w:val="single" w:sz="8" w:color="CCEEFF"/>
            </w:tcBorders>
            <w:gridSpan w:val="4"/>
            <w:vMerge w:val="continue"/>
            <w:shd w:val="clear" w:color="auto" w:fill="CCEEFF"/>
          </w:tcPr>
          <w:p>
            <w:pPr>
              <w:spacing w:after="0"/>
              <w:rPr>
                <w:sz w:val="4"/>
                <w:szCs w:val="4"/>
                <w:color w:val="auto"/>
              </w:rPr>
            </w:pPr>
          </w:p>
        </w:tc>
        <w:tc>
          <w:tcPr>
            <w:tcW w:w="320" w:type="dxa"/>
            <w:vAlign w:val="bottom"/>
            <w:tcBorders>
              <w:bottom w:val="single" w:sz="8" w:color="CCEEFF"/>
            </w:tcBorders>
            <w:gridSpan w:val="2"/>
            <w:vMerge w:val="continue"/>
            <w:shd w:val="clear" w:color="auto" w:fill="CCEEFF"/>
          </w:tcPr>
          <w:p>
            <w:pPr>
              <w:spacing w:after="0"/>
              <w:rPr>
                <w:sz w:val="4"/>
                <w:szCs w:val="4"/>
                <w:color w:val="auto"/>
              </w:rPr>
            </w:pPr>
          </w:p>
        </w:tc>
        <w:tc>
          <w:tcPr>
            <w:tcW w:w="300" w:type="dxa"/>
            <w:vAlign w:val="bottom"/>
            <w:tcBorders>
              <w:bottom w:val="single" w:sz="8" w:color="CCEEFF"/>
            </w:tcBorders>
            <w:vMerge w:val="continue"/>
            <w:shd w:val="clear" w:color="auto" w:fill="CCEEFF"/>
          </w:tcPr>
          <w:p>
            <w:pPr>
              <w:spacing w:after="0"/>
              <w:rPr>
                <w:sz w:val="4"/>
                <w:szCs w:val="4"/>
                <w:color w:val="auto"/>
              </w:rPr>
            </w:pPr>
          </w:p>
        </w:tc>
        <w:tc>
          <w:tcPr>
            <w:tcW w:w="320" w:type="dxa"/>
            <w:vAlign w:val="bottom"/>
            <w:tcBorders>
              <w:bottom w:val="single" w:sz="8" w:color="CCEEFF"/>
            </w:tcBorders>
            <w:vMerge w:val="continue"/>
            <w:shd w:val="clear" w:color="auto" w:fill="CCEEFF"/>
          </w:tcPr>
          <w:p>
            <w:pPr>
              <w:spacing w:after="0"/>
              <w:rPr>
                <w:sz w:val="4"/>
                <w:szCs w:val="4"/>
                <w:color w:val="auto"/>
              </w:rPr>
            </w:pPr>
          </w:p>
        </w:tc>
        <w:tc>
          <w:tcPr>
            <w:tcW w:w="180" w:type="dxa"/>
            <w:vAlign w:val="bottom"/>
            <w:tcBorders>
              <w:bottom w:val="single" w:sz="8" w:color="CCEEFF"/>
            </w:tcBorders>
            <w:gridSpan w:val="2"/>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94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7"/>
              </w:rPr>
              <w:t>CERTAIN RELATIONSHIPS AND RELATED TRANSACTIONS</w:t>
            </w:r>
          </w:p>
        </w:tc>
        <w:tc>
          <w:tcPr>
            <w:tcW w:w="2140" w:type="dxa"/>
            <w:vAlign w:val="bottom"/>
            <w:gridSpan w:val="4"/>
            <w:vMerge w:val="restart"/>
          </w:tcPr>
          <w:p>
            <w:pPr>
              <w:spacing w:after="0"/>
              <w:rPr>
                <w:sz w:val="20"/>
                <w:szCs w:val="20"/>
                <w:color w:val="auto"/>
              </w:rPr>
            </w:pPr>
          </w:p>
        </w:tc>
        <w:tc>
          <w:tcPr>
            <w:tcW w:w="320" w:type="dxa"/>
            <w:vAlign w:val="bottom"/>
            <w:gridSpan w:val="2"/>
            <w:vMerge w:val="restart"/>
          </w:tcPr>
          <w:p>
            <w:pPr>
              <w:spacing w:after="0"/>
              <w:rPr>
                <w:sz w:val="20"/>
                <w:szCs w:val="20"/>
                <w:color w:val="auto"/>
              </w:rPr>
            </w:pPr>
          </w:p>
        </w:tc>
        <w:tc>
          <w:tcPr>
            <w:tcW w:w="300" w:type="dxa"/>
            <w:vAlign w:val="bottom"/>
            <w:vMerge w:val="restart"/>
          </w:tcPr>
          <w:p>
            <w:pPr>
              <w:spacing w:after="0"/>
              <w:rPr>
                <w:sz w:val="20"/>
                <w:szCs w:val="20"/>
                <w:color w:val="auto"/>
              </w:rPr>
            </w:pPr>
          </w:p>
        </w:tc>
        <w:tc>
          <w:tcPr>
            <w:tcW w:w="3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65</w:t>
            </w: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600" w:type="dxa"/>
            <w:vAlign w:val="bottom"/>
            <w:gridSpan w:val="3"/>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820" w:type="dxa"/>
            <w:vAlign w:val="bottom"/>
            <w:gridSpan w:val="2"/>
          </w:tcPr>
          <w:p>
            <w:pPr>
              <w:spacing w:after="0"/>
              <w:rPr>
                <w:sz w:val="4"/>
                <w:szCs w:val="4"/>
                <w:color w:val="auto"/>
              </w:rPr>
            </w:pPr>
          </w:p>
        </w:tc>
        <w:tc>
          <w:tcPr>
            <w:tcW w:w="940" w:type="dxa"/>
            <w:vAlign w:val="bottom"/>
          </w:tcPr>
          <w:p>
            <w:pPr>
              <w:spacing w:after="0"/>
              <w:rPr>
                <w:sz w:val="4"/>
                <w:szCs w:val="4"/>
                <w:color w:val="auto"/>
              </w:rPr>
            </w:pPr>
          </w:p>
        </w:tc>
        <w:tc>
          <w:tcPr>
            <w:tcW w:w="280" w:type="dxa"/>
            <w:vAlign w:val="bottom"/>
            <w:gridSpan w:val="2"/>
          </w:tcPr>
          <w:p>
            <w:pPr>
              <w:spacing w:after="0"/>
              <w:rPr>
                <w:sz w:val="4"/>
                <w:szCs w:val="4"/>
                <w:color w:val="auto"/>
              </w:rPr>
            </w:pPr>
          </w:p>
        </w:tc>
        <w:tc>
          <w:tcPr>
            <w:tcW w:w="580" w:type="dxa"/>
            <w:vAlign w:val="bottom"/>
            <w:gridSpan w:val="3"/>
          </w:tcPr>
          <w:p>
            <w:pPr>
              <w:spacing w:after="0"/>
              <w:rPr>
                <w:sz w:val="4"/>
                <w:szCs w:val="4"/>
                <w:color w:val="auto"/>
              </w:rPr>
            </w:pPr>
          </w:p>
        </w:tc>
        <w:tc>
          <w:tcPr>
            <w:tcW w:w="2140" w:type="dxa"/>
            <w:vAlign w:val="bottom"/>
            <w:gridSpan w:val="4"/>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180" w:type="dxa"/>
            <w:vAlign w:val="bottom"/>
            <w:gridSpan w:val="2"/>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140" w:type="dxa"/>
            <w:vAlign w:val="bottom"/>
            <w:tcBorders>
              <w:bottom w:val="single" w:sz="8" w:color="0000EE"/>
            </w:tcBorders>
            <w:gridSpan w:val="8"/>
            <w:shd w:val="clear" w:color="auto" w:fill="CCEEFF"/>
          </w:tcPr>
          <w:p>
            <w:pPr>
              <w:spacing w:after="0"/>
              <w:rPr>
                <w:sz w:val="20"/>
                <w:szCs w:val="20"/>
                <w:color w:val="auto"/>
              </w:rPr>
            </w:pPr>
            <w:r>
              <w:rPr>
                <w:rFonts w:ascii="Arial" w:cs="Arial" w:eastAsia="Arial" w:hAnsi="Arial"/>
                <w:sz w:val="18"/>
                <w:szCs w:val="18"/>
                <w:color w:val="0000EE"/>
                <w:w w:val="98"/>
              </w:rPr>
              <w:t>REPORT OF THE AUDIT COMMITTEE</w:t>
            </w:r>
          </w:p>
        </w:tc>
        <w:tc>
          <w:tcPr>
            <w:tcW w:w="940" w:type="dxa"/>
            <w:vAlign w:val="bottom"/>
            <w:tcBorders>
              <w:bottom w:val="single" w:sz="8" w:color="CCEEFF"/>
            </w:tcBorders>
            <w:vMerge w:val="restart"/>
            <w:shd w:val="clear" w:color="auto" w:fill="CCEEFF"/>
          </w:tcPr>
          <w:p>
            <w:pPr>
              <w:spacing w:after="0"/>
              <w:rPr>
                <w:sz w:val="22"/>
                <w:szCs w:val="22"/>
                <w:color w:val="auto"/>
              </w:rPr>
            </w:pPr>
          </w:p>
        </w:tc>
        <w:tc>
          <w:tcPr>
            <w:tcW w:w="280" w:type="dxa"/>
            <w:vAlign w:val="bottom"/>
            <w:tcBorders>
              <w:bottom w:val="single" w:sz="8" w:color="CCEEFF"/>
            </w:tcBorders>
            <w:gridSpan w:val="2"/>
            <w:vMerge w:val="restart"/>
            <w:shd w:val="clear" w:color="auto" w:fill="CCEEFF"/>
          </w:tcPr>
          <w:p>
            <w:pPr>
              <w:spacing w:after="0"/>
              <w:rPr>
                <w:sz w:val="22"/>
                <w:szCs w:val="22"/>
                <w:color w:val="auto"/>
              </w:rPr>
            </w:pPr>
          </w:p>
        </w:tc>
        <w:tc>
          <w:tcPr>
            <w:tcW w:w="2720" w:type="dxa"/>
            <w:vAlign w:val="bottom"/>
            <w:tcBorders>
              <w:bottom w:val="single" w:sz="8" w:color="CCEEFF"/>
            </w:tcBorders>
            <w:gridSpan w:val="7"/>
            <w:vMerge w:val="restart"/>
            <w:shd w:val="clear" w:color="auto" w:fill="CCEEFF"/>
          </w:tcPr>
          <w:p>
            <w:pPr>
              <w:spacing w:after="0"/>
              <w:rPr>
                <w:sz w:val="22"/>
                <w:szCs w:val="22"/>
                <w:color w:val="auto"/>
              </w:rPr>
            </w:pPr>
          </w:p>
        </w:tc>
        <w:tc>
          <w:tcPr>
            <w:tcW w:w="320" w:type="dxa"/>
            <w:vAlign w:val="bottom"/>
            <w:tcBorders>
              <w:bottom w:val="single" w:sz="8" w:color="CCEEFF"/>
            </w:tcBorders>
            <w:gridSpan w:val="2"/>
            <w:vMerge w:val="restart"/>
            <w:shd w:val="clear" w:color="auto" w:fill="CCEEFF"/>
          </w:tcPr>
          <w:p>
            <w:pPr>
              <w:spacing w:after="0"/>
              <w:rPr>
                <w:sz w:val="22"/>
                <w:szCs w:val="22"/>
                <w:color w:val="auto"/>
              </w:rPr>
            </w:pPr>
          </w:p>
        </w:tc>
        <w:tc>
          <w:tcPr>
            <w:tcW w:w="300" w:type="dxa"/>
            <w:vAlign w:val="bottom"/>
            <w:tcBorders>
              <w:bottom w:val="single" w:sz="8" w:color="CCEEFF"/>
            </w:tcBorders>
            <w:vMerge w:val="restart"/>
            <w:shd w:val="clear" w:color="auto" w:fill="CCEEFF"/>
          </w:tcPr>
          <w:p>
            <w:pPr>
              <w:spacing w:after="0"/>
              <w:rPr>
                <w:sz w:val="22"/>
                <w:szCs w:val="22"/>
                <w:color w:val="auto"/>
              </w:rPr>
            </w:pPr>
          </w:p>
        </w:tc>
        <w:tc>
          <w:tcPr>
            <w:tcW w:w="320" w:type="dxa"/>
            <w:vAlign w:val="bottom"/>
            <w:tcBorders>
              <w:bottom w:val="single" w:sz="8" w:color="CCEEFF"/>
            </w:tcBorders>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79"/>
              </w:rPr>
              <w:t>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1600" w:type="dxa"/>
            <w:vAlign w:val="bottom"/>
            <w:tcBorders>
              <w:bottom w:val="single" w:sz="8" w:color="CCEEFF"/>
            </w:tcBorders>
            <w:gridSpan w:val="3"/>
            <w:shd w:val="clear" w:color="auto" w:fill="CCEEFF"/>
          </w:tcPr>
          <w:p>
            <w:pPr>
              <w:spacing w:after="0"/>
              <w:rPr>
                <w:sz w:val="4"/>
                <w:szCs w:val="4"/>
                <w:color w:val="auto"/>
              </w:rPr>
            </w:pPr>
          </w:p>
        </w:tc>
        <w:tc>
          <w:tcPr>
            <w:tcW w:w="260" w:type="dxa"/>
            <w:vAlign w:val="bottom"/>
            <w:tcBorders>
              <w:bottom w:val="single" w:sz="8" w:color="CCEEFF"/>
            </w:tcBorders>
            <w:shd w:val="clear" w:color="auto" w:fill="CCEEFF"/>
          </w:tcPr>
          <w:p>
            <w:pPr>
              <w:spacing w:after="0"/>
              <w:rPr>
                <w:sz w:val="4"/>
                <w:szCs w:val="4"/>
                <w:color w:val="auto"/>
              </w:rPr>
            </w:pPr>
          </w:p>
        </w:tc>
        <w:tc>
          <w:tcPr>
            <w:tcW w:w="460" w:type="dxa"/>
            <w:vAlign w:val="bottom"/>
            <w:tcBorders>
              <w:bottom w:val="single" w:sz="8" w:color="CCEEFF"/>
            </w:tcBorders>
            <w:gridSpan w:val="2"/>
            <w:shd w:val="clear" w:color="auto" w:fill="CCEEFF"/>
          </w:tcPr>
          <w:p>
            <w:pPr>
              <w:spacing w:after="0"/>
              <w:rPr>
                <w:sz w:val="4"/>
                <w:szCs w:val="4"/>
                <w:color w:val="auto"/>
              </w:rPr>
            </w:pPr>
          </w:p>
        </w:tc>
        <w:tc>
          <w:tcPr>
            <w:tcW w:w="820" w:type="dxa"/>
            <w:vAlign w:val="bottom"/>
            <w:tcBorders>
              <w:bottom w:val="single" w:sz="8" w:color="CCEEFF"/>
            </w:tcBorders>
            <w:gridSpan w:val="2"/>
            <w:shd w:val="clear" w:color="auto" w:fill="CCEEFF"/>
          </w:tcPr>
          <w:p>
            <w:pPr>
              <w:spacing w:after="0"/>
              <w:rPr>
                <w:sz w:val="4"/>
                <w:szCs w:val="4"/>
                <w:color w:val="auto"/>
              </w:rPr>
            </w:pPr>
          </w:p>
        </w:tc>
        <w:tc>
          <w:tcPr>
            <w:tcW w:w="940" w:type="dxa"/>
            <w:vAlign w:val="bottom"/>
            <w:tcBorders>
              <w:bottom w:val="single" w:sz="8" w:color="CCEEFF"/>
            </w:tcBorders>
            <w:vMerge w:val="continue"/>
            <w:shd w:val="clear" w:color="auto" w:fill="CCEEFF"/>
          </w:tcPr>
          <w:p>
            <w:pPr>
              <w:spacing w:after="0"/>
              <w:rPr>
                <w:sz w:val="4"/>
                <w:szCs w:val="4"/>
                <w:color w:val="auto"/>
              </w:rPr>
            </w:pPr>
          </w:p>
        </w:tc>
        <w:tc>
          <w:tcPr>
            <w:tcW w:w="280" w:type="dxa"/>
            <w:vAlign w:val="bottom"/>
            <w:tcBorders>
              <w:bottom w:val="single" w:sz="8" w:color="CCEEFF"/>
            </w:tcBorders>
            <w:gridSpan w:val="2"/>
            <w:vMerge w:val="continue"/>
            <w:shd w:val="clear" w:color="auto" w:fill="CCEEFF"/>
          </w:tcPr>
          <w:p>
            <w:pPr>
              <w:spacing w:after="0"/>
              <w:rPr>
                <w:sz w:val="4"/>
                <w:szCs w:val="4"/>
                <w:color w:val="auto"/>
              </w:rPr>
            </w:pPr>
          </w:p>
        </w:tc>
        <w:tc>
          <w:tcPr>
            <w:tcW w:w="2720" w:type="dxa"/>
            <w:vAlign w:val="bottom"/>
            <w:tcBorders>
              <w:bottom w:val="single" w:sz="8" w:color="CCEEFF"/>
            </w:tcBorders>
            <w:gridSpan w:val="7"/>
            <w:vMerge w:val="continue"/>
            <w:shd w:val="clear" w:color="auto" w:fill="CCEEFF"/>
          </w:tcPr>
          <w:p>
            <w:pPr>
              <w:spacing w:after="0"/>
              <w:rPr>
                <w:sz w:val="4"/>
                <w:szCs w:val="4"/>
                <w:color w:val="auto"/>
              </w:rPr>
            </w:pPr>
          </w:p>
        </w:tc>
        <w:tc>
          <w:tcPr>
            <w:tcW w:w="320" w:type="dxa"/>
            <w:vAlign w:val="bottom"/>
            <w:tcBorders>
              <w:bottom w:val="single" w:sz="8" w:color="CCEEFF"/>
            </w:tcBorders>
            <w:gridSpan w:val="2"/>
            <w:vMerge w:val="continue"/>
            <w:shd w:val="clear" w:color="auto" w:fill="CCEEFF"/>
          </w:tcPr>
          <w:p>
            <w:pPr>
              <w:spacing w:after="0"/>
              <w:rPr>
                <w:sz w:val="4"/>
                <w:szCs w:val="4"/>
                <w:color w:val="auto"/>
              </w:rPr>
            </w:pPr>
          </w:p>
        </w:tc>
        <w:tc>
          <w:tcPr>
            <w:tcW w:w="300" w:type="dxa"/>
            <w:vAlign w:val="bottom"/>
            <w:tcBorders>
              <w:bottom w:val="single" w:sz="8" w:color="CCEEFF"/>
            </w:tcBorders>
            <w:vMerge w:val="continue"/>
            <w:shd w:val="clear" w:color="auto" w:fill="CCEEFF"/>
          </w:tcPr>
          <w:p>
            <w:pPr>
              <w:spacing w:after="0"/>
              <w:rPr>
                <w:sz w:val="4"/>
                <w:szCs w:val="4"/>
                <w:color w:val="auto"/>
              </w:rPr>
            </w:pPr>
          </w:p>
        </w:tc>
        <w:tc>
          <w:tcPr>
            <w:tcW w:w="320" w:type="dxa"/>
            <w:vAlign w:val="bottom"/>
            <w:tcBorders>
              <w:bottom w:val="single" w:sz="8" w:color="CCEEFF"/>
            </w:tcBorders>
            <w:vMerge w:val="continue"/>
            <w:shd w:val="clear" w:color="auto" w:fill="CCEEFF"/>
          </w:tcPr>
          <w:p>
            <w:pPr>
              <w:spacing w:after="0"/>
              <w:rPr>
                <w:sz w:val="4"/>
                <w:szCs w:val="4"/>
                <w:color w:val="auto"/>
              </w:rPr>
            </w:pPr>
          </w:p>
        </w:tc>
        <w:tc>
          <w:tcPr>
            <w:tcW w:w="180" w:type="dxa"/>
            <w:vAlign w:val="bottom"/>
            <w:tcBorders>
              <w:bottom w:val="single" w:sz="8" w:color="CCEEFF"/>
            </w:tcBorders>
            <w:gridSpan w:val="2"/>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40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7"/>
              </w:rPr>
              <w:t>PRINCIPAL ACCOUNTANT FEES AND SERVICES</w:t>
            </w:r>
          </w:p>
        </w:tc>
        <w:tc>
          <w:tcPr>
            <w:tcW w:w="280" w:type="dxa"/>
            <w:vAlign w:val="bottom"/>
            <w:gridSpan w:val="2"/>
            <w:vMerge w:val="restart"/>
          </w:tcPr>
          <w:p>
            <w:pPr>
              <w:spacing w:after="0"/>
              <w:rPr>
                <w:sz w:val="20"/>
                <w:szCs w:val="20"/>
                <w:color w:val="auto"/>
              </w:rPr>
            </w:pPr>
          </w:p>
        </w:tc>
        <w:tc>
          <w:tcPr>
            <w:tcW w:w="2720" w:type="dxa"/>
            <w:vAlign w:val="bottom"/>
            <w:gridSpan w:val="7"/>
            <w:vMerge w:val="restart"/>
          </w:tcPr>
          <w:p>
            <w:pPr>
              <w:spacing w:after="0"/>
              <w:rPr>
                <w:sz w:val="20"/>
                <w:szCs w:val="20"/>
                <w:color w:val="auto"/>
              </w:rPr>
            </w:pPr>
          </w:p>
        </w:tc>
        <w:tc>
          <w:tcPr>
            <w:tcW w:w="320" w:type="dxa"/>
            <w:vAlign w:val="bottom"/>
            <w:gridSpan w:val="2"/>
            <w:vMerge w:val="restart"/>
          </w:tcPr>
          <w:p>
            <w:pPr>
              <w:spacing w:after="0"/>
              <w:rPr>
                <w:sz w:val="20"/>
                <w:szCs w:val="20"/>
                <w:color w:val="auto"/>
              </w:rPr>
            </w:pPr>
          </w:p>
        </w:tc>
        <w:tc>
          <w:tcPr>
            <w:tcW w:w="300" w:type="dxa"/>
            <w:vAlign w:val="bottom"/>
            <w:vMerge w:val="restart"/>
          </w:tcPr>
          <w:p>
            <w:pPr>
              <w:spacing w:after="0"/>
              <w:rPr>
                <w:sz w:val="20"/>
                <w:szCs w:val="20"/>
                <w:color w:val="auto"/>
              </w:rPr>
            </w:pPr>
          </w:p>
        </w:tc>
        <w:tc>
          <w:tcPr>
            <w:tcW w:w="3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70</w:t>
            </w: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600" w:type="dxa"/>
            <w:vAlign w:val="bottom"/>
            <w:gridSpan w:val="3"/>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1760" w:type="dxa"/>
            <w:vAlign w:val="bottom"/>
            <w:gridSpan w:val="3"/>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2720" w:type="dxa"/>
            <w:vAlign w:val="bottom"/>
            <w:gridSpan w:val="7"/>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180" w:type="dxa"/>
            <w:vAlign w:val="bottom"/>
            <w:gridSpan w:val="2"/>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7700" w:type="dxa"/>
            <w:vAlign w:val="bottom"/>
            <w:tcBorders>
              <w:bottom w:val="single" w:sz="8" w:color="0000EE"/>
            </w:tcBorders>
            <w:gridSpan w:val="21"/>
            <w:shd w:val="clear" w:color="auto" w:fill="CCEEFF"/>
          </w:tcPr>
          <w:p>
            <w:pPr>
              <w:spacing w:after="0"/>
              <w:rPr>
                <w:sz w:val="20"/>
                <w:szCs w:val="20"/>
                <w:color w:val="auto"/>
              </w:rPr>
            </w:pPr>
            <w:r>
              <w:rPr>
                <w:rFonts w:ascii="Arial" w:cs="Arial" w:eastAsia="Arial" w:hAnsi="Arial"/>
                <w:sz w:val="18"/>
                <w:szCs w:val="18"/>
                <w:color w:val="0000EE"/>
                <w:w w:val="98"/>
              </w:rPr>
              <w:t>PROPOSAL 2 – RATIFICATION OF APPOINTMENT OF INDEPENDENT REGISTERED PUBLIC</w:t>
            </w:r>
          </w:p>
        </w:tc>
        <w:tc>
          <w:tcPr>
            <w:tcW w:w="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0000EE"/>
            </w:tcBorders>
            <w:gridSpan w:val="3"/>
            <w:shd w:val="clear" w:color="auto" w:fill="CCEEFF"/>
          </w:tcPr>
          <w:p>
            <w:pPr>
              <w:spacing w:after="0" w:line="182" w:lineRule="exact"/>
              <w:rPr>
                <w:sz w:val="20"/>
                <w:szCs w:val="20"/>
                <w:color w:val="auto"/>
              </w:rPr>
            </w:pPr>
            <w:r>
              <w:rPr>
                <w:rFonts w:ascii="Arial" w:cs="Arial" w:eastAsia="Arial" w:hAnsi="Arial"/>
                <w:sz w:val="18"/>
                <w:szCs w:val="18"/>
                <w:color w:val="0000EE"/>
                <w:w w:val="97"/>
              </w:rPr>
              <w:t>ACCOUNTING FIRM</w:t>
            </w:r>
          </w:p>
        </w:tc>
        <w:tc>
          <w:tcPr>
            <w:tcW w:w="460" w:type="dxa"/>
            <w:vAlign w:val="bottom"/>
            <w:tcBorders>
              <w:bottom w:val="single" w:sz="8" w:color="CCEEFF"/>
            </w:tcBorders>
            <w:gridSpan w:val="2"/>
            <w:vMerge w:val="restart"/>
            <w:shd w:val="clear" w:color="auto" w:fill="CCEEFF"/>
          </w:tcPr>
          <w:p>
            <w:pPr>
              <w:spacing w:after="0"/>
              <w:rPr>
                <w:sz w:val="17"/>
                <w:szCs w:val="17"/>
                <w:color w:val="auto"/>
              </w:rPr>
            </w:pPr>
          </w:p>
        </w:tc>
        <w:tc>
          <w:tcPr>
            <w:tcW w:w="2040" w:type="dxa"/>
            <w:vAlign w:val="bottom"/>
            <w:tcBorders>
              <w:bottom w:val="single" w:sz="8" w:color="CCEEFF"/>
            </w:tcBorders>
            <w:gridSpan w:val="5"/>
            <w:vMerge w:val="restart"/>
            <w:shd w:val="clear" w:color="auto" w:fill="CCEEFF"/>
          </w:tcPr>
          <w:p>
            <w:pPr>
              <w:spacing w:after="0"/>
              <w:rPr>
                <w:sz w:val="17"/>
                <w:szCs w:val="17"/>
                <w:color w:val="auto"/>
              </w:rPr>
            </w:pPr>
          </w:p>
        </w:tc>
        <w:tc>
          <w:tcPr>
            <w:tcW w:w="2720" w:type="dxa"/>
            <w:vAlign w:val="bottom"/>
            <w:tcBorders>
              <w:bottom w:val="single" w:sz="8" w:color="CCEEFF"/>
            </w:tcBorders>
            <w:gridSpan w:val="7"/>
            <w:vMerge w:val="restart"/>
            <w:shd w:val="clear" w:color="auto" w:fill="CCEEFF"/>
          </w:tcPr>
          <w:p>
            <w:pPr>
              <w:spacing w:after="0"/>
              <w:rPr>
                <w:sz w:val="17"/>
                <w:szCs w:val="17"/>
                <w:color w:val="auto"/>
              </w:rPr>
            </w:pPr>
          </w:p>
        </w:tc>
        <w:tc>
          <w:tcPr>
            <w:tcW w:w="320" w:type="dxa"/>
            <w:vAlign w:val="bottom"/>
            <w:tcBorders>
              <w:bottom w:val="single" w:sz="8" w:color="CCEEFF"/>
            </w:tcBorders>
            <w:gridSpan w:val="2"/>
            <w:vMerge w:val="restart"/>
            <w:shd w:val="clear" w:color="auto" w:fill="CCEEFF"/>
          </w:tcPr>
          <w:p>
            <w:pPr>
              <w:spacing w:after="0"/>
              <w:rPr>
                <w:sz w:val="17"/>
                <w:szCs w:val="17"/>
                <w:color w:val="auto"/>
              </w:rPr>
            </w:pPr>
          </w:p>
        </w:tc>
        <w:tc>
          <w:tcPr>
            <w:tcW w:w="300" w:type="dxa"/>
            <w:vAlign w:val="bottom"/>
            <w:tcBorders>
              <w:bottom w:val="single" w:sz="8" w:color="CCEEFF"/>
            </w:tcBorders>
            <w:vMerge w:val="restart"/>
            <w:shd w:val="clear" w:color="auto" w:fill="CCEEFF"/>
          </w:tcPr>
          <w:p>
            <w:pPr>
              <w:spacing w:after="0"/>
              <w:rPr>
                <w:sz w:val="17"/>
                <w:szCs w:val="17"/>
                <w:color w:val="auto"/>
              </w:rPr>
            </w:pPr>
          </w:p>
        </w:tc>
        <w:tc>
          <w:tcPr>
            <w:tcW w:w="320" w:type="dxa"/>
            <w:vAlign w:val="bottom"/>
            <w:tcBorders>
              <w:bottom w:val="single" w:sz="8" w:color="CCEEFF"/>
            </w:tcBorders>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00EE"/>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0000EE"/>
                <w:w w:val="79"/>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180" w:type="dxa"/>
            <w:vAlign w:val="bottom"/>
            <w:shd w:val="clear" w:color="auto" w:fill="CCEEFF"/>
          </w:tcPr>
          <w:p>
            <w:pPr>
              <w:spacing w:after="0"/>
              <w:rPr>
                <w:sz w:val="5"/>
                <w:szCs w:val="5"/>
                <w:color w:val="auto"/>
              </w:rPr>
            </w:pPr>
          </w:p>
        </w:tc>
        <w:tc>
          <w:tcPr>
            <w:tcW w:w="1420" w:type="dxa"/>
            <w:vAlign w:val="bottom"/>
            <w:gridSpan w:val="2"/>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460" w:type="dxa"/>
            <w:vAlign w:val="bottom"/>
            <w:gridSpan w:val="2"/>
            <w:vMerge w:val="continue"/>
            <w:shd w:val="clear" w:color="auto" w:fill="CCEEFF"/>
          </w:tcPr>
          <w:p>
            <w:pPr>
              <w:spacing w:after="0"/>
              <w:rPr>
                <w:sz w:val="5"/>
                <w:szCs w:val="5"/>
                <w:color w:val="auto"/>
              </w:rPr>
            </w:pPr>
          </w:p>
        </w:tc>
        <w:tc>
          <w:tcPr>
            <w:tcW w:w="2040" w:type="dxa"/>
            <w:vAlign w:val="bottom"/>
            <w:gridSpan w:val="5"/>
            <w:vMerge w:val="continue"/>
            <w:shd w:val="clear" w:color="auto" w:fill="CCEEFF"/>
          </w:tcPr>
          <w:p>
            <w:pPr>
              <w:spacing w:after="0"/>
              <w:rPr>
                <w:sz w:val="5"/>
                <w:szCs w:val="5"/>
                <w:color w:val="auto"/>
              </w:rPr>
            </w:pPr>
          </w:p>
        </w:tc>
        <w:tc>
          <w:tcPr>
            <w:tcW w:w="2720" w:type="dxa"/>
            <w:vAlign w:val="bottom"/>
            <w:gridSpan w:val="7"/>
            <w:vMerge w:val="continue"/>
            <w:shd w:val="clear" w:color="auto" w:fill="CCEEFF"/>
          </w:tcPr>
          <w:p>
            <w:pPr>
              <w:spacing w:after="0"/>
              <w:rPr>
                <w:sz w:val="5"/>
                <w:szCs w:val="5"/>
                <w:color w:val="auto"/>
              </w:rPr>
            </w:pPr>
          </w:p>
        </w:tc>
        <w:tc>
          <w:tcPr>
            <w:tcW w:w="320" w:type="dxa"/>
            <w:vAlign w:val="bottom"/>
            <w:gridSpan w:val="2"/>
            <w:vMerge w:val="continue"/>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180" w:type="dxa"/>
            <w:vAlign w:val="bottom"/>
            <w:gridSpan w:val="2"/>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7700" w:type="dxa"/>
            <w:vAlign w:val="bottom"/>
            <w:gridSpan w:val="21"/>
          </w:tcPr>
          <w:p>
            <w:pPr>
              <w:spacing w:after="0"/>
              <w:rPr>
                <w:sz w:val="20"/>
                <w:szCs w:val="20"/>
                <w:color w:val="auto"/>
              </w:rPr>
            </w:pPr>
            <w:r>
              <w:rPr>
                <w:rFonts w:ascii="Arial" w:cs="Arial" w:eastAsia="Arial" w:hAnsi="Arial"/>
                <w:sz w:val="18"/>
                <w:szCs w:val="18"/>
                <w:color w:val="0000EE"/>
              </w:rPr>
              <w:t>PROPOSAL 3 – ADVISORY VOTE TO APPROVE OUR 2025 NAMED EXECUTIVE OFFICER</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42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5"/>
              </w:rPr>
              <w:t>COMPENSATION</w:t>
            </w:r>
          </w:p>
        </w:tc>
        <w:tc>
          <w:tcPr>
            <w:tcW w:w="720" w:type="dxa"/>
            <w:vAlign w:val="bottom"/>
            <w:tcBorders>
              <w:top w:val="single" w:sz="8" w:color="0000EE"/>
              <w:bottom w:val="single" w:sz="8" w:color="0000EE"/>
            </w:tcBorders>
            <w:gridSpan w:val="3"/>
            <w:vMerge w:val="restart"/>
          </w:tcPr>
          <w:p>
            <w:pPr>
              <w:spacing w:after="0"/>
              <w:rPr>
                <w:sz w:val="17"/>
                <w:szCs w:val="17"/>
                <w:color w:val="auto"/>
              </w:rPr>
            </w:pPr>
          </w:p>
        </w:tc>
        <w:tc>
          <w:tcPr>
            <w:tcW w:w="2040" w:type="dxa"/>
            <w:vAlign w:val="bottom"/>
            <w:tcBorders>
              <w:top w:val="single" w:sz="8" w:color="0000EE"/>
              <w:bottom w:val="single" w:sz="8" w:color="0000EE"/>
            </w:tcBorders>
            <w:gridSpan w:val="5"/>
            <w:vMerge w:val="restart"/>
          </w:tcPr>
          <w:p>
            <w:pPr>
              <w:spacing w:after="0"/>
              <w:rPr>
                <w:sz w:val="17"/>
                <w:szCs w:val="17"/>
                <w:color w:val="auto"/>
              </w:rPr>
            </w:pPr>
          </w:p>
        </w:tc>
        <w:tc>
          <w:tcPr>
            <w:tcW w:w="2720" w:type="dxa"/>
            <w:vAlign w:val="bottom"/>
            <w:tcBorders>
              <w:top w:val="single" w:sz="8" w:color="0000EE"/>
              <w:bottom w:val="single" w:sz="8" w:color="0000EE"/>
            </w:tcBorders>
            <w:gridSpan w:val="7"/>
            <w:vMerge w:val="restart"/>
          </w:tcPr>
          <w:p>
            <w:pPr>
              <w:spacing w:after="0"/>
              <w:rPr>
                <w:sz w:val="17"/>
                <w:szCs w:val="17"/>
                <w:color w:val="auto"/>
              </w:rPr>
            </w:pPr>
          </w:p>
        </w:tc>
        <w:tc>
          <w:tcPr>
            <w:tcW w:w="320" w:type="dxa"/>
            <w:vAlign w:val="bottom"/>
            <w:tcBorders>
              <w:top w:val="single" w:sz="8" w:color="0000EE"/>
              <w:bottom w:val="single" w:sz="8" w:color="0000EE"/>
            </w:tcBorders>
            <w:gridSpan w:val="2"/>
            <w:vMerge w:val="restart"/>
          </w:tcPr>
          <w:p>
            <w:pPr>
              <w:spacing w:after="0"/>
              <w:rPr>
                <w:sz w:val="17"/>
                <w:szCs w:val="17"/>
                <w:color w:val="auto"/>
              </w:rPr>
            </w:pPr>
          </w:p>
        </w:tc>
        <w:tc>
          <w:tcPr>
            <w:tcW w:w="300" w:type="dxa"/>
            <w:vAlign w:val="bottom"/>
            <w:vMerge w:val="restart"/>
          </w:tcPr>
          <w:p>
            <w:pPr>
              <w:spacing w:after="0"/>
              <w:rPr>
                <w:sz w:val="17"/>
                <w:szCs w:val="17"/>
                <w:color w:val="auto"/>
              </w:rPr>
            </w:pPr>
          </w:p>
        </w:tc>
        <w:tc>
          <w:tcPr>
            <w:tcW w:w="3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00EE"/>
            </w:tcBorders>
            <w:gridSpan w:val="2"/>
          </w:tcPr>
          <w:p>
            <w:pPr>
              <w:jc w:val="right"/>
              <w:spacing w:after="0" w:line="182" w:lineRule="exact"/>
              <w:rPr>
                <w:sz w:val="20"/>
                <w:szCs w:val="20"/>
                <w:color w:val="auto"/>
              </w:rPr>
            </w:pPr>
            <w:r>
              <w:rPr>
                <w:rFonts w:ascii="Arial" w:cs="Arial" w:eastAsia="Arial" w:hAnsi="Arial"/>
                <w:sz w:val="18"/>
                <w:szCs w:val="18"/>
                <w:color w:val="0000EE"/>
                <w:w w:val="79"/>
              </w:rPr>
              <w:t>72</w:t>
            </w: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180" w:type="dxa"/>
            <w:vAlign w:val="bottom"/>
          </w:tcPr>
          <w:p>
            <w:pPr>
              <w:spacing w:after="0"/>
              <w:rPr>
                <w:sz w:val="5"/>
                <w:szCs w:val="5"/>
                <w:color w:val="auto"/>
              </w:rPr>
            </w:pPr>
          </w:p>
        </w:tc>
        <w:tc>
          <w:tcPr>
            <w:tcW w:w="1420" w:type="dxa"/>
            <w:vAlign w:val="bottom"/>
            <w:gridSpan w:val="2"/>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2040" w:type="dxa"/>
            <w:vAlign w:val="bottom"/>
            <w:gridSpan w:val="5"/>
            <w:vMerge w:val="continue"/>
          </w:tcPr>
          <w:p>
            <w:pPr>
              <w:spacing w:after="0"/>
              <w:rPr>
                <w:sz w:val="5"/>
                <w:szCs w:val="5"/>
                <w:color w:val="auto"/>
              </w:rPr>
            </w:pPr>
          </w:p>
        </w:tc>
        <w:tc>
          <w:tcPr>
            <w:tcW w:w="2720" w:type="dxa"/>
            <w:vAlign w:val="bottom"/>
            <w:gridSpan w:val="7"/>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180" w:type="dxa"/>
            <w:vAlign w:val="bottom"/>
            <w:gridSpan w:val="2"/>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0000EE"/>
            </w:tcBorders>
            <w:gridSpan w:val="11"/>
            <w:shd w:val="clear" w:color="auto" w:fill="CCEEFF"/>
          </w:tcPr>
          <w:p>
            <w:pPr>
              <w:spacing w:after="0"/>
              <w:rPr>
                <w:sz w:val="20"/>
                <w:szCs w:val="20"/>
                <w:color w:val="auto"/>
              </w:rPr>
            </w:pPr>
            <w:r>
              <w:rPr>
                <w:rFonts w:ascii="Arial" w:cs="Arial" w:eastAsia="Arial" w:hAnsi="Arial"/>
                <w:sz w:val="18"/>
                <w:szCs w:val="18"/>
                <w:color w:val="0000EE"/>
                <w:w w:val="97"/>
              </w:rPr>
              <w:t>OTHER MATTERS FOR THE PAA ANNUAL MEETING</w:t>
            </w:r>
          </w:p>
        </w:tc>
        <w:tc>
          <w:tcPr>
            <w:tcW w:w="2720" w:type="dxa"/>
            <w:vAlign w:val="bottom"/>
            <w:tcBorders>
              <w:bottom w:val="single" w:sz="8" w:color="CCEEFF"/>
            </w:tcBorders>
            <w:gridSpan w:val="7"/>
            <w:vMerge w:val="restart"/>
            <w:shd w:val="clear" w:color="auto" w:fill="CCEEFF"/>
          </w:tcPr>
          <w:p>
            <w:pPr>
              <w:spacing w:after="0"/>
              <w:rPr>
                <w:sz w:val="22"/>
                <w:szCs w:val="22"/>
                <w:color w:val="auto"/>
              </w:rPr>
            </w:pPr>
          </w:p>
        </w:tc>
        <w:tc>
          <w:tcPr>
            <w:tcW w:w="620" w:type="dxa"/>
            <w:vAlign w:val="bottom"/>
            <w:tcBorders>
              <w:bottom w:val="single" w:sz="8" w:color="CCEEFF"/>
            </w:tcBorders>
            <w:gridSpan w:val="3"/>
            <w:vMerge w:val="restart"/>
            <w:shd w:val="clear" w:color="auto" w:fill="CCEEFF"/>
          </w:tcPr>
          <w:p>
            <w:pPr>
              <w:spacing w:after="0"/>
              <w:rPr>
                <w:sz w:val="22"/>
                <w:szCs w:val="22"/>
                <w:color w:val="auto"/>
              </w:rPr>
            </w:pPr>
          </w:p>
        </w:tc>
        <w:tc>
          <w:tcPr>
            <w:tcW w:w="320" w:type="dxa"/>
            <w:vAlign w:val="bottom"/>
            <w:tcBorders>
              <w:bottom w:val="single" w:sz="8" w:color="CCEEFF"/>
            </w:tcBorders>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79"/>
              </w:rPr>
              <w:t>73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2320" w:type="dxa"/>
            <w:vAlign w:val="bottom"/>
            <w:tcBorders>
              <w:bottom w:val="single" w:sz="8" w:color="CCEEFF"/>
            </w:tcBorders>
            <w:gridSpan w:val="6"/>
            <w:shd w:val="clear" w:color="auto" w:fill="CCEEFF"/>
          </w:tcPr>
          <w:p>
            <w:pPr>
              <w:spacing w:after="0"/>
              <w:rPr>
                <w:sz w:val="4"/>
                <w:szCs w:val="4"/>
                <w:color w:val="auto"/>
              </w:rPr>
            </w:pPr>
          </w:p>
        </w:tc>
        <w:tc>
          <w:tcPr>
            <w:tcW w:w="2040" w:type="dxa"/>
            <w:vAlign w:val="bottom"/>
            <w:tcBorders>
              <w:bottom w:val="single" w:sz="8" w:color="CCEEFF"/>
            </w:tcBorders>
            <w:gridSpan w:val="5"/>
            <w:shd w:val="clear" w:color="auto" w:fill="CCEEFF"/>
          </w:tcPr>
          <w:p>
            <w:pPr>
              <w:spacing w:after="0"/>
              <w:rPr>
                <w:sz w:val="4"/>
                <w:szCs w:val="4"/>
                <w:color w:val="auto"/>
              </w:rPr>
            </w:pPr>
          </w:p>
        </w:tc>
        <w:tc>
          <w:tcPr>
            <w:tcW w:w="2720" w:type="dxa"/>
            <w:vAlign w:val="bottom"/>
            <w:tcBorders>
              <w:bottom w:val="single" w:sz="8" w:color="CCEEFF"/>
            </w:tcBorders>
            <w:gridSpan w:val="7"/>
            <w:vMerge w:val="continue"/>
            <w:shd w:val="clear" w:color="auto" w:fill="CCEEFF"/>
          </w:tcPr>
          <w:p>
            <w:pPr>
              <w:spacing w:after="0"/>
              <w:rPr>
                <w:sz w:val="4"/>
                <w:szCs w:val="4"/>
                <w:color w:val="auto"/>
              </w:rPr>
            </w:pPr>
          </w:p>
        </w:tc>
        <w:tc>
          <w:tcPr>
            <w:tcW w:w="620" w:type="dxa"/>
            <w:vAlign w:val="bottom"/>
            <w:tcBorders>
              <w:bottom w:val="single" w:sz="8" w:color="CCEEFF"/>
            </w:tcBorders>
            <w:gridSpan w:val="3"/>
            <w:vMerge w:val="continue"/>
            <w:shd w:val="clear" w:color="auto" w:fill="CCEEFF"/>
          </w:tcPr>
          <w:p>
            <w:pPr>
              <w:spacing w:after="0"/>
              <w:rPr>
                <w:sz w:val="4"/>
                <w:szCs w:val="4"/>
                <w:color w:val="auto"/>
              </w:rPr>
            </w:pPr>
          </w:p>
        </w:tc>
        <w:tc>
          <w:tcPr>
            <w:tcW w:w="320" w:type="dxa"/>
            <w:vAlign w:val="bottom"/>
            <w:tcBorders>
              <w:bottom w:val="single" w:sz="8" w:color="CCEEFF"/>
            </w:tcBorders>
            <w:vMerge w:val="continue"/>
            <w:shd w:val="clear" w:color="auto" w:fill="CCEEFF"/>
          </w:tcPr>
          <w:p>
            <w:pPr>
              <w:spacing w:after="0"/>
              <w:rPr>
                <w:sz w:val="4"/>
                <w:szCs w:val="4"/>
                <w:color w:val="auto"/>
              </w:rPr>
            </w:pPr>
          </w:p>
        </w:tc>
        <w:tc>
          <w:tcPr>
            <w:tcW w:w="180" w:type="dxa"/>
            <w:vAlign w:val="bottom"/>
            <w:tcBorders>
              <w:bottom w:val="single" w:sz="8" w:color="CCEEFF"/>
            </w:tcBorders>
            <w:gridSpan w:val="2"/>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708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8"/>
              </w:rPr>
              <w:t>DIRECTOR NOMINATIONS AND UNITHOLDER PROPOSALS FOR THE 2027 ANNUAL</w:t>
            </w:r>
          </w:p>
        </w:tc>
        <w:tc>
          <w:tcPr>
            <w:tcW w:w="620" w:type="dxa"/>
            <w:vAlign w:val="bottom"/>
            <w:gridSpan w:val="3"/>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20" w:type="dxa"/>
            <w:vAlign w:val="bottom"/>
            <w:tcBorders>
              <w:bottom w:val="single" w:sz="8" w:color="0000EE"/>
            </w:tcBorders>
          </w:tcPr>
          <w:p>
            <w:pPr>
              <w:spacing w:after="0" w:line="182" w:lineRule="exact"/>
              <w:rPr>
                <w:sz w:val="20"/>
                <w:szCs w:val="20"/>
                <w:color w:val="auto"/>
              </w:rPr>
            </w:pPr>
            <w:r>
              <w:rPr>
                <w:rFonts w:ascii="Arial" w:cs="Arial" w:eastAsia="Arial" w:hAnsi="Arial"/>
                <w:sz w:val="18"/>
                <w:szCs w:val="18"/>
                <w:color w:val="0000EE"/>
                <w:w w:val="97"/>
              </w:rPr>
              <w:t>MEETING</w:t>
            </w:r>
          </w:p>
        </w:tc>
        <w:tc>
          <w:tcPr>
            <w:tcW w:w="1320" w:type="dxa"/>
            <w:vAlign w:val="bottom"/>
            <w:gridSpan w:val="4"/>
            <w:vMerge w:val="restart"/>
          </w:tcPr>
          <w:p>
            <w:pPr>
              <w:spacing w:after="0"/>
              <w:rPr>
                <w:sz w:val="17"/>
                <w:szCs w:val="17"/>
                <w:color w:val="auto"/>
              </w:rPr>
            </w:pPr>
          </w:p>
        </w:tc>
        <w:tc>
          <w:tcPr>
            <w:tcW w:w="5380" w:type="dxa"/>
            <w:vAlign w:val="bottom"/>
            <w:gridSpan w:val="15"/>
            <w:vMerge w:val="restart"/>
          </w:tcPr>
          <w:p>
            <w:pPr>
              <w:spacing w:after="0"/>
              <w:rPr>
                <w:sz w:val="17"/>
                <w:szCs w:val="17"/>
                <w:color w:val="auto"/>
              </w:rPr>
            </w:pPr>
          </w:p>
        </w:tc>
        <w:tc>
          <w:tcPr>
            <w:tcW w:w="3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00EE"/>
            </w:tcBorders>
            <w:gridSpan w:val="2"/>
          </w:tcPr>
          <w:p>
            <w:pPr>
              <w:jc w:val="right"/>
              <w:spacing w:after="0" w:line="182" w:lineRule="exact"/>
              <w:rPr>
                <w:sz w:val="20"/>
                <w:szCs w:val="20"/>
                <w:color w:val="auto"/>
              </w:rPr>
            </w:pPr>
            <w:r>
              <w:rPr>
                <w:rFonts w:ascii="Arial" w:cs="Arial" w:eastAsia="Arial" w:hAnsi="Arial"/>
                <w:sz w:val="18"/>
                <w:szCs w:val="18"/>
                <w:color w:val="0000EE"/>
                <w:w w:val="79"/>
              </w:rPr>
              <w:t>73</w:t>
            </w: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20" w:type="dxa"/>
            <w:vAlign w:val="bottom"/>
            <w:gridSpan w:val="4"/>
            <w:vMerge w:val="continue"/>
          </w:tcPr>
          <w:p>
            <w:pPr>
              <w:spacing w:after="0"/>
              <w:rPr>
                <w:sz w:val="5"/>
                <w:szCs w:val="5"/>
                <w:color w:val="auto"/>
              </w:rPr>
            </w:pPr>
          </w:p>
        </w:tc>
        <w:tc>
          <w:tcPr>
            <w:tcW w:w="5380" w:type="dxa"/>
            <w:vAlign w:val="bottom"/>
            <w:gridSpan w:val="15"/>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180" w:type="dxa"/>
            <w:vAlign w:val="bottom"/>
            <w:gridSpan w:val="2"/>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320" w:type="dxa"/>
            <w:vAlign w:val="bottom"/>
            <w:tcBorders>
              <w:bottom w:val="single" w:sz="8" w:color="0000EE"/>
            </w:tcBorders>
            <w:gridSpan w:val="6"/>
            <w:shd w:val="clear" w:color="auto" w:fill="CCEEFF"/>
          </w:tcPr>
          <w:p>
            <w:pPr>
              <w:spacing w:after="0"/>
              <w:rPr>
                <w:sz w:val="20"/>
                <w:szCs w:val="20"/>
                <w:color w:val="auto"/>
              </w:rPr>
            </w:pPr>
            <w:r>
              <w:rPr>
                <w:rFonts w:ascii="Arial" w:cs="Arial" w:eastAsia="Arial" w:hAnsi="Arial"/>
                <w:sz w:val="18"/>
                <w:szCs w:val="18"/>
                <w:color w:val="0000EE"/>
                <w:w w:val="97"/>
              </w:rPr>
              <w:t>HOUSEHOLDING MATTERS</w:t>
            </w:r>
          </w:p>
        </w:tc>
        <w:tc>
          <w:tcPr>
            <w:tcW w:w="5380" w:type="dxa"/>
            <w:vAlign w:val="bottom"/>
            <w:tcBorders>
              <w:bottom w:val="single" w:sz="8" w:color="CCEEFF"/>
            </w:tcBorders>
            <w:gridSpan w:val="15"/>
            <w:vMerge w:val="restart"/>
            <w:shd w:val="clear" w:color="auto" w:fill="CCEEFF"/>
          </w:tcPr>
          <w:p>
            <w:pPr>
              <w:spacing w:after="0"/>
              <w:rPr>
                <w:sz w:val="22"/>
                <w:szCs w:val="22"/>
                <w:color w:val="auto"/>
              </w:rPr>
            </w:pPr>
          </w:p>
        </w:tc>
        <w:tc>
          <w:tcPr>
            <w:tcW w:w="320" w:type="dxa"/>
            <w:vAlign w:val="bottom"/>
            <w:tcBorders>
              <w:bottom w:val="single" w:sz="8" w:color="CCEEFF"/>
            </w:tcBorders>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79"/>
              </w:rPr>
              <w:t>74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320" w:type="dxa"/>
            <w:vAlign w:val="bottom"/>
            <w:gridSpan w:val="6"/>
            <w:shd w:val="clear" w:color="auto" w:fill="CCEEFF"/>
          </w:tcPr>
          <w:p>
            <w:pPr>
              <w:spacing w:after="0"/>
              <w:rPr>
                <w:sz w:val="2"/>
                <w:szCs w:val="2"/>
                <w:color w:val="auto"/>
              </w:rPr>
            </w:pPr>
          </w:p>
        </w:tc>
        <w:tc>
          <w:tcPr>
            <w:tcW w:w="5380" w:type="dxa"/>
            <w:vAlign w:val="bottom"/>
            <w:gridSpan w:val="15"/>
            <w:vMerge w:val="continue"/>
            <w:shd w:val="clear" w:color="auto" w:fill="CCEEFF"/>
          </w:tcPr>
          <w:p>
            <w:pPr>
              <w:spacing w:after="0"/>
              <w:rPr>
                <w:sz w:val="2"/>
                <w:szCs w:val="2"/>
                <w:color w:val="auto"/>
              </w:rPr>
            </w:pPr>
          </w:p>
        </w:tc>
        <w:tc>
          <w:tcPr>
            <w:tcW w:w="320" w:type="dxa"/>
            <w:vAlign w:val="bottom"/>
            <w:vMerge w:val="continue"/>
            <w:shd w:val="clear" w:color="auto" w:fill="CCEEFF"/>
          </w:tcPr>
          <w:p>
            <w:pPr>
              <w:spacing w:after="0"/>
              <w:rPr>
                <w:sz w:val="2"/>
                <w:szCs w:val="2"/>
                <w:color w:val="auto"/>
              </w:rPr>
            </w:pPr>
          </w:p>
        </w:tc>
        <w:tc>
          <w:tcPr>
            <w:tcW w:w="180" w:type="dxa"/>
            <w:vAlign w:val="bottom"/>
            <w:gridSpan w:val="2"/>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840"/>
        <w:spacing w:after="0"/>
        <w:rPr>
          <w:sz w:val="20"/>
          <w:szCs w:val="20"/>
          <w:color w:val="auto"/>
        </w:rPr>
      </w:pPr>
      <w:r>
        <w:rPr>
          <w:rFonts w:ascii="Arial" w:cs="Arial" w:eastAsia="Arial" w:hAnsi="Arial"/>
          <w:sz w:val="22"/>
          <w:szCs w:val="22"/>
          <w:b w:val="1"/>
          <w:bCs w:val="1"/>
          <w:color w:val="auto"/>
        </w:rPr>
        <w:t>PLAINS ALL AMERICAN PIPELINE, L.P.</w:t>
      </w:r>
    </w:p>
    <w:p>
      <w:pPr>
        <w:spacing w:after="0" w:line="229"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PROXY STATEMENT</w:t>
      </w:r>
    </w:p>
    <w:p>
      <w:pPr>
        <w:spacing w:after="0" w:line="14"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2026 Annual Meeting of Unitholders To Be Held On May 20, 2026</w:t>
      </w:r>
    </w:p>
    <w:p>
      <w:pPr>
        <w:spacing w:after="0" w:line="194"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GENERAL INFORMATION ABOUT THE PLAINS ALL AMERICAN PIPELINE, L.P.</w:t>
      </w:r>
    </w:p>
    <w:p>
      <w:pPr>
        <w:spacing w:after="0" w:line="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ANNUAL MEETING</w:t>
      </w:r>
    </w:p>
    <w:p>
      <w:pPr>
        <w:spacing w:after="0" w:line="126" w:lineRule="exact"/>
        <w:rPr>
          <w:sz w:val="20"/>
          <w:szCs w:val="20"/>
          <w:color w:val="auto"/>
        </w:rPr>
      </w:pPr>
    </w:p>
    <w:p>
      <w:pPr>
        <w:ind w:left="1260" w:right="459" w:firstLine="360"/>
        <w:spacing w:after="0" w:line="235" w:lineRule="auto"/>
        <w:rPr>
          <w:sz w:val="20"/>
          <w:szCs w:val="20"/>
          <w:color w:val="auto"/>
        </w:rPr>
      </w:pPr>
      <w:r>
        <w:rPr>
          <w:rFonts w:ascii="Arial" w:cs="Arial" w:eastAsia="Arial" w:hAnsi="Arial"/>
          <w:sz w:val="18"/>
          <w:szCs w:val="18"/>
          <w:color w:val="auto"/>
        </w:rPr>
        <w:t>The board of directors (the “Board”) of PAA GP Holdings LLC (“PAGP GP” or our “general partner”), the general partner of Plains GP Holdings, L.P. (“PAGP”), the sole member of Plains All American GP LLC (“GP LLC”), the general partner of Plains AAP, L.P. (“Plains AAP”), the sole member of PAA GP LLC, the general partner of Plains All American Pipeline, L.P. (“PAA”), is soliciting proxies to be voted on behalf of holders of our common units and holders of our Series A Convertible Preferred Units (“Series A preferred units”) (holders of our common units and our Series A preferred units are collectively referred to as our “Unitholders”) at the 2026 annual meeting of Unitholders (the “PAA Annual Meeting”). This proxy statement is being furnished to you in connection with the solicitation of proxies by and on behalf of the Board for use at the PAA Annual Meeting and includes information about the matters to be voted upon at the PAA Annual Meeting. The PAA Annual Meeting will be held on May 20, 2026, at 10:00 a.m. Central Time, in the Texas Room located on the 19</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of Three Allen Center, 333 Clay Street, Houston, Texas 77002. References to “PAA,” “we,” “us,” “our,” “ours” and similar terms refer to Plains All American Pipeline, L.P.</w:t>
      </w:r>
    </w:p>
    <w:p>
      <w:pPr>
        <w:spacing w:after="0" w:line="124" w:lineRule="exact"/>
        <w:rPr>
          <w:sz w:val="20"/>
          <w:szCs w:val="20"/>
          <w:color w:val="auto"/>
        </w:rPr>
      </w:pPr>
    </w:p>
    <w:p>
      <w:pPr>
        <w:ind w:left="1260" w:right="559" w:firstLine="360"/>
        <w:spacing w:after="0" w:line="244" w:lineRule="auto"/>
        <w:rPr>
          <w:sz w:val="20"/>
          <w:szCs w:val="20"/>
          <w:color w:val="auto"/>
        </w:rPr>
      </w:pPr>
      <w:r>
        <w:rPr>
          <w:rFonts w:ascii="Arial" w:cs="Arial" w:eastAsia="Arial" w:hAnsi="Arial"/>
          <w:sz w:val="18"/>
          <w:szCs w:val="18"/>
          <w:color w:val="auto"/>
        </w:rPr>
        <w:t>As permitted under the rules of the Securities and Exchange Commission (the “SEC”), we are making this proxy statement and our Annual Report on Form 10-K for the year ended December 31, 2025 (our “2025 Annual Report”, and collectively with our proxy statement, the “proxy materials”) available to Unitholders electronically via the Internet. Commencing on or about April 10, 2026, we sent the proxy materials or a Notice of Internet Availability of Proxy Materials (the “Notice”) to Unitholders of record as of the close of business on March 23, 2026 (the “Record Date”). The Notice includes, among other things, instructions on how to access the Company’s proxy materials electronically and how to request a printed copy of the proxy materials.</w:t>
      </w:r>
    </w:p>
    <w:p>
      <w:pPr>
        <w:spacing w:after="0" w:line="112" w:lineRule="exact"/>
        <w:rPr>
          <w:sz w:val="20"/>
          <w:szCs w:val="20"/>
          <w:color w:val="auto"/>
        </w:rPr>
      </w:pPr>
    </w:p>
    <w:p>
      <w:pPr>
        <w:ind w:left="1260" w:right="439" w:firstLine="360"/>
        <w:spacing w:after="0" w:line="250" w:lineRule="auto"/>
        <w:rPr>
          <w:sz w:val="20"/>
          <w:szCs w:val="20"/>
          <w:color w:val="auto"/>
        </w:rPr>
      </w:pPr>
      <w:r>
        <w:rPr>
          <w:rFonts w:ascii="Arial" w:cs="Arial" w:eastAsia="Arial" w:hAnsi="Arial"/>
          <w:sz w:val="18"/>
          <w:szCs w:val="18"/>
          <w:b w:val="1"/>
          <w:bCs w:val="1"/>
          <w:color w:val="auto"/>
        </w:rPr>
        <w:t>We will furnish additional copies of our 2025 Annual Report without charge upon the written request of any record or beneficial owner of our common units or Series A preferred units whose proxy we are soliciting in connection with the PAA Annual Meeting. Please address requests for additional copies of the 2025 Annual Report to the Investor Relations Department, Plains All American, 333 Clay Street, Suite 1600, Houston, Texas 77002, or email your request to plainsIR@plains.com.</w:t>
      </w:r>
    </w:p>
    <w:p>
      <w:pPr>
        <w:spacing w:after="0" w:line="16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INFORMATION ABOUT THE PAGP AND PAA ANNUAL MEETINGS</w:t>
      </w:r>
    </w:p>
    <w:p>
      <w:pPr>
        <w:spacing w:after="0" w:line="158" w:lineRule="exact"/>
        <w:rPr>
          <w:sz w:val="20"/>
          <w:szCs w:val="20"/>
          <w:color w:val="auto"/>
        </w:rPr>
      </w:pPr>
    </w:p>
    <w:p>
      <w:pPr>
        <w:ind w:left="1260" w:right="439" w:firstLine="360"/>
        <w:spacing w:after="0" w:line="245" w:lineRule="auto"/>
        <w:rPr>
          <w:sz w:val="20"/>
          <w:szCs w:val="20"/>
          <w:color w:val="auto"/>
        </w:rPr>
      </w:pPr>
      <w:r>
        <w:rPr>
          <w:rFonts w:ascii="Arial" w:cs="Arial" w:eastAsia="Arial" w:hAnsi="Arial"/>
          <w:sz w:val="18"/>
          <w:szCs w:val="18"/>
          <w:color w:val="auto"/>
        </w:rPr>
        <w:t>PAGP will hold an annual meeting of its Class A, Class B and Class C shareholders (the “PAGP Annual Meeting”) immediately following the PAA Annual Meeting. At the PAGP Annual Meeting, PAGP shareholders will be asked to consider and vote upon proposals 1, 2 and 3 described below. Each PAGP shareholder will be entitled to one vote for each Class A, Class B and Class C share owned for proposals 1, 2 and 3. On March 23, 2026, 197,904,124 Class A shares, 35,096,306 Class B shares and 530,943,161 Class C shares were issued and outstanding. PAA owns all of the issued and outstanding Class C shares, which serve as a pass-through voting mechanism allowing eligible PAA Unitholders to vote indirectly at the PAGP Annual Meeting by instructing PAA how to vote the Class C shares on their behalf.</w:t>
      </w:r>
    </w:p>
    <w:p>
      <w:pPr>
        <w:spacing w:after="0" w:line="110" w:lineRule="exact"/>
        <w:rPr>
          <w:sz w:val="20"/>
          <w:szCs w:val="20"/>
          <w:color w:val="auto"/>
        </w:rPr>
      </w:pPr>
    </w:p>
    <w:p>
      <w:pPr>
        <w:ind w:left="1260" w:right="459" w:firstLine="360"/>
        <w:spacing w:after="0" w:line="247" w:lineRule="auto"/>
        <w:rPr>
          <w:sz w:val="20"/>
          <w:szCs w:val="20"/>
          <w:color w:val="auto"/>
        </w:rPr>
      </w:pPr>
      <w:r>
        <w:rPr>
          <w:rFonts w:ascii="Arial" w:cs="Arial" w:eastAsia="Arial" w:hAnsi="Arial"/>
          <w:sz w:val="18"/>
          <w:szCs w:val="18"/>
          <w:color w:val="auto"/>
        </w:rPr>
        <w:t>At the PAA Annual Meeting, PAA Unitholders (other than Plains AAP) will vote on a pass-through basis on proposals 1, 2 and 3 described below by instructing PAA how to vote the PAGP Class C shares that it owns on such proposals at the PAGP Annual Meeting. PAA will vote (or refrain from voting) the Class C shares at the PAGP Annual Meeting on behalf of and according to the direction of PAA’s Unitholders (excluding Plains AAP) with respect to proposals 1, 2 and 3.</w:t>
      </w:r>
    </w:p>
    <w:p>
      <w:pPr>
        <w:spacing w:after="0" w:line="10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xml:space="preserve">See pages </w:t>
      </w:r>
      <w:r>
        <w:rPr>
          <w:rFonts w:ascii="Arial" w:cs="Arial" w:eastAsia="Arial" w:hAnsi="Arial"/>
          <w:sz w:val="18"/>
          <w:szCs w:val="18"/>
          <w:u w:val="single" w:color="auto"/>
          <w:color w:val="0000EE"/>
        </w:rPr>
        <w:t>9</w:t>
      </w:r>
      <w:r>
        <w:rPr>
          <w:rFonts w:ascii="Arial" w:cs="Arial" w:eastAsia="Arial" w:hAnsi="Arial"/>
          <w:sz w:val="18"/>
          <w:szCs w:val="18"/>
          <w:color w:val="auto"/>
        </w:rPr>
        <w:t>-</w:t>
      </w:r>
      <w:r>
        <w:rPr>
          <w:rFonts w:ascii="Arial" w:cs="Arial" w:eastAsia="Arial" w:hAnsi="Arial"/>
          <w:sz w:val="18"/>
          <w:szCs w:val="18"/>
          <w:u w:val="single" w:color="auto"/>
          <w:color w:val="0000EE"/>
        </w:rPr>
        <w:t>11</w:t>
      </w:r>
      <w:r>
        <w:rPr>
          <w:rFonts w:ascii="Arial" w:cs="Arial" w:eastAsia="Arial" w:hAnsi="Arial"/>
          <w:sz w:val="18"/>
          <w:szCs w:val="18"/>
          <w:color w:val="auto"/>
        </w:rPr>
        <w:t xml:space="preserve"> for additional information with respect to our ownership and voting structure.</w:t>
      </w:r>
    </w:p>
    <w:p>
      <w:pPr>
        <w:spacing w:after="0" w:line="200" w:lineRule="exact"/>
        <w:rPr>
          <w:sz w:val="20"/>
          <w:szCs w:val="20"/>
          <w:color w:val="auto"/>
        </w:rPr>
      </w:pPr>
    </w:p>
    <w:p>
      <w:pPr>
        <w:spacing w:after="0" w:line="20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QUESTIONS AND ANSWERS ABOUT THE PAA ANNUAL MEETING</w:t>
      </w:r>
    </w:p>
    <w:p>
      <w:pPr>
        <w:spacing w:after="0" w:line="158" w:lineRule="exact"/>
        <w:rPr>
          <w:sz w:val="20"/>
          <w:szCs w:val="20"/>
          <w:color w:val="auto"/>
        </w:rPr>
      </w:pPr>
    </w:p>
    <w:p>
      <w:pPr>
        <w:ind w:left="1260" w:right="879" w:firstLine="360"/>
        <w:spacing w:after="0" w:line="282" w:lineRule="auto"/>
        <w:rPr>
          <w:sz w:val="20"/>
          <w:szCs w:val="20"/>
          <w:color w:val="auto"/>
        </w:rPr>
      </w:pPr>
      <w:r>
        <w:rPr>
          <w:rFonts w:ascii="Arial" w:cs="Arial" w:eastAsia="Arial" w:hAnsi="Arial"/>
          <w:sz w:val="17"/>
          <w:szCs w:val="17"/>
          <w:color w:val="auto"/>
        </w:rPr>
        <w:t>The following questions and answers are intended to briefly address some commonly asked questions regarding the PAA Annual Meeting. These questions and answers may not address all questions that may be important to you as a Unitholder. Please refer to the additional information contained elsewhere in this proxy statement and the documents referred to in this proxy statement.</w:t>
      </w:r>
    </w:p>
    <w:p>
      <w:pPr>
        <w:spacing w:after="0" w:line="9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is the purpose of these proxy materials?</w:t>
      </w:r>
    </w:p>
    <w:p>
      <w:pPr>
        <w:spacing w:after="0" w:line="144" w:lineRule="exact"/>
        <w:rPr>
          <w:sz w:val="20"/>
          <w:szCs w:val="20"/>
          <w:color w:val="auto"/>
        </w:rPr>
      </w:pPr>
    </w:p>
    <w:p>
      <w:pPr>
        <w:ind w:left="1620" w:right="419" w:hanging="360"/>
        <w:spacing w:after="0" w:line="255"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Board is soliciting your proxy to vote at the PAA Annual Meeting because you were a Unitholder at the close of business on the Record Date for the PAA Annual Meeting, and you are therefore entitled to receive notice regarding the PAA Annual Meeting, and to attend and vote at the PAA Annual Meeting. This proxy statement summarizes the information that you need to know in order to cast your vote at the PAA Annual Meeting. Your vote is very important and the Board strongly encourages you to exercise your right to vote. You do not need to attend the PAA Annual Meeting to vote your units, and we encourage you to vote even if you are unable to attend the PAA Annual Meeting in person. You may vote by Internet, by telephone or by signing and returning the attached proxy card in the envelope provided. See “How do I vote?” below.</w:t>
      </w:r>
    </w:p>
    <w:p>
      <w:pPr>
        <w:spacing w:after="0" w:line="113"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is the recommendation of the Board?</w:t>
      </w:r>
    </w:p>
    <w:p>
      <w:pPr>
        <w:spacing w:after="0" w:line="158" w:lineRule="exact"/>
        <w:rPr>
          <w:sz w:val="20"/>
          <w:szCs w:val="20"/>
          <w:color w:val="auto"/>
        </w:rPr>
      </w:pPr>
    </w:p>
    <w:p>
      <w:pPr>
        <w:ind w:left="1620" w:hanging="360"/>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Board unanimously recommends that you vote in the following manner:</w:t>
      </w:r>
    </w:p>
    <w:p>
      <w:pPr>
        <w:spacing w:after="0" w:line="117" w:lineRule="exact"/>
        <w:rPr>
          <w:rFonts w:ascii="Arial" w:cs="Arial" w:eastAsia="Arial" w:hAnsi="Arial"/>
          <w:sz w:val="18"/>
          <w:szCs w:val="18"/>
          <w:color w:val="auto"/>
        </w:rPr>
      </w:pPr>
    </w:p>
    <w:p>
      <w:pPr>
        <w:ind w:left="1800" w:right="859" w:hanging="180"/>
        <w:spacing w:after="0" w:line="318" w:lineRule="auto"/>
        <w:tabs>
          <w:tab w:leader="none" w:pos="1800" w:val="left"/>
        </w:tabs>
        <w:numPr>
          <w:ilvl w:val="1"/>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election of each of Willie Chiang, Ellen DeSanctis, Alexandra Pruner and Lawrence</w:t>
      </w:r>
      <w:r>
        <w:rPr>
          <w:rFonts w:ascii="Arial" w:cs="Arial" w:eastAsia="Arial" w:hAnsi="Arial"/>
          <w:sz w:val="17"/>
          <w:szCs w:val="17"/>
          <w:b w:val="1"/>
          <w:bCs w:val="1"/>
          <w:color w:val="auto"/>
        </w:rPr>
        <w:t xml:space="preserve"> </w:t>
      </w:r>
      <w:r>
        <w:rPr>
          <w:rFonts w:ascii="Arial" w:cs="Arial" w:eastAsia="Arial" w:hAnsi="Arial"/>
          <w:sz w:val="17"/>
          <w:szCs w:val="17"/>
          <w:color w:val="auto"/>
        </w:rPr>
        <w:t>Ziemba as a Class I director of the Board to serve until the 2029 annual meeting;</w:t>
      </w:r>
    </w:p>
    <w:p>
      <w:pPr>
        <w:spacing w:after="0" w:line="21" w:lineRule="exact"/>
        <w:rPr>
          <w:rFonts w:ascii="Arial" w:cs="Arial" w:eastAsia="Arial" w:hAnsi="Arial"/>
          <w:sz w:val="17"/>
          <w:szCs w:val="17"/>
          <w:color w:val="auto"/>
        </w:rPr>
      </w:pPr>
    </w:p>
    <w:p>
      <w:pPr>
        <w:ind w:left="1800" w:right="879" w:hanging="180"/>
        <w:spacing w:after="0" w:line="318" w:lineRule="auto"/>
        <w:tabs>
          <w:tab w:leader="none" w:pos="1800" w:val="left"/>
        </w:tabs>
        <w:numPr>
          <w:ilvl w:val="1"/>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ratification of the appointment of PricewaterhouseCoopers LLP as our independent</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public accounting firm for the fiscal year ending December 31, 2026; and</w:t>
      </w:r>
    </w:p>
    <w:p>
      <w:pPr>
        <w:spacing w:after="0" w:line="21" w:lineRule="exact"/>
        <w:rPr>
          <w:rFonts w:ascii="Arial" w:cs="Arial" w:eastAsia="Arial" w:hAnsi="Arial"/>
          <w:sz w:val="17"/>
          <w:szCs w:val="17"/>
          <w:color w:val="auto"/>
        </w:rPr>
      </w:pPr>
    </w:p>
    <w:p>
      <w:pPr>
        <w:ind w:left="1800" w:right="1179" w:hanging="180"/>
        <w:spacing w:after="0" w:line="287" w:lineRule="auto"/>
        <w:tabs>
          <w:tab w:leader="none" w:pos="1800"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on a non-binding advisory basis, of our 2025 named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w:t>
      </w:r>
    </w:p>
    <w:p>
      <w:pPr>
        <w:spacing w:after="0" w:line="72"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When and where is the PAA Annual Meeting?</w:t>
      </w:r>
    </w:p>
    <w:p>
      <w:pPr>
        <w:spacing w:after="0" w:line="158" w:lineRule="exact"/>
        <w:rPr>
          <w:sz w:val="20"/>
          <w:szCs w:val="20"/>
          <w:color w:val="auto"/>
        </w:rPr>
      </w:pPr>
    </w:p>
    <w:p>
      <w:pPr>
        <w:ind w:left="1620" w:right="419" w:hanging="360"/>
        <w:spacing w:after="0" w:line="244"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PAA Annual Meeting will be held on May 20, 2026, at 10:00 a.m. Central Time, in the Texas Room located on the 19</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of Three Allen Center, 333 Clay Street, Houston, Texas 77002. Only Unitholders of record as of the close of business on March 23, 2026 are entitled to vote and ask questions at the PAA Annual Meeting. If you are not a Unitholder of record but hold units in “street name” through a brokerage firm, bank, dealer or other similar organization, trustee, or nominee (generally referred to in this proxy statement as a “broker”), you may attend the PAA Annual Meeting as a guest. Please note that if you hold units in “street name” through a broker and desire to vote your units or ask questions during the PAA Annual Meeting, you must request and obtain a valid “legal proxy” from your broker and register with Equiniti Trust Company, LLC (“EQ”) to attend the PAA Annual Meeting as a Unitholder.</w:t>
      </w:r>
    </w:p>
    <w:p>
      <w:pPr>
        <w:spacing w:after="0" w:line="124" w:lineRule="exact"/>
        <w:rPr>
          <w:sz w:val="20"/>
          <w:szCs w:val="20"/>
          <w:color w:val="auto"/>
        </w:rPr>
      </w:pPr>
    </w:p>
    <w:p>
      <w:pPr>
        <w:ind w:left="1620" w:right="1039"/>
        <w:spacing w:after="0" w:line="287" w:lineRule="auto"/>
        <w:rPr>
          <w:sz w:val="20"/>
          <w:szCs w:val="20"/>
          <w:color w:val="auto"/>
        </w:rPr>
      </w:pPr>
      <w:r>
        <w:rPr>
          <w:rFonts w:ascii="Arial" w:cs="Arial" w:eastAsia="Arial" w:hAnsi="Arial"/>
          <w:sz w:val="18"/>
          <w:szCs w:val="18"/>
          <w:color w:val="auto"/>
        </w:rPr>
        <w:t>Information on who can vote and ask questions during the PAA Annual Meeting is discussed immediately below.</w:t>
      </w:r>
    </w:p>
    <w:p>
      <w:pPr>
        <w:spacing w:after="0" w:line="72"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Who can vote and ask questions at the PAA Annual Meeting?</w:t>
      </w:r>
    </w:p>
    <w:p>
      <w:pPr>
        <w:spacing w:after="0" w:line="158" w:lineRule="exact"/>
        <w:rPr>
          <w:sz w:val="20"/>
          <w:szCs w:val="20"/>
          <w:color w:val="auto"/>
        </w:rPr>
      </w:pPr>
    </w:p>
    <w:p>
      <w:pPr>
        <w:ind w:left="1620" w:right="719" w:hanging="360"/>
        <w:spacing w:after="0" w:line="287"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are entitled to vote and ask questions at the PAA Annual Meeting if you were a Unitholder of record as of the close of business on the Record Date for the PAA Annual Meeting.</w:t>
      </w:r>
    </w:p>
    <w:p>
      <w:pPr>
        <w:spacing w:after="0" w:line="85" w:lineRule="exact"/>
        <w:rPr>
          <w:rFonts w:ascii="Arial" w:cs="Arial" w:eastAsia="Arial" w:hAnsi="Arial"/>
          <w:sz w:val="18"/>
          <w:szCs w:val="18"/>
          <w:color w:val="auto"/>
        </w:rPr>
      </w:pPr>
    </w:p>
    <w:p>
      <w:pPr>
        <w:ind w:left="1620" w:right="479"/>
        <w:spacing w:after="0" w:line="258" w:lineRule="auto"/>
        <w:rPr>
          <w:rFonts w:ascii="Arial" w:cs="Arial" w:eastAsia="Arial" w:hAnsi="Arial"/>
          <w:sz w:val="18"/>
          <w:szCs w:val="18"/>
          <w:color w:val="auto"/>
        </w:rPr>
      </w:pPr>
      <w:r>
        <w:rPr>
          <w:rFonts w:ascii="Arial" w:cs="Arial" w:eastAsia="Arial" w:hAnsi="Arial"/>
          <w:sz w:val="18"/>
          <w:szCs w:val="18"/>
          <w:i w:val="1"/>
          <w:iCs w:val="1"/>
          <w:color w:val="auto"/>
        </w:rPr>
        <w:t xml:space="preserve">Unitholder of Record: Units Registered in Your Name. </w:t>
      </w:r>
      <w:r>
        <w:rPr>
          <w:rFonts w:ascii="Arial" w:cs="Arial" w:eastAsia="Arial" w:hAnsi="Arial"/>
          <w:sz w:val="18"/>
          <w:szCs w:val="18"/>
          <w:color w:val="auto"/>
        </w:rPr>
        <w:t>You are a Unitholder of record if your units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were registered directly in your name with us in the case of Series A preferred units or with our transfer agent, EQ, in the case of common units, in either case at the close of business on the Record Date. As a Unitholder of record, you may vote and ask questions during the PAA Annual Meeting. Whether or not you plan to attend the PAA Annual Meeting, we urge you to submit a proxy to ensure your vote is counted. </w:t>
      </w:r>
      <w:r>
        <w:rPr>
          <w:rFonts w:ascii="Arial" w:cs="Arial" w:eastAsia="Arial" w:hAnsi="Arial"/>
          <w:sz w:val="18"/>
          <w:szCs w:val="18"/>
          <w:b w:val="1"/>
          <w:bCs w:val="1"/>
          <w:i w:val="1"/>
          <w:iCs w:val="1"/>
          <w:color w:val="auto"/>
        </w:rPr>
        <w:t>See “How do I vote?” below for detailed instructions on how</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to vote your units.</w:t>
      </w:r>
    </w:p>
    <w:p>
      <w:pPr>
        <w:sectPr>
          <w:pgSz w:w="11900" w:h="16838" w:orient="portrait"/>
          <w:cols w:equalWidth="0" w:num="1">
            <w:col w:w="9879"/>
          </w:cols>
          <w:pgMar w:left="580" w:top="97" w:right="1440" w:bottom="1440" w:gutter="0" w:footer="0" w:header="0"/>
        </w:sectPr>
      </w:pPr>
    </w:p>
    <w:p>
      <w:pPr>
        <w:spacing w:after="0" w:line="346"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419"/>
        <w:spacing w:after="0" w:line="264" w:lineRule="auto"/>
        <w:rPr>
          <w:sz w:val="20"/>
          <w:szCs w:val="20"/>
          <w:color w:val="auto"/>
        </w:rPr>
      </w:pPr>
      <w:r>
        <w:rPr>
          <w:rFonts w:ascii="Arial" w:cs="Arial" w:eastAsia="Arial" w:hAnsi="Arial"/>
          <w:sz w:val="18"/>
          <w:szCs w:val="18"/>
          <w:i w:val="1"/>
          <w:iCs w:val="1"/>
          <w:color w:val="auto"/>
        </w:rPr>
        <w:t xml:space="preserve">Beneficial Owner: Units Registered in the Name of Broker. </w:t>
      </w:r>
      <w:r>
        <w:rPr>
          <w:rFonts w:ascii="Arial" w:cs="Arial" w:eastAsia="Arial" w:hAnsi="Arial"/>
          <w:sz w:val="18"/>
          <w:szCs w:val="18"/>
          <w:color w:val="auto"/>
        </w:rPr>
        <w:t>If your units were held in an account at</w:t>
      </w:r>
      <w:r>
        <w:rPr>
          <w:rFonts w:ascii="Arial" w:cs="Arial" w:eastAsia="Arial" w:hAnsi="Arial"/>
          <w:sz w:val="18"/>
          <w:szCs w:val="18"/>
          <w:i w:val="1"/>
          <w:iCs w:val="1"/>
          <w:color w:val="auto"/>
        </w:rPr>
        <w:t xml:space="preserve"> </w:t>
      </w:r>
      <w:r>
        <w:rPr>
          <w:rFonts w:ascii="Arial" w:cs="Arial" w:eastAsia="Arial" w:hAnsi="Arial"/>
          <w:sz w:val="18"/>
          <w:szCs w:val="18"/>
          <w:color w:val="auto"/>
        </w:rPr>
        <w:t>a broker at the close of business on the Record Date, then you are the beneficial owner of units held in “street name” and the broker holding your account is considered to be the Unitholder of record for purposes of voting at the PAA Annual Meeting. As a beneficial owner, you have the right to direct your broker regarding how to vote the units in your account. You are also invited to attend the PAA Annual Meeting as a guest. However, because you are not the Unitholder of record, you may not vote your units or ask questions at the PAA Annual Meeting unless you request and obtain a valid legal proxy from the organization that holds your units giving you the right to vote the units and ask questions at the PAA Annual Meeting. Follow the instructions provided by your broker or bank, or contact your broker or bank to request a legal proxy form.</w:t>
      </w:r>
    </w:p>
    <w:p>
      <w:pPr>
        <w:spacing w:after="0" w:line="180" w:lineRule="exact"/>
        <w:rPr>
          <w:sz w:val="20"/>
          <w:szCs w:val="20"/>
          <w:color w:val="auto"/>
        </w:rPr>
      </w:pPr>
    </w:p>
    <w:p>
      <w:pPr>
        <w:ind w:left="1620" w:right="699"/>
        <w:spacing w:after="0" w:line="267" w:lineRule="auto"/>
        <w:rPr>
          <w:sz w:val="20"/>
          <w:szCs w:val="20"/>
          <w:color w:val="auto"/>
        </w:rPr>
      </w:pPr>
      <w:r>
        <w:rPr>
          <w:rFonts w:ascii="Arial" w:cs="Arial" w:eastAsia="Arial" w:hAnsi="Arial"/>
          <w:sz w:val="18"/>
          <w:szCs w:val="18"/>
          <w:color w:val="auto"/>
        </w:rPr>
        <w:t>After obtaining a valid legal proxy from your broker, bank or other agent, in order to vote and ask questions at the PAA Annual Meeting, you must register to attend the PAA Annual Meeting as a Unitholder by submitting to EQ proof of your legal proxy reflecting the number of your units along with your name and email address. Requests for registration should be directed to proxy@equiniti.com or to facsimile number 718-765-8730. Written requests can be mailed to:</w:t>
      </w:r>
    </w:p>
    <w:p>
      <w:pPr>
        <w:spacing w:after="0" w:line="17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Equiniti Trust Company, LLC</w:t>
      </w:r>
    </w:p>
    <w:p>
      <w:pPr>
        <w:spacing w:after="0" w:line="3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Attn: Proxy Tabulation Department</w:t>
      </w:r>
    </w:p>
    <w:p>
      <w:pPr>
        <w:spacing w:after="0" w:line="18"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55 Challenger Road, Suite 200B | Ridgefield Park, NJ 07660</w:t>
      </w:r>
    </w:p>
    <w:p>
      <w:pPr>
        <w:spacing w:after="0" w:line="207" w:lineRule="exact"/>
        <w:rPr>
          <w:sz w:val="20"/>
          <w:szCs w:val="20"/>
          <w:color w:val="auto"/>
        </w:rPr>
      </w:pPr>
    </w:p>
    <w:p>
      <w:pPr>
        <w:ind w:left="1620" w:right="519"/>
        <w:spacing w:after="0" w:line="287" w:lineRule="auto"/>
        <w:rPr>
          <w:sz w:val="20"/>
          <w:szCs w:val="20"/>
          <w:color w:val="auto"/>
        </w:rPr>
      </w:pPr>
      <w:r>
        <w:rPr>
          <w:rFonts w:ascii="Arial" w:cs="Arial" w:eastAsia="Arial" w:hAnsi="Arial"/>
          <w:sz w:val="18"/>
          <w:szCs w:val="18"/>
          <w:color w:val="auto"/>
        </w:rPr>
        <w:t>Requests for registration must be labeled as “Legal Proxy” and be received no later than 5:00 p.m., Eastern Time, on May 13, 2026.</w:t>
      </w:r>
    </w:p>
    <w:p>
      <w:pPr>
        <w:spacing w:after="0" w:line="139" w:lineRule="exact"/>
        <w:rPr>
          <w:sz w:val="20"/>
          <w:szCs w:val="20"/>
          <w:color w:val="auto"/>
        </w:rPr>
      </w:pPr>
    </w:p>
    <w:p>
      <w:pPr>
        <w:ind w:left="1620" w:right="759"/>
        <w:spacing w:after="0" w:line="276" w:lineRule="auto"/>
        <w:rPr>
          <w:sz w:val="20"/>
          <w:szCs w:val="20"/>
          <w:color w:val="auto"/>
        </w:rPr>
      </w:pPr>
      <w:r>
        <w:rPr>
          <w:rFonts w:ascii="Arial" w:cs="Arial" w:eastAsia="Arial" w:hAnsi="Arial"/>
          <w:sz w:val="18"/>
          <w:szCs w:val="18"/>
          <w:color w:val="auto"/>
        </w:rPr>
        <w:t>You will receive a confirmation of your registration by email after we receive your registration materials. Once registered, you may attend the PAA Annual Meeting, submit questions and vote your units during the meeting.</w:t>
      </w:r>
    </w:p>
    <w:p>
      <w:pPr>
        <w:spacing w:after="0" w:line="123"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Who is soliciting my proxy?</w:t>
      </w:r>
    </w:p>
    <w:p>
      <w:pPr>
        <w:spacing w:after="0" w:line="171" w:lineRule="exact"/>
        <w:rPr>
          <w:sz w:val="20"/>
          <w:szCs w:val="20"/>
          <w:color w:val="auto"/>
        </w:rPr>
      </w:pPr>
    </w:p>
    <w:p>
      <w:pPr>
        <w:ind w:left="1620" w:right="579" w:hanging="360"/>
        <w:spacing w:after="0" w:line="287"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Board is sending or otherwise providing you access to this proxy statement in connection with its solicitation of proxies for use at the PAA Annual Meeting.</w:t>
      </w:r>
    </w:p>
    <w:p>
      <w:pPr>
        <w:spacing w:after="0" w:line="112" w:lineRule="exact"/>
        <w:rPr>
          <w:sz w:val="20"/>
          <w:szCs w:val="20"/>
          <w:color w:val="auto"/>
        </w:rPr>
      </w:pPr>
    </w:p>
    <w:p>
      <w:pPr>
        <w:ind w:left="1620" w:right="459" w:hanging="360"/>
        <w:spacing w:after="0" w:line="296" w:lineRule="auto"/>
        <w:tabs>
          <w:tab w:leader="none" w:pos="16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will I have, and what is the total number of units entitled to vote at the PAA Annual Meeting?</w:t>
      </w:r>
    </w:p>
    <w:p>
      <w:pPr>
        <w:spacing w:after="0" w:line="83" w:lineRule="exact"/>
        <w:rPr>
          <w:sz w:val="20"/>
          <w:szCs w:val="20"/>
          <w:color w:val="auto"/>
        </w:rPr>
      </w:pPr>
    </w:p>
    <w:p>
      <w:pPr>
        <w:ind w:left="1620" w:right="499" w:hanging="360"/>
        <w:spacing w:after="0" w:line="255" w:lineRule="auto"/>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common unitholder (other than Plains AAP) is entitled to one vote for each common unit owned on all matters to be considered at the PAA Annual Meeting. The Series A preferred unitholders will vote on an as-converted basis, with each Series A preferred unit entitled to one vote on all matters to be considered at the PAA Annual Meeting. As of March 23, 2026, 705,531,683 common units and 58,411,908 Series A preferred units were issued and outstanding. As of March 23, 2026, Plains AAP owned 233,000,430 common units; however, as noted above, Plains AAP is not entitled to vote such common units on proposals 1, 2 or 3. The following table provides the number of common units entitled to vote on each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Common Units Entitled to Vote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(including Series A Preferred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8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2000" w:type="dxa"/>
            <w:vAlign w:val="bottom"/>
          </w:tcPr>
          <w:p>
            <w:pPr>
              <w:ind w:left="440"/>
              <w:spacing w:after="0"/>
              <w:rPr>
                <w:sz w:val="20"/>
                <w:szCs w:val="20"/>
                <w:color w:val="auto"/>
              </w:rPr>
            </w:pPr>
            <w:r>
              <w:rPr>
                <w:rFonts w:ascii="Arial" w:cs="Arial" w:eastAsia="Arial" w:hAnsi="Arial"/>
                <w:sz w:val="14"/>
                <w:szCs w:val="14"/>
                <w:b w:val="1"/>
                <w:bCs w:val="1"/>
                <w:color w:val="auto"/>
              </w:rPr>
              <w:t>Proposal</w:t>
            </w:r>
          </w:p>
        </w:tc>
        <w:tc>
          <w:tcPr>
            <w:tcW w:w="2600" w:type="dxa"/>
            <w:vAlign w:val="bottom"/>
            <w:gridSpan w:val="2"/>
          </w:tcPr>
          <w:p>
            <w:pPr>
              <w:ind w:left="40"/>
              <w:spacing w:after="0" w:line="199"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Units on an as-converted basis)</w:t>
            </w:r>
          </w:p>
        </w:tc>
        <w:tc>
          <w:tcPr>
            <w:tcW w:w="80" w:type="dxa"/>
            <w:vAlign w:val="bottom"/>
          </w:tcPr>
          <w:p>
            <w:pPr>
              <w:spacing w:after="0"/>
              <w:rPr>
                <w:sz w:val="17"/>
                <w:szCs w:val="17"/>
                <w:color w:val="auto"/>
              </w:rPr>
            </w:pPr>
          </w:p>
        </w:tc>
        <w:tc>
          <w:tcPr>
            <w:tcW w:w="200" w:type="dxa"/>
            <w:vAlign w:val="bottom"/>
          </w:tcPr>
          <w:p>
            <w:pPr>
              <w:ind w:left="60"/>
              <w:spacing w:after="0"/>
              <w:rPr>
                <w:sz w:val="20"/>
                <w:szCs w:val="20"/>
                <w:color w:val="auto"/>
              </w:rPr>
            </w:pPr>
            <w:r>
              <w:rPr>
                <w:rFonts w:ascii="Arial" w:cs="Arial" w:eastAsia="Arial" w:hAnsi="Arial"/>
                <w:sz w:val="14"/>
                <w:szCs w:val="14"/>
                <w:b w:val="1"/>
                <w:bCs w:val="1"/>
                <w:color w:val="auto"/>
              </w:rPr>
              <w:t>​ ​</w:t>
            </w:r>
          </w:p>
        </w:tc>
        <w:tc>
          <w:tcPr>
            <w:tcW w:w="20" w:type="dxa"/>
            <w:vAlign w:val="bottom"/>
          </w:tcPr>
          <w:p>
            <w:pPr>
              <w:spacing w:after="0"/>
              <w:rPr>
                <w:sz w:val="17"/>
                <w:szCs w:val="17"/>
                <w:color w:val="auto"/>
              </w:rPr>
            </w:pPr>
          </w:p>
        </w:tc>
        <w:tc>
          <w:tcPr>
            <w:tcW w:w="2460" w:type="dxa"/>
            <w:vAlign w:val="bottom"/>
          </w:tcPr>
          <w:p>
            <w:pPr>
              <w:ind w:left="820"/>
              <w:spacing w:after="0"/>
              <w:rPr>
                <w:sz w:val="20"/>
                <w:szCs w:val="20"/>
                <w:color w:val="auto"/>
              </w:rPr>
            </w:pPr>
            <w:r>
              <w:rPr>
                <w:rFonts w:ascii="Arial" w:cs="Arial" w:eastAsia="Arial" w:hAnsi="Arial"/>
                <w:sz w:val="14"/>
                <w:szCs w:val="14"/>
                <w:b w:val="1"/>
                <w:bCs w:val="1"/>
                <w:color w:val="auto"/>
              </w:rPr>
              <w:t>Explanation</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176" w:lineRule="exact"/>
              <w:rPr>
                <w:sz w:val="20"/>
                <w:szCs w:val="20"/>
                <w:color w:val="auto"/>
              </w:rPr>
            </w:pPr>
            <w:r>
              <w:rPr>
                <w:rFonts w:ascii="Arial" w:cs="Arial" w:eastAsia="Arial" w:hAnsi="Arial"/>
                <w:sz w:val="18"/>
                <w:szCs w:val="18"/>
                <w:color w:val="auto"/>
              </w:rPr>
              <w:t>​ ​</w:t>
            </w:r>
          </w:p>
        </w:tc>
        <w:tc>
          <w:tcPr>
            <w:tcW w:w="2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176" w:lineRule="exact"/>
              <w:rPr>
                <w:sz w:val="20"/>
                <w:szCs w:val="20"/>
                <w:color w:val="auto"/>
              </w:rPr>
            </w:pPr>
            <w:r>
              <w:rPr>
                <w:rFonts w:ascii="Arial" w:cs="Arial" w:eastAsia="Arial" w:hAnsi="Arial"/>
                <w:sz w:val="18"/>
                <w:szCs w:val="18"/>
                <w:color w:val="auto"/>
              </w:rPr>
              <w:t>​ ​</w:t>
            </w:r>
          </w:p>
        </w:tc>
        <w:tc>
          <w:tcPr>
            <w:tcW w:w="2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46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200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2380" w:type="dxa"/>
            <w:vAlign w:val="bottom"/>
            <w:vMerge w:val="restart"/>
          </w:tcPr>
          <w:p>
            <w:pPr>
              <w:jc w:val="center"/>
              <w:spacing w:after="0"/>
              <w:rPr>
                <w:sz w:val="20"/>
                <w:szCs w:val="20"/>
                <w:color w:val="auto"/>
              </w:rPr>
            </w:pPr>
            <w:r>
              <w:rPr>
                <w:rFonts w:ascii="Arial" w:cs="Arial" w:eastAsia="Arial" w:hAnsi="Arial"/>
                <w:sz w:val="18"/>
                <w:szCs w:val="18"/>
                <w:color w:val="auto"/>
                <w:w w:val="99"/>
              </w:rPr>
              <w:t>530,943,161</w:t>
            </w:r>
          </w:p>
        </w:tc>
        <w:tc>
          <w:tcPr>
            <w:tcW w:w="8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2480" w:type="dxa"/>
            <w:vAlign w:val="bottom"/>
            <w:gridSpan w:val="2"/>
            <w:vMerge w:val="restart"/>
          </w:tcPr>
          <w:p>
            <w:pPr>
              <w:ind w:left="20"/>
              <w:spacing w:after="0"/>
              <w:rPr>
                <w:sz w:val="20"/>
                <w:szCs w:val="20"/>
                <w:color w:val="auto"/>
              </w:rPr>
            </w:pPr>
            <w:r>
              <w:rPr>
                <w:rFonts w:ascii="Arial" w:cs="Arial" w:eastAsia="Arial" w:hAnsi="Arial"/>
                <w:sz w:val="18"/>
                <w:szCs w:val="18"/>
                <w:color w:val="auto"/>
              </w:rPr>
              <w:t>Excludes common units held</w:t>
            </w: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2480" w:type="dxa"/>
            <w:vAlign w:val="bottom"/>
            <w:gridSpan w:val="3"/>
          </w:tcPr>
          <w:p>
            <w:pPr>
              <w:spacing w:after="0" w:line="80" w:lineRule="exact"/>
              <w:rPr>
                <w:sz w:val="20"/>
                <w:szCs w:val="20"/>
                <w:color w:val="auto"/>
              </w:rPr>
            </w:pPr>
            <w:r>
              <w:rPr>
                <w:rFonts w:ascii="Arial" w:cs="Arial" w:eastAsia="Arial" w:hAnsi="Arial"/>
                <w:sz w:val="9"/>
                <w:szCs w:val="9"/>
                <w:color w:val="auto"/>
              </w:rPr>
              <w:t>Proposals 1, 2 and 3</w:t>
            </w:r>
          </w:p>
        </w:tc>
        <w:tc>
          <w:tcPr>
            <w:tcW w:w="220" w:type="dxa"/>
            <w:vAlign w:val="bottom"/>
          </w:tcPr>
          <w:p>
            <w:pPr>
              <w:spacing w:after="0"/>
              <w:rPr>
                <w:sz w:val="6"/>
                <w:szCs w:val="6"/>
                <w:color w:val="auto"/>
              </w:rPr>
            </w:pPr>
          </w:p>
        </w:tc>
        <w:tc>
          <w:tcPr>
            <w:tcW w:w="23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00"/>
        <w:spacing w:after="0"/>
        <w:rPr>
          <w:sz w:val="20"/>
          <w:szCs w:val="20"/>
          <w:color w:val="auto"/>
        </w:rPr>
      </w:pPr>
      <w:r>
        <w:rPr>
          <w:rFonts w:ascii="Arial" w:cs="Arial" w:eastAsia="Arial" w:hAnsi="Arial"/>
          <w:sz w:val="18"/>
          <w:szCs w:val="18"/>
          <w:color w:val="auto"/>
        </w:rPr>
        <w:t>by Plains AAP as of the Record</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Date. The number of</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common units owned by Plains</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AAP is, by design, equivalent</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to the number of outstanding</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PAGP Class A and Class B</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shares. PAGP Class A and</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Class B shareholders will vote</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on proposals 1, 2 and 3 directly</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at the PAGP Annual Meeting.</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Therefore, excluding</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common units held by Plains</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AAP from the “pass-through”</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vote prevents double voting on</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these proposals within the</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overall capital structure of</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PAGP, Plains AAP and PAA.</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 xml:space="preserve">See pages </w:t>
      </w:r>
      <w:r>
        <w:rPr>
          <w:rFonts w:ascii="Arial" w:cs="Arial" w:eastAsia="Arial" w:hAnsi="Arial"/>
          <w:sz w:val="18"/>
          <w:szCs w:val="18"/>
          <w:u w:val="single" w:color="auto"/>
          <w:color w:val="0000EE"/>
        </w:rPr>
        <w:t>9</w:t>
      </w:r>
      <w:r>
        <w:rPr>
          <w:rFonts w:ascii="Arial" w:cs="Arial" w:eastAsia="Arial" w:hAnsi="Arial"/>
          <w:sz w:val="18"/>
          <w:szCs w:val="18"/>
          <w:color w:val="auto"/>
        </w:rPr>
        <w:t>-</w:t>
      </w:r>
      <w:r>
        <w:rPr>
          <w:rFonts w:ascii="Arial" w:cs="Arial" w:eastAsia="Arial" w:hAnsi="Arial"/>
          <w:sz w:val="18"/>
          <w:szCs w:val="18"/>
          <w:u w:val="single" w:color="auto"/>
          <w:color w:val="0000EE"/>
        </w:rPr>
        <w:t>11</w:t>
      </w:r>
      <w:r>
        <w:rPr>
          <w:rFonts w:ascii="Arial" w:cs="Arial" w:eastAsia="Arial" w:hAnsi="Arial"/>
          <w:sz w:val="18"/>
          <w:szCs w:val="18"/>
          <w:color w:val="auto"/>
        </w:rPr>
        <w:t xml:space="preserve"> for additional</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information regarding our</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ownership and voting structure.</w:t>
      </w:r>
    </w:p>
    <w:p>
      <w:pPr>
        <w:spacing w:after="0" w:line="261"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How do I vote?</w:t>
      </w:r>
    </w:p>
    <w:p>
      <w:pPr>
        <w:spacing w:after="0" w:line="144" w:lineRule="exact"/>
        <w:rPr>
          <w:sz w:val="20"/>
          <w:szCs w:val="20"/>
          <w:color w:val="auto"/>
        </w:rPr>
      </w:pPr>
    </w:p>
    <w:p>
      <w:pPr>
        <w:ind w:left="1620" w:right="1139" w:hanging="360"/>
        <w:spacing w:after="0" w:line="287"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you are a Unitholder of record at the close of business on the Record Date, you may vote your units by any of the following methods:</w:t>
      </w:r>
    </w:p>
    <w:p>
      <w:pPr>
        <w:spacing w:after="0" w:line="44" w:lineRule="exact"/>
        <w:rPr>
          <w:rFonts w:ascii="Arial" w:cs="Arial" w:eastAsia="Arial" w:hAnsi="Arial"/>
          <w:sz w:val="18"/>
          <w:szCs w:val="18"/>
          <w:color w:val="auto"/>
        </w:rPr>
      </w:pPr>
    </w:p>
    <w:p>
      <w:pPr>
        <w:ind w:left="1800" w:right="459" w:hanging="180"/>
        <w:spacing w:after="0" w:line="262" w:lineRule="auto"/>
        <w:tabs>
          <w:tab w:leader="none" w:pos="180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Voting online before the meeting. </w:t>
      </w:r>
      <w:r>
        <w:rPr>
          <w:rFonts w:ascii="Arial" w:cs="Arial" w:eastAsia="Arial" w:hAnsi="Arial"/>
          <w:sz w:val="18"/>
          <w:szCs w:val="18"/>
          <w:color w:val="auto"/>
        </w:rPr>
        <w:t>You may vote online by visiting the Internet address listed on</w:t>
      </w:r>
      <w:r>
        <w:rPr>
          <w:rFonts w:ascii="Arial" w:cs="Arial" w:eastAsia="Arial" w:hAnsi="Arial"/>
          <w:sz w:val="18"/>
          <w:szCs w:val="18"/>
          <w:i w:val="1"/>
          <w:iCs w:val="1"/>
          <w:color w:val="auto"/>
        </w:rPr>
        <w:t xml:space="preserve"> </w:t>
      </w:r>
      <w:r>
        <w:rPr>
          <w:rFonts w:ascii="Arial" w:cs="Arial" w:eastAsia="Arial" w:hAnsi="Arial"/>
          <w:sz w:val="18"/>
          <w:szCs w:val="18"/>
          <w:color w:val="auto"/>
        </w:rPr>
        <w:t>your proxy card. Internet voting procedures have been established to verify your identity and to confirm your voting instructions. Please have your proxy card available when you visit the Internet address.</w:t>
      </w:r>
    </w:p>
    <w:p>
      <w:pPr>
        <w:spacing w:after="0" w:line="68" w:lineRule="exact"/>
        <w:rPr>
          <w:rFonts w:ascii="Arial" w:cs="Arial" w:eastAsia="Arial" w:hAnsi="Arial"/>
          <w:sz w:val="18"/>
          <w:szCs w:val="18"/>
          <w:color w:val="auto"/>
        </w:rPr>
      </w:pPr>
    </w:p>
    <w:p>
      <w:pPr>
        <w:ind w:left="1800" w:right="479" w:hanging="180"/>
        <w:spacing w:after="0" w:line="262" w:lineRule="auto"/>
        <w:tabs>
          <w:tab w:leader="none" w:pos="180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Voting by telephone before the meeting. </w:t>
      </w:r>
      <w:r>
        <w:rPr>
          <w:rFonts w:ascii="Arial" w:cs="Arial" w:eastAsia="Arial" w:hAnsi="Arial"/>
          <w:sz w:val="18"/>
          <w:szCs w:val="18"/>
          <w:color w:val="auto"/>
        </w:rPr>
        <w:t>You may vote by telephone by calling the toll-free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listed on your proxy card. Telephone voting procedures have been established to verify your identity, to allow you to provide proxy voting instructions and to confirm that your instructions were accurately recorded. Please have your proxy card available when you call.</w:t>
      </w:r>
    </w:p>
    <w:p>
      <w:pPr>
        <w:spacing w:after="0" w:line="68" w:lineRule="exact"/>
        <w:rPr>
          <w:rFonts w:ascii="Arial" w:cs="Arial" w:eastAsia="Arial" w:hAnsi="Arial"/>
          <w:sz w:val="18"/>
          <w:szCs w:val="18"/>
          <w:color w:val="auto"/>
        </w:rPr>
      </w:pPr>
    </w:p>
    <w:p>
      <w:pPr>
        <w:ind w:left="1800" w:right="419" w:hanging="180"/>
        <w:spacing w:after="0" w:line="262" w:lineRule="auto"/>
        <w:tabs>
          <w:tab w:leader="none" w:pos="180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Voting by mail before the meeting. </w:t>
      </w:r>
      <w:r>
        <w:rPr>
          <w:rFonts w:ascii="Arial" w:cs="Arial" w:eastAsia="Arial" w:hAnsi="Arial"/>
          <w:sz w:val="18"/>
          <w:szCs w:val="18"/>
          <w:color w:val="auto"/>
        </w:rPr>
        <w:t>You may vote by mail by returning your completed, signed and</w:t>
      </w:r>
      <w:r>
        <w:rPr>
          <w:rFonts w:ascii="Arial" w:cs="Arial" w:eastAsia="Arial" w:hAnsi="Arial"/>
          <w:sz w:val="18"/>
          <w:szCs w:val="18"/>
          <w:i w:val="1"/>
          <w:iCs w:val="1"/>
          <w:color w:val="auto"/>
        </w:rPr>
        <w:t xml:space="preserve"> </w:t>
      </w:r>
      <w:r>
        <w:rPr>
          <w:rFonts w:ascii="Arial" w:cs="Arial" w:eastAsia="Arial" w:hAnsi="Arial"/>
          <w:sz w:val="18"/>
          <w:szCs w:val="18"/>
          <w:color w:val="auto"/>
        </w:rPr>
        <w:t>dated proxy card in the enclosed postage-paid return envelope. However, in order to ensure that your vote is received in a timely manner, we recommend that you vote online or by telephone as described above.</w:t>
      </w:r>
    </w:p>
    <w:p>
      <w:pPr>
        <w:spacing w:after="0" w:line="68" w:lineRule="exact"/>
        <w:rPr>
          <w:rFonts w:ascii="Arial" w:cs="Arial" w:eastAsia="Arial" w:hAnsi="Arial"/>
          <w:sz w:val="18"/>
          <w:szCs w:val="18"/>
          <w:color w:val="auto"/>
        </w:rPr>
      </w:pPr>
    </w:p>
    <w:p>
      <w:pPr>
        <w:ind w:left="1800" w:right="459" w:hanging="180"/>
        <w:spacing w:after="0" w:line="255" w:lineRule="auto"/>
        <w:tabs>
          <w:tab w:leader="none" w:pos="180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Voting during the meeting</w:t>
      </w:r>
      <w:r>
        <w:rPr>
          <w:rFonts w:ascii="Arial" w:cs="Arial" w:eastAsia="Arial" w:hAnsi="Arial"/>
          <w:sz w:val="18"/>
          <w:szCs w:val="18"/>
          <w:color w:val="auto"/>
        </w:rPr>
        <w:t>. If you were a Unitholder of record as of the close of business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Record Date, you may attend the PAA Annual Meeting, ask questions and vote during the meeting. If you are a beneficial owner of units held in street name, you must be registered to attend the PAA Annual Meeting as a Unitholder and must have a valid legal proxy in order to ask questions and vote during the meeting. Please read the “Beneficial Owner: Units Registered in the Name of Broker” answer under the question “Who can vote and ask questions at the PAA Annual Meeting?” above for instructions on how to register to attend the PAA Annual Meeting and obtain a legal proxy.</w:t>
      </w:r>
    </w:p>
    <w:p>
      <w:pPr>
        <w:spacing w:after="0" w:line="37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479"/>
        <w:spacing w:after="0" w:line="259" w:lineRule="auto"/>
        <w:rPr>
          <w:sz w:val="20"/>
          <w:szCs w:val="20"/>
          <w:color w:val="auto"/>
        </w:rPr>
      </w:pPr>
      <w:r>
        <w:rPr>
          <w:rFonts w:ascii="Arial" w:cs="Arial" w:eastAsia="Arial" w:hAnsi="Arial"/>
          <w:sz w:val="18"/>
          <w:szCs w:val="18"/>
          <w:color w:val="auto"/>
        </w:rPr>
        <w:t>Internet and telephone voting will be available to eligible Unitholders 24 hours a day until 11:59 p.m. Eastern Time on May 19, 2026, the night before the PAA Annual Meeting. If you use the Internet or the toll-free telephone number to provide your proxy voting instructions, you do not need to mail in your proxy card. If you mail in your proxy card, it must be received by PAA before the voting polls close at the PAA Annual Meeting.</w:t>
      </w:r>
    </w:p>
    <w:p>
      <w:pPr>
        <w:spacing w:after="0" w:line="112" w:lineRule="exact"/>
        <w:rPr>
          <w:sz w:val="20"/>
          <w:szCs w:val="20"/>
          <w:color w:val="auto"/>
        </w:rPr>
      </w:pPr>
    </w:p>
    <w:p>
      <w:pPr>
        <w:ind w:left="1620" w:right="559"/>
        <w:spacing w:after="0" w:line="262" w:lineRule="auto"/>
        <w:rPr>
          <w:sz w:val="20"/>
          <w:szCs w:val="20"/>
          <w:color w:val="auto"/>
        </w:rPr>
      </w:pPr>
      <w:r>
        <w:rPr>
          <w:rFonts w:ascii="Arial" w:cs="Arial" w:eastAsia="Arial" w:hAnsi="Arial"/>
          <w:sz w:val="18"/>
          <w:szCs w:val="18"/>
          <w:color w:val="auto"/>
        </w:rPr>
        <w:t>Even if you plan to attend the PAA Annual Meeting, please vote your units by proxy in advance of the PAA Annual Meeting (either online, by telephone or by mail as described above) as soon as possible so that your units will be represented at the PAA Annual Meeting if for any reason you are unable to attend.</w:t>
      </w:r>
    </w:p>
    <w:p>
      <w:pPr>
        <w:spacing w:after="0" w:line="109"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do I do if I want to change my vote after I have already voted by proxy?</w:t>
      </w:r>
    </w:p>
    <w:p>
      <w:pPr>
        <w:spacing w:after="0" w:line="144" w:lineRule="exact"/>
        <w:rPr>
          <w:sz w:val="20"/>
          <w:szCs w:val="20"/>
          <w:color w:val="auto"/>
        </w:rPr>
      </w:pPr>
    </w:p>
    <w:p>
      <w:pPr>
        <w:ind w:left="1620" w:right="519" w:hanging="360"/>
        <w:spacing w:after="0" w:line="287" w:lineRule="auto"/>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you were a Unitholder of record as of the close of business on the Record Date, you may change your vote at any time before the voting polls close at the PAA Annual Meeting by:</w:t>
      </w:r>
    </w:p>
    <w:p>
      <w:pPr>
        <w:spacing w:after="0" w:line="44" w:lineRule="exact"/>
        <w:rPr>
          <w:rFonts w:ascii="Arial" w:cs="Arial" w:eastAsia="Arial" w:hAnsi="Arial"/>
          <w:sz w:val="18"/>
          <w:szCs w:val="18"/>
          <w:color w:val="auto"/>
        </w:rPr>
      </w:pPr>
    </w:p>
    <w:p>
      <w:pPr>
        <w:ind w:left="1800" w:right="799" w:hanging="180"/>
        <w:spacing w:after="0" w:line="268" w:lineRule="auto"/>
        <w:tabs>
          <w:tab w:leader="none" w:pos="18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submitting a proxy with new voting instructions using the Internet or telephone voting system (please note that the deadline for voting online or by telephone is 11:59 p.m. Eastern Time on May 19, 2026);</w:t>
      </w:r>
    </w:p>
    <w:p>
      <w:pPr>
        <w:spacing w:after="0" w:line="62" w:lineRule="exact"/>
        <w:rPr>
          <w:rFonts w:ascii="Arial" w:cs="Arial" w:eastAsia="Arial" w:hAnsi="Arial"/>
          <w:sz w:val="18"/>
          <w:szCs w:val="18"/>
          <w:color w:val="auto"/>
        </w:rPr>
      </w:pPr>
    </w:p>
    <w:p>
      <w:pPr>
        <w:ind w:left="1800" w:right="799" w:hanging="180"/>
        <w:spacing w:after="0" w:line="268" w:lineRule="auto"/>
        <w:tabs>
          <w:tab w:leader="none" w:pos="18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delivering a later-dated, executed proxy card or written notice of revocation of your proxy to Equiniti Trust Company, LLC, 55 Challenger Road, Suite 200B, Ridgefield Park, NJ 07660 no later than 5:00 p.m. Eastern Time on May 19, 2026; or</w:t>
      </w:r>
    </w:p>
    <w:p>
      <w:pPr>
        <w:spacing w:after="0" w:line="62" w:lineRule="exact"/>
        <w:rPr>
          <w:rFonts w:ascii="Arial" w:cs="Arial" w:eastAsia="Arial" w:hAnsi="Arial"/>
          <w:sz w:val="18"/>
          <w:szCs w:val="18"/>
          <w:color w:val="auto"/>
        </w:rPr>
      </w:pPr>
    </w:p>
    <w:p>
      <w:pPr>
        <w:ind w:left="1800" w:right="559" w:hanging="180"/>
        <w:spacing w:after="0" w:line="268" w:lineRule="auto"/>
        <w:tabs>
          <w:tab w:leader="none" w:pos="18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attending the PAA Annual Meeting and voting during the PAA Annual Meeting pursuant to the instructions above. Please note that attendance at the PAA Annual Meeting will not by itself (i.e., without also voting) revoke a previously granted proxy.</w:t>
      </w:r>
    </w:p>
    <w:p>
      <w:pPr>
        <w:spacing w:after="0" w:line="103" w:lineRule="exact"/>
        <w:rPr>
          <w:sz w:val="20"/>
          <w:szCs w:val="20"/>
          <w:color w:val="auto"/>
        </w:rPr>
      </w:pPr>
    </w:p>
    <w:p>
      <w:pPr>
        <w:ind w:left="1620" w:right="499"/>
        <w:spacing w:after="0" w:line="278" w:lineRule="auto"/>
        <w:rPr>
          <w:sz w:val="20"/>
          <w:szCs w:val="20"/>
          <w:color w:val="auto"/>
        </w:rPr>
      </w:pPr>
      <w:r>
        <w:rPr>
          <w:rFonts w:ascii="Arial" w:cs="Arial" w:eastAsia="Arial" w:hAnsi="Arial"/>
          <w:sz w:val="17"/>
          <w:szCs w:val="17"/>
          <w:color w:val="auto"/>
        </w:rPr>
        <w:t>If you were a beneficial owner of common units held in street name as of the close of business on the Record Date and you have instructed your broker or other nominee to vote your units, you must follow the procedures provided by your broker or other nominee to change those instructions. You may also vote during the PAA Annual Meeting if you obtain a legal proxy from your broker or other nominee and register to attend the PAA Annual Meeting pursuant to the instructions above.</w:t>
      </w:r>
    </w:p>
    <w:p>
      <w:pPr>
        <w:spacing w:after="0" w:line="96"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is a broker non-vote?</w:t>
      </w:r>
    </w:p>
    <w:p>
      <w:pPr>
        <w:spacing w:after="0" w:line="144" w:lineRule="exact"/>
        <w:rPr>
          <w:sz w:val="20"/>
          <w:szCs w:val="20"/>
          <w:color w:val="auto"/>
        </w:rPr>
      </w:pPr>
    </w:p>
    <w:p>
      <w:pPr>
        <w:ind w:left="1620" w:right="439" w:hanging="360"/>
        <w:spacing w:after="0" w:line="253" w:lineRule="auto"/>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broker non-vote occurs when units held by a broker, bank or other nominee on behalf of a beneficial owner are not voted with respect to a particular matter because the broker lacks discretionary authority to vote the units and has not received voting instructions from the beneficial owner. Brokers, banks and other nominees only have discretionary authority to vote on routine proposals; they are prohibited from voting on non-routine proposals without instructions from the beneficial owner. The ratification of the independent auditor (Proposal 2) is the only routine matter on which brokers, banks and other nominees may vote in their discretion on behalf of beneficial owners who have not provided voting instructions. The election of directors (Proposal 1) and the advisory vote to approve our 2025 named executive officer compensation (Proposal 3) are non-routine matters. If a broker returns a proxy with a voting choice selected for a routine proposal but with no voting choice selected for a non-routine proposal, the result is a broker non-vote. Broker non-votes are counted as present and entitled to vote for purposes of determining a quorum at the meeting, but are not considered votes cast and will have no impact on non-routine matters. Accordingly, we do not expect there to be any broker non-votes for Proposal 2 and broker non-votes will not be counted with respect to Proposals 1 and 3.</w:t>
      </w:r>
    </w:p>
    <w:p>
      <w:pPr>
        <w:spacing w:after="0" w:line="116"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constitutes a quorum?</w:t>
      </w:r>
    </w:p>
    <w:p>
      <w:pPr>
        <w:spacing w:after="0" w:line="158" w:lineRule="exact"/>
        <w:rPr>
          <w:sz w:val="20"/>
          <w:szCs w:val="20"/>
          <w:color w:val="auto"/>
        </w:rPr>
      </w:pPr>
    </w:p>
    <w:p>
      <w:pPr>
        <w:ind w:left="1620" w:right="499" w:hanging="360"/>
        <w:spacing w:after="0" w:line="262" w:lineRule="auto"/>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holders of a majority of the outstanding common units and Series A preferred units (on an as-converted basis), considered together, entitled to vote and present in person or by proxy at the PAA Annual Meeting shall constitute a quorum. Your units will be counted as present at the PAA Annual Meeting if:</w:t>
      </w:r>
    </w:p>
    <w:p>
      <w:pPr>
        <w:spacing w:after="0" w:line="35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you are present and vote at the meeting; or</w:t>
      </w:r>
    </w:p>
    <w:p>
      <w:pPr>
        <w:spacing w:after="0" w:line="117" w:lineRule="exact"/>
        <w:rPr>
          <w:rFonts w:ascii="Arial" w:cs="Arial" w:eastAsia="Arial" w:hAnsi="Arial"/>
          <w:sz w:val="18"/>
          <w:szCs w:val="18"/>
          <w:color w:val="auto"/>
        </w:rPr>
      </w:pPr>
    </w:p>
    <w:p>
      <w:pPr>
        <w:ind w:left="1800" w:right="719" w:hanging="180"/>
        <w:spacing w:after="0" w:line="28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you, or your broker if you are a beneficial owner of units held in street name, have submitted a properly executed proxy.</w:t>
      </w:r>
    </w:p>
    <w:p>
      <w:pPr>
        <w:spacing w:after="0" w:line="85" w:lineRule="exact"/>
        <w:rPr>
          <w:sz w:val="20"/>
          <w:szCs w:val="20"/>
          <w:color w:val="auto"/>
        </w:rPr>
      </w:pPr>
    </w:p>
    <w:p>
      <w:pPr>
        <w:ind w:left="1620" w:right="879"/>
        <w:spacing w:after="0" w:line="287" w:lineRule="auto"/>
        <w:rPr>
          <w:sz w:val="20"/>
          <w:szCs w:val="20"/>
          <w:color w:val="auto"/>
        </w:rPr>
      </w:pPr>
      <w:r>
        <w:rPr>
          <w:rFonts w:ascii="Arial" w:cs="Arial" w:eastAsia="Arial" w:hAnsi="Arial"/>
          <w:sz w:val="18"/>
          <w:szCs w:val="18"/>
          <w:color w:val="auto"/>
        </w:rPr>
        <w:t>Executed proxies received but marked as abstentions and broker non-votes will be counted as present for purposes of determining the presence of a quorum.</w:t>
      </w:r>
    </w:p>
    <w:p>
      <w:pPr>
        <w:spacing w:after="0" w:line="85" w:lineRule="exact"/>
        <w:rPr>
          <w:sz w:val="20"/>
          <w:szCs w:val="20"/>
          <w:color w:val="auto"/>
        </w:rPr>
      </w:pPr>
    </w:p>
    <w:p>
      <w:pPr>
        <w:ind w:left="1620" w:right="739" w:hanging="360"/>
        <w:spacing w:after="0" w:line="296" w:lineRule="auto"/>
        <w:tabs>
          <w:tab w:leader="none" w:pos="16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I be voting on and what vote is required to approve the proposals discussed in this proxy statement?</w:t>
      </w:r>
    </w:p>
    <w:p>
      <w:pPr>
        <w:spacing w:after="0" w:line="56" w:lineRule="exact"/>
        <w:rPr>
          <w:sz w:val="20"/>
          <w:szCs w:val="20"/>
          <w:color w:val="auto"/>
        </w:rPr>
      </w:pPr>
    </w:p>
    <w:p>
      <w:pPr>
        <w:ind w:left="1620" w:right="439" w:hanging="360"/>
        <w:spacing w:after="0" w:line="257"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Unitholders (other than Plains AAP) will be casting a “pass-through” vote on Proposals 1, 2 and 3 by instructing PAA how to vote its PAGP Class C shares on such proposals at PAGP’s annual meeting. PAA will vote (or refrain from voting) its Class C shares on each matter submitted to PAGP’s shareholders in the same proportion as the votes received from or withheld by the Unitholders with respect to such matter. The proposals that will be voted upon and the required vote for approval of such proposals is set forth in the following table:</w:t>
      </w:r>
    </w:p>
    <w:p>
      <w:pPr>
        <w:spacing w:after="0" w:line="174" w:lineRule="exact"/>
        <w:rPr>
          <w:sz w:val="20"/>
          <w:szCs w:val="20"/>
          <w:color w:val="auto"/>
        </w:rPr>
      </w:pPr>
    </w:p>
    <w:tbl>
      <w:tblPr>
        <w:tblLayout w:type="fixed"/>
        <w:tblInd w:w="1620" w:type="dxa"/>
        <w:tblCellMar>
          <w:top w:w="0" w:type="dxa"/>
          <w:left w:w="0" w:type="dxa"/>
          <w:bottom w:w="0" w:type="dxa"/>
          <w:right w:w="0" w:type="dxa"/>
        </w:tblCellMar>
      </w:tblPr>
      <w:tr>
        <w:trPr>
          <w:trHeight w:val="288"/>
        </w:trPr>
        <w:tc>
          <w:tcPr>
            <w:tcW w:w="1600" w:type="dxa"/>
            <w:vAlign w:val="bottom"/>
            <w:shd w:val="clear" w:color="auto" w:fill="424E6A"/>
          </w:tcPr>
          <w:p>
            <w:pPr>
              <w:spacing w:after="0"/>
              <w:rPr>
                <w:sz w:val="24"/>
                <w:szCs w:val="24"/>
                <w:color w:val="auto"/>
              </w:rPr>
            </w:pPr>
          </w:p>
        </w:tc>
        <w:tc>
          <w:tcPr>
            <w:tcW w:w="1340" w:type="dxa"/>
            <w:vAlign w:val="bottom"/>
            <w:shd w:val="clear" w:color="auto" w:fill="424E6A"/>
          </w:tcPr>
          <w:p>
            <w:pPr>
              <w:spacing w:after="0"/>
              <w:rPr>
                <w:sz w:val="24"/>
                <w:szCs w:val="24"/>
                <w:color w:val="auto"/>
              </w:rPr>
            </w:pPr>
          </w:p>
        </w:tc>
        <w:tc>
          <w:tcPr>
            <w:tcW w:w="1700" w:type="dxa"/>
            <w:vAlign w:val="bottom"/>
            <w:shd w:val="clear" w:color="auto" w:fill="424E6A"/>
          </w:tcPr>
          <w:p>
            <w:pPr>
              <w:spacing w:after="0"/>
              <w:rPr>
                <w:sz w:val="24"/>
                <w:szCs w:val="24"/>
                <w:color w:val="auto"/>
              </w:rPr>
            </w:pPr>
          </w:p>
        </w:tc>
        <w:tc>
          <w:tcPr>
            <w:tcW w:w="3200" w:type="dxa"/>
            <w:vAlign w:val="bottom"/>
            <w:shd w:val="clear" w:color="auto" w:fill="424E6A"/>
          </w:tcPr>
          <w:p>
            <w:pPr>
              <w:jc w:val="center"/>
              <w:ind w:left="233"/>
              <w:spacing w:after="0"/>
              <w:rPr>
                <w:sz w:val="20"/>
                <w:szCs w:val="20"/>
                <w:color w:val="auto"/>
              </w:rPr>
            </w:pPr>
            <w:r>
              <w:rPr>
                <w:rFonts w:ascii="Arial" w:cs="Arial" w:eastAsia="Arial" w:hAnsi="Arial"/>
                <w:sz w:val="14"/>
                <w:szCs w:val="14"/>
                <w:b w:val="1"/>
                <w:bCs w:val="1"/>
                <w:color w:val="FFFFFF"/>
              </w:rPr>
              <w:t>Vote Required for Approval of</w:t>
            </w:r>
          </w:p>
        </w:tc>
      </w:tr>
      <w:tr>
        <w:trPr>
          <w:trHeight w:val="198"/>
        </w:trPr>
        <w:tc>
          <w:tcPr>
            <w:tcW w:w="1600" w:type="dxa"/>
            <w:vAlign w:val="bottom"/>
            <w:tcBorders>
              <w:bottom w:val="single" w:sz="8" w:color="auto"/>
            </w:tcBorders>
            <w:shd w:val="clear" w:color="auto" w:fill="424E6A"/>
          </w:tcPr>
          <w:p>
            <w:pPr>
              <w:ind w:left="6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Proposal</w:t>
            </w:r>
          </w:p>
        </w:tc>
        <w:tc>
          <w:tcPr>
            <w:tcW w:w="1340" w:type="dxa"/>
            <w:vAlign w:val="bottom"/>
            <w:tcBorders>
              <w:bottom w:val="single" w:sz="8" w:color="auto"/>
            </w:tcBorders>
            <w:shd w:val="clear" w:color="auto" w:fill="424E6A"/>
          </w:tcPr>
          <w:p>
            <w:pPr>
              <w:ind w:left="880"/>
              <w:spacing w:after="0"/>
              <w:rPr>
                <w:sz w:val="20"/>
                <w:szCs w:val="20"/>
                <w:color w:val="auto"/>
              </w:rPr>
            </w:pPr>
            <w:r>
              <w:rPr>
                <w:rFonts w:ascii="Arial" w:cs="Arial" w:eastAsia="Arial" w:hAnsi="Arial"/>
                <w:sz w:val="14"/>
                <w:szCs w:val="14"/>
                <w:b w:val="1"/>
                <w:bCs w:val="1"/>
                <w:color w:val="FFFFFF"/>
              </w:rPr>
              <w:t>​ ​</w:t>
            </w:r>
          </w:p>
        </w:tc>
        <w:tc>
          <w:tcPr>
            <w:tcW w:w="1700" w:type="dxa"/>
            <w:vAlign w:val="bottom"/>
            <w:tcBorders>
              <w:bottom w:val="single" w:sz="8" w:color="auto"/>
            </w:tcBorders>
            <w:shd w:val="clear" w:color="auto" w:fill="424E6A"/>
          </w:tcPr>
          <w:p>
            <w:pPr>
              <w:ind w:left="320"/>
              <w:spacing w:after="0"/>
              <w:rPr>
                <w:sz w:val="20"/>
                <w:szCs w:val="20"/>
                <w:color w:val="auto"/>
              </w:rPr>
            </w:pPr>
            <w:r>
              <w:rPr>
                <w:rFonts w:ascii="Arial" w:cs="Arial" w:eastAsia="Arial" w:hAnsi="Arial"/>
                <w:sz w:val="14"/>
                <w:szCs w:val="14"/>
                <w:b w:val="1"/>
                <w:bCs w:val="1"/>
                <w:color w:val="FFFFFF"/>
              </w:rPr>
              <w:t>Voting Options</w:t>
            </w:r>
          </w:p>
        </w:tc>
        <w:tc>
          <w:tcPr>
            <w:tcW w:w="3200" w:type="dxa"/>
            <w:vAlign w:val="bottom"/>
            <w:tcBorders>
              <w:bottom w:val="single" w:sz="8" w:color="auto"/>
            </w:tcBorders>
            <w:shd w:val="clear" w:color="auto" w:fill="424E6A"/>
          </w:tcPr>
          <w:p>
            <w:pPr>
              <w:jc w:val="center"/>
              <w:ind w:left="253"/>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 Proposal at the PAGP Annual Meeting </w:t>
            </w:r>
            <w:r>
              <w:rPr>
                <w:rFonts w:ascii="Arial" w:cs="Arial" w:eastAsia="Arial" w:hAnsi="Arial"/>
                <w:sz w:val="22"/>
                <w:szCs w:val="22"/>
                <w:b w:val="1"/>
                <w:bCs w:val="1"/>
                <w:color w:val="FFFFFF"/>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-7620</wp:posOffset>
            </wp:positionV>
            <wp:extent cx="4980305" cy="12084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80305" cy="120840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3" w:lineRule="exact"/>
        <w:rPr>
          <w:sz w:val="20"/>
          <w:szCs w:val="20"/>
          <w:color w:val="auto"/>
        </w:rPr>
      </w:pPr>
    </w:p>
    <w:p>
      <w:pPr>
        <w:ind w:left="1720" w:hanging="100"/>
        <w:spacing w:after="0" w:line="274" w:lineRule="auto"/>
        <w:tabs>
          <w:tab w:leader="none" w:pos="17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1. The election of four Class I directors to serve on the Board until the 2029 annual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 You may vote “FOR”, or you may​ ​ Directors will be elected by a plurality​</w:t>
      </w:r>
    </w:p>
    <w:p>
      <w:pPr>
        <w:spacing w:after="0" w:line="34" w:lineRule="exact"/>
        <w:rPr>
          <w:sz w:val="20"/>
          <w:szCs w:val="20"/>
          <w:color w:val="auto"/>
        </w:rPr>
      </w:pPr>
    </w:p>
    <w:p>
      <w:pPr>
        <w:ind w:left="160"/>
        <w:spacing w:after="0"/>
        <w:tabs>
          <w:tab w:leader="none" w:pos="2640" w:val="left"/>
        </w:tabs>
        <w:rPr>
          <w:sz w:val="20"/>
          <w:szCs w:val="20"/>
          <w:color w:val="auto"/>
        </w:rPr>
      </w:pPr>
      <w:r>
        <w:rPr>
          <w:rFonts w:ascii="Arial" w:cs="Arial" w:eastAsia="Arial" w:hAnsi="Arial"/>
          <w:sz w:val="16"/>
          <w:szCs w:val="16"/>
          <w:color w:val="auto"/>
        </w:rPr>
        <w:t>“WITHHOLD” authority to vote</w:t>
      </w:r>
      <w:r>
        <w:rPr>
          <w:sz w:val="20"/>
          <w:szCs w:val="20"/>
          <w:color w:val="auto"/>
        </w:rPr>
        <w:tab/>
      </w:r>
      <w:r>
        <w:rPr>
          <w:rFonts w:ascii="Arial" w:cs="Arial" w:eastAsia="Arial" w:hAnsi="Arial"/>
          <w:sz w:val="15"/>
          <w:szCs w:val="15"/>
          <w:color w:val="auto"/>
        </w:rPr>
        <w:t>of the votes cast by the holders of</w:t>
      </w:r>
    </w:p>
    <w:p>
      <w:pPr>
        <w:spacing w:after="0" w:line="5" w:lineRule="exact"/>
        <w:rPr>
          <w:sz w:val="20"/>
          <w:szCs w:val="20"/>
          <w:color w:val="auto"/>
        </w:rPr>
      </w:pPr>
    </w:p>
    <w:p>
      <w:pPr>
        <w:ind w:left="160"/>
        <w:spacing w:after="0"/>
        <w:tabs>
          <w:tab w:leader="none" w:pos="2640" w:val="left"/>
        </w:tabs>
        <w:rPr>
          <w:sz w:val="20"/>
          <w:szCs w:val="20"/>
          <w:color w:val="auto"/>
        </w:rPr>
      </w:pPr>
      <w:r>
        <w:rPr>
          <w:rFonts w:ascii="Arial" w:cs="Arial" w:eastAsia="Arial" w:hAnsi="Arial"/>
          <w:sz w:val="16"/>
          <w:szCs w:val="16"/>
          <w:color w:val="auto"/>
        </w:rPr>
        <w:t>for, all, some or none of the</w:t>
      </w:r>
      <w:r>
        <w:rPr>
          <w:sz w:val="20"/>
          <w:szCs w:val="20"/>
          <w:color w:val="auto"/>
        </w:rPr>
        <w:tab/>
      </w:r>
      <w:r>
        <w:rPr>
          <w:rFonts w:ascii="Arial" w:cs="Arial" w:eastAsia="Arial" w:hAnsi="Arial"/>
          <w:sz w:val="15"/>
          <w:szCs w:val="15"/>
          <w:color w:val="auto"/>
        </w:rPr>
        <w:t>the Class A, Class B and Class C</w:t>
      </w:r>
    </w:p>
    <w:p>
      <w:pPr>
        <w:spacing w:after="0" w:line="14" w:lineRule="exact"/>
        <w:rPr>
          <w:sz w:val="20"/>
          <w:szCs w:val="20"/>
          <w:color w:val="auto"/>
        </w:rPr>
      </w:pPr>
    </w:p>
    <w:p>
      <w:pPr>
        <w:sectPr>
          <w:pgSz w:w="11900" w:h="16838" w:orient="portrait"/>
          <w:cols w:equalWidth="0" w:num="2">
            <w:col w:w="3900" w:space="160"/>
            <w:col w:w="5819"/>
          </w:cols>
          <w:pgMar w:left="580" w:top="97" w:right="1440" w:bottom="1440" w:gutter="0" w:footer="0" w:header="0"/>
          <w:type w:val="continuous"/>
        </w:sectPr>
      </w:pPr>
    </w:p>
    <w:p>
      <w:pPr>
        <w:ind w:left="4220"/>
        <w:spacing w:after="0"/>
        <w:rPr>
          <w:sz w:val="20"/>
          <w:szCs w:val="20"/>
          <w:color w:val="auto"/>
        </w:rPr>
      </w:pPr>
      <w:r>
        <w:rPr>
          <w:rFonts w:ascii="Arial" w:cs="Arial" w:eastAsia="Arial" w:hAnsi="Arial"/>
          <w:sz w:val="15"/>
          <w:szCs w:val="15"/>
          <w:color w:val="auto"/>
        </w:rPr>
        <w:t>nominees for director.</w:t>
      </w:r>
    </w:p>
    <w:p>
      <w:pPr>
        <w:spacing w:after="0" w:line="20" w:lineRule="exact"/>
        <w:rPr>
          <w:sz w:val="20"/>
          <w:szCs w:val="20"/>
          <w:color w:val="auto"/>
        </w:rPr>
      </w:pPr>
      <w:r>
        <w:rPr>
          <w:sz w:val="20"/>
          <w:szCs w:val="20"/>
          <w:color w:val="auto"/>
        </w:rPr>
        <w:br w:type="column"/>
      </w:r>
    </w:p>
    <w:p>
      <w:pPr>
        <w:ind w:right="539"/>
        <w:spacing w:after="0" w:line="275" w:lineRule="auto"/>
        <w:rPr>
          <w:sz w:val="20"/>
          <w:szCs w:val="20"/>
          <w:color w:val="auto"/>
        </w:rPr>
      </w:pPr>
      <w:r>
        <w:rPr>
          <w:rFonts w:ascii="Arial" w:cs="Arial" w:eastAsia="Arial" w:hAnsi="Arial"/>
          <w:sz w:val="15"/>
          <w:szCs w:val="15"/>
          <w:color w:val="auto"/>
        </w:rPr>
        <w:t>shares (voting as a single class) entitled to vote and present in person or by proxy at the meeting. Withheld votes and broker non-votes are not considered votes cast and will have no effect on the election of directors.</w:t>
      </w:r>
    </w:p>
    <w:p>
      <w:pPr>
        <w:spacing w:after="0" w:line="1" w:lineRule="exact"/>
        <w:rPr>
          <w:sz w:val="20"/>
          <w:szCs w:val="20"/>
          <w:color w:val="auto"/>
        </w:rPr>
      </w:pPr>
    </w:p>
    <w:p>
      <w:pPr>
        <w:sectPr>
          <w:pgSz w:w="11900" w:h="16838" w:orient="portrait"/>
          <w:cols w:equalWidth="0" w:num="2">
            <w:col w:w="6000" w:space="720"/>
            <w:col w:w="3159"/>
          </w:cols>
          <w:pgMar w:left="580" w:top="97" w:right="1440" w:bottom="1440" w:gutter="0" w:footer="0" w:header="0"/>
          <w:type w:val="continuous"/>
        </w:sectPr>
      </w:pPr>
    </w:p>
    <w:p>
      <w:pPr>
        <w:spacing w:after="0" w:line="124" w:lineRule="exact"/>
        <w:rPr>
          <w:sz w:val="20"/>
          <w:szCs w:val="20"/>
          <w:color w:val="auto"/>
        </w:rPr>
      </w:pPr>
    </w:p>
    <w:p>
      <w:pPr>
        <w:ind w:left="1720" w:hanging="100"/>
        <w:spacing w:after="0" w:line="224" w:lineRule="auto"/>
        <w:tabs>
          <w:tab w:leader="none" w:pos="1720" w:val="left"/>
        </w:tabs>
        <w:numPr>
          <w:ilvl w:val="0"/>
          <w:numId w:val="21"/>
        </w:numPr>
        <w:rPr>
          <w:rFonts w:ascii="Arial" w:cs="Arial" w:eastAsia="Arial" w:hAnsi="Arial"/>
          <w:sz w:val="32"/>
          <w:szCs w:val="32"/>
          <w:color w:val="auto"/>
          <w:vertAlign w:val="superscript"/>
        </w:rPr>
      </w:pPr>
      <w:r>
        <w:rPr>
          <w:rFonts w:ascii="Arial" w:cs="Arial" w:eastAsia="Arial" w:hAnsi="Arial"/>
          <w:sz w:val="16"/>
          <w:szCs w:val="16"/>
          <w:color w:val="auto"/>
        </w:rPr>
        <w:t>2. The ratification of the appointment of PricewaterhouseCoopers LLP as PAGP’s and PAA’s independent registered public accounting firm for the fiscal year ending December 31, 2026.</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left="157" w:hanging="157"/>
        <w:spacing w:after="0" w:line="223" w:lineRule="auto"/>
        <w:tabs>
          <w:tab w:leader="none" w:pos="76" w:val="left"/>
        </w:tabs>
        <w:numPr>
          <w:ilvl w:val="0"/>
          <w:numId w:val="22"/>
        </w:numPr>
        <w:rPr>
          <w:rFonts w:ascii="Arial" w:cs="Arial" w:eastAsia="Arial" w:hAnsi="Arial"/>
          <w:sz w:val="29"/>
          <w:szCs w:val="29"/>
          <w:color w:val="auto"/>
          <w:vertAlign w:val="superscript"/>
        </w:rPr>
      </w:pPr>
      <w:r>
        <w:rPr>
          <w:rFonts w:ascii="Arial" w:cs="Arial" w:eastAsia="Arial" w:hAnsi="Arial"/>
          <w:sz w:val="29"/>
          <w:szCs w:val="29"/>
          <w:color w:val="auto"/>
          <w:vertAlign w:val="superscript"/>
        </w:rPr>
        <w:t>​</w:t>
      </w:r>
      <w:r>
        <w:rPr>
          <w:rFonts w:ascii="Arial" w:cs="Arial" w:eastAsia="Arial" w:hAnsi="Arial"/>
          <w:sz w:val="15"/>
          <w:szCs w:val="15"/>
          <w:color w:val="auto"/>
        </w:rPr>
        <w:t xml:space="preserve"> You may vote “FOR” or “AGAINST” the proposal, or you may “ABSTAIN” from voting.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4"/>
        </w:trPr>
        <w:tc>
          <w:tcPr>
            <w:tcW w:w="2680" w:type="dxa"/>
            <w:vAlign w:val="bottom"/>
          </w:tcPr>
          <w:p>
            <w:pPr>
              <w:spacing w:after="0" w:line="313" w:lineRule="exact"/>
              <w:rPr>
                <w:sz w:val="20"/>
                <w:szCs w:val="20"/>
                <w:color w:val="auto"/>
              </w:rPr>
            </w:pPr>
            <w:r>
              <w:rPr>
                <w:rFonts w:ascii="Arial" w:cs="Arial" w:eastAsia="Arial" w:hAnsi="Arial"/>
                <w:sz w:val="32"/>
                <w:szCs w:val="32"/>
                <w:color w:val="auto"/>
                <w:vertAlign w:val="superscript"/>
              </w:rPr>
              <w:t>​ ​</w:t>
            </w:r>
            <w:r>
              <w:rPr>
                <w:rFonts w:ascii="Arial" w:cs="Arial" w:eastAsia="Arial" w:hAnsi="Arial"/>
                <w:sz w:val="16"/>
                <w:szCs w:val="16"/>
                <w:color w:val="auto"/>
              </w:rPr>
              <w:t xml:space="preserve"> In order for this proposal to be</w:t>
            </w:r>
          </w:p>
        </w:tc>
        <w:tc>
          <w:tcPr>
            <w:tcW w:w="140" w:type="dxa"/>
            <w:vAlign w:val="bottom"/>
          </w:tcPr>
          <w:p>
            <w:pPr>
              <w:ind w:left="100"/>
              <w:spacing w:after="0"/>
              <w:rPr>
                <w:sz w:val="20"/>
                <w:szCs w:val="20"/>
                <w:color w:val="auto"/>
              </w:rPr>
            </w:pPr>
            <w:r>
              <w:rPr>
                <w:rFonts w:ascii="Arial" w:cs="Arial" w:eastAsia="Arial" w:hAnsi="Arial"/>
                <w:sz w:val="16"/>
                <w:szCs w:val="16"/>
                <w:color w:val="auto"/>
              </w:rPr>
              <w:t>​</w:t>
            </w:r>
          </w:p>
        </w:tc>
      </w:tr>
      <w:tr>
        <w:trPr>
          <w:trHeight w:val="189"/>
        </w:trPr>
        <w:tc>
          <w:tcPr>
            <w:tcW w:w="2680" w:type="dxa"/>
            <w:vAlign w:val="bottom"/>
          </w:tcPr>
          <w:p>
            <w:pPr>
              <w:ind w:left="160"/>
              <w:spacing w:after="0"/>
              <w:rPr>
                <w:sz w:val="20"/>
                <w:szCs w:val="20"/>
                <w:color w:val="auto"/>
              </w:rPr>
            </w:pPr>
            <w:r>
              <w:rPr>
                <w:rFonts w:ascii="Arial" w:cs="Arial" w:eastAsia="Arial" w:hAnsi="Arial"/>
                <w:sz w:val="16"/>
                <w:szCs w:val="16"/>
                <w:color w:val="auto"/>
              </w:rPr>
              <w:t>approved, it must receive the</w:t>
            </w:r>
          </w:p>
        </w:tc>
        <w:tc>
          <w:tcPr>
            <w:tcW w:w="140" w:type="dxa"/>
            <w:vAlign w:val="bottom"/>
          </w:tcPr>
          <w:p>
            <w:pPr>
              <w:spacing w:after="0"/>
              <w:rPr>
                <w:sz w:val="16"/>
                <w:szCs w:val="16"/>
                <w:color w:val="auto"/>
              </w:rPr>
            </w:pPr>
          </w:p>
        </w:tc>
      </w:tr>
      <w:tr>
        <w:trPr>
          <w:trHeight w:val="215"/>
        </w:trPr>
        <w:tc>
          <w:tcPr>
            <w:tcW w:w="2680" w:type="dxa"/>
            <w:vAlign w:val="bottom"/>
          </w:tcPr>
          <w:p>
            <w:pPr>
              <w:ind w:left="160"/>
              <w:spacing w:after="0"/>
              <w:rPr>
                <w:sz w:val="20"/>
                <w:szCs w:val="20"/>
                <w:color w:val="auto"/>
              </w:rPr>
            </w:pPr>
            <w:r>
              <w:rPr>
                <w:rFonts w:ascii="Arial" w:cs="Arial" w:eastAsia="Arial" w:hAnsi="Arial"/>
                <w:sz w:val="16"/>
                <w:szCs w:val="16"/>
                <w:color w:val="auto"/>
              </w:rPr>
              <w:t>affirmative vote of a majority of the</w:t>
            </w:r>
          </w:p>
        </w:tc>
        <w:tc>
          <w:tcPr>
            <w:tcW w:w="140" w:type="dxa"/>
            <w:vAlign w:val="bottom"/>
          </w:tcPr>
          <w:p>
            <w:pPr>
              <w:spacing w:after="0"/>
              <w:rPr>
                <w:sz w:val="18"/>
                <w:szCs w:val="18"/>
                <w:color w:val="auto"/>
              </w:rPr>
            </w:pPr>
          </w:p>
        </w:tc>
      </w:tr>
    </w:tbl>
    <w:p>
      <w:pPr>
        <w:ind w:left="160" w:right="539"/>
        <w:spacing w:after="0" w:line="255" w:lineRule="auto"/>
        <w:rPr>
          <w:sz w:val="20"/>
          <w:szCs w:val="20"/>
          <w:color w:val="auto"/>
        </w:rPr>
      </w:pPr>
      <w:r>
        <w:rPr>
          <w:rFonts w:ascii="Arial" w:cs="Arial" w:eastAsia="Arial" w:hAnsi="Arial"/>
          <w:sz w:val="16"/>
          <w:szCs w:val="16"/>
          <w:color w:val="auto"/>
        </w:rPr>
        <w:t>Class A, Class B and Class C shares (voting as a single class) entitled to vote and present in person or by proxy at the meeting. Abstentions will be counted as votes present and entitled to vote and will have the same effect as votes “AGAINST” this proposal. We do not expect there to be any broker non-votes with respect to this proposal.</w:t>
      </w:r>
    </w:p>
    <w:p>
      <w:pPr>
        <w:spacing w:after="0" w:line="1" w:lineRule="exact"/>
        <w:rPr>
          <w:sz w:val="20"/>
          <w:szCs w:val="20"/>
          <w:color w:val="auto"/>
        </w:rPr>
      </w:pPr>
    </w:p>
    <w:p>
      <w:pPr>
        <w:sectPr>
          <w:pgSz w:w="11900" w:h="16838" w:orient="portrait"/>
          <w:cols w:equalWidth="0" w:num="3">
            <w:col w:w="4060" w:space="3"/>
            <w:col w:w="2417" w:space="80"/>
            <w:col w:w="3319"/>
          </w:cols>
          <w:pgMar w:left="580" w:top="97" w:right="1440" w:bottom="1440" w:gutter="0" w:footer="0" w:header="0"/>
          <w:type w:val="continuous"/>
        </w:sectPr>
      </w:pPr>
    </w:p>
    <w:p>
      <w:pPr>
        <w:ind w:left="1620"/>
        <w:spacing w:after="0"/>
        <w:tabs>
          <w:tab w:leader="none" w:pos="4040" w:val="left"/>
        </w:tabs>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3. The approval, on a non-</w:t>
      </w:r>
      <w:r>
        <w:rPr>
          <w:sz w:val="20"/>
          <w:szCs w:val="20"/>
          <w:color w:val="auto"/>
        </w:rPr>
        <w:tab/>
      </w:r>
      <w:r>
        <w:rPr>
          <w:rFonts w:ascii="Arial" w:cs="Arial" w:eastAsia="Arial" w:hAnsi="Arial"/>
          <w:sz w:val="16"/>
          <w:szCs w:val="16"/>
          <w:color w:val="auto"/>
          <w:vertAlign w:val="superscript"/>
        </w:rPr>
        <w:t xml:space="preserve">​ ​ </w:t>
      </w:r>
      <w:r>
        <w:rPr>
          <w:rFonts w:ascii="Arial" w:cs="Arial" w:eastAsia="Arial" w:hAnsi="Arial"/>
          <w:sz w:val="16"/>
          <w:szCs w:val="16"/>
          <w:color w:val="auto"/>
        </w:rPr>
        <w:t>You may vote “FOR”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-146050</wp:posOffset>
            </wp:positionV>
            <wp:extent cx="4980305" cy="18516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80305" cy="1851660"/>
                    </a:xfrm>
                    <a:prstGeom prst="rect">
                      <a:avLst/>
                    </a:prstGeom>
                    <a:noFill/>
                  </pic:spPr>
                </pic:pic>
              </a:graphicData>
            </a:graphic>
          </wp:anchor>
        </w:drawing>
      </w:r>
    </w:p>
    <w:p>
      <w:pPr>
        <w:ind w:left="1720"/>
        <w:spacing w:after="0"/>
        <w:tabs>
          <w:tab w:leader="none" w:pos="4200" w:val="left"/>
        </w:tabs>
        <w:rPr>
          <w:sz w:val="20"/>
          <w:szCs w:val="20"/>
          <w:color w:val="auto"/>
        </w:rPr>
      </w:pPr>
      <w:r>
        <w:rPr>
          <w:rFonts w:ascii="Arial" w:cs="Arial" w:eastAsia="Arial" w:hAnsi="Arial"/>
          <w:sz w:val="16"/>
          <w:szCs w:val="16"/>
          <w:color w:val="auto"/>
        </w:rPr>
        <w:t>binding advisory basis, of our</w:t>
      </w:r>
      <w:r>
        <w:rPr>
          <w:sz w:val="20"/>
          <w:szCs w:val="20"/>
          <w:color w:val="auto"/>
        </w:rPr>
        <w:tab/>
      </w:r>
      <w:r>
        <w:rPr>
          <w:rFonts w:ascii="Arial" w:cs="Arial" w:eastAsia="Arial" w:hAnsi="Arial"/>
          <w:sz w:val="15"/>
          <w:szCs w:val="15"/>
          <w:color w:val="auto"/>
        </w:rPr>
        <w:t>“AGAINST” the proposal, or you</w:t>
      </w:r>
    </w:p>
    <w:p>
      <w:pPr>
        <w:spacing w:after="0" w:line="5" w:lineRule="exact"/>
        <w:rPr>
          <w:sz w:val="20"/>
          <w:szCs w:val="20"/>
          <w:color w:val="auto"/>
        </w:rPr>
      </w:pPr>
    </w:p>
    <w:p>
      <w:pPr>
        <w:ind w:left="1720"/>
        <w:spacing w:after="0"/>
        <w:tabs>
          <w:tab w:leader="none" w:pos="4200" w:val="left"/>
        </w:tabs>
        <w:rPr>
          <w:sz w:val="20"/>
          <w:szCs w:val="20"/>
          <w:color w:val="auto"/>
        </w:rPr>
      </w:pPr>
      <w:r>
        <w:rPr>
          <w:rFonts w:ascii="Arial" w:cs="Arial" w:eastAsia="Arial" w:hAnsi="Arial"/>
          <w:sz w:val="16"/>
          <w:szCs w:val="16"/>
          <w:color w:val="auto"/>
        </w:rPr>
        <w:t>2025 named executive officer</w:t>
      </w:r>
      <w:r>
        <w:rPr>
          <w:sz w:val="20"/>
          <w:szCs w:val="20"/>
          <w:color w:val="auto"/>
        </w:rPr>
        <w:tab/>
      </w:r>
      <w:r>
        <w:rPr>
          <w:rFonts w:ascii="Arial" w:cs="Arial" w:eastAsia="Arial" w:hAnsi="Arial"/>
          <w:sz w:val="15"/>
          <w:szCs w:val="15"/>
          <w:color w:val="auto"/>
        </w:rPr>
        <w:t>may “ABSTAIN” from voting.</w:t>
      </w:r>
    </w:p>
    <w:p>
      <w:pPr>
        <w:spacing w:after="0" w:line="15"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compensation.</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right="499" w:hanging="161"/>
        <w:spacing w:after="0"/>
        <w:rPr>
          <w:sz w:val="20"/>
          <w:szCs w:val="20"/>
          <w:color w:val="auto"/>
        </w:rPr>
      </w:pPr>
      <w:r>
        <w:rPr>
          <w:rFonts w:ascii="Arial" w:cs="Arial" w:eastAsia="Arial" w:hAnsi="Arial"/>
          <w:sz w:val="32"/>
          <w:szCs w:val="32"/>
          <w:color w:val="auto"/>
          <w:vertAlign w:val="superscript"/>
        </w:rPr>
        <w:t>​ ​</w:t>
      </w:r>
      <w:r>
        <w:rPr>
          <w:rFonts w:ascii="Arial" w:cs="Arial" w:eastAsia="Arial" w:hAnsi="Arial"/>
          <w:sz w:val="16"/>
          <w:szCs w:val="16"/>
          <w:color w:val="auto"/>
        </w:rPr>
        <w:t xml:space="preserve"> In order for this non-binding proposal</w:t>
      </w:r>
      <w:r>
        <w:rPr>
          <w:rFonts w:ascii="Arial" w:cs="Arial" w:eastAsia="Arial" w:hAnsi="Arial"/>
          <w:sz w:val="32"/>
          <w:szCs w:val="32"/>
          <w:color w:val="auto"/>
          <w:vertAlign w:val="superscript"/>
        </w:rPr>
        <w:t>​</w:t>
      </w:r>
      <w:r>
        <w:rPr>
          <w:rFonts w:ascii="Arial" w:cs="Arial" w:eastAsia="Arial" w:hAnsi="Arial"/>
          <w:sz w:val="16"/>
          <w:szCs w:val="16"/>
          <w:color w:val="auto"/>
        </w:rPr>
        <w:t xml:space="preserve"> to be approved, it must receive the affirmative vote of a majority of the Class A, Class B and Class C shares (voting as a single class) entitled to vote and present in person or by proxy at the meeting. Abstentions will be counted as votes present and entitled to vote and will have the same effect as votes “AGAINST” this proposal. Broker non-votes are not considered votes cast and will have no effect on the outcome of this proposal.</w:t>
      </w:r>
    </w:p>
    <w:p>
      <w:pPr>
        <w:spacing w:after="0" w:line="200" w:lineRule="exact"/>
        <w:rPr>
          <w:sz w:val="20"/>
          <w:szCs w:val="20"/>
          <w:color w:val="auto"/>
        </w:rPr>
      </w:pPr>
    </w:p>
    <w:p>
      <w:pPr>
        <w:sectPr>
          <w:pgSz w:w="11900" w:h="16838" w:orient="portrait"/>
          <w:cols w:equalWidth="0" w:num="2">
            <w:col w:w="6480" w:space="240"/>
            <w:col w:w="3159"/>
          </w:cols>
          <w:pgMar w:left="580" w:top="97" w:right="1440" w:bottom="1440" w:gutter="0" w:footer="0" w:header="0"/>
          <w:type w:val="continuous"/>
        </w:sectPr>
      </w:pPr>
    </w:p>
    <w:p>
      <w:pPr>
        <w:spacing w:after="0" w:line="343"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Who covers the expense of the proxy solicitation?</w:t>
      </w:r>
    </w:p>
    <w:p>
      <w:pPr>
        <w:spacing w:after="0" w:line="158" w:lineRule="exact"/>
        <w:rPr>
          <w:sz w:val="20"/>
          <w:szCs w:val="20"/>
          <w:color w:val="auto"/>
        </w:rPr>
      </w:pPr>
    </w:p>
    <w:p>
      <w:pPr>
        <w:ind w:left="1620" w:right="419" w:hanging="360"/>
        <w:spacing w:after="0" w:line="254"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expense of preparing, printing and mailing this proxy statement and the proxies solicited hereby will be borne by us. In addition to the use of the mail, proxies may be solicited by PAGP GP’s directors and officers, as well as by employees of GP LLC, without additional remuneration, by mail, phone, fax or in person. We will also request brokerage firms, banks, nominees, custodians and fiduciaries to forward proxy materials to the beneficial owners of our units as of the close of business on the Record Date and will provide reimbursement for the cost of forwarding the proxy materials in accordance with customary practice. Your cooperation in promptly voting your units electronically, via the Internet or by telephone, or by signing and returning the enclosed proxy card will help to avoid additional expenses. We have hired Georgeson LLC to solicit proxies for a fee of $11,000 plus reasonable expenses for additional services.</w:t>
      </w:r>
    </w:p>
    <w:p>
      <w:pPr>
        <w:spacing w:after="0" w:line="118"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if I do not mark a voting choice for some of the matters listed on my proxy card?</w:t>
      </w:r>
    </w:p>
    <w:p>
      <w:pPr>
        <w:spacing w:after="0" w:line="144" w:lineRule="exact"/>
        <w:rPr>
          <w:sz w:val="20"/>
          <w:szCs w:val="20"/>
          <w:color w:val="auto"/>
        </w:rPr>
      </w:pPr>
    </w:p>
    <w:p>
      <w:pPr>
        <w:ind w:left="1620" w:right="779" w:hanging="360"/>
        <w:spacing w:after="0" w:line="268"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you return a signed proxy card without indicating your voting choice, your units will be voted in accordance with the Board’s recommendation for each proposal with respect to which a voting choice is not indicated.</w:t>
      </w:r>
    </w:p>
    <w:p>
      <w:pPr>
        <w:spacing w:after="0" w:line="103"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Who will tabulate and certify the vote?</w:t>
      </w:r>
    </w:p>
    <w:p>
      <w:pPr>
        <w:spacing w:after="0" w:line="158" w:lineRule="exact"/>
        <w:rPr>
          <w:sz w:val="20"/>
          <w:szCs w:val="20"/>
          <w:color w:val="auto"/>
        </w:rPr>
      </w:pPr>
    </w:p>
    <w:p>
      <w:pPr>
        <w:ind w:left="1620" w:right="1139" w:hanging="360"/>
        <w:spacing w:after="0" w:line="287" w:lineRule="auto"/>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EQ will tabulate and certify the vote, and a representative of EQ will act as the independent inspector of elections for the PAA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CORPORATE GOVERNANCE AND RELATED MATTERS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58" w:lineRule="exact"/>
        <w:rPr>
          <w:sz w:val="20"/>
          <w:szCs w:val="20"/>
          <w:color w:val="auto"/>
        </w:rPr>
      </w:pPr>
    </w:p>
    <w:p>
      <w:pPr>
        <w:jc w:val="both"/>
        <w:ind w:left="1260" w:right="579" w:firstLine="360"/>
        <w:spacing w:after="0" w:line="262" w:lineRule="auto"/>
        <w:rPr>
          <w:sz w:val="20"/>
          <w:szCs w:val="20"/>
          <w:color w:val="auto"/>
        </w:rPr>
      </w:pPr>
      <w:r>
        <w:rPr>
          <w:rFonts w:ascii="Arial" w:cs="Arial" w:eastAsia="Arial" w:hAnsi="Arial"/>
          <w:sz w:val="18"/>
          <w:szCs w:val="18"/>
          <w:color w:val="auto"/>
        </w:rPr>
        <w:t>Investors have voiced a preference for certain governance practices, and since our simplification transaction in 2016 (the “Simplification Transaction”), our board and governance structure has evolved and changed in ways that we believe are meaningfully beneficial to investors. Highlights of some of the key changes are as follows:</w:t>
      </w:r>
    </w:p>
    <w:p>
      <w:pPr>
        <w:spacing w:after="0" w:line="109"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Unified Governance Structure and Enfranchisement of Unitholders</w:t>
      </w:r>
    </w:p>
    <w:p>
      <w:pPr>
        <w:spacing w:after="0" w:line="117" w:lineRule="exact"/>
        <w:rPr>
          <w:sz w:val="20"/>
          <w:szCs w:val="20"/>
          <w:color w:val="auto"/>
        </w:rPr>
      </w:pPr>
    </w:p>
    <w:p>
      <w:pPr>
        <w:ind w:left="1800" w:right="739" w:hanging="180"/>
        <w:spacing w:after="0" w:line="262"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Replaced our dual board structure for PAA and PAGP with a unified governance structure that resulted in the Board being solely responsible for the governance of PAA and PAGP.</w:t>
      </w:r>
      <w:r>
        <w:rPr>
          <w:rFonts w:ascii="Arial" w:cs="Arial" w:eastAsia="Arial" w:hAnsi="Arial"/>
          <w:sz w:val="26"/>
          <w:szCs w:val="26"/>
          <w:color w:val="auto"/>
          <w:vertAlign w:val="superscript"/>
        </w:rPr>
        <w:t>1</w:t>
      </w:r>
    </w:p>
    <w:p>
      <w:pPr>
        <w:spacing w:after="0" w:line="1" w:lineRule="exact"/>
        <w:rPr>
          <w:rFonts w:ascii="Arial" w:cs="Arial" w:eastAsia="Arial" w:hAnsi="Arial"/>
          <w:sz w:val="18"/>
          <w:szCs w:val="18"/>
          <w:color w:val="auto"/>
        </w:rPr>
      </w:pPr>
    </w:p>
    <w:p>
      <w:pPr>
        <w:ind w:left="1800" w:right="919" w:hanging="180"/>
        <w:spacing w:after="0" w:line="272" w:lineRule="auto"/>
        <w:tabs>
          <w:tab w:leader="none" w:pos="1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Amended our governing documents to enfranchise all shareholders of PAGP and all public common unitholders and Series A preferred unitholders of PAA by providing for shareholder elections of directors commencing in 2018 (on a staggered three-year rolling basis).</w:t>
      </w:r>
      <w:r>
        <w:rPr>
          <w:rFonts w:ascii="Arial" w:cs="Arial" w:eastAsia="Arial" w:hAnsi="Arial"/>
          <w:sz w:val="25"/>
          <w:szCs w:val="25"/>
          <w:color w:val="auto"/>
          <w:vertAlign w:val="superscript"/>
        </w:rPr>
        <w:t>1</w:t>
      </w:r>
    </w:p>
    <w:p>
      <w:pPr>
        <w:ind w:left="1800" w:right="519" w:hanging="180"/>
        <w:spacing w:after="0" w:line="28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Amended our governing documents to increase the number of directors subject to public election by adding the three directors who are current or former members of management.</w:t>
      </w:r>
    </w:p>
    <w:p>
      <w:pPr>
        <w:spacing w:after="0" w:line="44" w:lineRule="exact"/>
        <w:rPr>
          <w:rFonts w:ascii="Arial" w:cs="Arial" w:eastAsia="Arial" w:hAnsi="Arial"/>
          <w:sz w:val="18"/>
          <w:szCs w:val="18"/>
          <w:color w:val="auto"/>
        </w:rPr>
      </w:pPr>
    </w:p>
    <w:p>
      <w:pPr>
        <w:ind w:left="1800" w:right="659" w:hanging="180"/>
        <w:spacing w:after="0" w:line="291" w:lineRule="auto"/>
        <w:tabs>
          <w:tab w:leader="none" w:pos="1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Amended our governing documents to eliminate the lone remaining legacy director designation right, resulting in all Board members being subject to public election, and all non-management directors serving on the same basis in terms of rights, duties and obligations of directors.</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Director Independence</w:t>
      </w:r>
    </w:p>
    <w:p>
      <w:pPr>
        <w:spacing w:after="0" w:line="117" w:lineRule="exact"/>
        <w:rPr>
          <w:sz w:val="20"/>
          <w:szCs w:val="20"/>
          <w:color w:val="auto"/>
        </w:rPr>
      </w:pPr>
    </w:p>
    <w:p>
      <w:pPr>
        <w:ind w:left="1800" w:right="439" w:hanging="180"/>
        <w:spacing w:after="0" w:line="262"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Amended our governing documents to require that a majority of our Board satisfy applicable stock exchange independence requirements, despite the fact that as a limited partnership we are exempt from such requirements (eight out of 11 (~73%) of our current Board members have been assessed by the Board and determined to be independent).</w:t>
      </w:r>
    </w:p>
    <w:p>
      <w:pPr>
        <w:spacing w:after="0" w:line="68" w:lineRule="exact"/>
        <w:rPr>
          <w:rFonts w:ascii="Arial" w:cs="Arial" w:eastAsia="Arial" w:hAnsi="Arial"/>
          <w:sz w:val="18"/>
          <w:szCs w:val="18"/>
          <w:color w:val="auto"/>
        </w:rPr>
      </w:pPr>
    </w:p>
    <w:p>
      <w:pPr>
        <w:ind w:left="1800" w:right="419" w:hanging="180"/>
        <w:spacing w:after="0" w:line="269" w:lineRule="auto"/>
        <w:tabs>
          <w:tab w:leader="none" w:pos="1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Amended our governing documents to create a strong lead independent director role in connection with the retirement of our former Chairman and the re-combination of the roles of Chairman and CEO. The Board believes that rotation of the Lead Director role after approximately five years is a good governance practice. John Raymond has served as Lead Director since June 2025, succeeding Bobby Shackouls who served in that role from January 2020 until</w:t>
      </w:r>
    </w:p>
    <w:p>
      <w:pPr>
        <w:spacing w:after="0" w:line="2" w:lineRule="exact"/>
        <w:rPr>
          <w:rFonts w:ascii="Arial" w:cs="Arial" w:eastAsia="Arial" w:hAnsi="Arial"/>
          <w:sz w:val="17"/>
          <w:szCs w:val="17"/>
          <w:color w:val="auto"/>
        </w:rPr>
      </w:pPr>
    </w:p>
    <w:p>
      <w:pPr>
        <w:ind w:left="1800"/>
        <w:spacing w:after="0"/>
        <w:rPr>
          <w:rFonts w:ascii="Arial" w:cs="Arial" w:eastAsia="Arial" w:hAnsi="Arial"/>
          <w:sz w:val="17"/>
          <w:szCs w:val="17"/>
          <w:color w:val="auto"/>
        </w:rPr>
      </w:pPr>
      <w:r>
        <w:rPr>
          <w:rFonts w:ascii="Arial" w:cs="Arial" w:eastAsia="Arial" w:hAnsi="Arial"/>
          <w:sz w:val="18"/>
          <w:szCs w:val="18"/>
          <w:color w:val="auto"/>
        </w:rPr>
        <w:t>June 2025.</w:t>
      </w:r>
    </w:p>
    <w:p>
      <w:pPr>
        <w:spacing w:after="0" w:line="99" w:lineRule="exact"/>
        <w:rPr>
          <w:rFonts w:ascii="Arial" w:cs="Arial" w:eastAsia="Arial" w:hAnsi="Arial"/>
          <w:sz w:val="17"/>
          <w:szCs w:val="17"/>
          <w:color w:val="auto"/>
        </w:rPr>
      </w:pPr>
    </w:p>
    <w:p>
      <w:pPr>
        <w:ind w:left="1800" w:right="719" w:hanging="180"/>
        <w:spacing w:after="0" w:line="268"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Mandated that the members of all standing Board committees be independent despite the fact that as a limited partnership, we are exempt from applicable stock exchange committee independence requirements.</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Board Refreshment, Oversight and Process</w:t>
      </w:r>
    </w:p>
    <w:p>
      <w:pPr>
        <w:spacing w:after="0" w:line="117" w:lineRule="exact"/>
        <w:rPr>
          <w:sz w:val="20"/>
          <w:szCs w:val="20"/>
          <w:color w:val="auto"/>
        </w:rPr>
      </w:pPr>
    </w:p>
    <w:p>
      <w:pPr>
        <w:ind w:left="1800" w:right="479" w:hanging="180"/>
        <w:spacing w:after="0" w:line="262" w:lineRule="auto"/>
        <w:tabs>
          <w:tab w:leader="none" w:pos="18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With the assistance of our Governance Committee, initiated a comprehensive board assessment, refreshment and succession planning process that includes a periodic skills and needs assessment, the development and maintenance of a formal board succession plan and annual individual director performance evaluations.</w:t>
      </w:r>
    </w:p>
    <w:p>
      <w:pPr>
        <w:spacing w:after="0" w:line="68" w:lineRule="exact"/>
        <w:rPr>
          <w:rFonts w:ascii="Arial" w:cs="Arial" w:eastAsia="Arial" w:hAnsi="Arial"/>
          <w:sz w:val="18"/>
          <w:szCs w:val="18"/>
          <w:color w:val="auto"/>
        </w:rPr>
      </w:pPr>
    </w:p>
    <w:p>
      <w:pPr>
        <w:ind w:left="1800" w:right="779" w:hanging="180"/>
        <w:spacing w:after="0" w:line="287" w:lineRule="auto"/>
        <w:tabs>
          <w:tab w:leader="none" w:pos="18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Since January 2017, six new directors have been added to the Board, and five directors have departed the Board.</w:t>
      </w:r>
    </w:p>
    <w:p>
      <w:pPr>
        <w:spacing w:after="0" w:line="44" w:lineRule="exact"/>
        <w:rPr>
          <w:rFonts w:ascii="Arial" w:cs="Arial" w:eastAsia="Arial" w:hAnsi="Arial"/>
          <w:sz w:val="18"/>
          <w:szCs w:val="18"/>
          <w:color w:val="auto"/>
        </w:rPr>
      </w:pPr>
    </w:p>
    <w:p>
      <w:pPr>
        <w:ind w:left="1800" w:hanging="180"/>
        <w:spacing w:after="0"/>
        <w:tabs>
          <w:tab w:leader="none" w:pos="18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Adopted Equity Ownership Guidelines and a Clawback Policy.</w:t>
      </w:r>
    </w:p>
    <w:p>
      <w:pPr>
        <w:spacing w:after="0" w:line="117" w:lineRule="exact"/>
        <w:rPr>
          <w:rFonts w:ascii="Arial" w:cs="Arial" w:eastAsia="Arial" w:hAnsi="Arial"/>
          <w:sz w:val="18"/>
          <w:szCs w:val="18"/>
          <w:color w:val="auto"/>
        </w:rPr>
      </w:pPr>
    </w:p>
    <w:p>
      <w:pPr>
        <w:ind w:left="1800" w:right="679" w:hanging="180"/>
        <w:spacing w:after="0" w:line="268" w:lineRule="auto"/>
        <w:tabs>
          <w:tab w:leader="none" w:pos="18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Established the Health, Safety, Environmental and Sustainability (“HSES”) Committee to assist the Board in its oversight of various HSES matters and facilitate the efforts of management to further strengthen our focus on sustainability and certain ESG matters.</w:t>
      </w:r>
    </w:p>
    <w:p>
      <w:pPr>
        <w:spacing w:after="0" w:line="284" w:lineRule="exact"/>
        <w:rPr>
          <w:rFonts w:ascii="Arial" w:cs="Arial" w:eastAsia="Arial" w:hAnsi="Arial"/>
          <w:sz w:val="18"/>
          <w:szCs w:val="18"/>
          <w:color w:val="auto"/>
        </w:rPr>
      </w:pPr>
    </w:p>
    <w:p>
      <w:pPr>
        <w:ind w:left="1620" w:right="719" w:hanging="360"/>
        <w:spacing w:after="0" w:line="228" w:lineRule="auto"/>
        <w:rPr>
          <w:rFonts w:ascii="Arial" w:cs="Arial" w:eastAsia="Arial" w:hAnsi="Arial"/>
          <w:sz w:val="18"/>
          <w:szCs w:val="18"/>
          <w:color w:val="auto"/>
        </w:rPr>
      </w:pPr>
      <w:r>
        <w:rPr>
          <w:rFonts w:ascii="Arial" w:cs="Arial" w:eastAsia="Arial" w:hAnsi="Arial"/>
          <w:sz w:val="26"/>
          <w:szCs w:val="26"/>
          <w:color w:val="auto"/>
          <w:vertAlign w:val="superscript"/>
        </w:rPr>
        <w:t>1</w:t>
      </w:r>
      <w:r>
        <w:rPr>
          <w:rFonts w:ascii="Arial" w:cs="Arial" w:eastAsia="Arial" w:hAnsi="Arial"/>
          <w:sz w:val="18"/>
          <w:szCs w:val="18"/>
          <w:color w:val="auto"/>
        </w:rPr>
        <w:t xml:space="preserve"> These fundamental changes to our governance structure were overwhelmingly approved by our shareholders at a special meeting of PAGP’s shareholders held in November 2016 in connection with our Simplification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-558800</wp:posOffset>
            </wp:positionV>
            <wp:extent cx="12344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83"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The features described above distinguish us from many of our midstream master limited partnership peers. Together with the alignment of interests among investors that was created through the elimination of PAA’s incentive distribution rights in connection with the Simplification Transaction, the Board has put in place an overall governance structure that vastly improves the governance rights of our investors and which we believe produces a degree of alignment with our investors that places us at the top of our master limited partnership peers for the midstream sector regarding governance structure and voting rights. The Board believes that the continued implementation of the modified governance structure as approved by PAGP’s shareholders, together with the governance enhancements described above, is consistent with the desires and expectations of investors in PAA and PAGP.</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Management and Governance</w:t>
      </w:r>
    </w:p>
    <w:p>
      <w:pPr>
        <w:spacing w:after="0" w:line="158" w:lineRule="exact"/>
        <w:rPr>
          <w:sz w:val="20"/>
          <w:szCs w:val="20"/>
          <w:color w:val="auto"/>
        </w:rPr>
      </w:pPr>
    </w:p>
    <w:p>
      <w:pPr>
        <w:ind w:left="1260" w:right="579" w:firstLine="360"/>
        <w:spacing w:after="0" w:line="256" w:lineRule="auto"/>
        <w:rPr>
          <w:sz w:val="20"/>
          <w:szCs w:val="20"/>
          <w:color w:val="auto"/>
        </w:rPr>
      </w:pPr>
      <w:r>
        <w:rPr>
          <w:rFonts w:ascii="Arial" w:cs="Arial" w:eastAsia="Arial" w:hAnsi="Arial"/>
          <w:sz w:val="18"/>
          <w:szCs w:val="18"/>
          <w:color w:val="auto"/>
        </w:rPr>
        <w:t>Our operations and activities are managed by GP LLC, which employs our management and operational personnel (other than our Canadian personnel, who are employed by our Canadian subsidiary). GP LLC is the general partner of Plains AAP, which is the sole member of our general partner. PAGP is the sole member of GP LLC, and PAGP GP is the general partner of PAGP. PAGP does not directly own any operating assets or have any operating activities apart from those conducted by PAA. The Board of PAGP GP has responsibility for managing the business and affairs of PAGP and PAA.</w:t>
      </w:r>
    </w:p>
    <w:p>
      <w:pPr>
        <w:spacing w:after="0" w:line="115"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Our Unitholders are limited partners and do not directly or indirectly participate in our management or operation. Unlike holders of common stock in a corporation, our Unitholders have only limited voting rights on matters affecting our business or governance, subject in all cases to any specific unitholder rights contained in our partnership agreement. In connection with the Simplification Transaction completed in November 2016, we expanded the voting rights of our Unitholders to include the election of directors and, in 2018, we began holding annual meetings for this purpose.</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Ownership and Voting Structure</w:t>
      </w:r>
    </w:p>
    <w:p>
      <w:pPr>
        <w:spacing w:after="0" w:line="144" w:lineRule="exact"/>
        <w:rPr>
          <w:sz w:val="20"/>
          <w:szCs w:val="20"/>
          <w:color w:val="auto"/>
        </w:rPr>
      </w:pPr>
    </w:p>
    <w:p>
      <w:pPr>
        <w:ind w:left="1260" w:right="419" w:firstLine="360"/>
        <w:spacing w:after="0" w:line="262" w:lineRule="auto"/>
        <w:rPr>
          <w:sz w:val="20"/>
          <w:szCs w:val="20"/>
          <w:color w:val="auto"/>
        </w:rPr>
      </w:pPr>
      <w:r>
        <w:rPr>
          <w:rFonts w:ascii="Arial" w:cs="Arial" w:eastAsia="Arial" w:hAnsi="Arial"/>
          <w:sz w:val="18"/>
          <w:szCs w:val="18"/>
          <w:color w:val="auto"/>
        </w:rPr>
        <w:t>The Simplification Transaction resulted in a structure that includes two public companies (PAA and PAGP) governed by a single Board. The Board is located at PAGP’s general partner, PAGP GP. The Simplification Transaction also provided that the equity holders of both PAA and PAGP would be afforded the right to vote in the election of directors.</w:t>
      </w:r>
    </w:p>
    <w:p>
      <w:pPr>
        <w:spacing w:after="0" w:line="10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PAGP has three classes of voting equity, as follows:</w:t>
      </w:r>
    </w:p>
    <w:p>
      <w:pPr>
        <w:spacing w:after="0" w:line="117" w:lineRule="exact"/>
        <w:rPr>
          <w:sz w:val="20"/>
          <w:szCs w:val="20"/>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PAGP Class A shares, which are listed on Nasdaq;</w:t>
      </w:r>
    </w:p>
    <w:p>
      <w:pPr>
        <w:spacing w:after="0" w:line="117" w:lineRule="exact"/>
        <w:rPr>
          <w:rFonts w:ascii="Arial" w:cs="Arial" w:eastAsia="Arial" w:hAnsi="Arial"/>
          <w:sz w:val="18"/>
          <w:szCs w:val="18"/>
          <w:color w:val="auto"/>
        </w:rPr>
      </w:pPr>
    </w:p>
    <w:p>
      <w:pPr>
        <w:ind w:left="1800" w:right="799" w:hanging="180"/>
        <w:spacing w:after="0" w:line="28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PAGP Class B shares, which represent non-economic limited partner voting interests and are privately held by certain legacy investors and management; and</w:t>
      </w:r>
    </w:p>
    <w:p>
      <w:pPr>
        <w:spacing w:after="0" w:line="44" w:lineRule="exact"/>
        <w:rPr>
          <w:rFonts w:ascii="Arial" w:cs="Arial" w:eastAsia="Arial" w:hAnsi="Arial"/>
          <w:sz w:val="18"/>
          <w:szCs w:val="18"/>
          <w:color w:val="auto"/>
        </w:rPr>
      </w:pPr>
    </w:p>
    <w:p>
      <w:pPr>
        <w:ind w:left="1800" w:right="619" w:hanging="180"/>
        <w:spacing w:after="0" w:line="262"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PAGP Class C shares, which are also non-economic limited partner voting interests. The PAGP Class C shares are held by PAA solely for the purpose of creating a mechanism through which PAA equity holders (other than Plains AAP) can participate in the election of directors of PAGP GP.</w:t>
      </w:r>
    </w:p>
    <w:p>
      <w:pPr>
        <w:spacing w:after="0" w:line="109" w:lineRule="exact"/>
        <w:rPr>
          <w:sz w:val="20"/>
          <w:szCs w:val="20"/>
          <w:color w:val="auto"/>
        </w:rPr>
      </w:pPr>
    </w:p>
    <w:p>
      <w:pPr>
        <w:ind w:left="1260" w:right="639" w:firstLine="360"/>
        <w:spacing w:after="0" w:line="255" w:lineRule="auto"/>
        <w:rPr>
          <w:sz w:val="20"/>
          <w:szCs w:val="20"/>
          <w:color w:val="auto"/>
        </w:rPr>
      </w:pPr>
      <w:r>
        <w:rPr>
          <w:rFonts w:ascii="Arial" w:cs="Arial" w:eastAsia="Arial" w:hAnsi="Arial"/>
          <w:sz w:val="18"/>
          <w:szCs w:val="18"/>
          <w:color w:val="auto"/>
        </w:rPr>
        <w:t>With respect to the election of directors, the PAGP Class A, Class B and Class C shares vote together as a single class. PAGP equity holders vote directly at the PAGP Annual Meeting. PAA equity holders (which include holders of PAA’s publicly held Common units and Series A preferred units) vote indirectly by instructing PAA how to vote the Class C shares that it owns on their behalf at the PAGP Annual Meeting. In order to receive voting instructions from PAA voting equity holders, PAA holds its annual meeting immediately prior to the PAGP Annual Meeting. The voting instructions received at the PAA annual meeting are “passed through” by PAA by virtue of its voting of the Class C shares at the PAGP Annual Meeting in accordance with such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639" w:firstLine="360"/>
        <w:spacing w:after="0" w:line="287" w:lineRule="auto"/>
        <w:rPr>
          <w:sz w:val="20"/>
          <w:szCs w:val="20"/>
          <w:color w:val="auto"/>
        </w:rPr>
      </w:pPr>
      <w:r>
        <w:rPr>
          <w:rFonts w:ascii="Arial" w:cs="Arial" w:eastAsia="Arial" w:hAnsi="Arial"/>
          <w:sz w:val="18"/>
          <w:szCs w:val="18"/>
          <w:color w:val="auto"/>
        </w:rPr>
        <w:t>On a combined basis, as of the Record Date, the voting rights of PAGP and PAA equity holders in connection with the election of directors were allocated as follows:</w:t>
      </w:r>
    </w:p>
    <w:p>
      <w:pPr>
        <w:spacing w:after="0" w:line="145" w:lineRule="exact"/>
        <w:rPr>
          <w:sz w:val="20"/>
          <w:szCs w:val="20"/>
          <w:color w:val="auto"/>
        </w:rPr>
      </w:pPr>
    </w:p>
    <w:tbl>
      <w:tblPr>
        <w:tblLayout w:type="fixed"/>
        <w:tblInd w:w="1270" w:type="dxa"/>
        <w:tblCellMar>
          <w:top w:w="0" w:type="dxa"/>
          <w:left w:w="0" w:type="dxa"/>
          <w:bottom w:w="0" w:type="dxa"/>
          <w:right w:w="0" w:type="dxa"/>
        </w:tblCellMar>
      </w:tblPr>
      <w:tr>
        <w:trPr>
          <w:trHeight w:val="247"/>
        </w:trPr>
        <w:tc>
          <w:tcPr>
            <w:tcW w:w="4960" w:type="dxa"/>
            <w:vAlign w:val="bottom"/>
            <w:tcBorders>
              <w:left w:val="single" w:sz="8" w:color="424E6A"/>
            </w:tcBorders>
            <w:shd w:val="clear" w:color="auto" w:fill="424E6A"/>
          </w:tcPr>
          <w:p>
            <w:pPr>
              <w:spacing w:after="0"/>
              <w:rPr>
                <w:sz w:val="21"/>
                <w:szCs w:val="21"/>
                <w:color w:val="auto"/>
              </w:rPr>
            </w:pPr>
          </w:p>
        </w:tc>
        <w:tc>
          <w:tcPr>
            <w:tcW w:w="1100" w:type="dxa"/>
            <w:vAlign w:val="bottom"/>
            <w:shd w:val="clear" w:color="auto" w:fill="424E6A"/>
          </w:tcPr>
          <w:p>
            <w:pPr>
              <w:spacing w:after="0"/>
              <w:rPr>
                <w:sz w:val="21"/>
                <w:szCs w:val="21"/>
                <w:color w:val="auto"/>
              </w:rPr>
            </w:pPr>
          </w:p>
        </w:tc>
        <w:tc>
          <w:tcPr>
            <w:tcW w:w="1040" w:type="dxa"/>
            <w:vAlign w:val="bottom"/>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rPr>
              <w:t>Percentage of</w:t>
            </w:r>
          </w:p>
        </w:tc>
        <w:tc>
          <w:tcPr>
            <w:tcW w:w="60" w:type="dxa"/>
            <w:vAlign w:val="bottom"/>
            <w:shd w:val="clear" w:color="auto" w:fill="424E6A"/>
          </w:tcPr>
          <w:p>
            <w:pPr>
              <w:spacing w:after="0"/>
              <w:rPr>
                <w:sz w:val="21"/>
                <w:szCs w:val="21"/>
                <w:color w:val="auto"/>
              </w:rPr>
            </w:pPr>
          </w:p>
        </w:tc>
        <w:tc>
          <w:tcPr>
            <w:tcW w:w="9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Number of</w:t>
            </w:r>
          </w:p>
        </w:tc>
        <w:tc>
          <w:tcPr>
            <w:tcW w:w="80" w:type="dxa"/>
            <w:vAlign w:val="bottom"/>
            <w:tcBorders>
              <w:right w:val="single" w:sz="8" w:color="424E6A"/>
            </w:tcBorders>
            <w:shd w:val="clear" w:color="auto" w:fill="424E6A"/>
          </w:tcPr>
          <w:p>
            <w:pPr>
              <w:spacing w:after="0"/>
              <w:rPr>
                <w:sz w:val="21"/>
                <w:szCs w:val="21"/>
                <w:color w:val="auto"/>
              </w:rPr>
            </w:pPr>
          </w:p>
        </w:tc>
      </w:tr>
      <w:tr>
        <w:trPr>
          <w:trHeight w:val="162"/>
        </w:trPr>
        <w:tc>
          <w:tcPr>
            <w:tcW w:w="4960" w:type="dxa"/>
            <w:vAlign w:val="bottom"/>
            <w:tcBorders>
              <w:left w:val="single" w:sz="8" w:color="424E6A"/>
            </w:tcBorders>
            <w:shd w:val="clear" w:color="auto" w:fill="424E6A"/>
          </w:tcPr>
          <w:p>
            <w:pPr>
              <w:spacing w:after="0"/>
              <w:rPr>
                <w:sz w:val="14"/>
                <w:szCs w:val="14"/>
                <w:color w:val="auto"/>
              </w:rPr>
            </w:pPr>
          </w:p>
        </w:tc>
        <w:tc>
          <w:tcPr>
            <w:tcW w:w="1100" w:type="dxa"/>
            <w:vAlign w:val="bottom"/>
            <w:shd w:val="clear" w:color="auto" w:fill="424E6A"/>
          </w:tcPr>
          <w:p>
            <w:pPr>
              <w:spacing w:after="0"/>
              <w:rPr>
                <w:sz w:val="14"/>
                <w:szCs w:val="14"/>
                <w:color w:val="auto"/>
              </w:rPr>
            </w:pPr>
          </w:p>
        </w:tc>
        <w:tc>
          <w:tcPr>
            <w:tcW w:w="1040" w:type="dxa"/>
            <w:vAlign w:val="bottom"/>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rPr>
              <w:t>Overall Voting</w:t>
            </w:r>
          </w:p>
        </w:tc>
        <w:tc>
          <w:tcPr>
            <w:tcW w:w="60" w:type="dxa"/>
            <w:vAlign w:val="bottom"/>
            <w:shd w:val="clear" w:color="auto" w:fill="424E6A"/>
          </w:tcPr>
          <w:p>
            <w:pPr>
              <w:spacing w:after="0"/>
              <w:rPr>
                <w:sz w:val="14"/>
                <w:szCs w:val="14"/>
                <w:color w:val="auto"/>
              </w:rPr>
            </w:pPr>
          </w:p>
        </w:tc>
        <w:tc>
          <w:tcPr>
            <w:tcW w:w="9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Voting</w:t>
            </w:r>
          </w:p>
        </w:tc>
        <w:tc>
          <w:tcPr>
            <w:tcW w:w="80" w:type="dxa"/>
            <w:vAlign w:val="bottom"/>
            <w:tcBorders>
              <w:right w:val="single" w:sz="8" w:color="424E6A"/>
            </w:tcBorders>
            <w:shd w:val="clear" w:color="auto" w:fill="424E6A"/>
          </w:tcPr>
          <w:p>
            <w:pPr>
              <w:spacing w:after="0"/>
              <w:rPr>
                <w:sz w:val="14"/>
                <w:szCs w:val="14"/>
                <w:color w:val="auto"/>
              </w:rPr>
            </w:pPr>
          </w:p>
        </w:tc>
      </w:tr>
      <w:tr>
        <w:trPr>
          <w:trHeight w:val="212"/>
        </w:trPr>
        <w:tc>
          <w:tcPr>
            <w:tcW w:w="4960" w:type="dxa"/>
            <w:vAlign w:val="bottom"/>
            <w:tcBorders>
              <w:lef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Voting Class</w:t>
            </w:r>
          </w:p>
        </w:tc>
        <w:tc>
          <w:tcPr>
            <w:tcW w:w="1300" w:type="dxa"/>
            <w:vAlign w:val="bottom"/>
            <w:gridSpan w:val="2"/>
            <w:shd w:val="clear" w:color="auto" w:fill="424E6A"/>
          </w:tcPr>
          <w:p>
            <w:pPr>
              <w:jc w:val="right"/>
              <w:ind w:right="45"/>
              <w:spacing w:after="0"/>
              <w:rPr>
                <w:sz w:val="20"/>
                <w:szCs w:val="20"/>
                <w:color w:val="auto"/>
              </w:rPr>
            </w:pPr>
            <w:r>
              <w:rPr>
                <w:rFonts w:ascii="Arial" w:cs="Arial" w:eastAsia="Arial" w:hAnsi="Arial"/>
                <w:sz w:val="14"/>
                <w:szCs w:val="14"/>
                <w:b w:val="1"/>
                <w:bCs w:val="1"/>
                <w:color w:val="FFFFFF"/>
              </w:rPr>
              <w:t>​​</w:t>
            </w:r>
          </w:p>
        </w:tc>
        <w:tc>
          <w:tcPr>
            <w:tcW w:w="840" w:type="dxa"/>
            <w:vAlign w:val="bottom"/>
            <w:gridSpan w:val="2"/>
            <w:shd w:val="clear" w:color="auto" w:fill="424E6A"/>
          </w:tcPr>
          <w:p>
            <w:pPr>
              <w:jc w:val="center"/>
              <w:ind w:right="39"/>
              <w:spacing w:after="0"/>
              <w:rPr>
                <w:sz w:val="20"/>
                <w:szCs w:val="20"/>
                <w:color w:val="auto"/>
              </w:rPr>
            </w:pPr>
            <w:r>
              <w:rPr>
                <w:rFonts w:ascii="Arial" w:cs="Arial" w:eastAsia="Arial" w:hAnsi="Arial"/>
                <w:sz w:val="14"/>
                <w:szCs w:val="14"/>
                <w:b w:val="1"/>
                <w:bCs w:val="1"/>
                <w:color w:val="FFFFFF"/>
              </w:rPr>
              <w:t>Rights</w:t>
            </w:r>
          </w:p>
        </w:tc>
        <w:tc>
          <w:tcPr>
            <w:tcW w:w="1040" w:type="dxa"/>
            <w:vAlign w:val="bottom"/>
            <w:gridSpan w:val="2"/>
            <w:shd w:val="clear" w:color="auto" w:fill="424E6A"/>
          </w:tcPr>
          <w:p>
            <w:pPr>
              <w:jc w:val="center"/>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Shares/Units</w:t>
            </w:r>
          </w:p>
        </w:tc>
        <w:tc>
          <w:tcPr>
            <w:tcW w:w="80" w:type="dxa"/>
            <w:vAlign w:val="bottom"/>
            <w:tcBorders>
              <w:right w:val="single" w:sz="8" w:color="424E6A"/>
            </w:tcBorders>
            <w:shd w:val="clear" w:color="auto" w:fill="424E6A"/>
          </w:tcPr>
          <w:p>
            <w:pPr>
              <w:spacing w:after="0"/>
              <w:rPr>
                <w:sz w:val="18"/>
                <w:szCs w:val="18"/>
                <w:color w:val="auto"/>
              </w:rPr>
            </w:pPr>
          </w:p>
        </w:tc>
      </w:tr>
      <w:tr>
        <w:trPr>
          <w:trHeight w:val="243"/>
        </w:trPr>
        <w:tc>
          <w:tcPr>
            <w:tcW w:w="496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6"/>
                <w:szCs w:val="16"/>
                <w:color w:val="auto"/>
              </w:rPr>
              <w:t>PAGP Class A Shares (Nasdaq: PAGP)</w:t>
            </w:r>
          </w:p>
        </w:tc>
        <w:tc>
          <w:tcPr>
            <w:tcW w:w="1300" w:type="dxa"/>
            <w:vAlign w:val="bottom"/>
            <w:tcBorders>
              <w:bottom w:val="single" w:sz="8" w:color="424E6A"/>
            </w:tcBorders>
            <w:gridSpan w:val="2"/>
          </w:tcPr>
          <w:p>
            <w:pPr>
              <w:jc w:val="right"/>
              <w:ind w:right="45"/>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auto"/>
                <w:highlight w:val="lightGray"/>
              </w:rPr>
              <w:t>​</w:t>
            </w:r>
          </w:p>
        </w:tc>
        <w:tc>
          <w:tcPr>
            <w:tcW w:w="840" w:type="dxa"/>
            <w:vAlign w:val="bottom"/>
            <w:tcBorders>
              <w:bottom w:val="single" w:sz="8" w:color="424E6A"/>
            </w:tcBorders>
            <w:gridSpan w:val="2"/>
          </w:tcPr>
          <w:p>
            <w:pPr>
              <w:ind w:left="140"/>
              <w:spacing w:after="0" w:line="243" w:lineRule="exact"/>
              <w:rPr>
                <w:sz w:val="20"/>
                <w:szCs w:val="20"/>
                <w:color w:val="auto"/>
              </w:rPr>
            </w:pPr>
            <w:r>
              <w:rPr>
                <w:rFonts w:ascii="Arial" w:cs="Arial" w:eastAsia="Arial" w:hAnsi="Arial"/>
                <w:sz w:val="28"/>
                <w:szCs w:val="28"/>
                <w:color w:val="auto"/>
                <w:highlight w:val="lightGray"/>
                <w:vertAlign w:val="subscript"/>
              </w:rPr>
              <w:t>​</w:t>
            </w:r>
            <w:r>
              <w:rPr>
                <w:rFonts w:ascii="Arial" w:cs="Arial" w:eastAsia="Arial" w:hAnsi="Arial"/>
                <w:sz w:val="15"/>
                <w:szCs w:val="15"/>
                <w:color w:val="auto"/>
                <w:highlight w:val="lightGray"/>
              </w:rPr>
              <w:t xml:space="preserve"> 25.9%</w:t>
            </w:r>
          </w:p>
        </w:tc>
        <w:tc>
          <w:tcPr>
            <w:tcW w:w="60" w:type="dxa"/>
            <w:vAlign w:val="bottom"/>
            <w:tcBorders>
              <w:bottom w:val="single" w:sz="8" w:color="424E6A"/>
            </w:tcBorders>
          </w:tcPr>
          <w:p>
            <w:pPr>
              <w:ind w:left="20"/>
              <w:spacing w:after="0"/>
              <w:rPr>
                <w:sz w:val="20"/>
                <w:szCs w:val="20"/>
                <w:color w:val="auto"/>
              </w:rPr>
            </w:pPr>
            <w:r>
              <w:rPr>
                <w:rFonts w:ascii="Arial" w:cs="Arial" w:eastAsia="Arial" w:hAnsi="Arial"/>
                <w:sz w:val="16"/>
                <w:szCs w:val="16"/>
                <w:color w:val="auto"/>
                <w:highlight w:val="lightGray"/>
              </w:rPr>
              <w:t>​</w:t>
            </w:r>
          </w:p>
        </w:tc>
        <w:tc>
          <w:tcPr>
            <w:tcW w:w="980" w:type="dxa"/>
            <w:vAlign w:val="bottom"/>
            <w:tcBorders>
              <w:bottom w:val="single" w:sz="8" w:color="424E6A"/>
            </w:tcBorders>
          </w:tcPr>
          <w:p>
            <w:pPr>
              <w:jc w:val="cente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highlight w:val="lightGray"/>
              </w:rPr>
              <w:t>197.9 million</w:t>
            </w:r>
          </w:p>
        </w:tc>
        <w:tc>
          <w:tcPr>
            <w:tcW w:w="80" w:type="dxa"/>
            <w:vAlign w:val="bottom"/>
            <w:tcBorders>
              <w:bottom w:val="single" w:sz="8" w:color="424E6A"/>
              <w:right w:val="single" w:sz="8" w:color="424E6A"/>
            </w:tcBorders>
          </w:tcPr>
          <w:p>
            <w:pPr>
              <w:spacing w:after="0"/>
              <w:rPr>
                <w:sz w:val="21"/>
                <w:szCs w:val="21"/>
                <w:color w:val="auto"/>
              </w:rPr>
            </w:pPr>
          </w:p>
        </w:tc>
      </w:tr>
      <w:tr>
        <w:trPr>
          <w:trHeight w:val="236"/>
        </w:trPr>
        <w:tc>
          <w:tcPr>
            <w:tcW w:w="496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6"/>
                <w:szCs w:val="16"/>
                <w:color w:val="auto"/>
              </w:rPr>
              <w:t>PAGP Class B Shares</w:t>
            </w:r>
          </w:p>
        </w:tc>
        <w:tc>
          <w:tcPr>
            <w:tcW w:w="1300" w:type="dxa"/>
            <w:vAlign w:val="bottom"/>
            <w:tcBorders>
              <w:bottom w:val="single" w:sz="8" w:color="424E6A"/>
            </w:tcBorders>
            <w:gridSpan w:val="2"/>
          </w:tcPr>
          <w:p>
            <w:pPr>
              <w:jc w:val="right"/>
              <w:ind w:right="45"/>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424E6A"/>
            </w:tcBorders>
          </w:tcPr>
          <w:p>
            <w:pPr>
              <w:ind w:left="14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424E6A"/>
            </w:tcBorders>
          </w:tcPr>
          <w:p>
            <w:pPr>
              <w:jc w:val="right"/>
              <w:ind w:right="39"/>
              <w:spacing w:after="0"/>
              <w:rPr>
                <w:sz w:val="20"/>
                <w:szCs w:val="20"/>
                <w:color w:val="auto"/>
              </w:rPr>
            </w:pPr>
            <w:r>
              <w:rPr>
                <w:rFonts w:ascii="Arial" w:cs="Arial" w:eastAsia="Arial" w:hAnsi="Arial"/>
                <w:sz w:val="16"/>
                <w:szCs w:val="16"/>
                <w:color w:val="auto"/>
              </w:rPr>
              <w:t>4.6%</w:t>
            </w:r>
          </w:p>
        </w:tc>
        <w:tc>
          <w:tcPr>
            <w:tcW w:w="1040" w:type="dxa"/>
            <w:vAlign w:val="bottom"/>
            <w:tcBorders>
              <w:bottom w:val="single" w:sz="8" w:color="424E6A"/>
            </w:tcBorders>
            <w:gridSpan w:val="2"/>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35.1 million</w:t>
            </w:r>
          </w:p>
        </w:tc>
        <w:tc>
          <w:tcPr>
            <w:tcW w:w="80" w:type="dxa"/>
            <w:vAlign w:val="bottom"/>
            <w:tcBorders>
              <w:bottom w:val="single" w:sz="8" w:color="424E6A"/>
              <w:right w:val="single" w:sz="8" w:color="424E6A"/>
            </w:tcBorders>
          </w:tcPr>
          <w:p>
            <w:pPr>
              <w:spacing w:after="0"/>
              <w:rPr>
                <w:sz w:val="20"/>
                <w:szCs w:val="20"/>
                <w:color w:val="auto"/>
              </w:rPr>
            </w:pPr>
          </w:p>
        </w:tc>
      </w:tr>
      <w:tr>
        <w:trPr>
          <w:trHeight w:val="237"/>
        </w:trPr>
        <w:tc>
          <w:tcPr>
            <w:tcW w:w="496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6"/>
                <w:szCs w:val="16"/>
                <w:color w:val="auto"/>
              </w:rPr>
              <w:t>PAGP Class C Shares</w:t>
            </w:r>
          </w:p>
        </w:tc>
        <w:tc>
          <w:tcPr>
            <w:tcW w:w="1100" w:type="dxa"/>
            <w:vAlign w:val="bottom"/>
            <w:tcBorders>
              <w:bottom w:val="single" w:sz="8" w:color="424E6A"/>
            </w:tcBorders>
            <w:shd w:val="clear" w:color="auto" w:fill="D9DCE1"/>
          </w:tcPr>
          <w:p>
            <w:pPr>
              <w:spacing w:after="0"/>
              <w:rPr>
                <w:sz w:val="20"/>
                <w:szCs w:val="20"/>
                <w:color w:val="auto"/>
              </w:rPr>
            </w:pPr>
          </w:p>
        </w:tc>
        <w:tc>
          <w:tcPr>
            <w:tcW w:w="200" w:type="dxa"/>
            <w:vAlign w:val="bottom"/>
            <w:tcBorders>
              <w:bottom w:val="single" w:sz="8" w:color="424E6A"/>
            </w:tcBorders>
          </w:tcPr>
          <w:p>
            <w:pPr>
              <w:jc w:val="right"/>
              <w:ind w:right="45"/>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424E6A"/>
            </w:tcBorders>
          </w:tcPr>
          <w:p>
            <w:pPr>
              <w:ind w:left="14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424E6A"/>
            </w:tcBorders>
          </w:tcPr>
          <w:p>
            <w:pPr>
              <w:spacing w:after="0"/>
              <w:rPr>
                <w:sz w:val="20"/>
                <w:szCs w:val="20"/>
                <w:color w:val="auto"/>
              </w:rPr>
            </w:pPr>
          </w:p>
        </w:tc>
        <w:tc>
          <w:tcPr>
            <w:tcW w:w="1040" w:type="dxa"/>
            <w:vAlign w:val="bottom"/>
            <w:tcBorders>
              <w:bottom w:val="single" w:sz="8" w:color="424E6A"/>
            </w:tcBorders>
            <w:gridSpan w:val="2"/>
          </w:tcPr>
          <w:p>
            <w:pPr>
              <w:ind w:left="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r>
      <w:tr>
        <w:trPr>
          <w:trHeight w:val="223"/>
        </w:trPr>
        <w:tc>
          <w:tcPr>
            <w:tcW w:w="6260" w:type="dxa"/>
            <w:vAlign w:val="bottom"/>
            <w:tcBorders>
              <w:left w:val="single" w:sz="8" w:color="424E6A"/>
              <w:bottom w:val="single" w:sz="8" w:color="424E6A"/>
            </w:tcBorders>
            <w:gridSpan w:val="3"/>
          </w:tcPr>
          <w:p>
            <w:pPr>
              <w:ind w:left="220"/>
              <w:spacing w:after="0"/>
              <w:rPr>
                <w:sz w:val="20"/>
                <w:szCs w:val="20"/>
                <w:color w:val="auto"/>
              </w:rPr>
            </w:pPr>
            <w:r>
              <w:rPr>
                <w:rFonts w:ascii="Arial" w:cs="Arial" w:eastAsia="Arial" w:hAnsi="Arial"/>
                <w:sz w:val="16"/>
                <w:szCs w:val="16"/>
                <w:color w:val="auto"/>
              </w:rPr>
              <w:t>•  On Behalf of PAA Common Unitholders (excluding Plains AAP) (Nasdaq: PAA) ​​</w:t>
            </w:r>
          </w:p>
        </w:tc>
        <w:tc>
          <w:tcPr>
            <w:tcW w:w="840" w:type="dxa"/>
            <w:vAlign w:val="bottom"/>
            <w:tcBorders>
              <w:bottom w:val="single" w:sz="8" w:color="424E6A"/>
            </w:tcBorders>
            <w:gridSpan w:val="2"/>
          </w:tcPr>
          <w:p>
            <w:pPr>
              <w:ind w:left="140"/>
              <w:spacing w:after="0"/>
              <w:rPr>
                <w:sz w:val="20"/>
                <w:szCs w:val="20"/>
                <w:color w:val="auto"/>
              </w:rPr>
            </w:pPr>
            <w:r>
              <w:rPr>
                <w:rFonts w:ascii="Arial" w:cs="Arial" w:eastAsia="Arial" w:hAnsi="Arial"/>
                <w:sz w:val="16"/>
                <w:szCs w:val="16"/>
                <w:color w:val="auto"/>
              </w:rPr>
              <w:t>​ 61.9%</w:t>
            </w:r>
          </w:p>
        </w:tc>
        <w:tc>
          <w:tcPr>
            <w:tcW w:w="1040" w:type="dxa"/>
            <w:vAlign w:val="bottom"/>
            <w:tcBorders>
              <w:bottom w:val="single" w:sz="8" w:color="424E6A"/>
            </w:tcBorders>
            <w:gridSpan w:val="2"/>
          </w:tcPr>
          <w:p>
            <w:pPr>
              <w:jc w:val="center"/>
              <w:spacing w:after="0"/>
              <w:rPr>
                <w:sz w:val="20"/>
                <w:szCs w:val="20"/>
                <w:color w:val="auto"/>
              </w:rPr>
            </w:pPr>
            <w:r>
              <w:rPr>
                <w:rFonts w:ascii="Arial" w:cs="Arial" w:eastAsia="Arial" w:hAnsi="Arial"/>
                <w:sz w:val="16"/>
                <w:szCs w:val="16"/>
                <w:color w:val="auto"/>
              </w:rPr>
              <w:t>​​​472.5 million</w:t>
            </w:r>
          </w:p>
        </w:tc>
        <w:tc>
          <w:tcPr>
            <w:tcW w:w="80" w:type="dxa"/>
            <w:vAlign w:val="bottom"/>
            <w:tcBorders>
              <w:bottom w:val="single" w:sz="8" w:color="424E6A"/>
              <w:right w:val="single" w:sz="8" w:color="424E6A"/>
            </w:tcBorders>
          </w:tcPr>
          <w:p>
            <w:pPr>
              <w:spacing w:after="0"/>
              <w:rPr>
                <w:sz w:val="19"/>
                <w:szCs w:val="19"/>
                <w:color w:val="auto"/>
              </w:rPr>
            </w:pPr>
          </w:p>
        </w:tc>
      </w:tr>
      <w:tr>
        <w:trPr>
          <w:trHeight w:val="237"/>
        </w:trPr>
        <w:tc>
          <w:tcPr>
            <w:tcW w:w="4960" w:type="dxa"/>
            <w:vAlign w:val="bottom"/>
            <w:tcBorders>
              <w:left w:val="single" w:sz="8" w:color="424E6A"/>
              <w:bottom w:val="single" w:sz="8" w:color="424E6A"/>
            </w:tcBorders>
          </w:tcPr>
          <w:p>
            <w:pPr>
              <w:ind w:left="220"/>
              <w:spacing w:after="0"/>
              <w:rPr>
                <w:sz w:val="20"/>
                <w:szCs w:val="20"/>
                <w:color w:val="auto"/>
              </w:rPr>
            </w:pPr>
            <w:r>
              <w:rPr>
                <w:rFonts w:ascii="Arial" w:cs="Arial" w:eastAsia="Arial" w:hAnsi="Arial"/>
                <w:sz w:val="16"/>
                <w:szCs w:val="16"/>
                <w:color w:val="auto"/>
              </w:rPr>
              <w:t>•  On Behalf of PAA Series A Preferred Unitholders</w:t>
            </w:r>
          </w:p>
        </w:tc>
        <w:tc>
          <w:tcPr>
            <w:tcW w:w="1300" w:type="dxa"/>
            <w:vAlign w:val="bottom"/>
            <w:tcBorders>
              <w:bottom w:val="single" w:sz="8" w:color="424E6A"/>
            </w:tcBorders>
            <w:gridSpan w:val="2"/>
          </w:tcPr>
          <w:p>
            <w:pPr>
              <w:jc w:val="right"/>
              <w:ind w:right="45"/>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auto"/>
                <w:highlight w:val="lightGray"/>
              </w:rPr>
              <w:t>​</w:t>
            </w:r>
          </w:p>
        </w:tc>
        <w:tc>
          <w:tcPr>
            <w:tcW w:w="260" w:type="dxa"/>
            <w:vAlign w:val="bottom"/>
            <w:tcBorders>
              <w:bottom w:val="single" w:sz="8" w:color="424E6A"/>
            </w:tcBorders>
          </w:tcPr>
          <w:p>
            <w:pPr>
              <w:ind w:left="140"/>
              <w:spacing w:after="0"/>
              <w:rPr>
                <w:sz w:val="20"/>
                <w:szCs w:val="20"/>
                <w:color w:val="auto"/>
              </w:rPr>
            </w:pPr>
            <w:r>
              <w:rPr>
                <w:rFonts w:ascii="Arial" w:cs="Arial" w:eastAsia="Arial" w:hAnsi="Arial"/>
                <w:sz w:val="16"/>
                <w:szCs w:val="16"/>
                <w:color w:val="auto"/>
                <w:highlight w:val="lightGray"/>
              </w:rPr>
              <w:t>​</w:t>
            </w:r>
          </w:p>
        </w:tc>
        <w:tc>
          <w:tcPr>
            <w:tcW w:w="580" w:type="dxa"/>
            <w:vAlign w:val="bottom"/>
            <w:tcBorders>
              <w:bottom w:val="single" w:sz="8" w:color="424E6A"/>
            </w:tcBorders>
          </w:tcPr>
          <w:p>
            <w:pPr>
              <w:jc w:val="right"/>
              <w:ind w:right="39"/>
              <w:spacing w:after="0"/>
              <w:rPr>
                <w:sz w:val="20"/>
                <w:szCs w:val="20"/>
                <w:color w:val="auto"/>
              </w:rPr>
            </w:pPr>
            <w:r>
              <w:rPr>
                <w:rFonts w:ascii="Arial" w:cs="Arial" w:eastAsia="Arial" w:hAnsi="Arial"/>
                <w:sz w:val="16"/>
                <w:szCs w:val="16"/>
                <w:color w:val="auto"/>
                <w:highlight w:val="lightGray"/>
              </w:rPr>
              <w:t>7.6%</w:t>
            </w:r>
          </w:p>
        </w:tc>
        <w:tc>
          <w:tcPr>
            <w:tcW w:w="60" w:type="dxa"/>
            <w:vAlign w:val="bottom"/>
            <w:tcBorders>
              <w:bottom w:val="single" w:sz="8" w:color="424E6A"/>
            </w:tcBorders>
          </w:tcPr>
          <w:p>
            <w:pPr>
              <w:ind w:left="20"/>
              <w:spacing w:after="0"/>
              <w:rPr>
                <w:sz w:val="20"/>
                <w:szCs w:val="20"/>
                <w:color w:val="auto"/>
              </w:rPr>
            </w:pPr>
            <w:r>
              <w:rPr>
                <w:rFonts w:ascii="Arial" w:cs="Arial" w:eastAsia="Arial" w:hAnsi="Arial"/>
                <w:sz w:val="16"/>
                <w:szCs w:val="16"/>
                <w:color w:val="auto"/>
                <w:highlight w:val="lightGray"/>
              </w:rPr>
              <w:t>​</w:t>
            </w:r>
          </w:p>
        </w:tc>
        <w:tc>
          <w:tcPr>
            <w:tcW w:w="980" w:type="dxa"/>
            <w:vAlign w:val="bottom"/>
            <w:tcBorders>
              <w:bottom w:val="single" w:sz="8" w:color="424E6A"/>
            </w:tcBorders>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highlight w:val="lightGray"/>
              </w:rPr>
              <w:t xml:space="preserve"> 58.4 million</w:t>
            </w:r>
          </w:p>
        </w:tc>
        <w:tc>
          <w:tcPr>
            <w:tcW w:w="80" w:type="dxa"/>
            <w:vAlign w:val="bottom"/>
            <w:tcBorders>
              <w:bottom w:val="single" w:sz="8" w:color="424E6A"/>
              <w:right w:val="single" w:sz="8" w:color="424E6A"/>
            </w:tcBorders>
          </w:tcPr>
          <w:p>
            <w:pPr>
              <w:spacing w:after="0"/>
              <w:rPr>
                <w:sz w:val="20"/>
                <w:szCs w:val="20"/>
                <w:color w:val="auto"/>
              </w:rPr>
            </w:pPr>
          </w:p>
        </w:tc>
      </w:tr>
      <w:tr>
        <w:trPr>
          <w:trHeight w:val="236"/>
        </w:trPr>
        <w:tc>
          <w:tcPr>
            <w:tcW w:w="4960" w:type="dxa"/>
            <w:vAlign w:val="bottom"/>
            <w:tcBorders>
              <w:left w:val="single" w:sz="8" w:color="424E6A"/>
              <w:bottom w:val="single" w:sz="8" w:color="424E6A"/>
            </w:tcBorders>
          </w:tcPr>
          <w:p>
            <w:pPr>
              <w:ind w:left="220"/>
              <w:spacing w:after="0"/>
              <w:rPr>
                <w:sz w:val="20"/>
                <w:szCs w:val="20"/>
                <w:color w:val="auto"/>
              </w:rPr>
            </w:pPr>
            <w:r>
              <w:rPr>
                <w:rFonts w:ascii="Arial" w:cs="Arial" w:eastAsia="Arial" w:hAnsi="Arial"/>
                <w:sz w:val="16"/>
                <w:szCs w:val="16"/>
                <w:color w:val="auto"/>
              </w:rPr>
              <w:t>TOTAL</w:t>
            </w:r>
          </w:p>
        </w:tc>
        <w:tc>
          <w:tcPr>
            <w:tcW w:w="1300" w:type="dxa"/>
            <w:vAlign w:val="bottom"/>
            <w:tcBorders>
              <w:bottom w:val="single" w:sz="8" w:color="424E6A"/>
            </w:tcBorders>
            <w:gridSpan w:val="2"/>
          </w:tcPr>
          <w:p>
            <w:pPr>
              <w:jc w:val="right"/>
              <w:ind w:right="45"/>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424E6A"/>
            </w:tcBorders>
            <w:gridSpan w:val="2"/>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100.0%</w:t>
            </w:r>
          </w:p>
        </w:tc>
        <w:tc>
          <w:tcPr>
            <w:tcW w:w="1040" w:type="dxa"/>
            <w:vAlign w:val="bottom"/>
            <w:tcBorders>
              <w:bottom w:val="single" w:sz="8" w:color="424E6A"/>
            </w:tcBorders>
            <w:gridSpan w:val="2"/>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763.9 million</w:t>
            </w:r>
          </w:p>
        </w:tc>
        <w:tc>
          <w:tcPr>
            <w:tcW w:w="80" w:type="dxa"/>
            <w:vAlign w:val="bottom"/>
            <w:tcBorders>
              <w:bottom w:val="single" w:sz="8" w:color="424E6A"/>
              <w:right w:val="single" w:sz="8" w:color="424E6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-976630</wp:posOffset>
            </wp:positionV>
            <wp:extent cx="5194935" cy="9772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94935" cy="977265"/>
                    </a:xfrm>
                    <a:prstGeom prst="rect">
                      <a:avLst/>
                    </a:prstGeom>
                    <a:noFill/>
                  </pic:spPr>
                </pic:pic>
              </a:graphicData>
            </a:graphic>
          </wp:anchor>
        </w:drawing>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following chart further illustrates our ownership structure as of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128905</wp:posOffset>
            </wp:positionV>
            <wp:extent cx="5031740" cy="45345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031740" cy="4534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99" w:firstLine="360"/>
        <w:spacing w:after="0" w:line="244" w:lineRule="auto"/>
        <w:rPr>
          <w:sz w:val="20"/>
          <w:szCs w:val="20"/>
          <w:color w:val="auto"/>
        </w:rPr>
      </w:pPr>
      <w:r>
        <w:rPr>
          <w:rFonts w:ascii="Arial" w:cs="Arial" w:eastAsia="Arial" w:hAnsi="Arial"/>
          <w:sz w:val="18"/>
          <w:szCs w:val="18"/>
          <w:color w:val="auto"/>
        </w:rPr>
        <w:t xml:space="preserve">Considering the overall consolidated ownership and voting structure of PAGP and PAA, the following table lists who we believe are the top 10 holders of our voting securities based on combined holdings of PAGP Class A Shares, PAGP Class B Shares, PAA Common Units (excluding Plains AAP) and PAA Series A Preferred Units. Unless otherwise noted, the reported holdings are based on Schedule 13F filings as of December 31, 2025 and other publicly available information; the table below does not take into account the holdings of investors who are not required to file a Schedule 13F or who do not otherwise publicly disclose their holdings. It should be noted that Schedule 13F requires certain institutional investment managers to report holdings over which they exercise investment discretion (i.e., the power to buy or sell securities); such institutional investment managers may or may not also have voting discretion with respect to such holdings. </w:t>
      </w:r>
      <w:r>
        <w:rPr>
          <w:rFonts w:ascii="Arial" w:cs="Arial" w:eastAsia="Arial" w:hAnsi="Arial"/>
          <w:sz w:val="18"/>
          <w:szCs w:val="18"/>
          <w:i w:val="1"/>
          <w:iCs w:val="1"/>
          <w:color w:val="auto"/>
        </w:rPr>
        <w:t>(Holdings in 000s)</w:t>
      </w:r>
    </w:p>
    <w:p>
      <w:pPr>
        <w:spacing w:after="0" w:line="169" w:lineRule="exact"/>
        <w:rPr>
          <w:sz w:val="20"/>
          <w:szCs w:val="20"/>
          <w:color w:val="auto"/>
        </w:rPr>
      </w:pPr>
    </w:p>
    <w:tbl>
      <w:tblPr>
        <w:tblLayout w:type="fixed"/>
        <w:tblInd w:w="1270" w:type="dxa"/>
        <w:tblCellMar>
          <w:top w:w="0" w:type="dxa"/>
          <w:left w:w="0" w:type="dxa"/>
          <w:bottom w:w="0" w:type="dxa"/>
          <w:right w:w="0" w:type="dxa"/>
        </w:tblCellMar>
      </w:tblPr>
      <w:tr>
        <w:trPr>
          <w:trHeight w:val="247"/>
        </w:trPr>
        <w:tc>
          <w:tcPr>
            <w:tcW w:w="3020" w:type="dxa"/>
            <w:vAlign w:val="bottom"/>
            <w:tcBorders>
              <w:left w:val="single" w:sz="8" w:color="424E6A"/>
            </w:tcBorders>
            <w:shd w:val="clear" w:color="auto" w:fill="424E6A"/>
          </w:tcPr>
          <w:p>
            <w:pPr>
              <w:spacing w:after="0"/>
              <w:rPr>
                <w:sz w:val="21"/>
                <w:szCs w:val="21"/>
                <w:color w:val="auto"/>
              </w:rPr>
            </w:pPr>
          </w:p>
        </w:tc>
        <w:tc>
          <w:tcPr>
            <w:tcW w:w="640" w:type="dxa"/>
            <w:vAlign w:val="bottom"/>
            <w:shd w:val="clear" w:color="auto" w:fill="424E6A"/>
          </w:tcPr>
          <w:p>
            <w:pPr>
              <w:spacing w:after="0"/>
              <w:rPr>
                <w:sz w:val="21"/>
                <w:szCs w:val="21"/>
                <w:color w:val="auto"/>
              </w:rPr>
            </w:pPr>
          </w:p>
        </w:tc>
        <w:tc>
          <w:tcPr>
            <w:tcW w:w="480" w:type="dxa"/>
            <w:vAlign w:val="bottom"/>
            <w:shd w:val="clear" w:color="auto" w:fill="424E6A"/>
          </w:tcPr>
          <w:p>
            <w:pPr>
              <w:spacing w:after="0"/>
              <w:rPr>
                <w:sz w:val="21"/>
                <w:szCs w:val="21"/>
                <w:color w:val="auto"/>
              </w:rPr>
            </w:pPr>
          </w:p>
        </w:tc>
        <w:tc>
          <w:tcPr>
            <w:tcW w:w="180" w:type="dxa"/>
            <w:vAlign w:val="bottom"/>
            <w:shd w:val="clear" w:color="auto" w:fill="424E6A"/>
          </w:tcPr>
          <w:p>
            <w:pPr>
              <w:spacing w:after="0"/>
              <w:rPr>
                <w:sz w:val="21"/>
                <w:szCs w:val="21"/>
                <w:color w:val="auto"/>
              </w:rPr>
            </w:pPr>
          </w:p>
        </w:tc>
        <w:tc>
          <w:tcPr>
            <w:tcW w:w="480" w:type="dxa"/>
            <w:vAlign w:val="bottom"/>
            <w:shd w:val="clear" w:color="auto" w:fill="424E6A"/>
          </w:tcPr>
          <w:p>
            <w:pPr>
              <w:spacing w:after="0"/>
              <w:rPr>
                <w:sz w:val="21"/>
                <w:szCs w:val="21"/>
                <w:color w:val="auto"/>
              </w:rPr>
            </w:pPr>
          </w:p>
        </w:tc>
        <w:tc>
          <w:tcPr>
            <w:tcW w:w="240" w:type="dxa"/>
            <w:vAlign w:val="bottom"/>
            <w:shd w:val="clear" w:color="auto" w:fill="424E6A"/>
          </w:tcPr>
          <w:p>
            <w:pPr>
              <w:spacing w:after="0"/>
              <w:rPr>
                <w:sz w:val="21"/>
                <w:szCs w:val="21"/>
                <w:color w:val="auto"/>
              </w:rPr>
            </w:pPr>
          </w:p>
        </w:tc>
        <w:tc>
          <w:tcPr>
            <w:tcW w:w="520" w:type="dxa"/>
            <w:vAlign w:val="bottom"/>
            <w:shd w:val="clear" w:color="auto" w:fill="424E6A"/>
          </w:tcPr>
          <w:p>
            <w:pPr>
              <w:spacing w:after="0"/>
              <w:rPr>
                <w:sz w:val="21"/>
                <w:szCs w:val="21"/>
                <w:color w:val="auto"/>
              </w:rPr>
            </w:pPr>
          </w:p>
        </w:tc>
        <w:tc>
          <w:tcPr>
            <w:tcW w:w="60" w:type="dxa"/>
            <w:vAlign w:val="bottom"/>
            <w:shd w:val="clear" w:color="auto" w:fill="424E6A"/>
          </w:tcPr>
          <w:p>
            <w:pPr>
              <w:spacing w:after="0"/>
              <w:rPr>
                <w:sz w:val="21"/>
                <w:szCs w:val="21"/>
                <w:color w:val="auto"/>
              </w:rPr>
            </w:pPr>
          </w:p>
        </w:tc>
        <w:tc>
          <w:tcPr>
            <w:tcW w:w="200" w:type="dxa"/>
            <w:vAlign w:val="bottom"/>
            <w:shd w:val="clear" w:color="auto" w:fill="424E6A"/>
          </w:tcPr>
          <w:p>
            <w:pPr>
              <w:spacing w:after="0"/>
              <w:rPr>
                <w:sz w:val="21"/>
                <w:szCs w:val="21"/>
                <w:color w:val="auto"/>
              </w:rPr>
            </w:pPr>
          </w:p>
        </w:tc>
        <w:tc>
          <w:tcPr>
            <w:tcW w:w="520" w:type="dxa"/>
            <w:vAlign w:val="bottom"/>
            <w:shd w:val="clear" w:color="auto" w:fill="424E6A"/>
          </w:tcPr>
          <w:p>
            <w:pPr>
              <w:jc w:val="center"/>
              <w:ind w:right="81"/>
              <w:spacing w:after="0"/>
              <w:rPr>
                <w:sz w:val="20"/>
                <w:szCs w:val="20"/>
                <w:color w:val="auto"/>
              </w:rPr>
            </w:pPr>
            <w:r>
              <w:rPr>
                <w:rFonts w:ascii="Arial" w:cs="Arial" w:eastAsia="Arial" w:hAnsi="Arial"/>
                <w:sz w:val="14"/>
                <w:szCs w:val="14"/>
                <w:b w:val="1"/>
                <w:bCs w:val="1"/>
                <w:color w:val="FFFFFF"/>
                <w:w w:val="94"/>
              </w:rPr>
              <w:t>PAA</w:t>
            </w:r>
          </w:p>
        </w:tc>
        <w:tc>
          <w:tcPr>
            <w:tcW w:w="60" w:type="dxa"/>
            <w:vAlign w:val="bottom"/>
            <w:shd w:val="clear" w:color="auto" w:fill="424E6A"/>
          </w:tcPr>
          <w:p>
            <w:pPr>
              <w:spacing w:after="0"/>
              <w:rPr>
                <w:sz w:val="21"/>
                <w:szCs w:val="21"/>
                <w:color w:val="auto"/>
              </w:rPr>
            </w:pPr>
          </w:p>
        </w:tc>
        <w:tc>
          <w:tcPr>
            <w:tcW w:w="660" w:type="dxa"/>
            <w:vAlign w:val="bottom"/>
            <w:shd w:val="clear" w:color="auto" w:fill="424E6A"/>
          </w:tcPr>
          <w:p>
            <w:pPr>
              <w:spacing w:after="0"/>
              <w:rPr>
                <w:sz w:val="21"/>
                <w:szCs w:val="21"/>
                <w:color w:val="auto"/>
              </w:rPr>
            </w:pPr>
          </w:p>
        </w:tc>
        <w:tc>
          <w:tcPr>
            <w:tcW w:w="60" w:type="dxa"/>
            <w:vAlign w:val="bottom"/>
            <w:shd w:val="clear" w:color="auto" w:fill="424E6A"/>
          </w:tcPr>
          <w:p>
            <w:pPr>
              <w:spacing w:after="0"/>
              <w:rPr>
                <w:sz w:val="21"/>
                <w:szCs w:val="21"/>
                <w:color w:val="auto"/>
              </w:rPr>
            </w:pPr>
          </w:p>
        </w:tc>
        <w:tc>
          <w:tcPr>
            <w:tcW w:w="120" w:type="dxa"/>
            <w:vAlign w:val="bottom"/>
            <w:shd w:val="clear" w:color="auto" w:fill="424E6A"/>
          </w:tcPr>
          <w:p>
            <w:pPr>
              <w:spacing w:after="0"/>
              <w:rPr>
                <w:sz w:val="21"/>
                <w:szCs w:val="21"/>
                <w:color w:val="auto"/>
              </w:rPr>
            </w:pPr>
          </w:p>
        </w:tc>
        <w:tc>
          <w:tcPr>
            <w:tcW w:w="8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Percent of</w:t>
            </w:r>
          </w:p>
        </w:tc>
        <w:tc>
          <w:tcPr>
            <w:tcW w:w="100" w:type="dxa"/>
            <w:vAlign w:val="bottom"/>
            <w:tcBorders>
              <w:right w:val="single" w:sz="8" w:color="424E6A"/>
            </w:tcBorders>
            <w:shd w:val="clear" w:color="auto" w:fill="424E6A"/>
          </w:tcPr>
          <w:p>
            <w:pPr>
              <w:spacing w:after="0"/>
              <w:rPr>
                <w:sz w:val="21"/>
                <w:szCs w:val="21"/>
                <w:color w:val="auto"/>
              </w:rPr>
            </w:pPr>
          </w:p>
        </w:tc>
      </w:tr>
      <w:tr>
        <w:trPr>
          <w:trHeight w:val="162"/>
        </w:trPr>
        <w:tc>
          <w:tcPr>
            <w:tcW w:w="3020" w:type="dxa"/>
            <w:vAlign w:val="bottom"/>
            <w:tcBorders>
              <w:left w:val="single" w:sz="8" w:color="424E6A"/>
            </w:tcBorders>
            <w:shd w:val="clear" w:color="auto" w:fill="424E6A"/>
          </w:tcPr>
          <w:p>
            <w:pPr>
              <w:spacing w:after="0"/>
              <w:rPr>
                <w:sz w:val="14"/>
                <w:szCs w:val="14"/>
                <w:color w:val="auto"/>
              </w:rPr>
            </w:pPr>
          </w:p>
        </w:tc>
        <w:tc>
          <w:tcPr>
            <w:tcW w:w="640" w:type="dxa"/>
            <w:vAlign w:val="bottom"/>
            <w:shd w:val="clear" w:color="auto" w:fill="424E6A"/>
          </w:tcPr>
          <w:p>
            <w:pPr>
              <w:spacing w:after="0"/>
              <w:rPr>
                <w:sz w:val="14"/>
                <w:szCs w:val="14"/>
                <w:color w:val="auto"/>
              </w:rPr>
            </w:pPr>
          </w:p>
        </w:tc>
        <w:tc>
          <w:tcPr>
            <w:tcW w:w="480" w:type="dxa"/>
            <w:vAlign w:val="bottom"/>
            <w:shd w:val="clear" w:color="auto" w:fill="424E6A"/>
          </w:tcPr>
          <w:p>
            <w:pPr>
              <w:jc w:val="right"/>
              <w:ind w:right="2"/>
              <w:spacing w:after="0"/>
              <w:rPr>
                <w:sz w:val="20"/>
                <w:szCs w:val="20"/>
                <w:color w:val="auto"/>
              </w:rPr>
            </w:pPr>
            <w:r>
              <w:rPr>
                <w:rFonts w:ascii="Arial" w:cs="Arial" w:eastAsia="Arial" w:hAnsi="Arial"/>
                <w:sz w:val="14"/>
                <w:szCs w:val="14"/>
                <w:b w:val="1"/>
                <w:bCs w:val="1"/>
                <w:color w:val="FFFFFF"/>
                <w:w w:val="95"/>
              </w:rPr>
              <w:t>PAGP</w:t>
            </w:r>
          </w:p>
        </w:tc>
        <w:tc>
          <w:tcPr>
            <w:tcW w:w="180" w:type="dxa"/>
            <w:vAlign w:val="bottom"/>
            <w:shd w:val="clear" w:color="auto" w:fill="424E6A"/>
          </w:tcPr>
          <w:p>
            <w:pPr>
              <w:spacing w:after="0"/>
              <w:rPr>
                <w:sz w:val="14"/>
                <w:szCs w:val="14"/>
                <w:color w:val="auto"/>
              </w:rPr>
            </w:pPr>
          </w:p>
        </w:tc>
        <w:tc>
          <w:tcPr>
            <w:tcW w:w="480" w:type="dxa"/>
            <w:vAlign w:val="bottom"/>
            <w:shd w:val="clear" w:color="auto" w:fill="424E6A"/>
          </w:tcPr>
          <w:p>
            <w:pPr>
              <w:jc w:val="right"/>
              <w:spacing w:after="0"/>
              <w:rPr>
                <w:sz w:val="20"/>
                <w:szCs w:val="20"/>
                <w:color w:val="auto"/>
              </w:rPr>
            </w:pPr>
            <w:r>
              <w:rPr>
                <w:rFonts w:ascii="Arial" w:cs="Arial" w:eastAsia="Arial" w:hAnsi="Arial"/>
                <w:sz w:val="14"/>
                <w:szCs w:val="14"/>
                <w:b w:val="1"/>
                <w:bCs w:val="1"/>
                <w:color w:val="FFFFFF"/>
                <w:w w:val="95"/>
              </w:rPr>
              <w:t>PAGP</w:t>
            </w:r>
          </w:p>
        </w:tc>
        <w:tc>
          <w:tcPr>
            <w:tcW w:w="240" w:type="dxa"/>
            <w:vAlign w:val="bottom"/>
            <w:shd w:val="clear" w:color="auto" w:fill="424E6A"/>
          </w:tcPr>
          <w:p>
            <w:pPr>
              <w:spacing w:after="0"/>
              <w:rPr>
                <w:sz w:val="14"/>
                <w:szCs w:val="14"/>
                <w:color w:val="auto"/>
              </w:rPr>
            </w:pPr>
          </w:p>
        </w:tc>
        <w:tc>
          <w:tcPr>
            <w:tcW w:w="520" w:type="dxa"/>
            <w:vAlign w:val="bottom"/>
            <w:shd w:val="clear" w:color="auto" w:fill="424E6A"/>
          </w:tcPr>
          <w:p>
            <w:pPr>
              <w:jc w:val="center"/>
              <w:ind w:right="65"/>
              <w:spacing w:after="0"/>
              <w:rPr>
                <w:sz w:val="20"/>
                <w:szCs w:val="20"/>
                <w:color w:val="auto"/>
              </w:rPr>
            </w:pPr>
            <w:r>
              <w:rPr>
                <w:rFonts w:ascii="Arial" w:cs="Arial" w:eastAsia="Arial" w:hAnsi="Arial"/>
                <w:sz w:val="14"/>
                <w:szCs w:val="14"/>
                <w:b w:val="1"/>
                <w:bCs w:val="1"/>
                <w:color w:val="FFFFFF"/>
              </w:rPr>
              <w:t>PAA</w:t>
            </w:r>
          </w:p>
        </w:tc>
        <w:tc>
          <w:tcPr>
            <w:tcW w:w="60" w:type="dxa"/>
            <w:vAlign w:val="bottom"/>
            <w:shd w:val="clear" w:color="auto" w:fill="424E6A"/>
          </w:tcPr>
          <w:p>
            <w:pPr>
              <w:spacing w:after="0"/>
              <w:rPr>
                <w:sz w:val="14"/>
                <w:szCs w:val="14"/>
                <w:color w:val="auto"/>
              </w:rPr>
            </w:pPr>
          </w:p>
        </w:tc>
        <w:tc>
          <w:tcPr>
            <w:tcW w:w="7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w w:val="99"/>
              </w:rPr>
              <w:t>Series A</w:t>
            </w:r>
          </w:p>
        </w:tc>
        <w:tc>
          <w:tcPr>
            <w:tcW w:w="60" w:type="dxa"/>
            <w:vAlign w:val="bottom"/>
            <w:shd w:val="clear" w:color="auto" w:fill="424E6A"/>
          </w:tcPr>
          <w:p>
            <w:pPr>
              <w:spacing w:after="0"/>
              <w:rPr>
                <w:sz w:val="14"/>
                <w:szCs w:val="14"/>
                <w:color w:val="auto"/>
              </w:rPr>
            </w:pPr>
          </w:p>
        </w:tc>
        <w:tc>
          <w:tcPr>
            <w:tcW w:w="660" w:type="dxa"/>
            <w:vAlign w:val="bottom"/>
            <w:shd w:val="clear" w:color="auto" w:fill="424E6A"/>
          </w:tcPr>
          <w:p>
            <w:pPr>
              <w:spacing w:after="0"/>
              <w:rPr>
                <w:sz w:val="14"/>
                <w:szCs w:val="14"/>
                <w:color w:val="auto"/>
              </w:rPr>
            </w:pPr>
          </w:p>
        </w:tc>
        <w:tc>
          <w:tcPr>
            <w:tcW w:w="60" w:type="dxa"/>
            <w:vAlign w:val="bottom"/>
            <w:shd w:val="clear" w:color="auto" w:fill="424E6A"/>
          </w:tcPr>
          <w:p>
            <w:pPr>
              <w:spacing w:after="0"/>
              <w:rPr>
                <w:sz w:val="14"/>
                <w:szCs w:val="14"/>
                <w:color w:val="auto"/>
              </w:rPr>
            </w:pPr>
          </w:p>
        </w:tc>
        <w:tc>
          <w:tcPr>
            <w:tcW w:w="10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Consolidated</w:t>
            </w:r>
          </w:p>
        </w:tc>
        <w:tc>
          <w:tcPr>
            <w:tcW w:w="100" w:type="dxa"/>
            <w:vAlign w:val="bottom"/>
            <w:tcBorders>
              <w:right w:val="single" w:sz="8" w:color="424E6A"/>
            </w:tcBorders>
            <w:shd w:val="clear" w:color="auto" w:fill="424E6A"/>
          </w:tcPr>
          <w:p>
            <w:pPr>
              <w:spacing w:after="0"/>
              <w:rPr>
                <w:sz w:val="14"/>
                <w:szCs w:val="14"/>
                <w:color w:val="auto"/>
              </w:rPr>
            </w:pPr>
          </w:p>
        </w:tc>
      </w:tr>
      <w:tr>
        <w:trPr>
          <w:trHeight w:val="162"/>
        </w:trPr>
        <w:tc>
          <w:tcPr>
            <w:tcW w:w="3020" w:type="dxa"/>
            <w:vAlign w:val="bottom"/>
            <w:tcBorders>
              <w:left w:val="single" w:sz="8" w:color="424E6A"/>
            </w:tcBorders>
            <w:shd w:val="clear" w:color="auto" w:fill="424E6A"/>
          </w:tcPr>
          <w:p>
            <w:pPr>
              <w:spacing w:after="0"/>
              <w:rPr>
                <w:sz w:val="14"/>
                <w:szCs w:val="14"/>
                <w:color w:val="auto"/>
              </w:rPr>
            </w:pPr>
          </w:p>
        </w:tc>
        <w:tc>
          <w:tcPr>
            <w:tcW w:w="112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Class A</w:t>
            </w:r>
          </w:p>
        </w:tc>
        <w:tc>
          <w:tcPr>
            <w:tcW w:w="66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Class B</w:t>
            </w:r>
          </w:p>
        </w:tc>
        <w:tc>
          <w:tcPr>
            <w:tcW w:w="760" w:type="dxa"/>
            <w:vAlign w:val="bottom"/>
            <w:gridSpan w:val="2"/>
            <w:shd w:val="clear" w:color="auto" w:fill="424E6A"/>
          </w:tcPr>
          <w:p>
            <w:pPr>
              <w:jc w:val="center"/>
              <w:ind w:left="20"/>
              <w:spacing w:after="0"/>
              <w:rPr>
                <w:sz w:val="20"/>
                <w:szCs w:val="20"/>
                <w:color w:val="auto"/>
              </w:rPr>
            </w:pPr>
            <w:r>
              <w:rPr>
                <w:rFonts w:ascii="Arial" w:cs="Arial" w:eastAsia="Arial" w:hAnsi="Arial"/>
                <w:sz w:val="14"/>
                <w:szCs w:val="14"/>
                <w:b w:val="1"/>
                <w:bCs w:val="1"/>
                <w:color w:val="FFFFFF"/>
              </w:rPr>
              <w:t>Common</w:t>
            </w:r>
          </w:p>
        </w:tc>
        <w:tc>
          <w:tcPr>
            <w:tcW w:w="60" w:type="dxa"/>
            <w:vAlign w:val="bottom"/>
            <w:shd w:val="clear" w:color="auto" w:fill="424E6A"/>
          </w:tcPr>
          <w:p>
            <w:pPr>
              <w:spacing w:after="0"/>
              <w:rPr>
                <w:sz w:val="14"/>
                <w:szCs w:val="14"/>
                <w:color w:val="auto"/>
              </w:rPr>
            </w:pPr>
          </w:p>
        </w:tc>
        <w:tc>
          <w:tcPr>
            <w:tcW w:w="7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Preferred</w:t>
            </w:r>
          </w:p>
        </w:tc>
        <w:tc>
          <w:tcPr>
            <w:tcW w:w="60" w:type="dxa"/>
            <w:vAlign w:val="bottom"/>
            <w:shd w:val="clear" w:color="auto" w:fill="424E6A"/>
          </w:tcPr>
          <w:p>
            <w:pPr>
              <w:spacing w:after="0"/>
              <w:rPr>
                <w:sz w:val="14"/>
                <w:szCs w:val="14"/>
                <w:color w:val="auto"/>
              </w:rPr>
            </w:pPr>
          </w:p>
        </w:tc>
        <w:tc>
          <w:tcPr>
            <w:tcW w:w="660" w:type="dxa"/>
            <w:vAlign w:val="bottom"/>
            <w:shd w:val="clear" w:color="auto" w:fill="424E6A"/>
          </w:tcPr>
          <w:p>
            <w:pPr>
              <w:ind w:left="180"/>
              <w:spacing w:after="0"/>
              <w:rPr>
                <w:sz w:val="20"/>
                <w:szCs w:val="20"/>
                <w:color w:val="auto"/>
              </w:rPr>
            </w:pPr>
            <w:r>
              <w:rPr>
                <w:rFonts w:ascii="Arial" w:cs="Arial" w:eastAsia="Arial" w:hAnsi="Arial"/>
                <w:sz w:val="14"/>
                <w:szCs w:val="14"/>
                <w:b w:val="1"/>
                <w:bCs w:val="1"/>
                <w:color w:val="FFFFFF"/>
              </w:rPr>
              <w:t>Total</w:t>
            </w:r>
          </w:p>
        </w:tc>
        <w:tc>
          <w:tcPr>
            <w:tcW w:w="60" w:type="dxa"/>
            <w:vAlign w:val="bottom"/>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880" w:type="dxa"/>
            <w:vAlign w:val="bottom"/>
            <w:shd w:val="clear" w:color="auto" w:fill="424E6A"/>
          </w:tcPr>
          <w:p>
            <w:pPr>
              <w:jc w:val="center"/>
              <w:ind w:right="1"/>
              <w:spacing w:after="0"/>
              <w:rPr>
                <w:sz w:val="20"/>
                <w:szCs w:val="20"/>
                <w:color w:val="auto"/>
              </w:rPr>
            </w:pPr>
            <w:r>
              <w:rPr>
                <w:rFonts w:ascii="Arial" w:cs="Arial" w:eastAsia="Arial" w:hAnsi="Arial"/>
                <w:sz w:val="14"/>
                <w:szCs w:val="14"/>
                <w:b w:val="1"/>
                <w:bCs w:val="1"/>
                <w:color w:val="FFFFFF"/>
              </w:rPr>
              <w:t>Voting</w:t>
            </w:r>
          </w:p>
        </w:tc>
        <w:tc>
          <w:tcPr>
            <w:tcW w:w="100" w:type="dxa"/>
            <w:vAlign w:val="bottom"/>
            <w:tcBorders>
              <w:right w:val="single" w:sz="8" w:color="424E6A"/>
            </w:tcBorders>
            <w:shd w:val="clear" w:color="auto" w:fill="424E6A"/>
          </w:tcPr>
          <w:p>
            <w:pPr>
              <w:spacing w:after="0"/>
              <w:rPr>
                <w:sz w:val="14"/>
                <w:szCs w:val="14"/>
                <w:color w:val="auto"/>
              </w:rPr>
            </w:pPr>
          </w:p>
        </w:tc>
      </w:tr>
      <w:tr>
        <w:trPr>
          <w:trHeight w:val="185"/>
        </w:trPr>
        <w:tc>
          <w:tcPr>
            <w:tcW w:w="3020" w:type="dxa"/>
            <w:vAlign w:val="bottom"/>
            <w:tcBorders>
              <w:lef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Name</w:t>
            </w:r>
          </w:p>
        </w:tc>
        <w:tc>
          <w:tcPr>
            <w:tcW w:w="2020" w:type="dxa"/>
            <w:vAlign w:val="bottom"/>
            <w:gridSpan w:val="5"/>
            <w:shd w:val="clear" w:color="auto" w:fill="424E6A"/>
          </w:tcPr>
          <w:p>
            <w:pPr>
              <w:ind w:left="500"/>
              <w:spacing w:after="0"/>
              <w:rPr>
                <w:sz w:val="20"/>
                <w:szCs w:val="20"/>
                <w:color w:val="auto"/>
              </w:rPr>
            </w:pPr>
            <w:r>
              <w:rPr>
                <w:rFonts w:ascii="Arial" w:cs="Arial" w:eastAsia="Arial" w:hAnsi="Arial"/>
                <w:sz w:val="14"/>
                <w:szCs w:val="14"/>
                <w:b w:val="1"/>
                <w:bCs w:val="1"/>
                <w:color w:val="FFFFFF"/>
              </w:rPr>
              <w:t>​​ Shares ​​ Shares ​​</w:t>
            </w:r>
          </w:p>
        </w:tc>
        <w:tc>
          <w:tcPr>
            <w:tcW w:w="520" w:type="dxa"/>
            <w:vAlign w:val="bottom"/>
            <w:shd w:val="clear" w:color="auto" w:fill="424E6A"/>
          </w:tcPr>
          <w:p>
            <w:pPr>
              <w:jc w:val="center"/>
              <w:ind w:right="45"/>
              <w:spacing w:after="0"/>
              <w:rPr>
                <w:sz w:val="20"/>
                <w:szCs w:val="20"/>
                <w:color w:val="auto"/>
              </w:rPr>
            </w:pPr>
            <w:r>
              <w:rPr>
                <w:rFonts w:ascii="Arial" w:cs="Arial" w:eastAsia="Arial" w:hAnsi="Arial"/>
                <w:sz w:val="14"/>
                <w:szCs w:val="14"/>
                <w:b w:val="1"/>
                <w:bCs w:val="1"/>
                <w:color w:val="FFFFFF"/>
              </w:rPr>
              <w:t>Units</w:t>
            </w:r>
          </w:p>
        </w:tc>
        <w:tc>
          <w:tcPr>
            <w:tcW w:w="260" w:type="dxa"/>
            <w:vAlign w:val="bottom"/>
            <w:gridSpan w:val="2"/>
            <w:shd w:val="clear" w:color="auto" w:fill="424E6A"/>
          </w:tcPr>
          <w:p>
            <w:pPr>
              <w:jc w:val="right"/>
              <w:ind w:right="62"/>
              <w:spacing w:after="0"/>
              <w:rPr>
                <w:sz w:val="20"/>
                <w:szCs w:val="20"/>
                <w:color w:val="auto"/>
              </w:rPr>
            </w:pPr>
            <w:r>
              <w:rPr>
                <w:rFonts w:ascii="Arial" w:cs="Arial" w:eastAsia="Arial" w:hAnsi="Arial"/>
                <w:sz w:val="14"/>
                <w:szCs w:val="14"/>
                <w:b w:val="1"/>
                <w:bCs w:val="1"/>
                <w:color w:val="FFFFFF"/>
              </w:rPr>
              <w:t>​​</w:t>
            </w:r>
          </w:p>
        </w:tc>
        <w:tc>
          <w:tcPr>
            <w:tcW w:w="520" w:type="dxa"/>
            <w:vAlign w:val="bottom"/>
            <w:shd w:val="clear" w:color="auto" w:fill="424E6A"/>
          </w:tcPr>
          <w:p>
            <w:pPr>
              <w:jc w:val="center"/>
              <w:ind w:right="41"/>
              <w:spacing w:after="0"/>
              <w:rPr>
                <w:sz w:val="20"/>
                <w:szCs w:val="20"/>
                <w:color w:val="auto"/>
              </w:rPr>
            </w:pPr>
            <w:r>
              <w:rPr>
                <w:rFonts w:ascii="Arial" w:cs="Arial" w:eastAsia="Arial" w:hAnsi="Arial"/>
                <w:sz w:val="14"/>
                <w:szCs w:val="14"/>
                <w:b w:val="1"/>
                <w:bCs w:val="1"/>
                <w:color w:val="FFFFFF"/>
              </w:rPr>
              <w:t>Units</w:t>
            </w:r>
          </w:p>
        </w:tc>
        <w:tc>
          <w:tcPr>
            <w:tcW w:w="900" w:type="dxa"/>
            <w:vAlign w:val="bottom"/>
            <w:gridSpan w:val="4"/>
            <w:shd w:val="clear" w:color="auto" w:fill="424E6A"/>
          </w:tcPr>
          <w:p>
            <w:pPr>
              <w:ind w:left="40"/>
              <w:spacing w:after="0"/>
              <w:rPr>
                <w:sz w:val="20"/>
                <w:szCs w:val="20"/>
                <w:color w:val="auto"/>
              </w:rPr>
            </w:pPr>
            <w:r>
              <w:rPr>
                <w:rFonts w:ascii="Arial" w:cs="Arial" w:eastAsia="Arial" w:hAnsi="Arial"/>
                <w:sz w:val="14"/>
                <w:szCs w:val="14"/>
                <w:b w:val="1"/>
                <w:bCs w:val="1"/>
                <w:color w:val="FFFFFF"/>
              </w:rPr>
              <w:t>​​Holdings ​​</w:t>
            </w:r>
          </w:p>
        </w:tc>
        <w:tc>
          <w:tcPr>
            <w:tcW w:w="8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Structure</w:t>
            </w:r>
          </w:p>
        </w:tc>
        <w:tc>
          <w:tcPr>
            <w:tcW w:w="100" w:type="dxa"/>
            <w:vAlign w:val="bottom"/>
            <w:tcBorders>
              <w:right w:val="single" w:sz="8" w:color="424E6A"/>
            </w:tcBorders>
            <w:shd w:val="clear" w:color="auto" w:fill="424E6A"/>
          </w:tcPr>
          <w:p>
            <w:pPr>
              <w:spacing w:after="0"/>
              <w:rPr>
                <w:sz w:val="16"/>
                <w:szCs w:val="16"/>
                <w:color w:val="auto"/>
              </w:rPr>
            </w:pPr>
          </w:p>
        </w:tc>
      </w:tr>
      <w:tr>
        <w:trPr>
          <w:trHeight w:val="189"/>
        </w:trPr>
        <w:tc>
          <w:tcPr>
            <w:tcW w:w="302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6"/>
                <w:szCs w:val="16"/>
                <w:color w:val="auto"/>
              </w:rPr>
              <w:t>ALPS Advisors</w:t>
            </w:r>
          </w:p>
        </w:tc>
        <w:tc>
          <w:tcPr>
            <w:tcW w:w="1120" w:type="dxa"/>
            <w:vAlign w:val="bottom"/>
            <w:tcBorders>
              <w:bottom w:val="single" w:sz="8" w:color="424E6A"/>
            </w:tcBorders>
            <w:gridSpan w:val="2"/>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auto"/>
                <w:highlight w:val="lightGray"/>
              </w:rPr>
              <w:t>​​ 1,223</w:t>
            </w:r>
          </w:p>
        </w:tc>
        <w:tc>
          <w:tcPr>
            <w:tcW w:w="18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highlight w:val="lightGray"/>
              </w:rPr>
              <w:t>​</w:t>
            </w:r>
            <w:r>
              <w:rPr>
                <w:rFonts w:ascii="Arial" w:cs="Arial" w:eastAsia="Arial" w:hAnsi="Arial"/>
                <w:sz w:val="16"/>
                <w:szCs w:val="16"/>
                <w:color w:val="auto"/>
              </w:rPr>
              <w:t>​</w:t>
            </w:r>
            <w:r>
              <w:rPr>
                <w:rFonts w:ascii="Arial" w:cs="Arial" w:eastAsia="Arial" w:hAnsi="Arial"/>
                <w:sz w:val="16"/>
                <w:szCs w:val="16"/>
                <w:color w:val="auto"/>
                <w:highlight w:val="lightGray"/>
              </w:rPr>
              <w:t>​​</w:t>
            </w:r>
          </w:p>
        </w:tc>
        <w:tc>
          <w:tcPr>
            <w:tcW w:w="1240" w:type="dxa"/>
            <w:vAlign w:val="bottom"/>
            <w:tcBorders>
              <w:bottom w:val="single" w:sz="8" w:color="424E6A"/>
            </w:tcBorders>
            <w:gridSpan w:val="3"/>
          </w:tcPr>
          <w:p>
            <w:pPr>
              <w:jc w:val="right"/>
              <w:spacing w:after="0"/>
              <w:rPr>
                <w:sz w:val="20"/>
                <w:szCs w:val="20"/>
                <w:color w:val="auto"/>
              </w:rPr>
            </w:pPr>
            <w:r>
              <w:rPr>
                <w:rFonts w:ascii="Arial" w:cs="Arial" w:eastAsia="Arial" w:hAnsi="Arial"/>
                <w:sz w:val="16"/>
                <w:szCs w:val="16"/>
                <w:color w:val="auto"/>
                <w:highlight w:val="lightGray"/>
              </w:rPr>
              <w:t>— ​</w:t>
            </w:r>
            <w:r>
              <w:rPr>
                <w:rFonts w:ascii="Arial" w:cs="Arial" w:eastAsia="Arial" w:hAnsi="Arial"/>
                <w:sz w:val="16"/>
                <w:szCs w:val="16"/>
                <w:color w:val="auto"/>
              </w:rPr>
              <w:t>​</w:t>
            </w:r>
            <w:r>
              <w:rPr>
                <w:rFonts w:ascii="Arial" w:cs="Arial" w:eastAsia="Arial" w:hAnsi="Arial"/>
                <w:sz w:val="16"/>
                <w:szCs w:val="16"/>
                <w:color w:val="auto"/>
                <w:highlight w:val="lightGray"/>
              </w:rPr>
              <w:t>​ ​76,052</w:t>
            </w:r>
          </w:p>
        </w:tc>
        <w:tc>
          <w:tcPr>
            <w:tcW w:w="6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highlight w:val="lightGray"/>
              </w:rPr>
              <w:t>​</w:t>
            </w:r>
          </w:p>
        </w:tc>
        <w:tc>
          <w:tcPr>
            <w:tcW w:w="2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 ​</w:t>
            </w:r>
          </w:p>
        </w:tc>
        <w:tc>
          <w:tcPr>
            <w:tcW w:w="520" w:type="dxa"/>
            <w:vAlign w:val="bottom"/>
            <w:tcBorders>
              <w:bottom w:val="single" w:sz="8" w:color="424E6A"/>
            </w:tcBorders>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424E6A"/>
            </w:tcBorders>
            <w:gridSpan w:val="2"/>
          </w:tcPr>
          <w:p>
            <w:pPr>
              <w:jc w:val="right"/>
              <w:spacing w:after="0"/>
              <w:rPr>
                <w:sz w:val="20"/>
                <w:szCs w:val="20"/>
                <w:color w:val="auto"/>
              </w:rPr>
            </w:pPr>
            <w:r>
              <w:rPr>
                <w:rFonts w:ascii="Arial" w:cs="Arial" w:eastAsia="Arial" w:hAnsi="Arial"/>
                <w:sz w:val="16"/>
                <w:szCs w:val="16"/>
                <w:color w:val="auto"/>
                <w:highlight w:val="lightGray"/>
              </w:rPr>
              <w:t>​​ ​77,275 ​</w:t>
            </w:r>
          </w:p>
        </w:tc>
        <w:tc>
          <w:tcPr>
            <w:tcW w:w="12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424E6A"/>
            </w:tcBorders>
          </w:tcPr>
          <w:p>
            <w:pPr>
              <w:ind w:left="240"/>
              <w:spacing w:after="0"/>
              <w:rPr>
                <w:sz w:val="20"/>
                <w:szCs w:val="20"/>
                <w:color w:val="auto"/>
              </w:rPr>
            </w:pPr>
            <w:r>
              <w:rPr>
                <w:rFonts w:ascii="Arial" w:cs="Arial" w:eastAsia="Arial" w:hAnsi="Arial"/>
                <w:sz w:val="16"/>
                <w:szCs w:val="16"/>
                <w:color w:val="auto"/>
                <w:highlight w:val="lightGray"/>
              </w:rPr>
              <w:t>​10.1%</w:t>
            </w:r>
          </w:p>
        </w:tc>
        <w:tc>
          <w:tcPr>
            <w:tcW w:w="10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6"/>
                <w:szCs w:val="16"/>
                <w:color w:val="auto"/>
                <w:highlight w:val="lightGray"/>
              </w:rPr>
              <w:t>​</w:t>
            </w:r>
          </w:p>
        </w:tc>
      </w:tr>
      <w:tr>
        <w:trPr>
          <w:trHeight w:val="183"/>
        </w:trPr>
        <w:tc>
          <w:tcPr>
            <w:tcW w:w="3020" w:type="dxa"/>
            <w:vAlign w:val="bottom"/>
            <w:tcBorders>
              <w:left w:val="single" w:sz="8" w:color="424E6A"/>
              <w:bottom w:val="single" w:sz="8" w:color="424E6A"/>
            </w:tcBorders>
          </w:tcPr>
          <w:p>
            <w:pPr>
              <w:ind w:left="60"/>
              <w:spacing w:after="0" w:line="183" w:lineRule="exact"/>
              <w:rPr>
                <w:sz w:val="20"/>
                <w:szCs w:val="20"/>
                <w:color w:val="auto"/>
              </w:rPr>
            </w:pPr>
            <w:r>
              <w:rPr>
                <w:rFonts w:ascii="Arial" w:cs="Arial" w:eastAsia="Arial" w:hAnsi="Arial"/>
                <w:sz w:val="16"/>
                <w:szCs w:val="16"/>
                <w:color w:val="auto"/>
              </w:rPr>
              <w:t>Invesco Advisors</w:t>
            </w:r>
          </w:p>
        </w:tc>
        <w:tc>
          <w:tcPr>
            <w:tcW w:w="112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 4,370</w:t>
            </w:r>
          </w:p>
        </w:tc>
        <w:tc>
          <w:tcPr>
            <w:tcW w:w="18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424E6A"/>
            </w:tcBorders>
            <w:gridSpan w:val="3"/>
          </w:tcPr>
          <w:p>
            <w:pPr>
              <w:jc w:val="right"/>
              <w:spacing w:after="0" w:line="183" w:lineRule="exact"/>
              <w:rPr>
                <w:sz w:val="20"/>
                <w:szCs w:val="20"/>
                <w:color w:val="auto"/>
              </w:rPr>
            </w:pPr>
            <w:r>
              <w:rPr>
                <w:rFonts w:ascii="Arial" w:cs="Arial" w:eastAsia="Arial" w:hAnsi="Arial"/>
                <w:sz w:val="16"/>
                <w:szCs w:val="16"/>
                <w:color w:val="auto"/>
              </w:rPr>
              <w:t>— ​​​ ​33,448</w:t>
            </w:r>
          </w:p>
        </w:tc>
        <w:tc>
          <w:tcPr>
            <w:tcW w:w="26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 ​</w:t>
            </w:r>
          </w:p>
        </w:tc>
        <w:tc>
          <w:tcPr>
            <w:tcW w:w="520" w:type="dxa"/>
            <w:vAlign w:val="bottom"/>
            <w:tcBorders>
              <w:bottom w:val="single" w:sz="8" w:color="424E6A"/>
            </w:tcBorders>
          </w:tcPr>
          <w:p>
            <w:pPr>
              <w:jc w:val="right"/>
              <w:ind w:right="1"/>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424E6A"/>
            </w:tcBorders>
            <w:gridSpan w:val="4"/>
          </w:tcPr>
          <w:p>
            <w:pPr>
              <w:jc w:val="right"/>
              <w:spacing w:after="0" w:line="183" w:lineRule="exact"/>
              <w:rPr>
                <w:sz w:val="20"/>
                <w:szCs w:val="20"/>
                <w:color w:val="auto"/>
              </w:rPr>
            </w:pPr>
            <w:r>
              <w:rPr>
                <w:rFonts w:ascii="Arial" w:cs="Arial" w:eastAsia="Arial" w:hAnsi="Arial"/>
                <w:sz w:val="16"/>
                <w:szCs w:val="16"/>
                <w:color w:val="auto"/>
              </w:rPr>
              <w:t>​​​ ​37,818 ​​​</w:t>
            </w:r>
          </w:p>
        </w:tc>
        <w:tc>
          <w:tcPr>
            <w:tcW w:w="880" w:type="dxa"/>
            <w:vAlign w:val="bottom"/>
            <w:tcBorders>
              <w:bottom w:val="single" w:sz="8" w:color="424E6A"/>
            </w:tcBorders>
          </w:tcPr>
          <w:p>
            <w:pPr>
              <w:ind w:left="240"/>
              <w:spacing w:after="0" w:line="183" w:lineRule="exact"/>
              <w:rPr>
                <w:sz w:val="20"/>
                <w:szCs w:val="20"/>
                <w:color w:val="auto"/>
              </w:rPr>
            </w:pPr>
            <w:r>
              <w:rPr>
                <w:rFonts w:ascii="Arial" w:cs="Arial" w:eastAsia="Arial" w:hAnsi="Arial"/>
                <w:sz w:val="16"/>
                <w:szCs w:val="16"/>
                <w:color w:val="auto"/>
              </w:rPr>
              <w:t>​ 5.0%</w:t>
            </w:r>
          </w:p>
        </w:tc>
        <w:tc>
          <w:tcPr>
            <w:tcW w:w="100" w:type="dxa"/>
            <w:vAlign w:val="bottom"/>
            <w:tcBorders>
              <w:bottom w:val="single" w:sz="8" w:color="424E6A"/>
              <w:right w:val="single" w:sz="8" w:color="424E6A"/>
            </w:tcBorders>
          </w:tcPr>
          <w:p>
            <w:pPr>
              <w:spacing w:after="0" w:line="183" w:lineRule="exact"/>
              <w:rPr>
                <w:sz w:val="20"/>
                <w:szCs w:val="20"/>
                <w:color w:val="auto"/>
              </w:rPr>
            </w:pPr>
            <w:r>
              <w:rPr>
                <w:rFonts w:ascii="Arial" w:cs="Arial" w:eastAsia="Arial" w:hAnsi="Arial"/>
                <w:sz w:val="16"/>
                <w:szCs w:val="16"/>
                <w:color w:val="auto"/>
              </w:rPr>
              <w:t>​</w:t>
            </w:r>
          </w:p>
        </w:tc>
      </w:tr>
      <w:tr>
        <w:trPr>
          <w:trHeight w:val="183"/>
        </w:trPr>
        <w:tc>
          <w:tcPr>
            <w:tcW w:w="3020" w:type="dxa"/>
            <w:vAlign w:val="bottom"/>
            <w:tcBorders>
              <w:left w:val="single" w:sz="8" w:color="424E6A"/>
              <w:bottom w:val="single" w:sz="8" w:color="424E6A"/>
            </w:tcBorders>
          </w:tcPr>
          <w:p>
            <w:pPr>
              <w:ind w:left="60"/>
              <w:spacing w:after="0" w:line="183" w:lineRule="exact"/>
              <w:rPr>
                <w:sz w:val="20"/>
                <w:szCs w:val="20"/>
                <w:color w:val="auto"/>
              </w:rPr>
            </w:pPr>
            <w:r>
              <w:rPr>
                <w:rFonts w:ascii="Arial" w:cs="Arial" w:eastAsia="Arial" w:hAnsi="Arial"/>
                <w:sz w:val="16"/>
                <w:szCs w:val="16"/>
                <w:color w:val="auto"/>
              </w:rPr>
              <w:t>EMG Investments/John Raymond*</w:t>
            </w:r>
          </w:p>
        </w:tc>
        <w:tc>
          <w:tcPr>
            <w:tcW w:w="640" w:type="dxa"/>
            <w:vAlign w:val="bottom"/>
            <w:tcBorders>
              <w:bottom w:val="single" w:sz="8" w:color="424E6A"/>
            </w:tcBorders>
          </w:tcPr>
          <w:p>
            <w:pPr>
              <w:ind w:left="500"/>
              <w:spacing w:after="0" w:line="183" w:lineRule="exact"/>
              <w:rPr>
                <w:sz w:val="20"/>
                <w:szCs w:val="20"/>
                <w:color w:val="auto"/>
              </w:rPr>
            </w:pPr>
            <w:r>
              <w:rPr>
                <w:rFonts w:ascii="Arial" w:cs="Arial" w:eastAsia="Arial" w:hAnsi="Arial"/>
                <w:sz w:val="16"/>
                <w:szCs w:val="16"/>
                <w:color w:val="auto"/>
              </w:rPr>
              <w:t>​</w:t>
            </w:r>
            <w:r>
              <w:rPr>
                <w:rFonts w:ascii="Arial" w:cs="Arial" w:eastAsia="Arial" w:hAnsi="Arial"/>
                <w:sz w:val="16"/>
                <w:szCs w:val="16"/>
                <w:color w:val="auto"/>
                <w:highlight w:val="lightGray"/>
              </w:rPr>
              <w:t>​​</w:t>
            </w:r>
          </w:p>
        </w:tc>
        <w:tc>
          <w:tcPr>
            <w:tcW w:w="48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highlight w:val="lightGray"/>
              </w:rPr>
              <w:t>315</w:t>
            </w:r>
          </w:p>
        </w:tc>
        <w:tc>
          <w:tcPr>
            <w:tcW w:w="660" w:type="dxa"/>
            <w:vAlign w:val="bottom"/>
            <w:tcBorders>
              <w:bottom w:val="single" w:sz="8" w:color="424E6A"/>
            </w:tcBorders>
            <w:gridSpan w:val="2"/>
          </w:tcPr>
          <w:p>
            <w:pPr>
              <w:spacing w:after="0" w:line="183" w:lineRule="exact"/>
              <w:rPr>
                <w:sz w:val="20"/>
                <w:szCs w:val="20"/>
                <w:color w:val="auto"/>
              </w:rPr>
            </w:pPr>
            <w:r>
              <w:rPr>
                <w:rFonts w:ascii="Arial" w:cs="Arial" w:eastAsia="Arial" w:hAnsi="Arial"/>
                <w:sz w:val="16"/>
                <w:szCs w:val="16"/>
                <w:color w:val="auto"/>
                <w:highlight w:val="lightGray"/>
              </w:rPr>
              <w:t>​</w:t>
            </w:r>
            <w:r>
              <w:rPr>
                <w:rFonts w:ascii="Arial" w:cs="Arial" w:eastAsia="Arial" w:hAnsi="Arial"/>
                <w:sz w:val="16"/>
                <w:szCs w:val="16"/>
                <w:color w:val="auto"/>
              </w:rPr>
              <w:t>​</w:t>
            </w:r>
            <w:r>
              <w:rPr>
                <w:rFonts w:ascii="Arial" w:cs="Arial" w:eastAsia="Arial" w:hAnsi="Arial"/>
                <w:sz w:val="16"/>
                <w:szCs w:val="16"/>
                <w:color w:val="auto"/>
                <w:highlight w:val="lightGray"/>
              </w:rPr>
              <w:t>​​11,459</w:t>
            </w:r>
          </w:p>
        </w:tc>
        <w:tc>
          <w:tcPr>
            <w:tcW w:w="76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highlight w:val="lightGray"/>
              </w:rPr>
              <w:t>​</w:t>
            </w:r>
            <w:r>
              <w:rPr>
                <w:rFonts w:ascii="Arial" w:cs="Arial" w:eastAsia="Arial" w:hAnsi="Arial"/>
                <w:sz w:val="16"/>
                <w:szCs w:val="16"/>
                <w:color w:val="auto"/>
              </w:rPr>
              <w:t>​</w:t>
            </w:r>
            <w:r>
              <w:rPr>
                <w:rFonts w:ascii="Arial" w:cs="Arial" w:eastAsia="Arial" w:hAnsi="Arial"/>
                <w:sz w:val="16"/>
                <w:szCs w:val="16"/>
                <w:color w:val="auto"/>
                <w:highlight w:val="lightGray"/>
              </w:rPr>
              <w:t>​ ​ 1,603</w:t>
            </w:r>
          </w:p>
        </w:tc>
        <w:tc>
          <w:tcPr>
            <w:tcW w:w="780" w:type="dxa"/>
            <w:vAlign w:val="bottom"/>
            <w:tcBorders>
              <w:bottom w:val="single" w:sz="8" w:color="424E6A"/>
            </w:tcBorders>
            <w:gridSpan w:val="3"/>
          </w:tcPr>
          <w:p>
            <w:pPr>
              <w:jc w:val="right"/>
              <w:ind w:right="1"/>
              <w:spacing w:after="0" w:line="183" w:lineRule="exact"/>
              <w:rPr>
                <w:sz w:val="20"/>
                <w:szCs w:val="20"/>
                <w:color w:val="auto"/>
              </w:rPr>
            </w:pPr>
            <w:r>
              <w:rPr>
                <w:rFonts w:ascii="Arial" w:cs="Arial" w:eastAsia="Arial" w:hAnsi="Arial"/>
                <w:sz w:val="16"/>
                <w:szCs w:val="16"/>
                <w:color w:val="auto"/>
                <w:highlight w:val="lightGray"/>
              </w:rPr>
              <w:t>​</w:t>
            </w:r>
            <w:r>
              <w:rPr>
                <w:rFonts w:ascii="Arial" w:cs="Arial" w:eastAsia="Arial" w:hAnsi="Arial"/>
                <w:sz w:val="16"/>
                <w:szCs w:val="16"/>
                <w:color w:val="auto"/>
              </w:rPr>
              <w:t>​</w:t>
            </w:r>
            <w:r>
              <w:rPr>
                <w:rFonts w:ascii="Arial" w:cs="Arial" w:eastAsia="Arial" w:hAnsi="Arial"/>
                <w:sz w:val="16"/>
                <w:szCs w:val="16"/>
                <w:color w:val="auto"/>
                <w:highlight w:val="lightGray"/>
              </w:rPr>
              <w:t>​ ​20,376</w:t>
            </w:r>
          </w:p>
        </w:tc>
        <w:tc>
          <w:tcPr>
            <w:tcW w:w="780" w:type="dxa"/>
            <w:vAlign w:val="bottom"/>
            <w:tcBorders>
              <w:bottom w:val="single" w:sz="8" w:color="424E6A"/>
            </w:tcBorders>
            <w:gridSpan w:val="3"/>
          </w:tcPr>
          <w:p>
            <w:pPr>
              <w:spacing w:after="0" w:line="183" w:lineRule="exact"/>
              <w:rPr>
                <w:sz w:val="20"/>
                <w:szCs w:val="20"/>
                <w:color w:val="auto"/>
              </w:rPr>
            </w:pPr>
            <w:r>
              <w:rPr>
                <w:rFonts w:ascii="Arial" w:cs="Arial" w:eastAsia="Arial" w:hAnsi="Arial"/>
                <w:sz w:val="16"/>
                <w:szCs w:val="16"/>
                <w:color w:val="auto"/>
                <w:highlight w:val="lightGray"/>
              </w:rPr>
              <w:t>​</w:t>
            </w:r>
            <w:r>
              <w:rPr>
                <w:rFonts w:ascii="Arial" w:cs="Arial" w:eastAsia="Arial" w:hAnsi="Arial"/>
                <w:sz w:val="16"/>
                <w:szCs w:val="16"/>
                <w:color w:val="auto"/>
              </w:rPr>
              <w:t>​</w:t>
            </w:r>
            <w:r>
              <w:rPr>
                <w:rFonts w:ascii="Arial" w:cs="Arial" w:eastAsia="Arial" w:hAnsi="Arial"/>
                <w:sz w:val="16"/>
                <w:szCs w:val="16"/>
                <w:color w:val="auto"/>
                <w:highlight w:val="lightGray"/>
              </w:rPr>
              <w:t>​ ​33,753 ​</w:t>
            </w:r>
          </w:p>
        </w:tc>
        <w:tc>
          <w:tcPr>
            <w:tcW w:w="12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424E6A"/>
            </w:tcBorders>
          </w:tcPr>
          <w:p>
            <w:pPr>
              <w:ind w:left="240"/>
              <w:spacing w:after="0" w:line="183" w:lineRule="exact"/>
              <w:rPr>
                <w:sz w:val="20"/>
                <w:szCs w:val="20"/>
                <w:color w:val="auto"/>
              </w:rPr>
            </w:pPr>
            <w:r>
              <w:rPr>
                <w:rFonts w:ascii="Arial" w:cs="Arial" w:eastAsia="Arial" w:hAnsi="Arial"/>
                <w:sz w:val="16"/>
                <w:szCs w:val="16"/>
                <w:color w:val="auto"/>
                <w:highlight w:val="lightGray"/>
              </w:rPr>
              <w:t>​ 4.4%</w:t>
            </w:r>
          </w:p>
        </w:tc>
        <w:tc>
          <w:tcPr>
            <w:tcW w:w="100" w:type="dxa"/>
            <w:vAlign w:val="bottom"/>
            <w:tcBorders>
              <w:bottom w:val="single" w:sz="8" w:color="424E6A"/>
              <w:right w:val="single" w:sz="8" w:color="424E6A"/>
            </w:tcBorders>
          </w:tcPr>
          <w:p>
            <w:pPr>
              <w:spacing w:after="0" w:line="183" w:lineRule="exact"/>
              <w:rPr>
                <w:sz w:val="20"/>
                <w:szCs w:val="20"/>
                <w:color w:val="auto"/>
              </w:rPr>
            </w:pPr>
            <w:r>
              <w:rPr>
                <w:rFonts w:ascii="Arial" w:cs="Arial" w:eastAsia="Arial" w:hAnsi="Arial"/>
                <w:sz w:val="16"/>
                <w:szCs w:val="16"/>
                <w:color w:val="auto"/>
                <w:highlight w:val="lightGray"/>
              </w:rPr>
              <w:t>​</w:t>
            </w:r>
          </w:p>
        </w:tc>
      </w:tr>
      <w:tr>
        <w:trPr>
          <w:trHeight w:val="183"/>
        </w:trPr>
        <w:tc>
          <w:tcPr>
            <w:tcW w:w="3020" w:type="dxa"/>
            <w:vAlign w:val="bottom"/>
            <w:tcBorders>
              <w:left w:val="single" w:sz="8" w:color="424E6A"/>
              <w:bottom w:val="single" w:sz="8" w:color="424E6A"/>
            </w:tcBorders>
          </w:tcPr>
          <w:p>
            <w:pPr>
              <w:ind w:left="60"/>
              <w:spacing w:after="0" w:line="183" w:lineRule="exact"/>
              <w:rPr>
                <w:sz w:val="20"/>
                <w:szCs w:val="20"/>
                <w:color w:val="auto"/>
              </w:rPr>
            </w:pPr>
            <w:r>
              <w:rPr>
                <w:rFonts w:ascii="Arial" w:cs="Arial" w:eastAsia="Arial" w:hAnsi="Arial"/>
                <w:sz w:val="16"/>
                <w:szCs w:val="16"/>
                <w:color w:val="auto"/>
              </w:rPr>
              <w:t>Tortoise Capital Advisors</w:t>
            </w:r>
          </w:p>
        </w:tc>
        <w:tc>
          <w:tcPr>
            <w:tcW w:w="112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​​​11,704</w:t>
            </w:r>
          </w:p>
        </w:tc>
        <w:tc>
          <w:tcPr>
            <w:tcW w:w="18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rPr>
              <w:t>​​​​</w:t>
            </w:r>
          </w:p>
        </w:tc>
        <w:tc>
          <w:tcPr>
            <w:tcW w:w="48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 ​ 9,542</w:t>
            </w:r>
          </w:p>
        </w:tc>
        <w:tc>
          <w:tcPr>
            <w:tcW w:w="26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 ​</w:t>
            </w:r>
          </w:p>
        </w:tc>
        <w:tc>
          <w:tcPr>
            <w:tcW w:w="520" w:type="dxa"/>
            <w:vAlign w:val="bottom"/>
            <w:tcBorders>
              <w:bottom w:val="single" w:sz="8" w:color="424E6A"/>
            </w:tcBorders>
          </w:tcPr>
          <w:p>
            <w:pPr>
              <w:jc w:val="right"/>
              <w:ind w:right="1"/>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424E6A"/>
            </w:tcBorders>
            <w:gridSpan w:val="4"/>
          </w:tcPr>
          <w:p>
            <w:pPr>
              <w:jc w:val="right"/>
              <w:spacing w:after="0" w:line="183" w:lineRule="exact"/>
              <w:rPr>
                <w:sz w:val="20"/>
                <w:szCs w:val="20"/>
                <w:color w:val="auto"/>
              </w:rPr>
            </w:pPr>
            <w:r>
              <w:rPr>
                <w:rFonts w:ascii="Arial" w:cs="Arial" w:eastAsia="Arial" w:hAnsi="Arial"/>
                <w:sz w:val="16"/>
                <w:szCs w:val="16"/>
                <w:color w:val="auto"/>
              </w:rPr>
              <w:t>​​​ ​21,246 ​​​</w:t>
            </w:r>
          </w:p>
        </w:tc>
        <w:tc>
          <w:tcPr>
            <w:tcW w:w="880" w:type="dxa"/>
            <w:vAlign w:val="bottom"/>
            <w:tcBorders>
              <w:bottom w:val="single" w:sz="8" w:color="424E6A"/>
            </w:tcBorders>
          </w:tcPr>
          <w:p>
            <w:pPr>
              <w:ind w:left="240"/>
              <w:spacing w:after="0" w:line="183" w:lineRule="exact"/>
              <w:rPr>
                <w:sz w:val="20"/>
                <w:szCs w:val="20"/>
                <w:color w:val="auto"/>
              </w:rPr>
            </w:pPr>
            <w:r>
              <w:rPr>
                <w:rFonts w:ascii="Arial" w:cs="Arial" w:eastAsia="Arial" w:hAnsi="Arial"/>
                <w:sz w:val="16"/>
                <w:szCs w:val="16"/>
                <w:color w:val="auto"/>
              </w:rPr>
              <w:t>​ 2.8%</w:t>
            </w:r>
          </w:p>
        </w:tc>
        <w:tc>
          <w:tcPr>
            <w:tcW w:w="100" w:type="dxa"/>
            <w:vAlign w:val="bottom"/>
            <w:tcBorders>
              <w:bottom w:val="single" w:sz="8" w:color="424E6A"/>
              <w:right w:val="single" w:sz="8" w:color="424E6A"/>
            </w:tcBorders>
          </w:tcPr>
          <w:p>
            <w:pPr>
              <w:spacing w:after="0" w:line="183" w:lineRule="exact"/>
              <w:rPr>
                <w:sz w:val="20"/>
                <w:szCs w:val="20"/>
                <w:color w:val="auto"/>
              </w:rPr>
            </w:pPr>
            <w:r>
              <w:rPr>
                <w:rFonts w:ascii="Arial" w:cs="Arial" w:eastAsia="Arial" w:hAnsi="Arial"/>
                <w:sz w:val="16"/>
                <w:szCs w:val="16"/>
                <w:color w:val="auto"/>
              </w:rPr>
              <w:t>​</w:t>
            </w:r>
          </w:p>
        </w:tc>
      </w:tr>
      <w:tr>
        <w:trPr>
          <w:trHeight w:val="183"/>
        </w:trPr>
        <w:tc>
          <w:tcPr>
            <w:tcW w:w="3020" w:type="dxa"/>
            <w:vAlign w:val="bottom"/>
            <w:tcBorders>
              <w:left w:val="single" w:sz="8" w:color="424E6A"/>
              <w:bottom w:val="single" w:sz="8" w:color="424E6A"/>
            </w:tcBorders>
          </w:tcPr>
          <w:p>
            <w:pPr>
              <w:ind w:left="60"/>
              <w:spacing w:after="0" w:line="183" w:lineRule="exact"/>
              <w:rPr>
                <w:sz w:val="20"/>
                <w:szCs w:val="20"/>
                <w:color w:val="auto"/>
              </w:rPr>
            </w:pPr>
            <w:r>
              <w:rPr>
                <w:rFonts w:ascii="Arial" w:cs="Arial" w:eastAsia="Arial" w:hAnsi="Arial"/>
                <w:sz w:val="16"/>
                <w:szCs w:val="16"/>
                <w:color w:val="auto"/>
              </w:rPr>
              <w:t>Goldman Sachs Asset Mgmt</w:t>
            </w:r>
          </w:p>
        </w:tc>
        <w:tc>
          <w:tcPr>
            <w:tcW w:w="112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w:t>
            </w:r>
            <w:r>
              <w:rPr>
                <w:rFonts w:ascii="Arial" w:cs="Arial" w:eastAsia="Arial" w:hAnsi="Arial"/>
                <w:sz w:val="16"/>
                <w:szCs w:val="16"/>
                <w:color w:val="auto"/>
                <w:highlight w:val="lightGray"/>
              </w:rPr>
              <w:t>​​ 4,429</w:t>
            </w:r>
          </w:p>
        </w:tc>
        <w:tc>
          <w:tcPr>
            <w:tcW w:w="18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highlight w:val="lightGray"/>
              </w:rPr>
              <w:t>​</w:t>
            </w:r>
            <w:r>
              <w:rPr>
                <w:rFonts w:ascii="Arial" w:cs="Arial" w:eastAsia="Arial" w:hAnsi="Arial"/>
                <w:sz w:val="16"/>
                <w:szCs w:val="16"/>
                <w:color w:val="auto"/>
              </w:rPr>
              <w:t>​</w:t>
            </w:r>
            <w:r>
              <w:rPr>
                <w:rFonts w:ascii="Arial" w:cs="Arial" w:eastAsia="Arial" w:hAnsi="Arial"/>
                <w:sz w:val="16"/>
                <w:szCs w:val="16"/>
                <w:color w:val="auto"/>
                <w:highlight w:val="lightGray"/>
              </w:rPr>
              <w:t>​​</w:t>
            </w:r>
          </w:p>
        </w:tc>
        <w:tc>
          <w:tcPr>
            <w:tcW w:w="48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highlight w:val="lightGray"/>
              </w:rPr>
              <w:t>—</w:t>
            </w:r>
          </w:p>
        </w:tc>
        <w:tc>
          <w:tcPr>
            <w:tcW w:w="76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highlight w:val="lightGray"/>
              </w:rPr>
              <w:t>​</w:t>
            </w:r>
            <w:r>
              <w:rPr>
                <w:rFonts w:ascii="Arial" w:cs="Arial" w:eastAsia="Arial" w:hAnsi="Arial"/>
                <w:sz w:val="16"/>
                <w:szCs w:val="16"/>
                <w:color w:val="auto"/>
              </w:rPr>
              <w:t>​</w:t>
            </w:r>
            <w:r>
              <w:rPr>
                <w:rFonts w:ascii="Arial" w:cs="Arial" w:eastAsia="Arial" w:hAnsi="Arial"/>
                <w:sz w:val="16"/>
                <w:szCs w:val="16"/>
                <w:color w:val="auto"/>
                <w:highlight w:val="lightGray"/>
              </w:rPr>
              <w:t>​ ​15,564</w:t>
            </w:r>
          </w:p>
        </w:tc>
        <w:tc>
          <w:tcPr>
            <w:tcW w:w="6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highlight w:val="lightGray"/>
              </w:rPr>
              <w:t>​</w:t>
            </w:r>
          </w:p>
        </w:tc>
        <w:tc>
          <w:tcPr>
            <w:tcW w:w="20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rPr>
              <w:t>​​ ​</w:t>
            </w:r>
          </w:p>
        </w:tc>
        <w:tc>
          <w:tcPr>
            <w:tcW w:w="520" w:type="dxa"/>
            <w:vAlign w:val="bottom"/>
            <w:tcBorders>
              <w:bottom w:val="single" w:sz="8" w:color="424E6A"/>
            </w:tcBorders>
          </w:tcPr>
          <w:p>
            <w:pPr>
              <w:jc w:val="right"/>
              <w:ind w:right="1"/>
              <w:spacing w:after="0" w:line="183" w:lineRule="exact"/>
              <w:rPr>
                <w:sz w:val="20"/>
                <w:szCs w:val="20"/>
                <w:color w:val="auto"/>
              </w:rPr>
            </w:pPr>
            <w:r>
              <w:rPr>
                <w:rFonts w:ascii="Arial" w:cs="Arial" w:eastAsia="Arial" w:hAnsi="Arial"/>
                <w:sz w:val="16"/>
                <w:szCs w:val="16"/>
                <w:color w:val="auto"/>
              </w:rPr>
              <w:t>—</w:t>
            </w:r>
          </w:p>
        </w:tc>
        <w:tc>
          <w:tcPr>
            <w:tcW w:w="6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highlight w:val="lightGray"/>
              </w:rPr>
              <w:t>​​ ​19,993 ​</w:t>
            </w:r>
          </w:p>
        </w:tc>
        <w:tc>
          <w:tcPr>
            <w:tcW w:w="12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424E6A"/>
            </w:tcBorders>
          </w:tcPr>
          <w:p>
            <w:pPr>
              <w:ind w:left="240"/>
              <w:spacing w:after="0" w:line="183" w:lineRule="exact"/>
              <w:rPr>
                <w:sz w:val="20"/>
                <w:szCs w:val="20"/>
                <w:color w:val="auto"/>
              </w:rPr>
            </w:pPr>
            <w:r>
              <w:rPr>
                <w:rFonts w:ascii="Arial" w:cs="Arial" w:eastAsia="Arial" w:hAnsi="Arial"/>
                <w:sz w:val="16"/>
                <w:szCs w:val="16"/>
                <w:color w:val="auto"/>
                <w:highlight w:val="lightGray"/>
              </w:rPr>
              <w:t>​ 2.6%</w:t>
            </w:r>
          </w:p>
        </w:tc>
        <w:tc>
          <w:tcPr>
            <w:tcW w:w="100" w:type="dxa"/>
            <w:vAlign w:val="bottom"/>
            <w:tcBorders>
              <w:bottom w:val="single" w:sz="8" w:color="424E6A"/>
              <w:right w:val="single" w:sz="8" w:color="424E6A"/>
            </w:tcBorders>
          </w:tcPr>
          <w:p>
            <w:pPr>
              <w:spacing w:after="0" w:line="183" w:lineRule="exact"/>
              <w:rPr>
                <w:sz w:val="20"/>
                <w:szCs w:val="20"/>
                <w:color w:val="auto"/>
              </w:rPr>
            </w:pPr>
            <w:r>
              <w:rPr>
                <w:rFonts w:ascii="Arial" w:cs="Arial" w:eastAsia="Arial" w:hAnsi="Arial"/>
                <w:sz w:val="16"/>
                <w:szCs w:val="16"/>
                <w:color w:val="auto"/>
                <w:highlight w:val="lightGray"/>
              </w:rPr>
              <w:t>​</w:t>
            </w:r>
          </w:p>
        </w:tc>
      </w:tr>
      <w:tr>
        <w:trPr>
          <w:trHeight w:val="183"/>
        </w:trPr>
        <w:tc>
          <w:tcPr>
            <w:tcW w:w="3020" w:type="dxa"/>
            <w:vAlign w:val="bottom"/>
            <w:tcBorders>
              <w:left w:val="single" w:sz="8" w:color="424E6A"/>
              <w:bottom w:val="single" w:sz="8" w:color="424E6A"/>
            </w:tcBorders>
          </w:tcPr>
          <w:p>
            <w:pPr>
              <w:ind w:left="60"/>
              <w:spacing w:after="0" w:line="183" w:lineRule="exact"/>
              <w:rPr>
                <w:sz w:val="20"/>
                <w:szCs w:val="20"/>
                <w:color w:val="auto"/>
              </w:rPr>
            </w:pPr>
            <w:r>
              <w:rPr>
                <w:rFonts w:ascii="Arial" w:cs="Arial" w:eastAsia="Arial" w:hAnsi="Arial"/>
                <w:sz w:val="16"/>
                <w:szCs w:val="16"/>
                <w:color w:val="auto"/>
              </w:rPr>
              <w:t>Mirae Asset Global Investments</w:t>
            </w:r>
          </w:p>
        </w:tc>
        <w:tc>
          <w:tcPr>
            <w:tcW w:w="112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 2,242</w:t>
            </w:r>
          </w:p>
        </w:tc>
        <w:tc>
          <w:tcPr>
            <w:tcW w:w="18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rPr>
              <w:t>​​​​</w:t>
            </w:r>
          </w:p>
        </w:tc>
        <w:tc>
          <w:tcPr>
            <w:tcW w:w="48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 ​16,290</w:t>
            </w:r>
          </w:p>
        </w:tc>
        <w:tc>
          <w:tcPr>
            <w:tcW w:w="26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 ​</w:t>
            </w:r>
          </w:p>
        </w:tc>
        <w:tc>
          <w:tcPr>
            <w:tcW w:w="520" w:type="dxa"/>
            <w:vAlign w:val="bottom"/>
            <w:tcBorders>
              <w:bottom w:val="single" w:sz="8" w:color="424E6A"/>
            </w:tcBorders>
          </w:tcPr>
          <w:p>
            <w:pPr>
              <w:jc w:val="right"/>
              <w:ind w:right="1"/>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424E6A"/>
            </w:tcBorders>
            <w:gridSpan w:val="4"/>
          </w:tcPr>
          <w:p>
            <w:pPr>
              <w:jc w:val="right"/>
              <w:spacing w:after="0" w:line="183" w:lineRule="exact"/>
              <w:rPr>
                <w:sz w:val="20"/>
                <w:szCs w:val="20"/>
                <w:color w:val="auto"/>
              </w:rPr>
            </w:pPr>
            <w:r>
              <w:rPr>
                <w:rFonts w:ascii="Arial" w:cs="Arial" w:eastAsia="Arial" w:hAnsi="Arial"/>
                <w:sz w:val="16"/>
                <w:szCs w:val="16"/>
                <w:color w:val="auto"/>
              </w:rPr>
              <w:t>​​​ ​18,532 ​​​</w:t>
            </w:r>
          </w:p>
        </w:tc>
        <w:tc>
          <w:tcPr>
            <w:tcW w:w="880" w:type="dxa"/>
            <w:vAlign w:val="bottom"/>
            <w:tcBorders>
              <w:bottom w:val="single" w:sz="8" w:color="424E6A"/>
            </w:tcBorders>
          </w:tcPr>
          <w:p>
            <w:pPr>
              <w:ind w:left="240"/>
              <w:spacing w:after="0" w:line="183" w:lineRule="exact"/>
              <w:rPr>
                <w:sz w:val="20"/>
                <w:szCs w:val="20"/>
                <w:color w:val="auto"/>
              </w:rPr>
            </w:pPr>
            <w:r>
              <w:rPr>
                <w:rFonts w:ascii="Arial" w:cs="Arial" w:eastAsia="Arial" w:hAnsi="Arial"/>
                <w:sz w:val="16"/>
                <w:szCs w:val="16"/>
                <w:color w:val="auto"/>
              </w:rPr>
              <w:t>​ 2.4%</w:t>
            </w:r>
          </w:p>
        </w:tc>
        <w:tc>
          <w:tcPr>
            <w:tcW w:w="100" w:type="dxa"/>
            <w:vAlign w:val="bottom"/>
            <w:tcBorders>
              <w:bottom w:val="single" w:sz="8" w:color="424E6A"/>
              <w:right w:val="single" w:sz="8" w:color="424E6A"/>
            </w:tcBorders>
          </w:tcPr>
          <w:p>
            <w:pPr>
              <w:spacing w:after="0" w:line="183" w:lineRule="exact"/>
              <w:rPr>
                <w:sz w:val="20"/>
                <w:szCs w:val="20"/>
                <w:color w:val="auto"/>
              </w:rPr>
            </w:pPr>
            <w:r>
              <w:rPr>
                <w:rFonts w:ascii="Arial" w:cs="Arial" w:eastAsia="Arial" w:hAnsi="Arial"/>
                <w:sz w:val="16"/>
                <w:szCs w:val="16"/>
                <w:color w:val="auto"/>
              </w:rPr>
              <w:t>​</w:t>
            </w:r>
          </w:p>
        </w:tc>
      </w:tr>
      <w:tr>
        <w:trPr>
          <w:trHeight w:val="183"/>
        </w:trPr>
        <w:tc>
          <w:tcPr>
            <w:tcW w:w="3020" w:type="dxa"/>
            <w:vAlign w:val="bottom"/>
            <w:tcBorders>
              <w:left w:val="single" w:sz="8" w:color="424E6A"/>
              <w:bottom w:val="single" w:sz="8" w:color="424E6A"/>
            </w:tcBorders>
          </w:tcPr>
          <w:p>
            <w:pPr>
              <w:ind w:left="60"/>
              <w:spacing w:after="0" w:line="183" w:lineRule="exact"/>
              <w:rPr>
                <w:sz w:val="20"/>
                <w:szCs w:val="20"/>
                <w:color w:val="auto"/>
              </w:rPr>
            </w:pPr>
            <w:r>
              <w:rPr>
                <w:rFonts w:ascii="Arial" w:cs="Arial" w:eastAsia="Arial" w:hAnsi="Arial"/>
                <w:sz w:val="16"/>
                <w:szCs w:val="16"/>
                <w:color w:val="auto"/>
              </w:rPr>
              <w:t>Harvest Fund Advisors</w:t>
            </w:r>
          </w:p>
        </w:tc>
        <w:tc>
          <w:tcPr>
            <w:tcW w:w="112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w:t>
            </w:r>
            <w:r>
              <w:rPr>
                <w:rFonts w:ascii="Arial" w:cs="Arial" w:eastAsia="Arial" w:hAnsi="Arial"/>
                <w:sz w:val="16"/>
                <w:szCs w:val="16"/>
                <w:color w:val="auto"/>
                <w:highlight w:val="lightGray"/>
              </w:rPr>
              <w:t>​​ 2,022</w:t>
            </w:r>
          </w:p>
        </w:tc>
        <w:tc>
          <w:tcPr>
            <w:tcW w:w="18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highlight w:val="lightGray"/>
              </w:rPr>
              <w:t>​</w:t>
            </w:r>
            <w:r>
              <w:rPr>
                <w:rFonts w:ascii="Arial" w:cs="Arial" w:eastAsia="Arial" w:hAnsi="Arial"/>
                <w:sz w:val="16"/>
                <w:szCs w:val="16"/>
                <w:color w:val="auto"/>
              </w:rPr>
              <w:t>​</w:t>
            </w:r>
            <w:r>
              <w:rPr>
                <w:rFonts w:ascii="Arial" w:cs="Arial" w:eastAsia="Arial" w:hAnsi="Arial"/>
                <w:sz w:val="16"/>
                <w:szCs w:val="16"/>
                <w:color w:val="auto"/>
                <w:highlight w:val="lightGray"/>
              </w:rPr>
              <w:t>​​</w:t>
            </w:r>
          </w:p>
        </w:tc>
        <w:tc>
          <w:tcPr>
            <w:tcW w:w="48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highlight w:val="lightGray"/>
              </w:rPr>
              <w:t>—</w:t>
            </w:r>
          </w:p>
        </w:tc>
        <w:tc>
          <w:tcPr>
            <w:tcW w:w="76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highlight w:val="lightGray"/>
              </w:rPr>
              <w:t>​</w:t>
            </w:r>
            <w:r>
              <w:rPr>
                <w:rFonts w:ascii="Arial" w:cs="Arial" w:eastAsia="Arial" w:hAnsi="Arial"/>
                <w:sz w:val="16"/>
                <w:szCs w:val="16"/>
                <w:color w:val="auto"/>
              </w:rPr>
              <w:t>​</w:t>
            </w:r>
            <w:r>
              <w:rPr>
                <w:rFonts w:ascii="Arial" w:cs="Arial" w:eastAsia="Arial" w:hAnsi="Arial"/>
                <w:sz w:val="16"/>
                <w:szCs w:val="16"/>
                <w:color w:val="auto"/>
                <w:highlight w:val="lightGray"/>
              </w:rPr>
              <w:t>​ ​13,293</w:t>
            </w:r>
          </w:p>
        </w:tc>
        <w:tc>
          <w:tcPr>
            <w:tcW w:w="6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highlight w:val="lightGray"/>
              </w:rPr>
              <w:t>​</w:t>
            </w:r>
          </w:p>
        </w:tc>
        <w:tc>
          <w:tcPr>
            <w:tcW w:w="20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rPr>
              <w:t>​​ ​</w:t>
            </w:r>
          </w:p>
        </w:tc>
        <w:tc>
          <w:tcPr>
            <w:tcW w:w="520" w:type="dxa"/>
            <w:vAlign w:val="bottom"/>
            <w:tcBorders>
              <w:bottom w:val="single" w:sz="8" w:color="424E6A"/>
            </w:tcBorders>
          </w:tcPr>
          <w:p>
            <w:pPr>
              <w:jc w:val="right"/>
              <w:ind w:right="1"/>
              <w:spacing w:after="0" w:line="183" w:lineRule="exact"/>
              <w:rPr>
                <w:sz w:val="20"/>
                <w:szCs w:val="20"/>
                <w:color w:val="auto"/>
              </w:rPr>
            </w:pPr>
            <w:r>
              <w:rPr>
                <w:rFonts w:ascii="Arial" w:cs="Arial" w:eastAsia="Arial" w:hAnsi="Arial"/>
                <w:sz w:val="16"/>
                <w:szCs w:val="16"/>
                <w:color w:val="auto"/>
              </w:rPr>
              <w:t>—</w:t>
            </w:r>
          </w:p>
        </w:tc>
        <w:tc>
          <w:tcPr>
            <w:tcW w:w="6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highlight w:val="lightGray"/>
              </w:rPr>
              <w:t>​​ ​15,315 ​</w:t>
            </w:r>
          </w:p>
        </w:tc>
        <w:tc>
          <w:tcPr>
            <w:tcW w:w="12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424E6A"/>
            </w:tcBorders>
          </w:tcPr>
          <w:p>
            <w:pPr>
              <w:ind w:left="240"/>
              <w:spacing w:after="0" w:line="183" w:lineRule="exact"/>
              <w:rPr>
                <w:sz w:val="20"/>
                <w:szCs w:val="20"/>
                <w:color w:val="auto"/>
              </w:rPr>
            </w:pPr>
            <w:r>
              <w:rPr>
                <w:rFonts w:ascii="Arial" w:cs="Arial" w:eastAsia="Arial" w:hAnsi="Arial"/>
                <w:sz w:val="16"/>
                <w:szCs w:val="16"/>
                <w:color w:val="auto"/>
                <w:highlight w:val="lightGray"/>
              </w:rPr>
              <w:t>​ 2.0%</w:t>
            </w:r>
          </w:p>
        </w:tc>
        <w:tc>
          <w:tcPr>
            <w:tcW w:w="100" w:type="dxa"/>
            <w:vAlign w:val="bottom"/>
            <w:tcBorders>
              <w:bottom w:val="single" w:sz="8" w:color="424E6A"/>
              <w:right w:val="single" w:sz="8" w:color="424E6A"/>
            </w:tcBorders>
          </w:tcPr>
          <w:p>
            <w:pPr>
              <w:spacing w:after="0" w:line="183" w:lineRule="exact"/>
              <w:rPr>
                <w:sz w:val="20"/>
                <w:szCs w:val="20"/>
                <w:color w:val="auto"/>
              </w:rPr>
            </w:pPr>
            <w:r>
              <w:rPr>
                <w:rFonts w:ascii="Arial" w:cs="Arial" w:eastAsia="Arial" w:hAnsi="Arial"/>
                <w:sz w:val="16"/>
                <w:szCs w:val="16"/>
                <w:color w:val="auto"/>
                <w:highlight w:val="lightGray"/>
              </w:rPr>
              <w:t>​</w:t>
            </w:r>
          </w:p>
        </w:tc>
      </w:tr>
      <w:tr>
        <w:trPr>
          <w:trHeight w:val="183"/>
        </w:trPr>
        <w:tc>
          <w:tcPr>
            <w:tcW w:w="3020" w:type="dxa"/>
            <w:vAlign w:val="bottom"/>
            <w:tcBorders>
              <w:left w:val="single" w:sz="8" w:color="424E6A"/>
              <w:bottom w:val="single" w:sz="8" w:color="424E6A"/>
            </w:tcBorders>
          </w:tcPr>
          <w:p>
            <w:pPr>
              <w:ind w:left="60"/>
              <w:spacing w:after="0" w:line="183" w:lineRule="exact"/>
              <w:rPr>
                <w:sz w:val="20"/>
                <w:szCs w:val="20"/>
                <w:color w:val="auto"/>
              </w:rPr>
            </w:pPr>
            <w:r>
              <w:rPr>
                <w:rFonts w:ascii="Arial" w:cs="Arial" w:eastAsia="Arial" w:hAnsi="Arial"/>
                <w:sz w:val="16"/>
                <w:szCs w:val="16"/>
                <w:color w:val="auto"/>
              </w:rPr>
              <w:t>EnCap Investments*</w:t>
            </w:r>
          </w:p>
        </w:tc>
        <w:tc>
          <w:tcPr>
            <w:tcW w:w="640" w:type="dxa"/>
            <w:vAlign w:val="bottom"/>
            <w:tcBorders>
              <w:bottom w:val="single" w:sz="8" w:color="424E6A"/>
            </w:tcBorders>
          </w:tcPr>
          <w:p>
            <w:pPr>
              <w:ind w:left="500"/>
              <w:spacing w:after="0" w:line="183" w:lineRule="exact"/>
              <w:rPr>
                <w:sz w:val="20"/>
                <w:szCs w:val="20"/>
                <w:color w:val="auto"/>
              </w:rPr>
            </w:pPr>
            <w:r>
              <w:rPr>
                <w:rFonts w:ascii="Arial" w:cs="Arial" w:eastAsia="Arial" w:hAnsi="Arial"/>
                <w:sz w:val="16"/>
                <w:szCs w:val="16"/>
                <w:color w:val="auto"/>
              </w:rPr>
              <w:t>​​​</w:t>
            </w:r>
          </w:p>
        </w:tc>
        <w:tc>
          <w:tcPr>
            <w:tcW w:w="48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rPr>
              <w:t>​​​​</w:t>
            </w:r>
          </w:p>
        </w:tc>
        <w:tc>
          <w:tcPr>
            <w:tcW w:w="48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rPr>
              <w:t>—</w:t>
            </w:r>
          </w:p>
        </w:tc>
        <w:tc>
          <w:tcPr>
            <w:tcW w:w="24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rPr>
              <w:t>​​​ ​</w:t>
            </w:r>
          </w:p>
        </w:tc>
        <w:tc>
          <w:tcPr>
            <w:tcW w:w="52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424E6A"/>
            </w:tcBorders>
            <w:gridSpan w:val="3"/>
          </w:tcPr>
          <w:p>
            <w:pPr>
              <w:jc w:val="right"/>
              <w:ind w:right="1"/>
              <w:spacing w:after="0" w:line="183" w:lineRule="exact"/>
              <w:rPr>
                <w:sz w:val="20"/>
                <w:szCs w:val="20"/>
                <w:color w:val="auto"/>
              </w:rPr>
            </w:pPr>
            <w:r>
              <w:rPr>
                <w:rFonts w:ascii="Arial" w:cs="Arial" w:eastAsia="Arial" w:hAnsi="Arial"/>
                <w:sz w:val="16"/>
                <w:szCs w:val="16"/>
                <w:color w:val="auto"/>
              </w:rPr>
              <w:t>​​​ ​12,679</w:t>
            </w:r>
          </w:p>
        </w:tc>
        <w:tc>
          <w:tcPr>
            <w:tcW w:w="720" w:type="dxa"/>
            <w:vAlign w:val="bottom"/>
            <w:tcBorders>
              <w:bottom w:val="single" w:sz="8" w:color="424E6A"/>
            </w:tcBorders>
            <w:gridSpan w:val="2"/>
          </w:tcPr>
          <w:p>
            <w:pPr>
              <w:spacing w:after="0" w:line="183" w:lineRule="exact"/>
              <w:rPr>
                <w:sz w:val="20"/>
                <w:szCs w:val="20"/>
                <w:color w:val="auto"/>
              </w:rPr>
            </w:pPr>
            <w:r>
              <w:rPr>
                <w:rFonts w:ascii="Arial" w:cs="Arial" w:eastAsia="Arial" w:hAnsi="Arial"/>
                <w:sz w:val="16"/>
                <w:szCs w:val="16"/>
                <w:color w:val="auto"/>
              </w:rPr>
              <w:t>​​​ ​12,679</w:t>
            </w:r>
          </w:p>
        </w:tc>
        <w:tc>
          <w:tcPr>
            <w:tcW w:w="18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424E6A"/>
            </w:tcBorders>
          </w:tcPr>
          <w:p>
            <w:pPr>
              <w:ind w:left="240"/>
              <w:spacing w:after="0" w:line="183" w:lineRule="exact"/>
              <w:rPr>
                <w:sz w:val="20"/>
                <w:szCs w:val="20"/>
                <w:color w:val="auto"/>
              </w:rPr>
            </w:pPr>
            <w:r>
              <w:rPr>
                <w:rFonts w:ascii="Arial" w:cs="Arial" w:eastAsia="Arial" w:hAnsi="Arial"/>
                <w:sz w:val="16"/>
                <w:szCs w:val="16"/>
                <w:color w:val="auto"/>
              </w:rPr>
              <w:t>​ 1.7%</w:t>
            </w:r>
          </w:p>
        </w:tc>
        <w:tc>
          <w:tcPr>
            <w:tcW w:w="100" w:type="dxa"/>
            <w:vAlign w:val="bottom"/>
            <w:tcBorders>
              <w:bottom w:val="single" w:sz="8" w:color="424E6A"/>
              <w:right w:val="single" w:sz="8" w:color="424E6A"/>
            </w:tcBorders>
          </w:tcPr>
          <w:p>
            <w:pPr>
              <w:spacing w:after="0" w:line="183" w:lineRule="exact"/>
              <w:rPr>
                <w:sz w:val="20"/>
                <w:szCs w:val="20"/>
                <w:color w:val="auto"/>
              </w:rPr>
            </w:pPr>
            <w:r>
              <w:rPr>
                <w:rFonts w:ascii="Arial" w:cs="Arial" w:eastAsia="Arial" w:hAnsi="Arial"/>
                <w:sz w:val="16"/>
                <w:szCs w:val="16"/>
                <w:color w:val="auto"/>
              </w:rPr>
              <w:t>​</w:t>
            </w:r>
          </w:p>
        </w:tc>
      </w:tr>
      <w:tr>
        <w:trPr>
          <w:trHeight w:val="183"/>
        </w:trPr>
        <w:tc>
          <w:tcPr>
            <w:tcW w:w="3020" w:type="dxa"/>
            <w:vAlign w:val="bottom"/>
            <w:tcBorders>
              <w:left w:val="single" w:sz="8" w:color="424E6A"/>
              <w:bottom w:val="single" w:sz="8" w:color="424E6A"/>
            </w:tcBorders>
          </w:tcPr>
          <w:p>
            <w:pPr>
              <w:ind w:left="60"/>
              <w:spacing w:after="0" w:line="183" w:lineRule="exact"/>
              <w:rPr>
                <w:sz w:val="20"/>
                <w:szCs w:val="20"/>
                <w:color w:val="auto"/>
              </w:rPr>
            </w:pPr>
            <w:r>
              <w:rPr>
                <w:rFonts w:ascii="Arial" w:cs="Arial" w:eastAsia="Arial" w:hAnsi="Arial"/>
                <w:sz w:val="16"/>
                <w:szCs w:val="16"/>
                <w:color w:val="auto"/>
              </w:rPr>
              <w:t>Chickasaw Capital Management</w:t>
            </w:r>
          </w:p>
        </w:tc>
        <w:tc>
          <w:tcPr>
            <w:tcW w:w="112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w:t>
            </w:r>
            <w:r>
              <w:rPr>
                <w:rFonts w:ascii="Arial" w:cs="Arial" w:eastAsia="Arial" w:hAnsi="Arial"/>
                <w:sz w:val="16"/>
                <w:szCs w:val="16"/>
                <w:color w:val="auto"/>
                <w:highlight w:val="lightGray"/>
              </w:rPr>
              <w:t>​​ 8,819</w:t>
            </w:r>
          </w:p>
        </w:tc>
        <w:tc>
          <w:tcPr>
            <w:tcW w:w="18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highlight w:val="lightGray"/>
              </w:rPr>
              <w:t>​</w:t>
            </w:r>
            <w:r>
              <w:rPr>
                <w:rFonts w:ascii="Arial" w:cs="Arial" w:eastAsia="Arial" w:hAnsi="Arial"/>
                <w:sz w:val="16"/>
                <w:szCs w:val="16"/>
                <w:color w:val="auto"/>
              </w:rPr>
              <w:t>​</w:t>
            </w:r>
            <w:r>
              <w:rPr>
                <w:rFonts w:ascii="Arial" w:cs="Arial" w:eastAsia="Arial" w:hAnsi="Arial"/>
                <w:sz w:val="16"/>
                <w:szCs w:val="16"/>
                <w:color w:val="auto"/>
                <w:highlight w:val="lightGray"/>
              </w:rPr>
              <w:t>​​</w:t>
            </w:r>
          </w:p>
        </w:tc>
        <w:tc>
          <w:tcPr>
            <w:tcW w:w="48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highlight w:val="lightGray"/>
              </w:rPr>
              <w:t>—</w:t>
            </w:r>
          </w:p>
        </w:tc>
        <w:tc>
          <w:tcPr>
            <w:tcW w:w="76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highlight w:val="lightGray"/>
              </w:rPr>
              <w:t>​</w:t>
            </w:r>
            <w:r>
              <w:rPr>
                <w:rFonts w:ascii="Arial" w:cs="Arial" w:eastAsia="Arial" w:hAnsi="Arial"/>
                <w:sz w:val="16"/>
                <w:szCs w:val="16"/>
                <w:color w:val="auto"/>
              </w:rPr>
              <w:t>​</w:t>
            </w:r>
            <w:r>
              <w:rPr>
                <w:rFonts w:ascii="Arial" w:cs="Arial" w:eastAsia="Arial" w:hAnsi="Arial"/>
                <w:sz w:val="16"/>
                <w:szCs w:val="16"/>
                <w:color w:val="auto"/>
                <w:highlight w:val="lightGray"/>
              </w:rPr>
              <w:t>​ ​ 2,721</w:t>
            </w:r>
          </w:p>
        </w:tc>
        <w:tc>
          <w:tcPr>
            <w:tcW w:w="6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highlight w:val="lightGray"/>
              </w:rPr>
              <w:t>​</w:t>
            </w:r>
          </w:p>
        </w:tc>
        <w:tc>
          <w:tcPr>
            <w:tcW w:w="20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rPr>
              <w:t>​​ ​</w:t>
            </w:r>
          </w:p>
        </w:tc>
        <w:tc>
          <w:tcPr>
            <w:tcW w:w="520" w:type="dxa"/>
            <w:vAlign w:val="bottom"/>
            <w:tcBorders>
              <w:bottom w:val="single" w:sz="8" w:color="424E6A"/>
            </w:tcBorders>
          </w:tcPr>
          <w:p>
            <w:pPr>
              <w:jc w:val="right"/>
              <w:ind w:right="1"/>
              <w:spacing w:after="0" w:line="183" w:lineRule="exact"/>
              <w:rPr>
                <w:sz w:val="20"/>
                <w:szCs w:val="20"/>
                <w:color w:val="auto"/>
              </w:rPr>
            </w:pPr>
            <w:r>
              <w:rPr>
                <w:rFonts w:ascii="Arial" w:cs="Arial" w:eastAsia="Arial" w:hAnsi="Arial"/>
                <w:sz w:val="16"/>
                <w:szCs w:val="16"/>
                <w:color w:val="auto"/>
              </w:rPr>
              <w:t>—</w:t>
            </w:r>
          </w:p>
        </w:tc>
        <w:tc>
          <w:tcPr>
            <w:tcW w:w="6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highlight w:val="lightGray"/>
              </w:rPr>
              <w:t>​​ ​11,540</w:t>
            </w:r>
          </w:p>
        </w:tc>
        <w:tc>
          <w:tcPr>
            <w:tcW w:w="6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highlight w:val="lightGray"/>
              </w:rPr>
              <w:t>​</w:t>
            </w:r>
          </w:p>
        </w:tc>
        <w:tc>
          <w:tcPr>
            <w:tcW w:w="12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424E6A"/>
            </w:tcBorders>
          </w:tcPr>
          <w:p>
            <w:pPr>
              <w:ind w:left="240"/>
              <w:spacing w:after="0" w:line="183" w:lineRule="exact"/>
              <w:rPr>
                <w:sz w:val="20"/>
                <w:szCs w:val="20"/>
                <w:color w:val="auto"/>
              </w:rPr>
            </w:pPr>
            <w:r>
              <w:rPr>
                <w:rFonts w:ascii="Arial" w:cs="Arial" w:eastAsia="Arial" w:hAnsi="Arial"/>
                <w:sz w:val="16"/>
                <w:szCs w:val="16"/>
                <w:color w:val="auto"/>
                <w:highlight w:val="lightGray"/>
              </w:rPr>
              <w:t>​ 1.5%</w:t>
            </w:r>
          </w:p>
        </w:tc>
        <w:tc>
          <w:tcPr>
            <w:tcW w:w="100" w:type="dxa"/>
            <w:vAlign w:val="bottom"/>
            <w:tcBorders>
              <w:bottom w:val="single" w:sz="8" w:color="424E6A"/>
              <w:right w:val="single" w:sz="8" w:color="424E6A"/>
            </w:tcBorders>
          </w:tcPr>
          <w:p>
            <w:pPr>
              <w:spacing w:after="0" w:line="183" w:lineRule="exact"/>
              <w:rPr>
                <w:sz w:val="20"/>
                <w:szCs w:val="20"/>
                <w:color w:val="auto"/>
              </w:rPr>
            </w:pPr>
            <w:r>
              <w:rPr>
                <w:rFonts w:ascii="Arial" w:cs="Arial" w:eastAsia="Arial" w:hAnsi="Arial"/>
                <w:sz w:val="16"/>
                <w:szCs w:val="16"/>
                <w:color w:val="auto"/>
                <w:highlight w:val="lightGray"/>
              </w:rPr>
              <w:t>​</w:t>
            </w:r>
          </w:p>
        </w:tc>
      </w:tr>
      <w:tr>
        <w:trPr>
          <w:trHeight w:val="183"/>
        </w:trPr>
        <w:tc>
          <w:tcPr>
            <w:tcW w:w="3020" w:type="dxa"/>
            <w:vAlign w:val="bottom"/>
            <w:tcBorders>
              <w:left w:val="single" w:sz="8" w:color="424E6A"/>
              <w:bottom w:val="single" w:sz="8" w:color="424E6A"/>
            </w:tcBorders>
          </w:tcPr>
          <w:p>
            <w:pPr>
              <w:ind w:left="60"/>
              <w:spacing w:after="0" w:line="183" w:lineRule="exact"/>
              <w:rPr>
                <w:sz w:val="20"/>
                <w:szCs w:val="20"/>
                <w:color w:val="auto"/>
              </w:rPr>
            </w:pPr>
            <w:r>
              <w:rPr>
                <w:rFonts w:ascii="Arial" w:cs="Arial" w:eastAsia="Arial" w:hAnsi="Arial"/>
                <w:sz w:val="16"/>
                <w:szCs w:val="16"/>
                <w:color w:val="auto"/>
              </w:rPr>
              <w:t>UBS Financial Services</w:t>
            </w:r>
          </w:p>
        </w:tc>
        <w:tc>
          <w:tcPr>
            <w:tcW w:w="112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 3,408</w:t>
            </w:r>
          </w:p>
        </w:tc>
        <w:tc>
          <w:tcPr>
            <w:tcW w:w="18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rPr>
              <w:t>​​​​</w:t>
            </w:r>
          </w:p>
        </w:tc>
        <w:tc>
          <w:tcPr>
            <w:tcW w:w="48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 ​ 7,779</w:t>
            </w:r>
          </w:p>
        </w:tc>
        <w:tc>
          <w:tcPr>
            <w:tcW w:w="26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 ​</w:t>
            </w:r>
          </w:p>
        </w:tc>
        <w:tc>
          <w:tcPr>
            <w:tcW w:w="520" w:type="dxa"/>
            <w:vAlign w:val="bottom"/>
            <w:tcBorders>
              <w:bottom w:val="single" w:sz="8" w:color="424E6A"/>
            </w:tcBorders>
          </w:tcPr>
          <w:p>
            <w:pPr>
              <w:jc w:val="right"/>
              <w:ind w:right="1"/>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424E6A"/>
            </w:tcBorders>
            <w:gridSpan w:val="2"/>
          </w:tcPr>
          <w:p>
            <w:pPr>
              <w:spacing w:after="0" w:line="183" w:lineRule="exact"/>
              <w:rPr>
                <w:sz w:val="20"/>
                <w:szCs w:val="20"/>
                <w:color w:val="auto"/>
              </w:rPr>
            </w:pPr>
            <w:r>
              <w:rPr>
                <w:rFonts w:ascii="Arial" w:cs="Arial" w:eastAsia="Arial" w:hAnsi="Arial"/>
                <w:sz w:val="16"/>
                <w:szCs w:val="16"/>
                <w:color w:val="auto"/>
              </w:rPr>
              <w:t>​​​ ​11,187</w:t>
            </w:r>
          </w:p>
        </w:tc>
        <w:tc>
          <w:tcPr>
            <w:tcW w:w="18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424E6A"/>
            </w:tcBorders>
          </w:tcPr>
          <w:p>
            <w:pPr>
              <w:ind w:left="240"/>
              <w:spacing w:after="0" w:line="183" w:lineRule="exact"/>
              <w:rPr>
                <w:sz w:val="20"/>
                <w:szCs w:val="20"/>
                <w:color w:val="auto"/>
              </w:rPr>
            </w:pPr>
            <w:r>
              <w:rPr>
                <w:rFonts w:ascii="Arial" w:cs="Arial" w:eastAsia="Arial" w:hAnsi="Arial"/>
                <w:sz w:val="16"/>
                <w:szCs w:val="16"/>
                <w:color w:val="auto"/>
              </w:rPr>
              <w:t>​ 1.5%</w:t>
            </w:r>
          </w:p>
        </w:tc>
        <w:tc>
          <w:tcPr>
            <w:tcW w:w="100" w:type="dxa"/>
            <w:vAlign w:val="bottom"/>
            <w:tcBorders>
              <w:bottom w:val="single" w:sz="8" w:color="424E6A"/>
              <w:right w:val="single" w:sz="8" w:color="424E6A"/>
            </w:tcBorders>
          </w:tcPr>
          <w:p>
            <w:pPr>
              <w:spacing w:after="0" w:line="183" w:lineRule="exact"/>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-1294130</wp:posOffset>
            </wp:positionV>
            <wp:extent cx="4526280" cy="12947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526280" cy="1294765"/>
                    </a:xfrm>
                    <a:prstGeom prst="rect">
                      <a:avLst/>
                    </a:prstGeom>
                    <a:noFill/>
                  </pic:spPr>
                </pic:pic>
              </a:graphicData>
            </a:graphic>
          </wp:anchor>
        </w:drawing>
      </w:r>
    </w:p>
    <w:p>
      <w:pPr>
        <w:spacing w:after="0" w:line="2" w:lineRule="exact"/>
        <w:rPr>
          <w:sz w:val="20"/>
          <w:szCs w:val="20"/>
          <w:color w:val="auto"/>
        </w:rPr>
      </w:pPr>
    </w:p>
    <w:p>
      <w:pPr>
        <w:ind w:left="1620" w:right="999" w:hanging="360"/>
        <w:spacing w:after="0" w:line="287" w:lineRule="auto"/>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Amounts in the table for these holders are as of the Record Date. All other amounts are as of December 31, 2025.</w:t>
      </w:r>
    </w:p>
    <w:p>
      <w:pPr>
        <w:spacing w:after="0" w:line="72"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8"/>
          <w:szCs w:val="18"/>
          <w:color w:val="auto"/>
        </w:rPr>
        <w:t xml:space="preserve">See “Security Ownership of Certain Beneficial Owners and Management” beginning on page </w:t>
      </w:r>
      <w:r>
        <w:rPr>
          <w:rFonts w:ascii="Arial" w:cs="Arial" w:eastAsia="Arial" w:hAnsi="Arial"/>
          <w:sz w:val="18"/>
          <w:szCs w:val="18"/>
          <w:u w:val="single" w:color="auto"/>
          <w:color w:val="0000EE"/>
        </w:rPr>
        <w:t>60</w:t>
      </w:r>
      <w:r>
        <w:rPr>
          <w:rFonts w:ascii="Arial" w:cs="Arial" w:eastAsia="Arial" w:hAnsi="Arial"/>
          <w:sz w:val="18"/>
          <w:szCs w:val="18"/>
          <w:color w:val="auto"/>
        </w:rPr>
        <w:t xml:space="preserve"> for additional information regarding beneficial ownership of our securities, including ownership by our Directors and executive officers.</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Leadership</w:t>
      </w:r>
    </w:p>
    <w:p>
      <w:pPr>
        <w:spacing w:after="0" w:line="158"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color w:val="auto"/>
        </w:rPr>
        <w:t>Mr. Chiang serves as Chairman of the Board and as CEO, and Mr. Raymond currently serves as Lead Director, having replaced Mr. Shackouls who served in that role from January 2020 until</w:t>
      </w:r>
    </w:p>
    <w:p>
      <w:pPr>
        <w:ind w:left="1260" w:right="439"/>
        <w:spacing w:after="0" w:line="255" w:lineRule="auto"/>
        <w:rPr>
          <w:sz w:val="20"/>
          <w:szCs w:val="20"/>
          <w:color w:val="auto"/>
        </w:rPr>
      </w:pPr>
      <w:r>
        <w:rPr>
          <w:rFonts w:ascii="Arial" w:cs="Arial" w:eastAsia="Arial" w:hAnsi="Arial"/>
          <w:sz w:val="17"/>
          <w:szCs w:val="17"/>
          <w:color w:val="auto"/>
        </w:rPr>
        <w:t>June 2025. It is the Board’s belief that rotation of the Lead Director role after approximately five years is a good governance practice. Our governing documents require that for so long as the Board Chair and CEO roles are held by the same person, one of our independent directors must serve as the Lead Director, and such governing documents also clearly delineate the respective responsibilities of the Board Chair and the Lead Director. The Lead Director is responsible for, among other things, developing and communicating the agenda for, and presiding at, meetings of the non-management directors, collaborating with the Board Chair on Board meeting agendas, working with the Board Chair to establish parameters for the quality, amount and timeliness of the information flow between management and the Board, and generally acting as a liaison between the non-management directors and the Board Chair. The Board has no set policy with respect to the separation of the offices of Board Chair and CEO; rather the Board believes it is in the best interests of PAA and PAGP for the Board to review ongoing conditions and circumstances and make an appropriate determination to separate, or maintain as combined, the CEO and Board Chair roles at the time a new CEO succeeds the current CEO, or upon a significant change in circumstances. The Board Chair/CEO regularly communicates with the Lead Director to make sure the Board is receiving the information it needs and has the opportunity to provide feedback and input to management, in each case as required for the Board to discharge its oversight role.</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Role in Risk Oversight</w:t>
      </w:r>
    </w:p>
    <w:p>
      <w:pPr>
        <w:spacing w:after="0" w:line="144" w:lineRule="exact"/>
        <w:rPr>
          <w:sz w:val="20"/>
          <w:szCs w:val="20"/>
          <w:color w:val="auto"/>
        </w:rPr>
      </w:pPr>
    </w:p>
    <w:p>
      <w:pPr>
        <w:ind w:left="1260" w:right="519" w:firstLine="360"/>
        <w:spacing w:after="0" w:line="318" w:lineRule="auto"/>
        <w:rPr>
          <w:sz w:val="20"/>
          <w:szCs w:val="20"/>
          <w:color w:val="auto"/>
        </w:rPr>
      </w:pPr>
      <w:r>
        <w:rPr>
          <w:rFonts w:ascii="Arial" w:cs="Arial" w:eastAsia="Arial" w:hAnsi="Arial"/>
          <w:sz w:val="17"/>
          <w:szCs w:val="17"/>
          <w:color w:val="auto"/>
        </w:rPr>
        <w:t>With respect to the management of enterprise-level risk (“ELR”), which is the process of identifying, managing and monitoring events that present opportunities and risks with respect to the operation of</w:t>
      </w:r>
    </w:p>
    <w:p>
      <w:pPr>
        <w:spacing w:after="0" w:line="29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19"/>
        <w:spacing w:after="0" w:line="271" w:lineRule="auto"/>
        <w:rPr>
          <w:sz w:val="20"/>
          <w:szCs w:val="20"/>
          <w:color w:val="auto"/>
        </w:rPr>
      </w:pPr>
      <w:r>
        <w:rPr>
          <w:rFonts w:ascii="Arial" w:cs="Arial" w:eastAsia="Arial" w:hAnsi="Arial"/>
          <w:sz w:val="17"/>
          <w:szCs w:val="17"/>
          <w:color w:val="auto"/>
        </w:rPr>
        <w:t>our business and the creation of value for our unitholders, the Board has delegated primary responsibility to management while retaining oversight responsibility. Management evaluates short-, medium- and long-term risks on an ongoing basis and provides a formal ELR assessment to the Board at least once every year and provides updates on other areas of potential risk on at least a quarterly basis.</w:t>
      </w:r>
    </w:p>
    <w:p>
      <w:pPr>
        <w:spacing w:after="0" w:line="89"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We believe that our Board leadership and committee structure supports the Board’s risk oversight function by facilitating open and regular communication between management and the directors, which allows informed oversight of management’s processes for identifying and managing significant risks and their impact on PAA’s business. The Board’s standing committees (Audit, Governance, Compensation and HSES) assist the Board with respect to its oversight of risks related to the specific areas of focus for each committee.</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Non-Management Executive Sessions and Shareholder Communications</w:t>
      </w:r>
    </w:p>
    <w:p>
      <w:pPr>
        <w:spacing w:after="0" w:line="158" w:lineRule="exact"/>
        <w:rPr>
          <w:sz w:val="20"/>
          <w:szCs w:val="20"/>
          <w:color w:val="auto"/>
        </w:rPr>
      </w:pPr>
    </w:p>
    <w:p>
      <w:pPr>
        <w:jc w:val="both"/>
        <w:ind w:left="1260" w:right="1019" w:firstLine="360"/>
        <w:spacing w:after="0" w:line="283" w:lineRule="auto"/>
        <w:rPr>
          <w:sz w:val="20"/>
          <w:szCs w:val="20"/>
          <w:color w:val="auto"/>
        </w:rPr>
      </w:pPr>
      <w:r>
        <w:rPr>
          <w:rFonts w:ascii="Arial" w:cs="Arial" w:eastAsia="Arial" w:hAnsi="Arial"/>
          <w:sz w:val="17"/>
          <w:szCs w:val="17"/>
          <w:color w:val="auto"/>
        </w:rPr>
        <w:t>Non-management directors meet in executive session in connection with each regular Board meeting. These sessions are presided over by the Lead Director. As circumstances warrant, non-management directors may also meet in executive sessions of special meetings of the Board.</w:t>
      </w:r>
    </w:p>
    <w:p>
      <w:pPr>
        <w:spacing w:after="0" w:line="78" w:lineRule="exact"/>
        <w:rPr>
          <w:sz w:val="20"/>
          <w:szCs w:val="20"/>
          <w:color w:val="auto"/>
        </w:rPr>
      </w:pPr>
    </w:p>
    <w:p>
      <w:pPr>
        <w:ind w:left="1260" w:right="519" w:firstLine="360"/>
        <w:spacing w:after="0" w:line="252" w:lineRule="auto"/>
        <w:rPr>
          <w:sz w:val="20"/>
          <w:szCs w:val="20"/>
          <w:color w:val="auto"/>
        </w:rPr>
      </w:pPr>
      <w:r>
        <w:rPr>
          <w:rFonts w:ascii="Arial" w:cs="Arial" w:eastAsia="Arial" w:hAnsi="Arial"/>
          <w:sz w:val="18"/>
          <w:szCs w:val="18"/>
          <w:color w:val="auto"/>
        </w:rPr>
        <w:t>Interested Unitholders can communicate with non-management directors regarding PAA’s business and affairs by mail in care of the General Counsel and Secretary or in care of the Internal Audit Department at Plains All American Pipeline, L.P., 333 Clay Street, Suite 1600, Houston, Texas 77002. Commercial solicitations or communications will be disregarded.</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Independence Determinations</w:t>
      </w:r>
    </w:p>
    <w:p>
      <w:pPr>
        <w:spacing w:after="0" w:line="158"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Because we are a limited partnership, the listing standards of Nasdaq do not require that we or our general partner have a majority of independent directors on the Board. Nonetheless, the PAGP GP LLC Agreement was amended in 2019 to require that our Board have a majority of directors who are independent as defined in applicable Nasdaq and SEC rules. To be considered independent under Nasdaq listing standards, our Board must determine that a director has no relationship with us that would interfere with the exercise of independent judgment in carrying out his or her responsibilities as a director. The applicable Nasdaq and SEC rules specify the criteria by which the independence of directors must be determined, including guidelines for directors and their immediate family members with respect to employment or affiliation with us or with our independent public accountants. The Board has assessed the independence of the eight directors who are not current or former members of management (Messrs. Burk, McCarthy, Petersen, Raymond, Shackouls and Ziemba, Ms. DeSanctis and Ms. Pruner) and has concluded that all of such directors are independent under applicable Nasdaq and SEC standards.</w:t>
      </w:r>
    </w:p>
    <w:p>
      <w:pPr>
        <w:spacing w:after="0" w:line="119" w:lineRule="exact"/>
        <w:rPr>
          <w:sz w:val="20"/>
          <w:szCs w:val="20"/>
          <w:color w:val="auto"/>
        </w:rPr>
      </w:pPr>
    </w:p>
    <w:p>
      <w:pPr>
        <w:ind w:left="1260" w:right="439" w:firstLine="360"/>
        <w:spacing w:after="0" w:line="244" w:lineRule="auto"/>
        <w:rPr>
          <w:sz w:val="20"/>
          <w:szCs w:val="20"/>
          <w:color w:val="auto"/>
        </w:rPr>
      </w:pPr>
      <w:r>
        <w:rPr>
          <w:rFonts w:ascii="Arial" w:cs="Arial" w:eastAsia="Arial" w:hAnsi="Arial"/>
          <w:sz w:val="18"/>
          <w:szCs w:val="18"/>
          <w:color w:val="auto"/>
        </w:rPr>
        <w:t xml:space="preserve">Mr. Raymond is associated with The Energy &amp; Minerals Group (“EMG”) and Mr. Petersen is associated with EnCap Investments LP (“EnCap”). Affiliates of EMG and EnCap own issued and outstanding PAA Series A preferred units that represent approximately 2.7% and 1.7%, respectively, of the consolidated ownership and voting structure of PAGP and PAA (see “Our Ownership and Voting Structure” beginning on page </w:t>
      </w:r>
      <w:r>
        <w:rPr>
          <w:rFonts w:ascii="Arial" w:cs="Arial" w:eastAsia="Arial" w:hAnsi="Arial"/>
          <w:sz w:val="18"/>
          <w:szCs w:val="18"/>
          <w:u w:val="single" w:color="auto"/>
          <w:color w:val="0000EE"/>
        </w:rPr>
        <w:t>9</w:t>
      </w:r>
      <w:r>
        <w:rPr>
          <w:rFonts w:ascii="Arial" w:cs="Arial" w:eastAsia="Arial" w:hAnsi="Arial"/>
          <w:sz w:val="18"/>
          <w:szCs w:val="18"/>
          <w:color w:val="auto"/>
        </w:rPr>
        <w:t>). In addition, from time to time, we have engaged in business transactions with companies affiliated with EMG and EnCap, primarily involving the purchase of petroleum products from such companies. In January 2025, we also closed three transactions with companies related to EMG and EnCap involving the purchase of assets and securities. See “Certain Relationships and Related Transactions — Other” for additional information. The Board considered these matters in connection with its assessment of director independence and has determined that they do not impact Mr. Raymond’s or Mr. Petersen’s independence.</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 Committee</w:t>
      </w:r>
    </w:p>
    <w:p>
      <w:pPr>
        <w:spacing w:after="0" w:line="158" w:lineRule="exact"/>
        <w:rPr>
          <w:sz w:val="20"/>
          <w:szCs w:val="20"/>
          <w:color w:val="auto"/>
        </w:rPr>
      </w:pPr>
    </w:p>
    <w:p>
      <w:pPr>
        <w:ind w:left="1260" w:right="539" w:firstLine="360"/>
        <w:spacing w:after="0" w:line="266" w:lineRule="auto"/>
        <w:rPr>
          <w:sz w:val="20"/>
          <w:szCs w:val="20"/>
          <w:color w:val="auto"/>
        </w:rPr>
      </w:pPr>
      <w:r>
        <w:rPr>
          <w:rFonts w:ascii="Arial" w:cs="Arial" w:eastAsia="Arial" w:hAnsi="Arial"/>
          <w:sz w:val="17"/>
          <w:szCs w:val="17"/>
          <w:color w:val="auto"/>
        </w:rPr>
        <w:t>Our Audit Committee reviews our external financial reporting, engages our independent auditors, reviews the adequacy of our internal accounting controls and discusses with management our major financial risk exposures and steps management has taken to monitor and control such exposures. The charter of our Audit Committee is available on our website. See “— Meetings and Other Information” for information on how to access or obtain copies of this charter. The Audit Committee currently consists</w:t>
      </w:r>
    </w:p>
    <w:p>
      <w:pPr>
        <w:spacing w:after="0" w:line="3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19"/>
        <w:spacing w:after="0" w:line="257" w:lineRule="auto"/>
        <w:rPr>
          <w:sz w:val="20"/>
          <w:szCs w:val="20"/>
          <w:color w:val="auto"/>
        </w:rPr>
      </w:pPr>
      <w:r>
        <w:rPr>
          <w:rFonts w:ascii="Arial" w:cs="Arial" w:eastAsia="Arial" w:hAnsi="Arial"/>
          <w:sz w:val="17"/>
          <w:szCs w:val="17"/>
          <w:color w:val="auto"/>
        </w:rPr>
        <w:t>of Ms. Pruner (chair), Messrs. Burk and Ziemba, and Ms. DeSanctis. As part of our ongoing board succession planning process, the Board determined that, effective February 18, 2026, Ms. Pruner would become chair of the Audit Committee, replacing Mr. Burk who stepped down as committee chair. In order to ensure a smooth and seamless transition, Mr. Burk remained on the committee. The Board has determined that each member of our Audit Committee is (i) independent under applicable Nasdaq and SEC rules, and (ii) financially literate. The Board has also determined that each of Mr. Burk and</w:t>
      </w:r>
    </w:p>
    <w:p>
      <w:pPr>
        <w:spacing w:after="0" w:line="4" w:lineRule="exact"/>
        <w:rPr>
          <w:sz w:val="20"/>
          <w:szCs w:val="20"/>
          <w:color w:val="auto"/>
        </w:rPr>
      </w:pPr>
    </w:p>
    <w:p>
      <w:pPr>
        <w:ind w:left="1260" w:right="999"/>
        <w:spacing w:after="0" w:line="266" w:lineRule="auto"/>
        <w:rPr>
          <w:sz w:val="20"/>
          <w:szCs w:val="20"/>
          <w:color w:val="auto"/>
        </w:rPr>
      </w:pPr>
      <w:r>
        <w:rPr>
          <w:rFonts w:ascii="Arial" w:cs="Arial" w:eastAsia="Arial" w:hAnsi="Arial"/>
          <w:sz w:val="18"/>
          <w:szCs w:val="18"/>
          <w:color w:val="auto"/>
        </w:rPr>
        <w:t>Ms. Pruner qualifies as an Audit Committee Financial Expert as that term is defined in Item 407 of Regulation S-K.</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Compensation Committee Interlocks and Insider Participation</w:t>
      </w:r>
    </w:p>
    <w:p>
      <w:pPr>
        <w:spacing w:after="0" w:line="158"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Although not required by Nasdaq listing standards, we have a Compensation Committee that reviews and makes recommendations to the Board regarding the compensation for our executive officers and administers our long-term equity incentive plans for officers and key employees. The Compensation Committee has delegated limited authority to the CEO to administer our long-term incentive plans with respect to employees and non-Section 16 officers below the Senior Vice President level. The charter of our Compensation Committee is available on our website. See “— Meetings and Other Information” for information on how to access or obtain copies of this charter. The Compensation Committee currently consists of Messrs. Shackouls (chair), Burk, Petersen and Raymond. As part of our ongoing board succession planning process, the Board determined that, effective June 1, 2025, Mr. Shackouls would become chair of the Compensation Committee, replacing Mr. Raymond who stepped down as committee chair. In order to ensure a smooth and seamless transition, Mr. Raymond remained on the committee. Mr. Burk joined the Compensation Committee in February 2026. Under applicable Nasdaq rules, none of the members of our Compensation Committee are required to be independent; however, the charter of our Compensation Committee requires that all members of the committee be independent and the Board has determined that all of the current members of the Compensation Committee are independent under applicable Nasdaq and SEC standards. The Compensation Committee has the sole authority to retain any compensation consultants to assist the committee. Since 2019, the Compensation Committee has engaged Meridian Compensation Partners, LLC (“Meridian”), a leading compensation consulting firm, to conduct independent annual reviews and peer comparison studies with respect to our executive compensation program and practices.</w:t>
      </w:r>
    </w:p>
    <w:p>
      <w:pPr>
        <w:spacing w:after="0" w:line="123" w:lineRule="exact"/>
        <w:rPr>
          <w:sz w:val="20"/>
          <w:szCs w:val="20"/>
          <w:color w:val="auto"/>
        </w:rPr>
      </w:pPr>
    </w:p>
    <w:p>
      <w:pPr>
        <w:jc w:val="both"/>
        <w:ind w:left="1260" w:right="519" w:firstLine="360"/>
        <w:spacing w:after="0" w:line="252" w:lineRule="auto"/>
        <w:rPr>
          <w:sz w:val="20"/>
          <w:szCs w:val="20"/>
          <w:color w:val="auto"/>
        </w:rPr>
      </w:pPr>
      <w:r>
        <w:rPr>
          <w:rFonts w:ascii="Arial" w:cs="Arial" w:eastAsia="Arial" w:hAnsi="Arial"/>
          <w:sz w:val="18"/>
          <w:szCs w:val="18"/>
          <w:color w:val="auto"/>
        </w:rPr>
        <w:t>During 2025, none of the members of the Compensation Committee was an officer or employee of ours or any of our subsidiaries, or served as an officer of any company with respect to which any of our executive officers served on such company’s board of directors. In addition, none of the members of the Compensation Committee are former officers of ours or any of our subsidiaries.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Governance Committee</w:t>
      </w:r>
    </w:p>
    <w:p>
      <w:pPr>
        <w:spacing w:after="0" w:line="158" w:lineRule="exact"/>
        <w:rPr>
          <w:sz w:val="20"/>
          <w:szCs w:val="20"/>
          <w:color w:val="auto"/>
        </w:rPr>
      </w:pPr>
    </w:p>
    <w:p>
      <w:pPr>
        <w:ind w:left="1260" w:right="419" w:firstLine="360"/>
        <w:spacing w:after="0" w:line="256" w:lineRule="auto"/>
        <w:rPr>
          <w:sz w:val="20"/>
          <w:szCs w:val="20"/>
          <w:color w:val="auto"/>
        </w:rPr>
      </w:pPr>
      <w:r>
        <w:rPr>
          <w:rFonts w:ascii="Arial" w:cs="Arial" w:eastAsia="Arial" w:hAnsi="Arial"/>
          <w:sz w:val="17"/>
          <w:szCs w:val="17"/>
          <w:color w:val="auto"/>
        </w:rPr>
        <w:t>Although not required by Nasdaq listing standards, we also have a Governance Committee that periodically reviews our governance structure, policies and principles, oversees the Board’s annual self-assessment and committee and individual director evaluation processes, and assists with succession planning and other governance-related activities, including identifying and assessing director nominees. See “Proposal 1 — Election of Class I Directors — Director and Nominee Experience and Qualifications” for additional information regarding activities of our Governance Committee. The charter of our Governance Committee is available on our website. See “— Meetings and Other Information” for information on how to access or obtain copies of this charter. The Governance Committee currently consists of Messrs. Raymond (chair), McCarthy, Petersen and Shackouls. As part of our ongoing board succession planning process, the Board determined that, effective June 1, 2025, Mr. Raymond would join the Governance Committee as Chair, replacing Mr. Shackouls who stepped down as committee chair. In order to ensure a smooth and seamless transition, Mr. Shackouls remained on the committee. In connection with her appointment as chair of the Audit Committee in February 2026, Ms. Pruner stepped down as a member of the Governance Committee. Under applicable Nasdaq rules, none of the members of our Governance Committee are required to be independent; however, the charter of our Governance Committee requires that all members of the committee be independent and the Board has determined that all of the current members of the Governance Committee are independent under applicable Nasdaq and SEC standards.</w:t>
      </w:r>
    </w:p>
    <w:p>
      <w:pPr>
        <w:spacing w:after="0" w:line="200" w:lineRule="exact"/>
        <w:rPr>
          <w:sz w:val="20"/>
          <w:szCs w:val="20"/>
          <w:color w:val="auto"/>
        </w:rPr>
      </w:pP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HSES Committee</w:t>
      </w:r>
    </w:p>
    <w:p>
      <w:pPr>
        <w:spacing w:after="0" w:line="158"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The HSES Committee assists the Board in its evaluation and oversight of our (i) management of HSES matters, including compliance with applicable laws and regulations; (ii) management of systems and plans to protect the health and safety of employees, contractors, customers, the environment, the communities where we operate, our assets, and our reputation; and (iii) plans to adjust to HSES trends and related risks to more effectively achieve our long-term business and sustainability objectives. Through the discharge of its oversight responsibilities, the HSES Committee facilitates the efforts of management to further strengthen our focus on sustainability and certain ESG matters. The charter of our HSES Committee is available on our website. See “— Meetings and Other Information” for information on how to access or obtain copies of this charter. The HSES Committee currently consists of Messrs. Ziemba (chair) and McCarthy and Ms. DeSanctis. The Board has determined that all of the current members of the HSES Committee are independent under applicable Nasdaq and SEC standards.</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Meetings and Other Information</w:t>
      </w:r>
    </w:p>
    <w:p>
      <w:pPr>
        <w:spacing w:after="0" w:line="15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During 2025, our Board had eight meetings, our Audit Committee had nine meetings, our Compensation Committee had two meetings, our Governance Committee had one meeting and our HSES Committee had four meetings. In addition, members of our Compensation Committee and Governance Committee held numerous conference calls and discussions throughout the year on various compensation and governance-related matters. All directors have access to members of management, and a substantial amount of information transfer and informal communication occurs between meetings. In 2025, all of our directors attended all meetings of the Board and applicable committees of the Board on which the director served, other than one Board member who missed one meeting. Board members are encouraged, but not required, to attend our annual meetings; eight Board members attended our annual meeting in 2025.</w:t>
      </w:r>
    </w:p>
    <w:p>
      <w:pPr>
        <w:spacing w:after="0" w:line="104"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 xml:space="preserve">All of our standing committees have charters. Our committee charters and governance guidelines, as well as our Code of Business Conduct (which describes our Core Values) and our Code of Ethics for Senior Financial Officers (which applies to our principal executive officer, principal financial officer and principal accounting officer), are available under the Governance tab in the Investor Center section of our Internet website at </w:t>
      </w:r>
      <w:r>
        <w:rPr>
          <w:rFonts w:ascii="Arial" w:cs="Arial" w:eastAsia="Arial" w:hAnsi="Arial"/>
          <w:sz w:val="18"/>
          <w:szCs w:val="18"/>
          <w:i w:val="1"/>
          <w:iCs w:val="1"/>
          <w:color w:val="auto"/>
        </w:rPr>
        <w:t>http://www.plains.com</w:t>
      </w:r>
      <w:r>
        <w:rPr>
          <w:rFonts w:ascii="Arial" w:cs="Arial" w:eastAsia="Arial" w:hAnsi="Arial"/>
          <w:sz w:val="18"/>
          <w:szCs w:val="18"/>
          <w:color w:val="auto"/>
        </w:rPr>
        <w:t>. We intend to disclose any amendment to or waiver of the Code of Ethics for Senior Financial Officers and any waiver of our Code of Business Conduct on behalf of an executive officer or director either on our Internet website or in an 8-K filing. We regularly post important information on our website, including information regarding our sustainability efforts.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Conflicts Committee/Fiduciary Duties</w:t>
      </w:r>
    </w:p>
    <w:p>
      <w:pPr>
        <w:spacing w:after="0" w:line="158" w:lineRule="exact"/>
        <w:rPr>
          <w:sz w:val="20"/>
          <w:szCs w:val="20"/>
          <w:color w:val="auto"/>
        </w:rPr>
      </w:pPr>
    </w:p>
    <w:p>
      <w:pPr>
        <w:ind w:left="1260" w:right="479" w:firstLine="360"/>
        <w:spacing w:after="0" w:line="256" w:lineRule="auto"/>
        <w:rPr>
          <w:sz w:val="20"/>
          <w:szCs w:val="20"/>
          <w:color w:val="auto"/>
        </w:rPr>
      </w:pPr>
      <w:r>
        <w:rPr>
          <w:rFonts w:ascii="Arial" w:cs="Arial" w:eastAsia="Arial" w:hAnsi="Arial"/>
          <w:sz w:val="18"/>
          <w:szCs w:val="18"/>
          <w:color w:val="auto"/>
        </w:rPr>
        <w:t>Our partnership agreement allows for the establishment or activation of a conflicts committee as circumstances warrant to review conflicts of interest between us and our general partner or its owners. Such committee will typically consist of a minimum of two independent, non-employee members of the Board. Our partnership agreement provides that any matters approved by the conflicts committee will be conclusively deemed to be fair and reasonable to us, approved by all of our partners, and not a breach by our general partner of any duties owed to us or our Unitholders. See “Certain Relationships and Related Transactions — Review, Approval or Ratification of Transactions with Related Persons.”</w:t>
      </w:r>
    </w:p>
    <w:p>
      <w:pPr>
        <w:spacing w:after="0" w:line="115" w:lineRule="exact"/>
        <w:rPr>
          <w:sz w:val="20"/>
          <w:szCs w:val="20"/>
          <w:color w:val="auto"/>
        </w:rPr>
      </w:pPr>
    </w:p>
    <w:p>
      <w:pPr>
        <w:ind w:left="1260" w:right="619" w:firstLine="360"/>
        <w:spacing w:after="0" w:line="275" w:lineRule="auto"/>
        <w:rPr>
          <w:sz w:val="20"/>
          <w:szCs w:val="20"/>
          <w:color w:val="auto"/>
        </w:rPr>
      </w:pPr>
      <w:r>
        <w:rPr>
          <w:rFonts w:ascii="Arial" w:cs="Arial" w:eastAsia="Arial" w:hAnsi="Arial"/>
          <w:sz w:val="17"/>
          <w:szCs w:val="17"/>
          <w:color w:val="auto"/>
        </w:rPr>
        <w:t>Our partnership agreement limits any fiduciary duties our general partner might owe to our Unitholders.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 and may exercise such discretion again in the future.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PROPOSAL 1 — ELECTION OF CLASS I DIRECTORS</w:t>
      </w:r>
    </w:p>
    <w:p>
      <w:pPr>
        <w:spacing w:after="0" w:line="225" w:lineRule="exact"/>
        <w:rPr>
          <w:sz w:val="20"/>
          <w:szCs w:val="20"/>
          <w:color w:val="auto"/>
        </w:rPr>
      </w:pPr>
    </w:p>
    <w:p>
      <w:pPr>
        <w:jc w:val="center"/>
        <w:ind w:left="1860" w:right="300"/>
        <w:spacing w:after="0" w:line="265" w:lineRule="auto"/>
        <w:rPr>
          <w:sz w:val="20"/>
          <w:szCs w:val="20"/>
          <w:color w:val="auto"/>
        </w:rPr>
      </w:pPr>
      <w:r>
        <w:rPr>
          <w:rFonts w:ascii="Arial" w:cs="Arial" w:eastAsia="Arial" w:hAnsi="Arial"/>
          <w:sz w:val="18"/>
          <w:szCs w:val="18"/>
          <w:b w:val="1"/>
          <w:bCs w:val="1"/>
          <w:color w:val="auto"/>
        </w:rPr>
        <w:t>THE BOARD OF DIRECTORS UNANIMOUSLY RECOMMENDS THAT YOU VOTE “FOR” THE ELECTION OF EACH OF WILLIE CHIANG, ELLEN DESANCTIS, ALEXANDRA PRUNER AND LAWRENCE ZIEMBA TO SERVE AS A CLASS I DIRECTOR ON OUR GENERAL PARTNER’S BOARD OF DIRECTORS UNTIL THE 2029 ANNUAL MEETING.</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Structure</w:t>
      </w:r>
    </w:p>
    <w:p>
      <w:pPr>
        <w:spacing w:after="0" w:line="158"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i w:val="1"/>
          <w:iCs w:val="1"/>
          <w:color w:val="auto"/>
        </w:rPr>
        <w:t xml:space="preserve">General Overview and Board Makeup. </w:t>
      </w:r>
      <w:r>
        <w:rPr>
          <w:rFonts w:ascii="Arial" w:cs="Arial" w:eastAsia="Arial" w:hAnsi="Arial"/>
          <w:sz w:val="18"/>
          <w:szCs w:val="18"/>
          <w:color w:val="auto"/>
        </w:rPr>
        <w:t>Our Board has responsibility for managing the business and</w:t>
      </w:r>
      <w:r>
        <w:rPr>
          <w:rFonts w:ascii="Arial" w:cs="Arial" w:eastAsia="Arial" w:hAnsi="Arial"/>
          <w:sz w:val="18"/>
          <w:szCs w:val="18"/>
          <w:i w:val="1"/>
          <w:iCs w:val="1"/>
          <w:color w:val="auto"/>
        </w:rPr>
        <w:t xml:space="preserve"> </w:t>
      </w:r>
      <w:r>
        <w:rPr>
          <w:rFonts w:ascii="Arial" w:cs="Arial" w:eastAsia="Arial" w:hAnsi="Arial"/>
          <w:sz w:val="18"/>
          <w:szCs w:val="18"/>
          <w:color w:val="auto"/>
        </w:rPr>
        <w:t>affairs of PAGP and PAA. The Board currently has 11 members, including the CEO, who also serves as Chairman of the Board and President. As contemplated by our governing documents, because the roles of CEO and Board Chair are held by the same person, the Board has designated one of our independent directors to serve as Lead Director. Mr. Raymond currently serves as Lead Director, having replaced Mr. Shackouls who served in that role from January 2020 until June 2025. It is the Board’s belief that rotation of the Lead Director role after approximately five years is a good governance practice. Our governing documents also require that at least a majority of directors must meet the independence requirements of the national securities exchange on which the securities of PAA and PAGP are listed (currently Nasdaq).</w:t>
      </w:r>
    </w:p>
    <w:p>
      <w:pPr>
        <w:spacing w:after="0" w:line="118"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 xml:space="preserve">The Board is divided into three staggered classes such that the terms for the directors within each class expire on a rotating three-year basis, as set forth below. The Board (excluding directors whose terms are expiring) and, subject to certain ownership and notice requirements, holders of common units or Series A preferred units have the right to nominate individuals to stand for election at an annual meeting. For a description of such ownership and notice requirements, see “Director Nominations and Unitholder Proposals for the 2027 Annual Meeting” on page </w:t>
      </w:r>
      <w:r>
        <w:rPr>
          <w:rFonts w:ascii="Arial" w:cs="Arial" w:eastAsia="Arial" w:hAnsi="Arial"/>
          <w:sz w:val="18"/>
          <w:szCs w:val="18"/>
          <w:u w:val="single" w:color="auto"/>
          <w:color w:val="0000EE"/>
        </w:rPr>
        <w:t>73</w:t>
      </w:r>
      <w:r>
        <w:rPr>
          <w:rFonts w:ascii="Arial" w:cs="Arial" w:eastAsia="Arial" w:hAnsi="Arial"/>
          <w:sz w:val="18"/>
          <w:szCs w:val="18"/>
          <w:color w:val="auto"/>
        </w:rPr>
        <w:t>.</w:t>
      </w:r>
    </w:p>
    <w:p>
      <w:pPr>
        <w:spacing w:after="0" w:line="101" w:lineRule="exact"/>
        <w:rPr>
          <w:sz w:val="20"/>
          <w:szCs w:val="20"/>
          <w:color w:val="auto"/>
        </w:rPr>
      </w:pPr>
    </w:p>
    <w:p>
      <w:pPr>
        <w:ind w:left="1260" w:right="599" w:firstLine="360"/>
        <w:spacing w:after="0" w:line="259" w:lineRule="auto"/>
        <w:rPr>
          <w:sz w:val="20"/>
          <w:szCs w:val="20"/>
          <w:color w:val="auto"/>
        </w:rPr>
      </w:pPr>
      <w:r>
        <w:rPr>
          <w:rFonts w:ascii="Arial" w:cs="Arial" w:eastAsia="Arial" w:hAnsi="Arial"/>
          <w:sz w:val="18"/>
          <w:szCs w:val="18"/>
          <w:color w:val="auto"/>
        </w:rPr>
        <w:t>Individuals elected at an annual meeting will serve for a term of three years, subject to their earlier resignation, death or removal. If an individual is elected to the Board to fill a vacancy, that director will have the same remaining term as his or her predecessor. All directors standing for election at the 2026 PAA and PAGP Annual Meetings were nominated by the Board (excluding the vote of the directors whose terms are expiring); no other nominations were received.</w:t>
      </w:r>
    </w:p>
    <w:p>
      <w:pPr>
        <w:spacing w:after="0" w:line="171" w:lineRule="exact"/>
        <w:rPr>
          <w:sz w:val="20"/>
          <w:szCs w:val="20"/>
          <w:color w:val="auto"/>
        </w:rPr>
      </w:pPr>
    </w:p>
    <w:tbl>
      <w:tblPr>
        <w:tblLayout w:type="fixed"/>
        <w:tblInd w:w="1270" w:type="dxa"/>
        <w:tblCellMar>
          <w:top w:w="0" w:type="dxa"/>
          <w:left w:w="0" w:type="dxa"/>
          <w:bottom w:w="0" w:type="dxa"/>
          <w:right w:w="0" w:type="dxa"/>
        </w:tblCellMar>
      </w:tblPr>
      <w:tr>
        <w:trPr>
          <w:trHeight w:val="247"/>
        </w:trPr>
        <w:tc>
          <w:tcPr>
            <w:tcW w:w="1860" w:type="dxa"/>
            <w:vAlign w:val="bottom"/>
            <w:tcBorders>
              <w:left w:val="single" w:sz="8" w:color="424E6A"/>
              <w:right w:val="single" w:sz="8" w:color="424E6A"/>
            </w:tcBorders>
            <w:shd w:val="clear" w:color="auto" w:fill="424E6A"/>
          </w:tcPr>
          <w:p>
            <w:pPr>
              <w:spacing w:after="0"/>
              <w:rPr>
                <w:sz w:val="21"/>
                <w:szCs w:val="21"/>
                <w:color w:val="auto"/>
              </w:rPr>
            </w:pPr>
          </w:p>
        </w:tc>
        <w:tc>
          <w:tcPr>
            <w:tcW w:w="960" w:type="dxa"/>
            <w:vAlign w:val="bottom"/>
            <w:tcBorders>
              <w:right w:val="single" w:sz="8" w:color="424E6A"/>
            </w:tcBorders>
            <w:shd w:val="clear" w:color="auto" w:fill="424E6A"/>
          </w:tcPr>
          <w:p>
            <w:pPr>
              <w:spacing w:after="0"/>
              <w:rPr>
                <w:sz w:val="21"/>
                <w:szCs w:val="21"/>
                <w:color w:val="auto"/>
              </w:rPr>
            </w:pPr>
          </w:p>
        </w:tc>
        <w:tc>
          <w:tcPr>
            <w:tcW w:w="840" w:type="dxa"/>
            <w:vAlign w:val="bottom"/>
            <w:tcBorders>
              <w:right w:val="single" w:sz="8" w:color="424E6A"/>
            </w:tcBorders>
            <w:shd w:val="clear" w:color="auto" w:fill="424E6A"/>
          </w:tcPr>
          <w:p>
            <w:pPr>
              <w:ind w:left="220"/>
              <w:spacing w:after="0"/>
              <w:rPr>
                <w:sz w:val="20"/>
                <w:szCs w:val="20"/>
                <w:color w:val="auto"/>
              </w:rPr>
            </w:pPr>
            <w:r>
              <w:rPr>
                <w:rFonts w:ascii="Arial" w:cs="Arial" w:eastAsia="Arial" w:hAnsi="Arial"/>
                <w:sz w:val="14"/>
                <w:szCs w:val="14"/>
                <w:b w:val="1"/>
                <w:bCs w:val="1"/>
                <w:color w:val="FFFFFF"/>
              </w:rPr>
              <w:t>Audit</w:t>
            </w:r>
          </w:p>
        </w:tc>
        <w:tc>
          <w:tcPr>
            <w:tcW w:w="1120" w:type="dxa"/>
            <w:vAlign w:val="bottom"/>
            <w:tcBorders>
              <w:right w:val="single" w:sz="8" w:color="424E6A"/>
            </w:tcBorders>
            <w:shd w:val="clear" w:color="auto" w:fill="424E6A"/>
          </w:tcPr>
          <w:p>
            <w:pPr>
              <w:ind w:left="20"/>
              <w:spacing w:after="0"/>
              <w:rPr>
                <w:sz w:val="20"/>
                <w:szCs w:val="20"/>
                <w:color w:val="auto"/>
              </w:rPr>
            </w:pPr>
            <w:r>
              <w:rPr>
                <w:rFonts w:ascii="Arial" w:cs="Arial" w:eastAsia="Arial" w:hAnsi="Arial"/>
                <w:sz w:val="14"/>
                <w:szCs w:val="14"/>
                <w:b w:val="1"/>
                <w:bCs w:val="1"/>
                <w:color w:val="FFFFFF"/>
              </w:rPr>
              <w:t>Compensation</w:t>
            </w:r>
          </w:p>
        </w:tc>
        <w:tc>
          <w:tcPr>
            <w:tcW w:w="940" w:type="dxa"/>
            <w:vAlign w:val="bottom"/>
            <w:tcBorders>
              <w:right w:val="single" w:sz="8" w:color="424E6A"/>
            </w:tcBorders>
            <w:shd w:val="clear" w:color="auto" w:fill="424E6A"/>
          </w:tcPr>
          <w:p>
            <w:pPr>
              <w:ind w:left="20"/>
              <w:spacing w:after="0"/>
              <w:rPr>
                <w:sz w:val="20"/>
                <w:szCs w:val="20"/>
                <w:color w:val="auto"/>
              </w:rPr>
            </w:pPr>
            <w:r>
              <w:rPr>
                <w:rFonts w:ascii="Arial" w:cs="Arial" w:eastAsia="Arial" w:hAnsi="Arial"/>
                <w:sz w:val="14"/>
                <w:szCs w:val="14"/>
                <w:b w:val="1"/>
                <w:bCs w:val="1"/>
                <w:color w:val="FFFFFF"/>
              </w:rPr>
              <w:t>Governance</w:t>
            </w:r>
          </w:p>
        </w:tc>
        <w:tc>
          <w:tcPr>
            <w:tcW w:w="120" w:type="dxa"/>
            <w:vAlign w:val="bottom"/>
            <w:shd w:val="clear" w:color="auto" w:fill="424E6A"/>
          </w:tcPr>
          <w:p>
            <w:pPr>
              <w:spacing w:after="0"/>
              <w:rPr>
                <w:sz w:val="21"/>
                <w:szCs w:val="21"/>
                <w:color w:val="auto"/>
              </w:rPr>
            </w:pPr>
          </w:p>
        </w:tc>
        <w:tc>
          <w:tcPr>
            <w:tcW w:w="580" w:type="dxa"/>
            <w:vAlign w:val="bottom"/>
            <w:shd w:val="clear" w:color="auto" w:fill="424E6A"/>
          </w:tcPr>
          <w:p>
            <w:pPr>
              <w:ind w:left="80"/>
              <w:spacing w:after="0"/>
              <w:rPr>
                <w:sz w:val="20"/>
                <w:szCs w:val="20"/>
                <w:color w:val="auto"/>
              </w:rPr>
            </w:pPr>
            <w:r>
              <w:rPr>
                <w:rFonts w:ascii="Arial" w:cs="Arial" w:eastAsia="Arial" w:hAnsi="Arial"/>
                <w:sz w:val="14"/>
                <w:szCs w:val="14"/>
                <w:b w:val="1"/>
                <w:bCs w:val="1"/>
                <w:color w:val="FFFFFF"/>
              </w:rPr>
              <w:t>HSES</w:t>
            </w:r>
          </w:p>
        </w:tc>
        <w:tc>
          <w:tcPr>
            <w:tcW w:w="140" w:type="dxa"/>
            <w:vAlign w:val="bottom"/>
            <w:shd w:val="clear" w:color="auto" w:fill="424E6A"/>
          </w:tcPr>
          <w:p>
            <w:pPr>
              <w:spacing w:after="0"/>
              <w:rPr>
                <w:sz w:val="21"/>
                <w:szCs w:val="21"/>
                <w:color w:val="auto"/>
              </w:rPr>
            </w:pPr>
          </w:p>
        </w:tc>
        <w:tc>
          <w:tcPr>
            <w:tcW w:w="280" w:type="dxa"/>
            <w:vAlign w:val="bottom"/>
            <w:shd w:val="clear" w:color="auto" w:fill="424E6A"/>
          </w:tcPr>
          <w:p>
            <w:pPr>
              <w:spacing w:after="0"/>
              <w:rPr>
                <w:sz w:val="21"/>
                <w:szCs w:val="21"/>
                <w:color w:val="auto"/>
              </w:rPr>
            </w:pPr>
          </w:p>
        </w:tc>
        <w:tc>
          <w:tcPr>
            <w:tcW w:w="440" w:type="dxa"/>
            <w:vAlign w:val="bottom"/>
            <w:shd w:val="clear" w:color="auto" w:fill="424E6A"/>
          </w:tcPr>
          <w:p>
            <w:pPr>
              <w:spacing w:after="0"/>
              <w:rPr>
                <w:sz w:val="21"/>
                <w:szCs w:val="21"/>
                <w:color w:val="auto"/>
              </w:rPr>
            </w:pPr>
          </w:p>
        </w:tc>
        <w:tc>
          <w:tcPr>
            <w:tcW w:w="220" w:type="dxa"/>
            <w:vAlign w:val="bottom"/>
            <w:shd w:val="clear" w:color="auto" w:fill="424E6A"/>
          </w:tcPr>
          <w:p>
            <w:pPr>
              <w:spacing w:after="0"/>
              <w:rPr>
                <w:sz w:val="21"/>
                <w:szCs w:val="21"/>
                <w:color w:val="auto"/>
              </w:rPr>
            </w:pPr>
          </w:p>
        </w:tc>
        <w:tc>
          <w:tcPr>
            <w:tcW w:w="120" w:type="dxa"/>
            <w:vAlign w:val="bottom"/>
            <w:shd w:val="clear" w:color="auto" w:fill="424E6A"/>
          </w:tcPr>
          <w:p>
            <w:pPr>
              <w:spacing w:after="0"/>
              <w:rPr>
                <w:sz w:val="21"/>
                <w:szCs w:val="21"/>
                <w:color w:val="auto"/>
              </w:rPr>
            </w:pPr>
          </w:p>
        </w:tc>
        <w:tc>
          <w:tcPr>
            <w:tcW w:w="600" w:type="dxa"/>
            <w:vAlign w:val="bottom"/>
            <w:tcBorders>
              <w:righ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Lead</w:t>
            </w:r>
          </w:p>
        </w:tc>
        <w:tc>
          <w:tcPr>
            <w:tcW w:w="0" w:type="dxa"/>
            <w:vAlign w:val="bottom"/>
          </w:tcPr>
          <w:p>
            <w:pPr>
              <w:spacing w:after="0"/>
              <w:rPr>
                <w:sz w:val="1"/>
                <w:szCs w:val="1"/>
                <w:color w:val="auto"/>
              </w:rPr>
            </w:pPr>
          </w:p>
        </w:tc>
      </w:tr>
      <w:tr>
        <w:trPr>
          <w:trHeight w:val="185"/>
        </w:trPr>
        <w:tc>
          <w:tcPr>
            <w:tcW w:w="1860" w:type="dxa"/>
            <w:vAlign w:val="bottom"/>
            <w:tcBorders>
              <w:left w:val="single" w:sz="8" w:color="424E6A"/>
              <w:right w:val="single" w:sz="8" w:color="424E6A"/>
            </w:tcBorders>
            <w:shd w:val="clear" w:color="auto" w:fill="424E6A"/>
          </w:tcPr>
          <w:p>
            <w:pPr>
              <w:spacing w:after="0"/>
              <w:rPr>
                <w:sz w:val="16"/>
                <w:szCs w:val="16"/>
                <w:color w:val="auto"/>
              </w:rPr>
            </w:pPr>
          </w:p>
        </w:tc>
        <w:tc>
          <w:tcPr>
            <w:tcW w:w="960" w:type="dxa"/>
            <w:vAlign w:val="bottom"/>
            <w:tcBorders>
              <w:righ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Independent</w:t>
            </w:r>
          </w:p>
        </w:tc>
        <w:tc>
          <w:tcPr>
            <w:tcW w:w="840" w:type="dxa"/>
            <w:vAlign w:val="bottom"/>
            <w:tcBorders>
              <w:righ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Committee</w:t>
            </w:r>
          </w:p>
        </w:tc>
        <w:tc>
          <w:tcPr>
            <w:tcW w:w="1120" w:type="dxa"/>
            <w:vAlign w:val="bottom"/>
            <w:tcBorders>
              <w:right w:val="single" w:sz="8" w:color="424E6A"/>
            </w:tcBorders>
            <w:shd w:val="clear" w:color="auto" w:fill="424E6A"/>
          </w:tcPr>
          <w:p>
            <w:pPr>
              <w:ind w:left="180"/>
              <w:spacing w:after="0"/>
              <w:rPr>
                <w:sz w:val="20"/>
                <w:szCs w:val="20"/>
                <w:color w:val="auto"/>
              </w:rPr>
            </w:pPr>
            <w:r>
              <w:rPr>
                <w:rFonts w:ascii="Arial" w:cs="Arial" w:eastAsia="Arial" w:hAnsi="Arial"/>
                <w:sz w:val="14"/>
                <w:szCs w:val="14"/>
                <w:b w:val="1"/>
                <w:bCs w:val="1"/>
                <w:color w:val="FFFFFF"/>
              </w:rPr>
              <w:t>Committee</w:t>
            </w:r>
          </w:p>
        </w:tc>
        <w:tc>
          <w:tcPr>
            <w:tcW w:w="940" w:type="dxa"/>
            <w:vAlign w:val="bottom"/>
            <w:tcBorders>
              <w:right w:val="single" w:sz="8" w:color="424E6A"/>
            </w:tcBorders>
            <w:shd w:val="clear" w:color="auto" w:fill="424E6A"/>
          </w:tcPr>
          <w:p>
            <w:pPr>
              <w:ind w:left="80"/>
              <w:spacing w:after="0"/>
              <w:rPr>
                <w:sz w:val="20"/>
                <w:szCs w:val="20"/>
                <w:color w:val="auto"/>
              </w:rPr>
            </w:pPr>
            <w:r>
              <w:rPr>
                <w:rFonts w:ascii="Arial" w:cs="Arial" w:eastAsia="Arial" w:hAnsi="Arial"/>
                <w:sz w:val="14"/>
                <w:szCs w:val="14"/>
                <w:b w:val="1"/>
                <w:bCs w:val="1"/>
                <w:color w:val="FFFFFF"/>
              </w:rPr>
              <w:t>Committee</w:t>
            </w:r>
          </w:p>
        </w:tc>
        <w:tc>
          <w:tcPr>
            <w:tcW w:w="2500" w:type="dxa"/>
            <w:vAlign w:val="bottom"/>
            <w:tcBorders>
              <w:right w:val="single" w:sz="8" w:color="424E6A"/>
            </w:tcBorders>
            <w:gridSpan w:val="8"/>
            <w:shd w:val="clear" w:color="auto" w:fill="424E6A"/>
          </w:tcPr>
          <w:p>
            <w:pPr>
              <w:ind w:left="20"/>
              <w:spacing w:after="0"/>
              <w:rPr>
                <w:sz w:val="20"/>
                <w:szCs w:val="20"/>
                <w:color w:val="auto"/>
              </w:rPr>
            </w:pPr>
            <w:r>
              <w:rPr>
                <w:rFonts w:ascii="Arial" w:cs="Arial" w:eastAsia="Arial" w:hAnsi="Arial"/>
                <w:sz w:val="14"/>
                <w:szCs w:val="14"/>
                <w:b w:val="1"/>
                <w:bCs w:val="1"/>
                <w:color w:val="FFFFFF"/>
              </w:rPr>
              <w:t>​Committee ​​Board Chair ​​Director</w:t>
            </w:r>
          </w:p>
        </w:tc>
        <w:tc>
          <w:tcPr>
            <w:tcW w:w="0" w:type="dxa"/>
            <w:vAlign w:val="bottom"/>
          </w:tcPr>
          <w:p>
            <w:pPr>
              <w:spacing w:after="0"/>
              <w:rPr>
                <w:sz w:val="1"/>
                <w:szCs w:val="1"/>
                <w:color w:val="auto"/>
              </w:rPr>
            </w:pPr>
          </w:p>
        </w:tc>
      </w:tr>
      <w:tr>
        <w:trPr>
          <w:trHeight w:val="188"/>
        </w:trPr>
        <w:tc>
          <w:tcPr>
            <w:tcW w:w="1860" w:type="dxa"/>
            <w:vAlign w:val="bottom"/>
            <w:tcBorders>
              <w:left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6"/>
                <w:szCs w:val="16"/>
                <w:color w:val="auto"/>
              </w:rPr>
              <w:t>Class I Directors</w:t>
            </w:r>
          </w:p>
        </w:tc>
        <w:tc>
          <w:tcPr>
            <w:tcW w:w="960" w:type="dxa"/>
            <w:vAlign w:val="bottom"/>
            <w:tcBorders>
              <w:right w:val="single" w:sz="8" w:color="424E6A"/>
            </w:tcBorders>
            <w:shd w:val="clear" w:color="auto" w:fill="D9DCE1"/>
          </w:tcPr>
          <w:p>
            <w:pPr>
              <w:spacing w:after="0"/>
              <w:rPr>
                <w:sz w:val="16"/>
                <w:szCs w:val="16"/>
                <w:color w:val="auto"/>
              </w:rPr>
            </w:pPr>
          </w:p>
        </w:tc>
        <w:tc>
          <w:tcPr>
            <w:tcW w:w="840" w:type="dxa"/>
            <w:vAlign w:val="bottom"/>
            <w:tcBorders>
              <w:right w:val="single" w:sz="8" w:color="424E6A"/>
            </w:tcBorders>
            <w:vMerge w:val="restart"/>
            <w:shd w:val="clear" w:color="auto" w:fill="D9DCE1"/>
          </w:tcPr>
          <w:p>
            <w:pPr>
              <w:ind w:left="420"/>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424E6A"/>
            </w:tcBorders>
            <w:vMerge w:val="restart"/>
            <w:shd w:val="clear" w:color="auto" w:fill="D9DCE1"/>
          </w:tcPr>
          <w:p>
            <w:pPr>
              <w:ind w:left="5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424E6A"/>
            </w:tcBorders>
            <w:vMerge w:val="restart"/>
            <w:shd w:val="clear" w:color="auto" w:fill="D9DCE1"/>
          </w:tcPr>
          <w:p>
            <w:pPr>
              <w:ind w:left="46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D9DCE1"/>
          </w:tcPr>
          <w:p>
            <w:pPr>
              <w:ind w:left="20"/>
              <w:spacing w:after="0"/>
              <w:rPr>
                <w:sz w:val="20"/>
                <w:szCs w:val="20"/>
                <w:color w:val="auto"/>
              </w:rPr>
            </w:pPr>
            <w:r>
              <w:rPr>
                <w:rFonts w:ascii="Arial" w:cs="Arial" w:eastAsia="Arial" w:hAnsi="Arial"/>
                <w:sz w:val="16"/>
                <w:szCs w:val="16"/>
                <w:color w:val="auto"/>
              </w:rPr>
              <w:t>​</w:t>
            </w:r>
          </w:p>
        </w:tc>
        <w:tc>
          <w:tcPr>
            <w:tcW w:w="580" w:type="dxa"/>
            <w:vAlign w:val="bottom"/>
            <w:vMerge w:val="restart"/>
            <w:shd w:val="clear" w:color="auto" w:fill="D9DCE1"/>
          </w:tcPr>
          <w:p>
            <w:pPr>
              <w:ind w:lef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D9DCE1"/>
          </w:tcPr>
          <w:p>
            <w:pPr>
              <w:spacing w:after="0"/>
              <w:rPr>
                <w:sz w:val="16"/>
                <w:szCs w:val="16"/>
                <w:color w:val="auto"/>
              </w:rPr>
            </w:pPr>
          </w:p>
        </w:tc>
        <w:tc>
          <w:tcPr>
            <w:tcW w:w="280" w:type="dxa"/>
            <w:vAlign w:val="bottom"/>
            <w:vMerge w:val="restart"/>
          </w:tcPr>
          <w:p>
            <w:pPr>
              <w:spacing w:after="0"/>
              <w:rPr>
                <w:sz w:val="20"/>
                <w:szCs w:val="20"/>
                <w:color w:val="auto"/>
              </w:rPr>
            </w:pPr>
            <w:r>
              <w:rPr>
                <w:rFonts w:ascii="Arial" w:cs="Arial" w:eastAsia="Arial" w:hAnsi="Arial"/>
                <w:sz w:val="16"/>
                <w:szCs w:val="16"/>
                <w:color w:val="auto"/>
              </w:rPr>
              <w:t>​​</w:t>
            </w:r>
          </w:p>
        </w:tc>
        <w:tc>
          <w:tcPr>
            <w:tcW w:w="440" w:type="dxa"/>
            <w:vAlign w:val="bottom"/>
            <w:vMerge w:val="restart"/>
          </w:tcPr>
          <w:p>
            <w:pPr>
              <w:ind w:lef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424E6A"/>
            </w:tcBorders>
            <w:vMerge w:val="restart"/>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0"/>
        </w:trPr>
        <w:tc>
          <w:tcPr>
            <w:tcW w:w="1860" w:type="dxa"/>
            <w:vAlign w:val="bottom"/>
            <w:tcBorders>
              <w:left w:val="single" w:sz="8" w:color="424E6A"/>
              <w:right w:val="single" w:sz="8" w:color="424E6A"/>
            </w:tcBorders>
            <w:vMerge w:val="restart"/>
            <w:shd w:val="clear" w:color="auto" w:fill="D9DCE1"/>
          </w:tcPr>
          <w:p>
            <w:pPr>
              <w:ind w:left="220"/>
              <w:spacing w:after="0"/>
              <w:rPr>
                <w:sz w:val="20"/>
                <w:szCs w:val="20"/>
                <w:color w:val="auto"/>
              </w:rPr>
            </w:pPr>
            <w:r>
              <w:rPr>
                <w:rFonts w:ascii="Arial" w:cs="Arial" w:eastAsia="Arial" w:hAnsi="Arial"/>
                <w:sz w:val="16"/>
                <w:szCs w:val="16"/>
                <w:color w:val="auto"/>
              </w:rPr>
              <w:t>(Term expires 2026)</w:t>
            </w:r>
          </w:p>
        </w:tc>
        <w:tc>
          <w:tcPr>
            <w:tcW w:w="960" w:type="dxa"/>
            <w:vAlign w:val="bottom"/>
            <w:tcBorders>
              <w:right w:val="single" w:sz="8" w:color="424E6A"/>
            </w:tcBorders>
            <w:shd w:val="clear" w:color="auto" w:fill="D9DCE1"/>
          </w:tcPr>
          <w:p>
            <w:pPr>
              <w:spacing w:after="0"/>
              <w:rPr>
                <w:sz w:val="10"/>
                <w:szCs w:val="10"/>
                <w:color w:val="auto"/>
              </w:rPr>
            </w:pPr>
          </w:p>
        </w:tc>
        <w:tc>
          <w:tcPr>
            <w:tcW w:w="840" w:type="dxa"/>
            <w:vAlign w:val="bottom"/>
            <w:tcBorders>
              <w:right w:val="single" w:sz="8" w:color="424E6A"/>
            </w:tcBorders>
            <w:vMerge w:val="continue"/>
            <w:shd w:val="clear" w:color="auto" w:fill="D9DCE1"/>
          </w:tcPr>
          <w:p>
            <w:pPr>
              <w:spacing w:after="0"/>
              <w:rPr>
                <w:sz w:val="10"/>
                <w:szCs w:val="10"/>
                <w:color w:val="auto"/>
              </w:rPr>
            </w:pPr>
          </w:p>
        </w:tc>
        <w:tc>
          <w:tcPr>
            <w:tcW w:w="1120" w:type="dxa"/>
            <w:vAlign w:val="bottom"/>
            <w:tcBorders>
              <w:right w:val="single" w:sz="8" w:color="424E6A"/>
            </w:tcBorders>
            <w:vMerge w:val="continue"/>
            <w:shd w:val="clear" w:color="auto" w:fill="D9DCE1"/>
          </w:tcPr>
          <w:p>
            <w:pPr>
              <w:spacing w:after="0"/>
              <w:rPr>
                <w:sz w:val="10"/>
                <w:szCs w:val="10"/>
                <w:color w:val="auto"/>
              </w:rPr>
            </w:pPr>
          </w:p>
        </w:tc>
        <w:tc>
          <w:tcPr>
            <w:tcW w:w="940" w:type="dxa"/>
            <w:vAlign w:val="bottom"/>
            <w:tcBorders>
              <w:right w:val="single" w:sz="8" w:color="424E6A"/>
            </w:tcBorders>
            <w:vMerge w:val="continue"/>
            <w:shd w:val="clear" w:color="auto" w:fill="D9DCE1"/>
          </w:tcPr>
          <w:p>
            <w:pPr>
              <w:spacing w:after="0"/>
              <w:rPr>
                <w:sz w:val="10"/>
                <w:szCs w:val="10"/>
                <w:color w:val="auto"/>
              </w:rPr>
            </w:pPr>
          </w:p>
        </w:tc>
        <w:tc>
          <w:tcPr>
            <w:tcW w:w="120" w:type="dxa"/>
            <w:vAlign w:val="bottom"/>
            <w:vMerge w:val="continue"/>
            <w:shd w:val="clear" w:color="auto" w:fill="D9DCE1"/>
          </w:tcPr>
          <w:p>
            <w:pPr>
              <w:spacing w:after="0"/>
              <w:rPr>
                <w:sz w:val="10"/>
                <w:szCs w:val="10"/>
                <w:color w:val="auto"/>
              </w:rPr>
            </w:pPr>
          </w:p>
        </w:tc>
        <w:tc>
          <w:tcPr>
            <w:tcW w:w="580" w:type="dxa"/>
            <w:vAlign w:val="bottom"/>
            <w:vMerge w:val="continue"/>
            <w:shd w:val="clear" w:color="auto" w:fill="D9DCE1"/>
          </w:tcPr>
          <w:p>
            <w:pPr>
              <w:spacing w:after="0"/>
              <w:rPr>
                <w:sz w:val="10"/>
                <w:szCs w:val="10"/>
                <w:color w:val="auto"/>
              </w:rPr>
            </w:pPr>
          </w:p>
        </w:tc>
        <w:tc>
          <w:tcPr>
            <w:tcW w:w="140" w:type="dxa"/>
            <w:vAlign w:val="bottom"/>
            <w:shd w:val="clear" w:color="auto" w:fill="D9DCE1"/>
          </w:tcPr>
          <w:p>
            <w:pPr>
              <w:spacing w:after="0"/>
              <w:rPr>
                <w:sz w:val="10"/>
                <w:szCs w:val="10"/>
                <w:color w:val="auto"/>
              </w:rPr>
            </w:pPr>
          </w:p>
        </w:tc>
        <w:tc>
          <w:tcPr>
            <w:tcW w:w="28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600" w:type="dxa"/>
            <w:vAlign w:val="bottom"/>
            <w:tcBorders>
              <w:right w:val="single" w:sz="8" w:color="424E6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860" w:type="dxa"/>
            <w:vAlign w:val="bottom"/>
            <w:tcBorders>
              <w:left w:val="single" w:sz="8" w:color="424E6A"/>
              <w:bottom w:val="single" w:sz="8" w:color="424E6A"/>
              <w:right w:val="single" w:sz="8" w:color="424E6A"/>
            </w:tcBorders>
            <w:vMerge w:val="continue"/>
            <w:shd w:val="clear" w:color="auto" w:fill="D9DCE1"/>
          </w:tcPr>
          <w:p>
            <w:pPr>
              <w:spacing w:after="0"/>
              <w:rPr>
                <w:sz w:val="8"/>
                <w:szCs w:val="8"/>
                <w:color w:val="auto"/>
              </w:rPr>
            </w:pPr>
          </w:p>
        </w:tc>
        <w:tc>
          <w:tcPr>
            <w:tcW w:w="960" w:type="dxa"/>
            <w:vAlign w:val="bottom"/>
            <w:tcBorders>
              <w:bottom w:val="single" w:sz="8" w:color="424E6A"/>
              <w:right w:val="single" w:sz="8" w:color="424E6A"/>
            </w:tcBorders>
            <w:shd w:val="clear" w:color="auto" w:fill="D9DCE1"/>
          </w:tcPr>
          <w:p>
            <w:pPr>
              <w:spacing w:after="0"/>
              <w:rPr>
                <w:sz w:val="8"/>
                <w:szCs w:val="8"/>
                <w:color w:val="auto"/>
              </w:rPr>
            </w:pPr>
          </w:p>
        </w:tc>
        <w:tc>
          <w:tcPr>
            <w:tcW w:w="840" w:type="dxa"/>
            <w:vAlign w:val="bottom"/>
            <w:tcBorders>
              <w:bottom w:val="single" w:sz="8" w:color="424E6A"/>
              <w:right w:val="single" w:sz="8" w:color="424E6A"/>
            </w:tcBorders>
            <w:shd w:val="clear" w:color="auto" w:fill="D9DCE1"/>
          </w:tcPr>
          <w:p>
            <w:pPr>
              <w:spacing w:after="0"/>
              <w:rPr>
                <w:sz w:val="8"/>
                <w:szCs w:val="8"/>
                <w:color w:val="auto"/>
              </w:rPr>
            </w:pPr>
          </w:p>
        </w:tc>
        <w:tc>
          <w:tcPr>
            <w:tcW w:w="1120" w:type="dxa"/>
            <w:vAlign w:val="bottom"/>
            <w:tcBorders>
              <w:bottom w:val="single" w:sz="8" w:color="424E6A"/>
              <w:right w:val="single" w:sz="8" w:color="424E6A"/>
            </w:tcBorders>
            <w:shd w:val="clear" w:color="auto" w:fill="D9DCE1"/>
          </w:tcPr>
          <w:p>
            <w:pPr>
              <w:spacing w:after="0"/>
              <w:rPr>
                <w:sz w:val="8"/>
                <w:szCs w:val="8"/>
                <w:color w:val="auto"/>
              </w:rPr>
            </w:pPr>
          </w:p>
        </w:tc>
        <w:tc>
          <w:tcPr>
            <w:tcW w:w="940" w:type="dxa"/>
            <w:vAlign w:val="bottom"/>
            <w:tcBorders>
              <w:bottom w:val="single" w:sz="8" w:color="424E6A"/>
              <w:right w:val="single" w:sz="8" w:color="424E6A"/>
            </w:tcBorders>
            <w:shd w:val="clear" w:color="auto" w:fill="D9DCE1"/>
          </w:tcPr>
          <w:p>
            <w:pPr>
              <w:spacing w:after="0"/>
              <w:rPr>
                <w:sz w:val="8"/>
                <w:szCs w:val="8"/>
                <w:color w:val="auto"/>
              </w:rPr>
            </w:pPr>
          </w:p>
        </w:tc>
        <w:tc>
          <w:tcPr>
            <w:tcW w:w="120" w:type="dxa"/>
            <w:vAlign w:val="bottom"/>
            <w:tcBorders>
              <w:bottom w:val="single" w:sz="8" w:color="424E6A"/>
            </w:tcBorders>
            <w:shd w:val="clear" w:color="auto" w:fill="D9DCE1"/>
          </w:tcPr>
          <w:p>
            <w:pPr>
              <w:spacing w:after="0"/>
              <w:rPr>
                <w:sz w:val="8"/>
                <w:szCs w:val="8"/>
                <w:color w:val="auto"/>
              </w:rPr>
            </w:pPr>
          </w:p>
        </w:tc>
        <w:tc>
          <w:tcPr>
            <w:tcW w:w="580" w:type="dxa"/>
            <w:vAlign w:val="bottom"/>
            <w:tcBorders>
              <w:bottom w:val="single" w:sz="8" w:color="424E6A"/>
            </w:tcBorders>
            <w:shd w:val="clear" w:color="auto" w:fill="D9DCE1"/>
          </w:tcPr>
          <w:p>
            <w:pPr>
              <w:spacing w:after="0"/>
              <w:rPr>
                <w:sz w:val="8"/>
                <w:szCs w:val="8"/>
                <w:color w:val="auto"/>
              </w:rPr>
            </w:pPr>
          </w:p>
        </w:tc>
        <w:tc>
          <w:tcPr>
            <w:tcW w:w="140" w:type="dxa"/>
            <w:vAlign w:val="bottom"/>
            <w:tcBorders>
              <w:bottom w:val="single" w:sz="8" w:color="424E6A"/>
            </w:tcBorders>
            <w:shd w:val="clear" w:color="auto" w:fill="D9DCE1"/>
          </w:tcPr>
          <w:p>
            <w:pPr>
              <w:spacing w:after="0"/>
              <w:rPr>
                <w:sz w:val="8"/>
                <w:szCs w:val="8"/>
                <w:color w:val="auto"/>
              </w:rPr>
            </w:pPr>
          </w:p>
        </w:tc>
        <w:tc>
          <w:tcPr>
            <w:tcW w:w="280" w:type="dxa"/>
            <w:vAlign w:val="bottom"/>
            <w:tcBorders>
              <w:bottom w:val="single" w:sz="8" w:color="424E6A"/>
            </w:tcBorders>
          </w:tcPr>
          <w:p>
            <w:pPr>
              <w:spacing w:after="0"/>
              <w:rPr>
                <w:sz w:val="8"/>
                <w:szCs w:val="8"/>
                <w:color w:val="auto"/>
              </w:rPr>
            </w:pPr>
          </w:p>
        </w:tc>
        <w:tc>
          <w:tcPr>
            <w:tcW w:w="440" w:type="dxa"/>
            <w:vAlign w:val="bottom"/>
            <w:tcBorders>
              <w:bottom w:val="single" w:sz="8" w:color="424E6A"/>
            </w:tcBorders>
          </w:tcPr>
          <w:p>
            <w:pPr>
              <w:spacing w:after="0"/>
              <w:rPr>
                <w:sz w:val="8"/>
                <w:szCs w:val="8"/>
                <w:color w:val="auto"/>
              </w:rPr>
            </w:pPr>
          </w:p>
        </w:tc>
        <w:tc>
          <w:tcPr>
            <w:tcW w:w="220" w:type="dxa"/>
            <w:vAlign w:val="bottom"/>
            <w:tcBorders>
              <w:bottom w:val="single" w:sz="8" w:color="424E6A"/>
            </w:tcBorders>
          </w:tcPr>
          <w:p>
            <w:pPr>
              <w:spacing w:after="0"/>
              <w:rPr>
                <w:sz w:val="8"/>
                <w:szCs w:val="8"/>
                <w:color w:val="auto"/>
              </w:rPr>
            </w:pPr>
          </w:p>
        </w:tc>
        <w:tc>
          <w:tcPr>
            <w:tcW w:w="120" w:type="dxa"/>
            <w:vAlign w:val="bottom"/>
            <w:tcBorders>
              <w:bottom w:val="single" w:sz="8" w:color="424E6A"/>
            </w:tcBorders>
          </w:tcPr>
          <w:p>
            <w:pPr>
              <w:spacing w:after="0"/>
              <w:rPr>
                <w:sz w:val="8"/>
                <w:szCs w:val="8"/>
                <w:color w:val="auto"/>
              </w:rPr>
            </w:pPr>
          </w:p>
        </w:tc>
        <w:tc>
          <w:tcPr>
            <w:tcW w:w="600" w:type="dxa"/>
            <w:vAlign w:val="bottom"/>
            <w:tcBorders>
              <w:bottom w:val="single" w:sz="8" w:color="424E6A"/>
              <w:right w:val="single" w:sz="8" w:color="424E6A"/>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60" w:type="dxa"/>
            <w:vAlign w:val="bottom"/>
            <w:tcBorders>
              <w:left w:val="single" w:sz="8" w:color="424E6A"/>
              <w:right w:val="single" w:sz="8" w:color="424E6A"/>
            </w:tcBorders>
          </w:tcPr>
          <w:p>
            <w:pPr>
              <w:ind w:left="220"/>
              <w:spacing w:after="0"/>
              <w:rPr>
                <w:sz w:val="20"/>
                <w:szCs w:val="20"/>
                <w:color w:val="auto"/>
              </w:rPr>
            </w:pPr>
            <w:r>
              <w:rPr>
                <w:rFonts w:ascii="Arial" w:cs="Arial" w:eastAsia="Arial" w:hAnsi="Arial"/>
                <w:sz w:val="16"/>
                <w:szCs w:val="16"/>
                <w:color w:val="auto"/>
              </w:rPr>
              <w:t>Willie Chiang,</w:t>
            </w:r>
          </w:p>
        </w:tc>
        <w:tc>
          <w:tcPr>
            <w:tcW w:w="960" w:type="dxa"/>
            <w:vAlign w:val="bottom"/>
            <w:tcBorders>
              <w:right w:val="single" w:sz="8" w:color="424E6A"/>
            </w:tcBorders>
          </w:tcPr>
          <w:p>
            <w:pPr>
              <w:spacing w:after="0"/>
              <w:rPr>
                <w:sz w:val="17"/>
                <w:szCs w:val="17"/>
                <w:color w:val="auto"/>
              </w:rPr>
            </w:pPr>
          </w:p>
        </w:tc>
        <w:tc>
          <w:tcPr>
            <w:tcW w:w="840" w:type="dxa"/>
            <w:vAlign w:val="bottom"/>
            <w:tcBorders>
              <w:right w:val="single" w:sz="8" w:color="424E6A"/>
            </w:tcBorders>
          </w:tcPr>
          <w:p>
            <w:pPr>
              <w:spacing w:after="0"/>
              <w:rPr>
                <w:sz w:val="17"/>
                <w:szCs w:val="17"/>
                <w:color w:val="auto"/>
              </w:rPr>
            </w:pPr>
          </w:p>
        </w:tc>
        <w:tc>
          <w:tcPr>
            <w:tcW w:w="1120" w:type="dxa"/>
            <w:vAlign w:val="bottom"/>
            <w:tcBorders>
              <w:right w:val="single" w:sz="8" w:color="424E6A"/>
            </w:tcBorders>
          </w:tcPr>
          <w:p>
            <w:pPr>
              <w:spacing w:after="0"/>
              <w:rPr>
                <w:sz w:val="17"/>
                <w:szCs w:val="17"/>
                <w:color w:val="auto"/>
              </w:rPr>
            </w:pPr>
          </w:p>
        </w:tc>
        <w:tc>
          <w:tcPr>
            <w:tcW w:w="940" w:type="dxa"/>
            <w:vAlign w:val="bottom"/>
            <w:tcBorders>
              <w:right w:val="single" w:sz="8" w:color="424E6A"/>
            </w:tcBorders>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right w:val="single" w:sz="8" w:color="424E6A"/>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60" w:type="dxa"/>
            <w:vAlign w:val="bottom"/>
            <w:tcBorders>
              <w:left w:val="single" w:sz="8" w:color="424E6A"/>
              <w:right w:val="single" w:sz="8" w:color="424E6A"/>
            </w:tcBorders>
          </w:tcPr>
          <w:p>
            <w:pPr>
              <w:ind w:left="400"/>
              <w:spacing w:after="0"/>
              <w:rPr>
                <w:sz w:val="20"/>
                <w:szCs w:val="20"/>
                <w:color w:val="auto"/>
              </w:rPr>
            </w:pPr>
            <w:r>
              <w:rPr>
                <w:rFonts w:ascii="Arial" w:cs="Arial" w:eastAsia="Arial" w:hAnsi="Arial"/>
                <w:sz w:val="16"/>
                <w:szCs w:val="16"/>
                <w:color w:val="auto"/>
              </w:rPr>
              <w:t>Chairman of the</w:t>
            </w:r>
          </w:p>
        </w:tc>
        <w:tc>
          <w:tcPr>
            <w:tcW w:w="960" w:type="dxa"/>
            <w:vAlign w:val="bottom"/>
            <w:tcBorders>
              <w:right w:val="single" w:sz="8" w:color="424E6A"/>
            </w:tcBorders>
          </w:tcPr>
          <w:p>
            <w:pPr>
              <w:spacing w:after="0"/>
              <w:rPr>
                <w:sz w:val="16"/>
                <w:szCs w:val="16"/>
                <w:color w:val="auto"/>
              </w:rPr>
            </w:pPr>
          </w:p>
        </w:tc>
        <w:tc>
          <w:tcPr>
            <w:tcW w:w="840" w:type="dxa"/>
            <w:vAlign w:val="bottom"/>
            <w:tcBorders>
              <w:right w:val="single" w:sz="8" w:color="424E6A"/>
            </w:tcBorders>
            <w:vMerge w:val="restart"/>
          </w:tcPr>
          <w:p>
            <w:pPr>
              <w:ind w:left="420"/>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424E6A"/>
            </w:tcBorders>
            <w:vMerge w:val="restart"/>
          </w:tcPr>
          <w:p>
            <w:pPr>
              <w:ind w:left="5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424E6A"/>
            </w:tcBorders>
            <w:vMerge w:val="restart"/>
          </w:tcPr>
          <w:p>
            <w:pPr>
              <w:ind w:left="46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80" w:type="dxa"/>
            <w:vAlign w:val="bottom"/>
            <w:vMerge w:val="restart"/>
          </w:tcPr>
          <w:p>
            <w:pPr>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424E6A"/>
            </w:tcBorders>
            <w:vMerge w:val="restart"/>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7"/>
        </w:trPr>
        <w:tc>
          <w:tcPr>
            <w:tcW w:w="1860" w:type="dxa"/>
            <w:vAlign w:val="bottom"/>
            <w:tcBorders>
              <w:left w:val="single" w:sz="8" w:color="424E6A"/>
              <w:right w:val="single" w:sz="8" w:color="424E6A"/>
            </w:tcBorders>
            <w:vMerge w:val="restart"/>
          </w:tcPr>
          <w:p>
            <w:pPr>
              <w:ind w:left="400"/>
              <w:spacing w:after="0"/>
              <w:rPr>
                <w:sz w:val="20"/>
                <w:szCs w:val="20"/>
                <w:color w:val="auto"/>
              </w:rPr>
            </w:pPr>
            <w:r>
              <w:rPr>
                <w:rFonts w:ascii="Arial" w:cs="Arial" w:eastAsia="Arial" w:hAnsi="Arial"/>
                <w:sz w:val="16"/>
                <w:szCs w:val="16"/>
                <w:color w:val="auto"/>
              </w:rPr>
              <w:t>Board, CEO and</w:t>
            </w:r>
          </w:p>
        </w:tc>
        <w:tc>
          <w:tcPr>
            <w:tcW w:w="960" w:type="dxa"/>
            <w:vAlign w:val="bottom"/>
            <w:tcBorders>
              <w:right w:val="single" w:sz="8" w:color="424E6A"/>
            </w:tcBorders>
          </w:tcPr>
          <w:p>
            <w:pPr>
              <w:spacing w:after="0"/>
              <w:rPr>
                <w:sz w:val="9"/>
                <w:szCs w:val="9"/>
                <w:color w:val="auto"/>
              </w:rPr>
            </w:pPr>
          </w:p>
        </w:tc>
        <w:tc>
          <w:tcPr>
            <w:tcW w:w="840" w:type="dxa"/>
            <w:vAlign w:val="bottom"/>
            <w:tcBorders>
              <w:right w:val="single" w:sz="8" w:color="424E6A"/>
            </w:tcBorders>
            <w:vMerge w:val="continue"/>
          </w:tcPr>
          <w:p>
            <w:pPr>
              <w:spacing w:after="0"/>
              <w:rPr>
                <w:sz w:val="9"/>
                <w:szCs w:val="9"/>
                <w:color w:val="auto"/>
              </w:rPr>
            </w:pPr>
          </w:p>
        </w:tc>
        <w:tc>
          <w:tcPr>
            <w:tcW w:w="1120" w:type="dxa"/>
            <w:vAlign w:val="bottom"/>
            <w:tcBorders>
              <w:right w:val="single" w:sz="8" w:color="424E6A"/>
            </w:tcBorders>
            <w:vMerge w:val="continue"/>
          </w:tcPr>
          <w:p>
            <w:pPr>
              <w:spacing w:after="0"/>
              <w:rPr>
                <w:sz w:val="9"/>
                <w:szCs w:val="9"/>
                <w:color w:val="auto"/>
              </w:rPr>
            </w:pPr>
          </w:p>
        </w:tc>
        <w:tc>
          <w:tcPr>
            <w:tcW w:w="940" w:type="dxa"/>
            <w:vAlign w:val="bottom"/>
            <w:tcBorders>
              <w:right w:val="single" w:sz="8" w:color="424E6A"/>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600" w:type="dxa"/>
            <w:vAlign w:val="bottom"/>
            <w:tcBorders>
              <w:right w:val="single" w:sz="8" w:color="424E6A"/>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860" w:type="dxa"/>
            <w:vAlign w:val="bottom"/>
            <w:tcBorders>
              <w:left w:val="single" w:sz="8" w:color="424E6A"/>
              <w:right w:val="single" w:sz="8" w:color="424E6A"/>
            </w:tcBorders>
            <w:vMerge w:val="continue"/>
          </w:tcPr>
          <w:p>
            <w:pPr>
              <w:spacing w:after="0"/>
              <w:rPr>
                <w:sz w:val="8"/>
                <w:szCs w:val="8"/>
                <w:color w:val="auto"/>
              </w:rPr>
            </w:pPr>
          </w:p>
        </w:tc>
        <w:tc>
          <w:tcPr>
            <w:tcW w:w="960" w:type="dxa"/>
            <w:vAlign w:val="bottom"/>
            <w:tcBorders>
              <w:right w:val="single" w:sz="8" w:color="424E6A"/>
            </w:tcBorders>
          </w:tcPr>
          <w:p>
            <w:pPr>
              <w:spacing w:after="0"/>
              <w:rPr>
                <w:sz w:val="8"/>
                <w:szCs w:val="8"/>
                <w:color w:val="auto"/>
              </w:rPr>
            </w:pPr>
          </w:p>
        </w:tc>
        <w:tc>
          <w:tcPr>
            <w:tcW w:w="840" w:type="dxa"/>
            <w:vAlign w:val="bottom"/>
            <w:tcBorders>
              <w:right w:val="single" w:sz="8" w:color="424E6A"/>
            </w:tcBorders>
          </w:tcPr>
          <w:p>
            <w:pPr>
              <w:spacing w:after="0"/>
              <w:rPr>
                <w:sz w:val="8"/>
                <w:szCs w:val="8"/>
                <w:color w:val="auto"/>
              </w:rPr>
            </w:pPr>
          </w:p>
        </w:tc>
        <w:tc>
          <w:tcPr>
            <w:tcW w:w="1120" w:type="dxa"/>
            <w:vAlign w:val="bottom"/>
            <w:tcBorders>
              <w:right w:val="single" w:sz="8" w:color="424E6A"/>
            </w:tcBorders>
          </w:tcPr>
          <w:p>
            <w:pPr>
              <w:spacing w:after="0"/>
              <w:rPr>
                <w:sz w:val="8"/>
                <w:szCs w:val="8"/>
                <w:color w:val="auto"/>
              </w:rPr>
            </w:pPr>
          </w:p>
        </w:tc>
        <w:tc>
          <w:tcPr>
            <w:tcW w:w="940" w:type="dxa"/>
            <w:vAlign w:val="bottom"/>
            <w:tcBorders>
              <w:right w:val="single" w:sz="8" w:color="424E6A"/>
            </w:tcBorders>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right w:val="single" w:sz="8" w:color="424E6A"/>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860" w:type="dxa"/>
            <w:vAlign w:val="bottom"/>
            <w:tcBorders>
              <w:left w:val="single" w:sz="8" w:color="424E6A"/>
              <w:bottom w:val="single" w:sz="8" w:color="424E6A"/>
              <w:right w:val="single" w:sz="8" w:color="424E6A"/>
            </w:tcBorders>
          </w:tcPr>
          <w:p>
            <w:pPr>
              <w:ind w:left="400"/>
              <w:spacing w:after="0"/>
              <w:rPr>
                <w:sz w:val="20"/>
                <w:szCs w:val="20"/>
                <w:color w:val="auto"/>
              </w:rPr>
            </w:pPr>
            <w:r>
              <w:rPr>
                <w:rFonts w:ascii="Arial" w:cs="Arial" w:eastAsia="Arial" w:hAnsi="Arial"/>
                <w:sz w:val="16"/>
                <w:szCs w:val="16"/>
                <w:color w:val="auto"/>
              </w:rPr>
              <w:t>President*</w:t>
            </w:r>
          </w:p>
        </w:tc>
        <w:tc>
          <w:tcPr>
            <w:tcW w:w="960" w:type="dxa"/>
            <w:vAlign w:val="bottom"/>
            <w:tcBorders>
              <w:bottom w:val="single" w:sz="8" w:color="424E6A"/>
              <w:right w:val="single" w:sz="8" w:color="424E6A"/>
            </w:tcBorders>
          </w:tcPr>
          <w:p>
            <w:pPr>
              <w:spacing w:after="0"/>
              <w:rPr>
                <w:sz w:val="17"/>
                <w:szCs w:val="17"/>
                <w:color w:val="auto"/>
              </w:rPr>
            </w:pPr>
          </w:p>
        </w:tc>
        <w:tc>
          <w:tcPr>
            <w:tcW w:w="840" w:type="dxa"/>
            <w:vAlign w:val="bottom"/>
            <w:tcBorders>
              <w:bottom w:val="single" w:sz="8" w:color="424E6A"/>
              <w:right w:val="single" w:sz="8" w:color="424E6A"/>
            </w:tcBorders>
          </w:tcPr>
          <w:p>
            <w:pPr>
              <w:spacing w:after="0"/>
              <w:rPr>
                <w:sz w:val="17"/>
                <w:szCs w:val="17"/>
                <w:color w:val="auto"/>
              </w:rPr>
            </w:pPr>
          </w:p>
        </w:tc>
        <w:tc>
          <w:tcPr>
            <w:tcW w:w="1120" w:type="dxa"/>
            <w:vAlign w:val="bottom"/>
            <w:tcBorders>
              <w:bottom w:val="single" w:sz="8" w:color="424E6A"/>
              <w:right w:val="single" w:sz="8" w:color="424E6A"/>
            </w:tcBorders>
          </w:tcPr>
          <w:p>
            <w:pPr>
              <w:spacing w:after="0"/>
              <w:rPr>
                <w:sz w:val="17"/>
                <w:szCs w:val="17"/>
                <w:color w:val="auto"/>
              </w:rPr>
            </w:pPr>
          </w:p>
        </w:tc>
        <w:tc>
          <w:tcPr>
            <w:tcW w:w="940" w:type="dxa"/>
            <w:vAlign w:val="bottom"/>
            <w:tcBorders>
              <w:bottom w:val="single" w:sz="8" w:color="424E6A"/>
              <w:right w:val="single" w:sz="8" w:color="424E6A"/>
            </w:tcBorders>
          </w:tcPr>
          <w:p>
            <w:pPr>
              <w:spacing w:after="0"/>
              <w:rPr>
                <w:sz w:val="17"/>
                <w:szCs w:val="17"/>
                <w:color w:val="auto"/>
              </w:rPr>
            </w:pPr>
          </w:p>
        </w:tc>
        <w:tc>
          <w:tcPr>
            <w:tcW w:w="120" w:type="dxa"/>
            <w:vAlign w:val="bottom"/>
            <w:tcBorders>
              <w:bottom w:val="single" w:sz="8" w:color="424E6A"/>
            </w:tcBorders>
          </w:tcPr>
          <w:p>
            <w:pPr>
              <w:spacing w:after="0"/>
              <w:rPr>
                <w:sz w:val="17"/>
                <w:szCs w:val="17"/>
                <w:color w:val="auto"/>
              </w:rPr>
            </w:pPr>
          </w:p>
        </w:tc>
        <w:tc>
          <w:tcPr>
            <w:tcW w:w="580" w:type="dxa"/>
            <w:vAlign w:val="bottom"/>
            <w:tcBorders>
              <w:bottom w:val="single" w:sz="8" w:color="424E6A"/>
            </w:tcBorders>
          </w:tcPr>
          <w:p>
            <w:pPr>
              <w:spacing w:after="0"/>
              <w:rPr>
                <w:sz w:val="17"/>
                <w:szCs w:val="17"/>
                <w:color w:val="auto"/>
              </w:rPr>
            </w:pPr>
          </w:p>
        </w:tc>
        <w:tc>
          <w:tcPr>
            <w:tcW w:w="140" w:type="dxa"/>
            <w:vAlign w:val="bottom"/>
            <w:tcBorders>
              <w:bottom w:val="single" w:sz="8" w:color="424E6A"/>
            </w:tcBorders>
          </w:tcPr>
          <w:p>
            <w:pPr>
              <w:spacing w:after="0"/>
              <w:rPr>
                <w:sz w:val="17"/>
                <w:szCs w:val="17"/>
                <w:color w:val="auto"/>
              </w:rPr>
            </w:pPr>
          </w:p>
        </w:tc>
        <w:tc>
          <w:tcPr>
            <w:tcW w:w="280" w:type="dxa"/>
            <w:vAlign w:val="bottom"/>
            <w:tcBorders>
              <w:bottom w:val="single" w:sz="8" w:color="424E6A"/>
            </w:tcBorders>
          </w:tcPr>
          <w:p>
            <w:pPr>
              <w:spacing w:after="0"/>
              <w:rPr>
                <w:sz w:val="17"/>
                <w:szCs w:val="17"/>
                <w:color w:val="auto"/>
              </w:rPr>
            </w:pPr>
          </w:p>
        </w:tc>
        <w:tc>
          <w:tcPr>
            <w:tcW w:w="440" w:type="dxa"/>
            <w:vAlign w:val="bottom"/>
            <w:tcBorders>
              <w:bottom w:val="single" w:sz="8" w:color="424E6A"/>
            </w:tcBorders>
          </w:tcPr>
          <w:p>
            <w:pPr>
              <w:spacing w:after="0"/>
              <w:rPr>
                <w:sz w:val="17"/>
                <w:szCs w:val="17"/>
                <w:color w:val="auto"/>
              </w:rPr>
            </w:pPr>
          </w:p>
        </w:tc>
        <w:tc>
          <w:tcPr>
            <w:tcW w:w="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tcBorders>
          </w:tcPr>
          <w:p>
            <w:pPr>
              <w:spacing w:after="0"/>
              <w:rPr>
                <w:sz w:val="17"/>
                <w:szCs w:val="17"/>
                <w:color w:val="auto"/>
              </w:rPr>
            </w:pPr>
          </w:p>
        </w:tc>
        <w:tc>
          <w:tcPr>
            <w:tcW w:w="600" w:type="dxa"/>
            <w:vAlign w:val="bottom"/>
            <w:tcBorders>
              <w:bottom w:val="single" w:sz="8" w:color="424E6A"/>
              <w:right w:val="single" w:sz="8" w:color="424E6A"/>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860" w:type="dxa"/>
            <w:vAlign w:val="bottom"/>
            <w:tcBorders>
              <w:left w:val="single" w:sz="8" w:color="424E6A"/>
              <w:bottom w:val="single" w:sz="8" w:color="424E6A"/>
              <w:right w:val="single" w:sz="8" w:color="424E6A"/>
            </w:tcBorders>
          </w:tcPr>
          <w:p>
            <w:pPr>
              <w:ind w:left="220"/>
              <w:spacing w:after="0"/>
              <w:rPr>
                <w:sz w:val="20"/>
                <w:szCs w:val="20"/>
                <w:color w:val="auto"/>
              </w:rPr>
            </w:pPr>
            <w:r>
              <w:rPr>
                <w:rFonts w:ascii="Arial" w:cs="Arial" w:eastAsia="Arial" w:hAnsi="Arial"/>
                <w:sz w:val="16"/>
                <w:szCs w:val="16"/>
                <w:color w:val="auto"/>
              </w:rPr>
              <w:t>Ellen DeSanctis*</w:t>
            </w:r>
          </w:p>
        </w:tc>
        <w:tc>
          <w:tcPr>
            <w:tcW w:w="960" w:type="dxa"/>
            <w:vAlign w:val="bottom"/>
            <w:tcBorders>
              <w:bottom w:val="single" w:sz="8" w:color="424E6A"/>
              <w:right w:val="single" w:sz="8" w:color="424E6A"/>
            </w:tcBorders>
          </w:tcPr>
          <w:p>
            <w:pPr>
              <w:spacing w:after="0"/>
              <w:rPr>
                <w:sz w:val="20"/>
                <w:szCs w:val="20"/>
                <w:color w:val="auto"/>
              </w:rPr>
            </w:pPr>
          </w:p>
        </w:tc>
        <w:tc>
          <w:tcPr>
            <w:tcW w:w="840" w:type="dxa"/>
            <w:vAlign w:val="bottom"/>
            <w:tcBorders>
              <w:bottom w:val="single" w:sz="8" w:color="424E6A"/>
              <w:right w:val="single" w:sz="8" w:color="424E6A"/>
            </w:tcBorders>
          </w:tcPr>
          <w:p>
            <w:pPr>
              <w:spacing w:after="0"/>
              <w:rPr>
                <w:sz w:val="20"/>
                <w:szCs w:val="20"/>
                <w:color w:val="auto"/>
              </w:rPr>
            </w:pPr>
          </w:p>
        </w:tc>
        <w:tc>
          <w:tcPr>
            <w:tcW w:w="1120" w:type="dxa"/>
            <w:vAlign w:val="bottom"/>
            <w:tcBorders>
              <w:bottom w:val="single" w:sz="8" w:color="424E6A"/>
              <w:right w:val="single" w:sz="8" w:color="424E6A"/>
            </w:tcBorders>
          </w:tcPr>
          <w:p>
            <w:pPr>
              <w:ind w:left="5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24E6A"/>
              <w:right w:val="single" w:sz="8" w:color="424E6A"/>
            </w:tcBorders>
          </w:tcPr>
          <w:p>
            <w:pPr>
              <w:ind w:left="4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424E6A"/>
            </w:tcBorders>
          </w:tcPr>
          <w:p>
            <w:pPr>
              <w:spacing w:after="0"/>
              <w:rPr>
                <w:sz w:val="20"/>
                <w:szCs w:val="20"/>
                <w:color w:val="auto"/>
              </w:rPr>
            </w:pPr>
          </w:p>
        </w:tc>
        <w:tc>
          <w:tcPr>
            <w:tcW w:w="140" w:type="dxa"/>
            <w:vAlign w:val="bottom"/>
            <w:tcBorders>
              <w:bottom w:val="single" w:sz="8" w:color="424E6A"/>
            </w:tcBorders>
          </w:tcPr>
          <w:p>
            <w:pPr>
              <w:spacing w:after="0"/>
              <w:rPr>
                <w:sz w:val="20"/>
                <w:szCs w:val="20"/>
                <w:color w:val="auto"/>
              </w:rPr>
            </w:pPr>
          </w:p>
        </w:tc>
        <w:tc>
          <w:tcPr>
            <w:tcW w:w="28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424E6A"/>
            </w:tcBorders>
          </w:tcPr>
          <w:p>
            <w:pPr>
              <w:ind w:lef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424E6A"/>
            </w:tcBorders>
          </w:tcPr>
          <w:p>
            <w:pPr>
              <w:spacing w:after="0"/>
              <w:rPr>
                <w:sz w:val="20"/>
                <w:szCs w:val="20"/>
                <w:color w:val="auto"/>
              </w:rPr>
            </w:pPr>
          </w:p>
        </w:tc>
        <w:tc>
          <w:tcPr>
            <w:tcW w:w="12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1860" w:type="dxa"/>
            <w:vAlign w:val="bottom"/>
            <w:tcBorders>
              <w:left w:val="single" w:sz="8" w:color="424E6A"/>
              <w:bottom w:val="single" w:sz="8" w:color="424E6A"/>
              <w:right w:val="single" w:sz="8" w:color="424E6A"/>
            </w:tcBorders>
          </w:tcPr>
          <w:p>
            <w:pPr>
              <w:ind w:left="220"/>
              <w:spacing w:after="0"/>
              <w:rPr>
                <w:sz w:val="20"/>
                <w:szCs w:val="20"/>
                <w:color w:val="auto"/>
              </w:rPr>
            </w:pPr>
            <w:r>
              <w:rPr>
                <w:rFonts w:ascii="Arial" w:cs="Arial" w:eastAsia="Arial" w:hAnsi="Arial"/>
                <w:sz w:val="16"/>
                <w:szCs w:val="16"/>
                <w:color w:val="auto"/>
              </w:rPr>
              <w:t>Alexandra D. Pruner*</w:t>
            </w:r>
          </w:p>
        </w:tc>
        <w:tc>
          <w:tcPr>
            <w:tcW w:w="960" w:type="dxa"/>
            <w:vAlign w:val="bottom"/>
            <w:tcBorders>
              <w:bottom w:val="single" w:sz="8" w:color="424E6A"/>
              <w:right w:val="single" w:sz="8" w:color="424E6A"/>
            </w:tcBorders>
          </w:tcPr>
          <w:p>
            <w:pPr>
              <w:spacing w:after="0"/>
              <w:rPr>
                <w:sz w:val="20"/>
                <w:szCs w:val="20"/>
                <w:color w:val="auto"/>
              </w:rPr>
            </w:pPr>
          </w:p>
        </w:tc>
        <w:tc>
          <w:tcPr>
            <w:tcW w:w="840" w:type="dxa"/>
            <w:vAlign w:val="bottom"/>
            <w:tcBorders>
              <w:bottom w:val="single" w:sz="8" w:color="424E6A"/>
              <w:right w:val="single" w:sz="8" w:color="424E6A"/>
            </w:tcBorders>
          </w:tcPr>
          <w:p>
            <w:pPr>
              <w:spacing w:after="0"/>
              <w:rPr>
                <w:sz w:val="20"/>
                <w:szCs w:val="20"/>
                <w:color w:val="auto"/>
              </w:rPr>
            </w:pPr>
          </w:p>
        </w:tc>
        <w:tc>
          <w:tcPr>
            <w:tcW w:w="1120" w:type="dxa"/>
            <w:vAlign w:val="bottom"/>
            <w:tcBorders>
              <w:bottom w:val="single" w:sz="8" w:color="424E6A"/>
              <w:right w:val="single" w:sz="8" w:color="424E6A"/>
            </w:tcBorders>
          </w:tcPr>
          <w:p>
            <w:pPr>
              <w:ind w:left="5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24E6A"/>
              <w:right w:val="single" w:sz="8" w:color="424E6A"/>
            </w:tcBorders>
          </w:tcPr>
          <w:p>
            <w:pPr>
              <w:ind w:left="4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424E6A"/>
            </w:tcBorders>
          </w:tcPr>
          <w:p>
            <w:pPr>
              <w:ind w:left="3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24E6A"/>
            </w:tcBorders>
          </w:tcPr>
          <w:p>
            <w:pPr>
              <w:spacing w:after="0"/>
              <w:rPr>
                <w:sz w:val="20"/>
                <w:szCs w:val="20"/>
                <w:color w:val="auto"/>
              </w:rPr>
            </w:pPr>
          </w:p>
        </w:tc>
        <w:tc>
          <w:tcPr>
            <w:tcW w:w="28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424E6A"/>
            </w:tcBorders>
          </w:tcPr>
          <w:p>
            <w:pPr>
              <w:ind w:lef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424E6A"/>
            </w:tcBorders>
          </w:tcPr>
          <w:p>
            <w:pPr>
              <w:spacing w:after="0"/>
              <w:rPr>
                <w:sz w:val="20"/>
                <w:szCs w:val="20"/>
                <w:color w:val="auto"/>
              </w:rPr>
            </w:pPr>
          </w:p>
        </w:tc>
        <w:tc>
          <w:tcPr>
            <w:tcW w:w="12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1860" w:type="dxa"/>
            <w:vAlign w:val="bottom"/>
            <w:tcBorders>
              <w:left w:val="single" w:sz="8" w:color="424E6A"/>
              <w:bottom w:val="single" w:sz="8" w:color="424E6A"/>
              <w:right w:val="single" w:sz="8" w:color="424E6A"/>
            </w:tcBorders>
          </w:tcPr>
          <w:p>
            <w:pPr>
              <w:ind w:left="220"/>
              <w:spacing w:after="0"/>
              <w:rPr>
                <w:sz w:val="20"/>
                <w:szCs w:val="20"/>
                <w:color w:val="auto"/>
              </w:rPr>
            </w:pPr>
            <w:r>
              <w:rPr>
                <w:rFonts w:ascii="Arial" w:cs="Arial" w:eastAsia="Arial" w:hAnsi="Arial"/>
                <w:sz w:val="16"/>
                <w:szCs w:val="16"/>
                <w:color w:val="auto"/>
              </w:rPr>
              <w:t>Lawrence M. Ziemba*</w:t>
            </w:r>
          </w:p>
        </w:tc>
        <w:tc>
          <w:tcPr>
            <w:tcW w:w="960" w:type="dxa"/>
            <w:vAlign w:val="bottom"/>
            <w:tcBorders>
              <w:bottom w:val="single" w:sz="8" w:color="424E6A"/>
              <w:right w:val="single" w:sz="8" w:color="424E6A"/>
            </w:tcBorders>
          </w:tcPr>
          <w:p>
            <w:pPr>
              <w:spacing w:after="0"/>
              <w:rPr>
                <w:sz w:val="20"/>
                <w:szCs w:val="20"/>
                <w:color w:val="auto"/>
              </w:rPr>
            </w:pPr>
          </w:p>
        </w:tc>
        <w:tc>
          <w:tcPr>
            <w:tcW w:w="840" w:type="dxa"/>
            <w:vAlign w:val="bottom"/>
            <w:tcBorders>
              <w:bottom w:val="single" w:sz="8" w:color="424E6A"/>
              <w:right w:val="single" w:sz="8" w:color="424E6A"/>
            </w:tcBorders>
          </w:tcPr>
          <w:p>
            <w:pPr>
              <w:spacing w:after="0"/>
              <w:rPr>
                <w:sz w:val="20"/>
                <w:szCs w:val="20"/>
                <w:color w:val="auto"/>
              </w:rPr>
            </w:pPr>
          </w:p>
        </w:tc>
        <w:tc>
          <w:tcPr>
            <w:tcW w:w="1120" w:type="dxa"/>
            <w:vAlign w:val="bottom"/>
            <w:tcBorders>
              <w:bottom w:val="single" w:sz="8" w:color="424E6A"/>
              <w:right w:val="single" w:sz="8" w:color="424E6A"/>
            </w:tcBorders>
          </w:tcPr>
          <w:p>
            <w:pPr>
              <w:ind w:left="5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24E6A"/>
              <w:right w:val="single" w:sz="8" w:color="424E6A"/>
            </w:tcBorders>
          </w:tcPr>
          <w:p>
            <w:pPr>
              <w:ind w:left="4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424E6A"/>
            </w:tcBorders>
          </w:tcPr>
          <w:p>
            <w:pPr>
              <w:spacing w:after="0"/>
              <w:rPr>
                <w:sz w:val="20"/>
                <w:szCs w:val="20"/>
                <w:color w:val="auto"/>
              </w:rPr>
            </w:pPr>
          </w:p>
        </w:tc>
        <w:tc>
          <w:tcPr>
            <w:tcW w:w="140" w:type="dxa"/>
            <w:vAlign w:val="bottom"/>
            <w:tcBorders>
              <w:bottom w:val="single" w:sz="8" w:color="424E6A"/>
            </w:tcBorders>
          </w:tcPr>
          <w:p>
            <w:pPr>
              <w:spacing w:after="0"/>
              <w:rPr>
                <w:sz w:val="20"/>
                <w:szCs w:val="20"/>
                <w:color w:val="auto"/>
              </w:rPr>
            </w:pPr>
          </w:p>
        </w:tc>
        <w:tc>
          <w:tcPr>
            <w:tcW w:w="28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424E6A"/>
            </w:tcBorders>
          </w:tcPr>
          <w:p>
            <w:pPr>
              <w:ind w:lef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424E6A"/>
            </w:tcBorders>
          </w:tcPr>
          <w:p>
            <w:pPr>
              <w:spacing w:after="0"/>
              <w:rPr>
                <w:sz w:val="20"/>
                <w:szCs w:val="20"/>
                <w:color w:val="auto"/>
              </w:rPr>
            </w:pPr>
          </w:p>
        </w:tc>
        <w:tc>
          <w:tcPr>
            <w:tcW w:w="12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1860" w:type="dxa"/>
            <w:vAlign w:val="bottom"/>
            <w:tcBorders>
              <w:left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6"/>
                <w:szCs w:val="16"/>
                <w:color w:val="auto"/>
              </w:rPr>
              <w:t>Class II Directors</w:t>
            </w:r>
          </w:p>
        </w:tc>
        <w:tc>
          <w:tcPr>
            <w:tcW w:w="960" w:type="dxa"/>
            <w:vAlign w:val="bottom"/>
            <w:tcBorders>
              <w:right w:val="single" w:sz="8" w:color="424E6A"/>
            </w:tcBorders>
            <w:shd w:val="clear" w:color="auto" w:fill="D9DCE1"/>
          </w:tcPr>
          <w:p>
            <w:pPr>
              <w:spacing w:after="0"/>
              <w:rPr>
                <w:sz w:val="17"/>
                <w:szCs w:val="17"/>
                <w:color w:val="auto"/>
              </w:rPr>
            </w:pPr>
          </w:p>
        </w:tc>
        <w:tc>
          <w:tcPr>
            <w:tcW w:w="840" w:type="dxa"/>
            <w:vAlign w:val="bottom"/>
            <w:tcBorders>
              <w:right w:val="single" w:sz="8" w:color="424E6A"/>
            </w:tcBorders>
            <w:vMerge w:val="restart"/>
            <w:shd w:val="clear" w:color="auto" w:fill="D9DCE1"/>
          </w:tcPr>
          <w:p>
            <w:pPr>
              <w:ind w:left="420"/>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424E6A"/>
            </w:tcBorders>
            <w:vMerge w:val="restart"/>
            <w:shd w:val="clear" w:color="auto" w:fill="D9DCE1"/>
          </w:tcPr>
          <w:p>
            <w:pPr>
              <w:ind w:left="5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424E6A"/>
            </w:tcBorders>
            <w:vMerge w:val="restart"/>
            <w:shd w:val="clear" w:color="auto" w:fill="D9DCE1"/>
          </w:tcPr>
          <w:p>
            <w:pPr>
              <w:ind w:left="46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D9DCE1"/>
          </w:tcPr>
          <w:p>
            <w:pPr>
              <w:ind w:left="20"/>
              <w:spacing w:after="0"/>
              <w:rPr>
                <w:sz w:val="20"/>
                <w:szCs w:val="20"/>
                <w:color w:val="auto"/>
              </w:rPr>
            </w:pPr>
            <w:r>
              <w:rPr>
                <w:rFonts w:ascii="Arial" w:cs="Arial" w:eastAsia="Arial" w:hAnsi="Arial"/>
                <w:sz w:val="16"/>
                <w:szCs w:val="16"/>
                <w:color w:val="auto"/>
              </w:rPr>
              <w:t>​</w:t>
            </w:r>
          </w:p>
        </w:tc>
        <w:tc>
          <w:tcPr>
            <w:tcW w:w="580" w:type="dxa"/>
            <w:vAlign w:val="bottom"/>
            <w:vMerge w:val="restart"/>
            <w:shd w:val="clear" w:color="auto" w:fill="D9DCE1"/>
          </w:tcPr>
          <w:p>
            <w:pPr>
              <w:ind w:lef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D9DCE1"/>
          </w:tcPr>
          <w:p>
            <w:pPr>
              <w:spacing w:after="0"/>
              <w:rPr>
                <w:sz w:val="17"/>
                <w:szCs w:val="17"/>
                <w:color w:val="auto"/>
              </w:rPr>
            </w:pPr>
          </w:p>
        </w:tc>
        <w:tc>
          <w:tcPr>
            <w:tcW w:w="280" w:type="dxa"/>
            <w:vAlign w:val="bottom"/>
            <w:vMerge w:val="restart"/>
          </w:tcPr>
          <w:p>
            <w:pPr>
              <w:spacing w:after="0"/>
              <w:rPr>
                <w:sz w:val="20"/>
                <w:szCs w:val="20"/>
                <w:color w:val="auto"/>
              </w:rPr>
            </w:pPr>
            <w:r>
              <w:rPr>
                <w:rFonts w:ascii="Arial" w:cs="Arial" w:eastAsia="Arial" w:hAnsi="Arial"/>
                <w:sz w:val="16"/>
                <w:szCs w:val="16"/>
                <w:color w:val="auto"/>
              </w:rPr>
              <w:t>​​</w:t>
            </w:r>
          </w:p>
        </w:tc>
        <w:tc>
          <w:tcPr>
            <w:tcW w:w="440" w:type="dxa"/>
            <w:vAlign w:val="bottom"/>
            <w:vMerge w:val="restart"/>
          </w:tcPr>
          <w:p>
            <w:pPr>
              <w:ind w:lef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424E6A"/>
            </w:tcBorders>
            <w:vMerge w:val="restart"/>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7"/>
        </w:trPr>
        <w:tc>
          <w:tcPr>
            <w:tcW w:w="1860" w:type="dxa"/>
            <w:vAlign w:val="bottom"/>
            <w:tcBorders>
              <w:left w:val="single" w:sz="8" w:color="424E6A"/>
              <w:right w:val="single" w:sz="8" w:color="424E6A"/>
            </w:tcBorders>
            <w:vMerge w:val="restart"/>
            <w:shd w:val="clear" w:color="auto" w:fill="D9DCE1"/>
          </w:tcPr>
          <w:p>
            <w:pPr>
              <w:ind w:left="220"/>
              <w:spacing w:after="0"/>
              <w:rPr>
                <w:sz w:val="20"/>
                <w:szCs w:val="20"/>
                <w:color w:val="auto"/>
              </w:rPr>
            </w:pPr>
            <w:r>
              <w:rPr>
                <w:rFonts w:ascii="Arial" w:cs="Arial" w:eastAsia="Arial" w:hAnsi="Arial"/>
                <w:sz w:val="16"/>
                <w:szCs w:val="16"/>
                <w:color w:val="auto"/>
              </w:rPr>
              <w:t>(Term expires 2028)</w:t>
            </w:r>
          </w:p>
        </w:tc>
        <w:tc>
          <w:tcPr>
            <w:tcW w:w="960" w:type="dxa"/>
            <w:vAlign w:val="bottom"/>
            <w:tcBorders>
              <w:right w:val="single" w:sz="8" w:color="424E6A"/>
            </w:tcBorders>
            <w:shd w:val="clear" w:color="auto" w:fill="D9DCE1"/>
          </w:tcPr>
          <w:p>
            <w:pPr>
              <w:spacing w:after="0"/>
              <w:rPr>
                <w:sz w:val="9"/>
                <w:szCs w:val="9"/>
                <w:color w:val="auto"/>
              </w:rPr>
            </w:pPr>
          </w:p>
        </w:tc>
        <w:tc>
          <w:tcPr>
            <w:tcW w:w="840" w:type="dxa"/>
            <w:vAlign w:val="bottom"/>
            <w:tcBorders>
              <w:right w:val="single" w:sz="8" w:color="424E6A"/>
            </w:tcBorders>
            <w:vMerge w:val="continue"/>
            <w:shd w:val="clear" w:color="auto" w:fill="D9DCE1"/>
          </w:tcPr>
          <w:p>
            <w:pPr>
              <w:spacing w:after="0"/>
              <w:rPr>
                <w:sz w:val="9"/>
                <w:szCs w:val="9"/>
                <w:color w:val="auto"/>
              </w:rPr>
            </w:pPr>
          </w:p>
        </w:tc>
        <w:tc>
          <w:tcPr>
            <w:tcW w:w="1120" w:type="dxa"/>
            <w:vAlign w:val="bottom"/>
            <w:tcBorders>
              <w:right w:val="single" w:sz="8" w:color="424E6A"/>
            </w:tcBorders>
            <w:vMerge w:val="continue"/>
            <w:shd w:val="clear" w:color="auto" w:fill="D9DCE1"/>
          </w:tcPr>
          <w:p>
            <w:pPr>
              <w:spacing w:after="0"/>
              <w:rPr>
                <w:sz w:val="9"/>
                <w:szCs w:val="9"/>
                <w:color w:val="auto"/>
              </w:rPr>
            </w:pPr>
          </w:p>
        </w:tc>
        <w:tc>
          <w:tcPr>
            <w:tcW w:w="940" w:type="dxa"/>
            <w:vAlign w:val="bottom"/>
            <w:tcBorders>
              <w:right w:val="single" w:sz="8" w:color="424E6A"/>
            </w:tcBorders>
            <w:vMerge w:val="continue"/>
            <w:shd w:val="clear" w:color="auto" w:fill="D9DCE1"/>
          </w:tcPr>
          <w:p>
            <w:pPr>
              <w:spacing w:after="0"/>
              <w:rPr>
                <w:sz w:val="9"/>
                <w:szCs w:val="9"/>
                <w:color w:val="auto"/>
              </w:rPr>
            </w:pPr>
          </w:p>
        </w:tc>
        <w:tc>
          <w:tcPr>
            <w:tcW w:w="120" w:type="dxa"/>
            <w:vAlign w:val="bottom"/>
            <w:vMerge w:val="continue"/>
            <w:shd w:val="clear" w:color="auto" w:fill="D9DCE1"/>
          </w:tcPr>
          <w:p>
            <w:pPr>
              <w:spacing w:after="0"/>
              <w:rPr>
                <w:sz w:val="9"/>
                <w:szCs w:val="9"/>
                <w:color w:val="auto"/>
              </w:rPr>
            </w:pPr>
          </w:p>
        </w:tc>
        <w:tc>
          <w:tcPr>
            <w:tcW w:w="580" w:type="dxa"/>
            <w:vAlign w:val="bottom"/>
            <w:vMerge w:val="continue"/>
            <w:shd w:val="clear" w:color="auto" w:fill="D9DCE1"/>
          </w:tcPr>
          <w:p>
            <w:pPr>
              <w:spacing w:after="0"/>
              <w:rPr>
                <w:sz w:val="9"/>
                <w:szCs w:val="9"/>
                <w:color w:val="auto"/>
              </w:rPr>
            </w:pPr>
          </w:p>
        </w:tc>
        <w:tc>
          <w:tcPr>
            <w:tcW w:w="140" w:type="dxa"/>
            <w:vAlign w:val="bottom"/>
            <w:shd w:val="clear" w:color="auto" w:fill="D9DCE1"/>
          </w:tcPr>
          <w:p>
            <w:pPr>
              <w:spacing w:after="0"/>
              <w:rPr>
                <w:sz w:val="9"/>
                <w:szCs w:val="9"/>
                <w:color w:val="auto"/>
              </w:rPr>
            </w:pPr>
          </w:p>
        </w:tc>
        <w:tc>
          <w:tcPr>
            <w:tcW w:w="2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600" w:type="dxa"/>
            <w:vAlign w:val="bottom"/>
            <w:tcBorders>
              <w:right w:val="single" w:sz="8" w:color="424E6A"/>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860" w:type="dxa"/>
            <w:vAlign w:val="bottom"/>
            <w:tcBorders>
              <w:left w:val="single" w:sz="8" w:color="424E6A"/>
              <w:bottom w:val="single" w:sz="8" w:color="424E6A"/>
              <w:right w:val="single" w:sz="8" w:color="424E6A"/>
            </w:tcBorders>
            <w:vMerge w:val="continue"/>
            <w:shd w:val="clear" w:color="auto" w:fill="D9DCE1"/>
          </w:tcPr>
          <w:p>
            <w:pPr>
              <w:spacing w:after="0"/>
              <w:rPr>
                <w:sz w:val="9"/>
                <w:szCs w:val="9"/>
                <w:color w:val="auto"/>
              </w:rPr>
            </w:pPr>
          </w:p>
        </w:tc>
        <w:tc>
          <w:tcPr>
            <w:tcW w:w="960" w:type="dxa"/>
            <w:vAlign w:val="bottom"/>
            <w:tcBorders>
              <w:bottom w:val="single" w:sz="8" w:color="424E6A"/>
              <w:right w:val="single" w:sz="8" w:color="424E6A"/>
            </w:tcBorders>
            <w:shd w:val="clear" w:color="auto" w:fill="D9DCE1"/>
          </w:tcPr>
          <w:p>
            <w:pPr>
              <w:spacing w:after="0"/>
              <w:rPr>
                <w:sz w:val="9"/>
                <w:szCs w:val="9"/>
                <w:color w:val="auto"/>
              </w:rPr>
            </w:pPr>
          </w:p>
        </w:tc>
        <w:tc>
          <w:tcPr>
            <w:tcW w:w="840" w:type="dxa"/>
            <w:vAlign w:val="bottom"/>
            <w:tcBorders>
              <w:bottom w:val="single" w:sz="8" w:color="424E6A"/>
              <w:right w:val="single" w:sz="8" w:color="424E6A"/>
            </w:tcBorders>
            <w:shd w:val="clear" w:color="auto" w:fill="D9DCE1"/>
          </w:tcPr>
          <w:p>
            <w:pPr>
              <w:spacing w:after="0"/>
              <w:rPr>
                <w:sz w:val="9"/>
                <w:szCs w:val="9"/>
                <w:color w:val="auto"/>
              </w:rPr>
            </w:pPr>
          </w:p>
        </w:tc>
        <w:tc>
          <w:tcPr>
            <w:tcW w:w="1120" w:type="dxa"/>
            <w:vAlign w:val="bottom"/>
            <w:tcBorders>
              <w:bottom w:val="single" w:sz="8" w:color="424E6A"/>
              <w:right w:val="single" w:sz="8" w:color="424E6A"/>
            </w:tcBorders>
            <w:shd w:val="clear" w:color="auto" w:fill="D9DCE1"/>
          </w:tcPr>
          <w:p>
            <w:pPr>
              <w:spacing w:after="0"/>
              <w:rPr>
                <w:sz w:val="9"/>
                <w:szCs w:val="9"/>
                <w:color w:val="auto"/>
              </w:rPr>
            </w:pPr>
          </w:p>
        </w:tc>
        <w:tc>
          <w:tcPr>
            <w:tcW w:w="940" w:type="dxa"/>
            <w:vAlign w:val="bottom"/>
            <w:tcBorders>
              <w:bottom w:val="single" w:sz="8" w:color="424E6A"/>
              <w:right w:val="single" w:sz="8" w:color="424E6A"/>
            </w:tcBorders>
            <w:shd w:val="clear" w:color="auto" w:fill="D9DCE1"/>
          </w:tcPr>
          <w:p>
            <w:pPr>
              <w:spacing w:after="0"/>
              <w:rPr>
                <w:sz w:val="9"/>
                <w:szCs w:val="9"/>
                <w:color w:val="auto"/>
              </w:rPr>
            </w:pPr>
          </w:p>
        </w:tc>
        <w:tc>
          <w:tcPr>
            <w:tcW w:w="120" w:type="dxa"/>
            <w:vAlign w:val="bottom"/>
            <w:tcBorders>
              <w:bottom w:val="single" w:sz="8" w:color="424E6A"/>
            </w:tcBorders>
            <w:shd w:val="clear" w:color="auto" w:fill="D9DCE1"/>
          </w:tcPr>
          <w:p>
            <w:pPr>
              <w:spacing w:after="0"/>
              <w:rPr>
                <w:sz w:val="9"/>
                <w:szCs w:val="9"/>
                <w:color w:val="auto"/>
              </w:rPr>
            </w:pPr>
          </w:p>
        </w:tc>
        <w:tc>
          <w:tcPr>
            <w:tcW w:w="580" w:type="dxa"/>
            <w:vAlign w:val="bottom"/>
            <w:tcBorders>
              <w:bottom w:val="single" w:sz="8" w:color="424E6A"/>
            </w:tcBorders>
            <w:shd w:val="clear" w:color="auto" w:fill="D9DCE1"/>
          </w:tcPr>
          <w:p>
            <w:pPr>
              <w:spacing w:after="0"/>
              <w:rPr>
                <w:sz w:val="9"/>
                <w:szCs w:val="9"/>
                <w:color w:val="auto"/>
              </w:rPr>
            </w:pPr>
          </w:p>
        </w:tc>
        <w:tc>
          <w:tcPr>
            <w:tcW w:w="140" w:type="dxa"/>
            <w:vAlign w:val="bottom"/>
            <w:tcBorders>
              <w:bottom w:val="single" w:sz="8" w:color="424E6A"/>
            </w:tcBorders>
            <w:shd w:val="clear" w:color="auto" w:fill="D9DCE1"/>
          </w:tcPr>
          <w:p>
            <w:pPr>
              <w:spacing w:after="0"/>
              <w:rPr>
                <w:sz w:val="9"/>
                <w:szCs w:val="9"/>
                <w:color w:val="auto"/>
              </w:rPr>
            </w:pPr>
          </w:p>
        </w:tc>
        <w:tc>
          <w:tcPr>
            <w:tcW w:w="280" w:type="dxa"/>
            <w:vAlign w:val="bottom"/>
            <w:tcBorders>
              <w:bottom w:val="single" w:sz="8" w:color="424E6A"/>
            </w:tcBorders>
          </w:tcPr>
          <w:p>
            <w:pPr>
              <w:spacing w:after="0"/>
              <w:rPr>
                <w:sz w:val="9"/>
                <w:szCs w:val="9"/>
                <w:color w:val="auto"/>
              </w:rPr>
            </w:pPr>
          </w:p>
        </w:tc>
        <w:tc>
          <w:tcPr>
            <w:tcW w:w="440" w:type="dxa"/>
            <w:vAlign w:val="bottom"/>
            <w:tcBorders>
              <w:bottom w:val="single" w:sz="8" w:color="424E6A"/>
            </w:tcBorders>
          </w:tcPr>
          <w:p>
            <w:pPr>
              <w:spacing w:after="0"/>
              <w:rPr>
                <w:sz w:val="9"/>
                <w:szCs w:val="9"/>
                <w:color w:val="auto"/>
              </w:rPr>
            </w:pPr>
          </w:p>
        </w:tc>
        <w:tc>
          <w:tcPr>
            <w:tcW w:w="220" w:type="dxa"/>
            <w:vAlign w:val="bottom"/>
            <w:tcBorders>
              <w:bottom w:val="single" w:sz="8" w:color="424E6A"/>
            </w:tcBorders>
          </w:tcPr>
          <w:p>
            <w:pPr>
              <w:spacing w:after="0"/>
              <w:rPr>
                <w:sz w:val="9"/>
                <w:szCs w:val="9"/>
                <w:color w:val="auto"/>
              </w:rPr>
            </w:pPr>
          </w:p>
        </w:tc>
        <w:tc>
          <w:tcPr>
            <w:tcW w:w="120" w:type="dxa"/>
            <w:vAlign w:val="bottom"/>
            <w:tcBorders>
              <w:bottom w:val="single" w:sz="8" w:color="424E6A"/>
            </w:tcBorders>
          </w:tcPr>
          <w:p>
            <w:pPr>
              <w:spacing w:after="0"/>
              <w:rPr>
                <w:sz w:val="9"/>
                <w:szCs w:val="9"/>
                <w:color w:val="auto"/>
              </w:rPr>
            </w:pPr>
          </w:p>
        </w:tc>
        <w:tc>
          <w:tcPr>
            <w:tcW w:w="600" w:type="dxa"/>
            <w:vAlign w:val="bottom"/>
            <w:tcBorders>
              <w:bottom w:val="single" w:sz="8" w:color="424E6A"/>
              <w:right w:val="single" w:sz="8" w:color="424E6A"/>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1860" w:type="dxa"/>
            <w:vAlign w:val="bottom"/>
            <w:tcBorders>
              <w:left w:val="single" w:sz="8" w:color="424E6A"/>
              <w:bottom w:val="single" w:sz="8" w:color="424E6A"/>
              <w:right w:val="single" w:sz="8" w:color="424E6A"/>
            </w:tcBorders>
          </w:tcPr>
          <w:p>
            <w:pPr>
              <w:ind w:left="220"/>
              <w:spacing w:after="0"/>
              <w:rPr>
                <w:sz w:val="20"/>
                <w:szCs w:val="20"/>
                <w:color w:val="auto"/>
              </w:rPr>
            </w:pPr>
            <w:r>
              <w:rPr>
                <w:rFonts w:ascii="Arial" w:cs="Arial" w:eastAsia="Arial" w:hAnsi="Arial"/>
                <w:sz w:val="16"/>
                <w:szCs w:val="16"/>
                <w:color w:val="auto"/>
              </w:rPr>
              <w:t>Victor Burk</w:t>
            </w:r>
          </w:p>
        </w:tc>
        <w:tc>
          <w:tcPr>
            <w:tcW w:w="960" w:type="dxa"/>
            <w:vAlign w:val="bottom"/>
            <w:tcBorders>
              <w:bottom w:val="single" w:sz="8" w:color="424E6A"/>
              <w:right w:val="single" w:sz="8" w:color="424E6A"/>
            </w:tcBorders>
          </w:tcPr>
          <w:p>
            <w:pPr>
              <w:spacing w:after="0"/>
              <w:rPr>
                <w:sz w:val="20"/>
                <w:szCs w:val="20"/>
                <w:color w:val="auto"/>
              </w:rPr>
            </w:pPr>
          </w:p>
        </w:tc>
        <w:tc>
          <w:tcPr>
            <w:tcW w:w="840" w:type="dxa"/>
            <w:vAlign w:val="bottom"/>
            <w:tcBorders>
              <w:bottom w:val="single" w:sz="8" w:color="424E6A"/>
              <w:right w:val="single" w:sz="8" w:color="424E6A"/>
            </w:tcBorders>
          </w:tcPr>
          <w:p>
            <w:pPr>
              <w:spacing w:after="0"/>
              <w:rPr>
                <w:sz w:val="20"/>
                <w:szCs w:val="20"/>
                <w:color w:val="auto"/>
              </w:rPr>
            </w:pPr>
          </w:p>
        </w:tc>
        <w:tc>
          <w:tcPr>
            <w:tcW w:w="1120" w:type="dxa"/>
            <w:vAlign w:val="bottom"/>
            <w:tcBorders>
              <w:bottom w:val="single" w:sz="8" w:color="424E6A"/>
              <w:right w:val="single" w:sz="8" w:color="424E6A"/>
            </w:tcBorders>
          </w:tcPr>
          <w:p>
            <w:pPr>
              <w:spacing w:after="0"/>
              <w:rPr>
                <w:sz w:val="20"/>
                <w:szCs w:val="20"/>
                <w:color w:val="auto"/>
              </w:rPr>
            </w:pPr>
          </w:p>
        </w:tc>
        <w:tc>
          <w:tcPr>
            <w:tcW w:w="940" w:type="dxa"/>
            <w:vAlign w:val="bottom"/>
            <w:tcBorders>
              <w:bottom w:val="single" w:sz="8" w:color="424E6A"/>
              <w:right w:val="single" w:sz="8" w:color="424E6A"/>
            </w:tcBorders>
          </w:tcPr>
          <w:p>
            <w:pPr>
              <w:ind w:left="4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424E6A"/>
            </w:tcBorders>
          </w:tcPr>
          <w:p>
            <w:pPr>
              <w:ind w:left="3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24E6A"/>
            </w:tcBorders>
          </w:tcPr>
          <w:p>
            <w:pPr>
              <w:spacing w:after="0"/>
              <w:rPr>
                <w:sz w:val="20"/>
                <w:szCs w:val="20"/>
                <w:color w:val="auto"/>
              </w:rPr>
            </w:pPr>
          </w:p>
        </w:tc>
        <w:tc>
          <w:tcPr>
            <w:tcW w:w="28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424E6A"/>
            </w:tcBorders>
          </w:tcPr>
          <w:p>
            <w:pPr>
              <w:ind w:lef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424E6A"/>
            </w:tcBorders>
          </w:tcPr>
          <w:p>
            <w:pPr>
              <w:spacing w:after="0"/>
              <w:rPr>
                <w:sz w:val="20"/>
                <w:szCs w:val="20"/>
                <w:color w:val="auto"/>
              </w:rPr>
            </w:pPr>
          </w:p>
        </w:tc>
        <w:tc>
          <w:tcPr>
            <w:tcW w:w="12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1860" w:type="dxa"/>
            <w:vAlign w:val="bottom"/>
            <w:tcBorders>
              <w:left w:val="single" w:sz="8" w:color="424E6A"/>
              <w:bottom w:val="single" w:sz="8" w:color="424E6A"/>
              <w:right w:val="single" w:sz="8" w:color="424E6A"/>
            </w:tcBorders>
          </w:tcPr>
          <w:p>
            <w:pPr>
              <w:ind w:left="220"/>
              <w:spacing w:after="0"/>
              <w:rPr>
                <w:sz w:val="20"/>
                <w:szCs w:val="20"/>
                <w:color w:val="auto"/>
              </w:rPr>
            </w:pPr>
            <w:r>
              <w:rPr>
                <w:rFonts w:ascii="Arial" w:cs="Arial" w:eastAsia="Arial" w:hAnsi="Arial"/>
                <w:sz w:val="16"/>
                <w:szCs w:val="16"/>
                <w:color w:val="auto"/>
              </w:rPr>
              <w:t>Kevin S. McCarthy</w:t>
            </w:r>
          </w:p>
        </w:tc>
        <w:tc>
          <w:tcPr>
            <w:tcW w:w="960" w:type="dxa"/>
            <w:vAlign w:val="bottom"/>
            <w:tcBorders>
              <w:bottom w:val="single" w:sz="8" w:color="424E6A"/>
              <w:right w:val="single" w:sz="8" w:color="424E6A"/>
            </w:tcBorders>
          </w:tcPr>
          <w:p>
            <w:pPr>
              <w:spacing w:after="0"/>
              <w:rPr>
                <w:sz w:val="20"/>
                <w:szCs w:val="20"/>
                <w:color w:val="auto"/>
              </w:rPr>
            </w:pPr>
          </w:p>
        </w:tc>
        <w:tc>
          <w:tcPr>
            <w:tcW w:w="840" w:type="dxa"/>
            <w:vAlign w:val="bottom"/>
            <w:tcBorders>
              <w:bottom w:val="single" w:sz="8" w:color="424E6A"/>
              <w:right w:val="single" w:sz="8" w:color="424E6A"/>
            </w:tcBorders>
          </w:tcPr>
          <w:p>
            <w:pPr>
              <w:ind w:left="4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424E6A"/>
              <w:right w:val="single" w:sz="8" w:color="424E6A"/>
            </w:tcBorders>
          </w:tcPr>
          <w:p>
            <w:pPr>
              <w:ind w:left="5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24E6A"/>
              <w:right w:val="single" w:sz="8" w:color="424E6A"/>
            </w:tcBorders>
          </w:tcPr>
          <w:p>
            <w:pPr>
              <w:spacing w:after="0"/>
              <w:rPr>
                <w:sz w:val="20"/>
                <w:szCs w:val="20"/>
                <w:color w:val="auto"/>
              </w:rPr>
            </w:pPr>
          </w:p>
        </w:tc>
        <w:tc>
          <w:tcPr>
            <w:tcW w:w="120" w:type="dxa"/>
            <w:vAlign w:val="bottom"/>
            <w:tcBorders>
              <w:bottom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424E6A"/>
            </w:tcBorders>
          </w:tcPr>
          <w:p>
            <w:pPr>
              <w:spacing w:after="0"/>
              <w:rPr>
                <w:sz w:val="20"/>
                <w:szCs w:val="20"/>
                <w:color w:val="auto"/>
              </w:rPr>
            </w:pPr>
          </w:p>
        </w:tc>
        <w:tc>
          <w:tcPr>
            <w:tcW w:w="140" w:type="dxa"/>
            <w:vAlign w:val="bottom"/>
            <w:tcBorders>
              <w:bottom w:val="single" w:sz="8" w:color="424E6A"/>
            </w:tcBorders>
          </w:tcPr>
          <w:p>
            <w:pPr>
              <w:spacing w:after="0"/>
              <w:rPr>
                <w:sz w:val="20"/>
                <w:szCs w:val="20"/>
                <w:color w:val="auto"/>
              </w:rPr>
            </w:pPr>
          </w:p>
        </w:tc>
        <w:tc>
          <w:tcPr>
            <w:tcW w:w="28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424E6A"/>
            </w:tcBorders>
          </w:tcPr>
          <w:p>
            <w:pPr>
              <w:ind w:lef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424E6A"/>
            </w:tcBorders>
          </w:tcPr>
          <w:p>
            <w:pPr>
              <w:spacing w:after="0"/>
              <w:rPr>
                <w:sz w:val="20"/>
                <w:szCs w:val="20"/>
                <w:color w:val="auto"/>
              </w:rPr>
            </w:pPr>
          </w:p>
        </w:tc>
        <w:tc>
          <w:tcPr>
            <w:tcW w:w="12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1860" w:type="dxa"/>
            <w:vAlign w:val="bottom"/>
            <w:tcBorders>
              <w:left w:val="single" w:sz="8" w:color="424E6A"/>
              <w:right w:val="single" w:sz="8" w:color="424E6A"/>
            </w:tcBorders>
          </w:tcPr>
          <w:p>
            <w:pPr>
              <w:ind w:left="220"/>
              <w:spacing w:after="0"/>
              <w:rPr>
                <w:sz w:val="20"/>
                <w:szCs w:val="20"/>
                <w:color w:val="auto"/>
              </w:rPr>
            </w:pPr>
            <w:r>
              <w:rPr>
                <w:rFonts w:ascii="Arial" w:cs="Arial" w:eastAsia="Arial" w:hAnsi="Arial"/>
                <w:sz w:val="16"/>
                <w:szCs w:val="16"/>
                <w:color w:val="auto"/>
              </w:rPr>
              <w:t>Harry N. Pefanis,</w:t>
            </w:r>
          </w:p>
        </w:tc>
        <w:tc>
          <w:tcPr>
            <w:tcW w:w="960" w:type="dxa"/>
            <w:vAlign w:val="bottom"/>
            <w:tcBorders>
              <w:right w:val="single" w:sz="8" w:color="424E6A"/>
            </w:tcBorders>
          </w:tcPr>
          <w:p>
            <w:pPr>
              <w:spacing w:after="0"/>
              <w:rPr>
                <w:sz w:val="17"/>
                <w:szCs w:val="17"/>
                <w:color w:val="auto"/>
              </w:rPr>
            </w:pPr>
          </w:p>
        </w:tc>
        <w:tc>
          <w:tcPr>
            <w:tcW w:w="840" w:type="dxa"/>
            <w:vAlign w:val="bottom"/>
            <w:tcBorders>
              <w:right w:val="single" w:sz="8" w:color="424E6A"/>
            </w:tcBorders>
          </w:tcPr>
          <w:p>
            <w:pPr>
              <w:spacing w:after="0"/>
              <w:rPr>
                <w:sz w:val="17"/>
                <w:szCs w:val="17"/>
                <w:color w:val="auto"/>
              </w:rPr>
            </w:pPr>
          </w:p>
        </w:tc>
        <w:tc>
          <w:tcPr>
            <w:tcW w:w="1120" w:type="dxa"/>
            <w:vAlign w:val="bottom"/>
            <w:tcBorders>
              <w:right w:val="single" w:sz="8" w:color="424E6A"/>
            </w:tcBorders>
          </w:tcPr>
          <w:p>
            <w:pPr>
              <w:spacing w:after="0"/>
              <w:rPr>
                <w:sz w:val="17"/>
                <w:szCs w:val="17"/>
                <w:color w:val="auto"/>
              </w:rPr>
            </w:pPr>
          </w:p>
        </w:tc>
        <w:tc>
          <w:tcPr>
            <w:tcW w:w="940" w:type="dxa"/>
            <w:vAlign w:val="bottom"/>
            <w:tcBorders>
              <w:right w:val="single" w:sz="8" w:color="424E6A"/>
            </w:tcBorders>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right w:val="single" w:sz="8" w:color="424E6A"/>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60" w:type="dxa"/>
            <w:vAlign w:val="bottom"/>
            <w:tcBorders>
              <w:left w:val="single" w:sz="8" w:color="424E6A"/>
              <w:right w:val="single" w:sz="8" w:color="424E6A"/>
            </w:tcBorders>
          </w:tcPr>
          <w:p>
            <w:pPr>
              <w:ind w:left="400"/>
              <w:spacing w:after="0"/>
              <w:rPr>
                <w:sz w:val="20"/>
                <w:szCs w:val="20"/>
                <w:color w:val="auto"/>
              </w:rPr>
            </w:pPr>
            <w:r>
              <w:rPr>
                <w:rFonts w:ascii="Arial" w:cs="Arial" w:eastAsia="Arial" w:hAnsi="Arial"/>
                <w:sz w:val="16"/>
                <w:szCs w:val="16"/>
                <w:color w:val="auto"/>
              </w:rPr>
              <w:t>Senior Advisor to</w:t>
            </w:r>
          </w:p>
        </w:tc>
        <w:tc>
          <w:tcPr>
            <w:tcW w:w="960" w:type="dxa"/>
            <w:vAlign w:val="bottom"/>
            <w:tcBorders>
              <w:right w:val="single" w:sz="8" w:color="424E6A"/>
            </w:tcBorders>
          </w:tcPr>
          <w:p>
            <w:pPr>
              <w:spacing w:after="0"/>
              <w:rPr>
                <w:sz w:val="16"/>
                <w:szCs w:val="16"/>
                <w:color w:val="auto"/>
              </w:rPr>
            </w:pPr>
          </w:p>
        </w:tc>
        <w:tc>
          <w:tcPr>
            <w:tcW w:w="840" w:type="dxa"/>
            <w:vAlign w:val="bottom"/>
            <w:tcBorders>
              <w:right w:val="single" w:sz="8" w:color="424E6A"/>
            </w:tcBorders>
            <w:vMerge w:val="restart"/>
          </w:tcPr>
          <w:p>
            <w:pPr>
              <w:ind w:left="420"/>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424E6A"/>
            </w:tcBorders>
            <w:vMerge w:val="restart"/>
          </w:tcPr>
          <w:p>
            <w:pPr>
              <w:ind w:left="5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424E6A"/>
            </w:tcBorders>
            <w:vMerge w:val="restart"/>
          </w:tcPr>
          <w:p>
            <w:pPr>
              <w:ind w:left="46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80" w:type="dxa"/>
            <w:vAlign w:val="bottom"/>
            <w:vMerge w:val="restart"/>
          </w:tcPr>
          <w:p>
            <w:pPr>
              <w:spacing w:after="0"/>
              <w:rPr>
                <w:sz w:val="20"/>
                <w:szCs w:val="20"/>
                <w:color w:val="auto"/>
              </w:rPr>
            </w:pPr>
            <w:r>
              <w:rPr>
                <w:rFonts w:ascii="Arial" w:cs="Arial" w:eastAsia="Arial" w:hAnsi="Arial"/>
                <w:sz w:val="16"/>
                <w:szCs w:val="16"/>
                <w:color w:val="auto"/>
              </w:rPr>
              <w:t>​​</w:t>
            </w:r>
          </w:p>
        </w:tc>
        <w:tc>
          <w:tcPr>
            <w:tcW w:w="440" w:type="dxa"/>
            <w:vAlign w:val="bottom"/>
            <w:vMerge w:val="restart"/>
          </w:tcPr>
          <w:p>
            <w:pPr>
              <w:ind w:lef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424E6A"/>
            </w:tcBorders>
            <w:vMerge w:val="restart"/>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7"/>
        </w:trPr>
        <w:tc>
          <w:tcPr>
            <w:tcW w:w="1860" w:type="dxa"/>
            <w:vAlign w:val="bottom"/>
            <w:tcBorders>
              <w:left w:val="single" w:sz="8" w:color="424E6A"/>
              <w:right w:val="single" w:sz="8" w:color="424E6A"/>
            </w:tcBorders>
            <w:vMerge w:val="restart"/>
          </w:tcPr>
          <w:p>
            <w:pPr>
              <w:ind w:left="400"/>
              <w:spacing w:after="0"/>
              <w:rPr>
                <w:sz w:val="20"/>
                <w:szCs w:val="20"/>
                <w:color w:val="auto"/>
              </w:rPr>
            </w:pPr>
            <w:r>
              <w:rPr>
                <w:rFonts w:ascii="Arial" w:cs="Arial" w:eastAsia="Arial" w:hAnsi="Arial"/>
                <w:sz w:val="16"/>
                <w:szCs w:val="16"/>
                <w:color w:val="auto"/>
              </w:rPr>
              <w:t>the CEO (former</w:t>
            </w:r>
          </w:p>
        </w:tc>
        <w:tc>
          <w:tcPr>
            <w:tcW w:w="960" w:type="dxa"/>
            <w:vAlign w:val="bottom"/>
            <w:tcBorders>
              <w:right w:val="single" w:sz="8" w:color="424E6A"/>
            </w:tcBorders>
          </w:tcPr>
          <w:p>
            <w:pPr>
              <w:spacing w:after="0"/>
              <w:rPr>
                <w:sz w:val="9"/>
                <w:szCs w:val="9"/>
                <w:color w:val="auto"/>
              </w:rPr>
            </w:pPr>
          </w:p>
        </w:tc>
        <w:tc>
          <w:tcPr>
            <w:tcW w:w="840" w:type="dxa"/>
            <w:vAlign w:val="bottom"/>
            <w:tcBorders>
              <w:right w:val="single" w:sz="8" w:color="424E6A"/>
            </w:tcBorders>
            <w:vMerge w:val="continue"/>
          </w:tcPr>
          <w:p>
            <w:pPr>
              <w:spacing w:after="0"/>
              <w:rPr>
                <w:sz w:val="9"/>
                <w:szCs w:val="9"/>
                <w:color w:val="auto"/>
              </w:rPr>
            </w:pPr>
          </w:p>
        </w:tc>
        <w:tc>
          <w:tcPr>
            <w:tcW w:w="1120" w:type="dxa"/>
            <w:vAlign w:val="bottom"/>
            <w:tcBorders>
              <w:right w:val="single" w:sz="8" w:color="424E6A"/>
            </w:tcBorders>
            <w:vMerge w:val="continue"/>
          </w:tcPr>
          <w:p>
            <w:pPr>
              <w:spacing w:after="0"/>
              <w:rPr>
                <w:sz w:val="9"/>
                <w:szCs w:val="9"/>
                <w:color w:val="auto"/>
              </w:rPr>
            </w:pPr>
          </w:p>
        </w:tc>
        <w:tc>
          <w:tcPr>
            <w:tcW w:w="940" w:type="dxa"/>
            <w:vAlign w:val="bottom"/>
            <w:tcBorders>
              <w:right w:val="single" w:sz="8" w:color="424E6A"/>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600" w:type="dxa"/>
            <w:vAlign w:val="bottom"/>
            <w:tcBorders>
              <w:right w:val="single" w:sz="8" w:color="424E6A"/>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860" w:type="dxa"/>
            <w:vAlign w:val="bottom"/>
            <w:tcBorders>
              <w:left w:val="single" w:sz="8" w:color="424E6A"/>
              <w:right w:val="single" w:sz="8" w:color="424E6A"/>
            </w:tcBorders>
            <w:vMerge w:val="continue"/>
          </w:tcPr>
          <w:p>
            <w:pPr>
              <w:spacing w:after="0"/>
              <w:rPr>
                <w:sz w:val="8"/>
                <w:szCs w:val="8"/>
                <w:color w:val="auto"/>
              </w:rPr>
            </w:pPr>
          </w:p>
        </w:tc>
        <w:tc>
          <w:tcPr>
            <w:tcW w:w="960" w:type="dxa"/>
            <w:vAlign w:val="bottom"/>
            <w:tcBorders>
              <w:right w:val="single" w:sz="8" w:color="424E6A"/>
            </w:tcBorders>
          </w:tcPr>
          <w:p>
            <w:pPr>
              <w:spacing w:after="0"/>
              <w:rPr>
                <w:sz w:val="8"/>
                <w:szCs w:val="8"/>
                <w:color w:val="auto"/>
              </w:rPr>
            </w:pPr>
          </w:p>
        </w:tc>
        <w:tc>
          <w:tcPr>
            <w:tcW w:w="840" w:type="dxa"/>
            <w:vAlign w:val="bottom"/>
            <w:tcBorders>
              <w:right w:val="single" w:sz="8" w:color="424E6A"/>
            </w:tcBorders>
          </w:tcPr>
          <w:p>
            <w:pPr>
              <w:spacing w:after="0"/>
              <w:rPr>
                <w:sz w:val="8"/>
                <w:szCs w:val="8"/>
                <w:color w:val="auto"/>
              </w:rPr>
            </w:pPr>
          </w:p>
        </w:tc>
        <w:tc>
          <w:tcPr>
            <w:tcW w:w="1120" w:type="dxa"/>
            <w:vAlign w:val="bottom"/>
            <w:tcBorders>
              <w:right w:val="single" w:sz="8" w:color="424E6A"/>
            </w:tcBorders>
          </w:tcPr>
          <w:p>
            <w:pPr>
              <w:spacing w:after="0"/>
              <w:rPr>
                <w:sz w:val="8"/>
                <w:szCs w:val="8"/>
                <w:color w:val="auto"/>
              </w:rPr>
            </w:pPr>
          </w:p>
        </w:tc>
        <w:tc>
          <w:tcPr>
            <w:tcW w:w="940" w:type="dxa"/>
            <w:vAlign w:val="bottom"/>
            <w:tcBorders>
              <w:right w:val="single" w:sz="8" w:color="424E6A"/>
            </w:tcBorders>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right w:val="single" w:sz="8" w:color="424E6A"/>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860" w:type="dxa"/>
            <w:vAlign w:val="bottom"/>
            <w:tcBorders>
              <w:left w:val="single" w:sz="8" w:color="424E6A"/>
              <w:bottom w:val="single" w:sz="8" w:color="424E6A"/>
              <w:right w:val="single" w:sz="8" w:color="424E6A"/>
            </w:tcBorders>
          </w:tcPr>
          <w:p>
            <w:pPr>
              <w:ind w:left="400"/>
              <w:spacing w:after="0"/>
              <w:rPr>
                <w:sz w:val="20"/>
                <w:szCs w:val="20"/>
                <w:color w:val="auto"/>
              </w:rPr>
            </w:pPr>
            <w:r>
              <w:rPr>
                <w:rFonts w:ascii="Arial" w:cs="Arial" w:eastAsia="Arial" w:hAnsi="Arial"/>
                <w:sz w:val="16"/>
                <w:szCs w:val="16"/>
                <w:color w:val="auto"/>
              </w:rPr>
              <w:t>President)</w:t>
            </w:r>
          </w:p>
        </w:tc>
        <w:tc>
          <w:tcPr>
            <w:tcW w:w="960" w:type="dxa"/>
            <w:vAlign w:val="bottom"/>
            <w:tcBorders>
              <w:bottom w:val="single" w:sz="8" w:color="424E6A"/>
              <w:right w:val="single" w:sz="8" w:color="424E6A"/>
            </w:tcBorders>
          </w:tcPr>
          <w:p>
            <w:pPr>
              <w:spacing w:after="0"/>
              <w:rPr>
                <w:sz w:val="17"/>
                <w:szCs w:val="17"/>
                <w:color w:val="auto"/>
              </w:rPr>
            </w:pPr>
          </w:p>
        </w:tc>
        <w:tc>
          <w:tcPr>
            <w:tcW w:w="840" w:type="dxa"/>
            <w:vAlign w:val="bottom"/>
            <w:tcBorders>
              <w:bottom w:val="single" w:sz="8" w:color="424E6A"/>
              <w:right w:val="single" w:sz="8" w:color="424E6A"/>
            </w:tcBorders>
          </w:tcPr>
          <w:p>
            <w:pPr>
              <w:spacing w:after="0"/>
              <w:rPr>
                <w:sz w:val="17"/>
                <w:szCs w:val="17"/>
                <w:color w:val="auto"/>
              </w:rPr>
            </w:pPr>
          </w:p>
        </w:tc>
        <w:tc>
          <w:tcPr>
            <w:tcW w:w="1120" w:type="dxa"/>
            <w:vAlign w:val="bottom"/>
            <w:tcBorders>
              <w:bottom w:val="single" w:sz="8" w:color="424E6A"/>
              <w:right w:val="single" w:sz="8" w:color="424E6A"/>
            </w:tcBorders>
          </w:tcPr>
          <w:p>
            <w:pPr>
              <w:spacing w:after="0"/>
              <w:rPr>
                <w:sz w:val="17"/>
                <w:szCs w:val="17"/>
                <w:color w:val="auto"/>
              </w:rPr>
            </w:pPr>
          </w:p>
        </w:tc>
        <w:tc>
          <w:tcPr>
            <w:tcW w:w="940" w:type="dxa"/>
            <w:vAlign w:val="bottom"/>
            <w:tcBorders>
              <w:bottom w:val="single" w:sz="8" w:color="424E6A"/>
              <w:right w:val="single" w:sz="8" w:color="424E6A"/>
            </w:tcBorders>
          </w:tcPr>
          <w:p>
            <w:pPr>
              <w:spacing w:after="0"/>
              <w:rPr>
                <w:sz w:val="17"/>
                <w:szCs w:val="17"/>
                <w:color w:val="auto"/>
              </w:rPr>
            </w:pPr>
          </w:p>
        </w:tc>
        <w:tc>
          <w:tcPr>
            <w:tcW w:w="120" w:type="dxa"/>
            <w:vAlign w:val="bottom"/>
            <w:tcBorders>
              <w:bottom w:val="single" w:sz="8" w:color="424E6A"/>
            </w:tcBorders>
          </w:tcPr>
          <w:p>
            <w:pPr>
              <w:spacing w:after="0"/>
              <w:rPr>
                <w:sz w:val="17"/>
                <w:szCs w:val="17"/>
                <w:color w:val="auto"/>
              </w:rPr>
            </w:pPr>
          </w:p>
        </w:tc>
        <w:tc>
          <w:tcPr>
            <w:tcW w:w="580" w:type="dxa"/>
            <w:vAlign w:val="bottom"/>
            <w:tcBorders>
              <w:bottom w:val="single" w:sz="8" w:color="424E6A"/>
            </w:tcBorders>
          </w:tcPr>
          <w:p>
            <w:pPr>
              <w:spacing w:after="0"/>
              <w:rPr>
                <w:sz w:val="17"/>
                <w:szCs w:val="17"/>
                <w:color w:val="auto"/>
              </w:rPr>
            </w:pPr>
          </w:p>
        </w:tc>
        <w:tc>
          <w:tcPr>
            <w:tcW w:w="140" w:type="dxa"/>
            <w:vAlign w:val="bottom"/>
            <w:tcBorders>
              <w:bottom w:val="single" w:sz="8" w:color="424E6A"/>
            </w:tcBorders>
          </w:tcPr>
          <w:p>
            <w:pPr>
              <w:spacing w:after="0"/>
              <w:rPr>
                <w:sz w:val="17"/>
                <w:szCs w:val="17"/>
                <w:color w:val="auto"/>
              </w:rPr>
            </w:pPr>
          </w:p>
        </w:tc>
        <w:tc>
          <w:tcPr>
            <w:tcW w:w="280" w:type="dxa"/>
            <w:vAlign w:val="bottom"/>
            <w:tcBorders>
              <w:bottom w:val="single" w:sz="8" w:color="424E6A"/>
            </w:tcBorders>
          </w:tcPr>
          <w:p>
            <w:pPr>
              <w:spacing w:after="0"/>
              <w:rPr>
                <w:sz w:val="17"/>
                <w:szCs w:val="17"/>
                <w:color w:val="auto"/>
              </w:rPr>
            </w:pPr>
          </w:p>
        </w:tc>
        <w:tc>
          <w:tcPr>
            <w:tcW w:w="440" w:type="dxa"/>
            <w:vAlign w:val="bottom"/>
            <w:tcBorders>
              <w:bottom w:val="single" w:sz="8" w:color="424E6A"/>
            </w:tcBorders>
          </w:tcPr>
          <w:p>
            <w:pPr>
              <w:spacing w:after="0"/>
              <w:rPr>
                <w:sz w:val="17"/>
                <w:szCs w:val="17"/>
                <w:color w:val="auto"/>
              </w:rPr>
            </w:pPr>
          </w:p>
        </w:tc>
        <w:tc>
          <w:tcPr>
            <w:tcW w:w="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tcBorders>
          </w:tcPr>
          <w:p>
            <w:pPr>
              <w:spacing w:after="0"/>
              <w:rPr>
                <w:sz w:val="17"/>
                <w:szCs w:val="17"/>
                <w:color w:val="auto"/>
              </w:rPr>
            </w:pPr>
          </w:p>
        </w:tc>
        <w:tc>
          <w:tcPr>
            <w:tcW w:w="600" w:type="dxa"/>
            <w:vAlign w:val="bottom"/>
            <w:tcBorders>
              <w:bottom w:val="single" w:sz="8" w:color="424E6A"/>
              <w:right w:val="single" w:sz="8" w:color="424E6A"/>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860" w:type="dxa"/>
            <w:vAlign w:val="bottom"/>
            <w:tcBorders>
              <w:left w:val="single" w:sz="8" w:color="424E6A"/>
              <w:right w:val="single" w:sz="8" w:color="424E6A"/>
            </w:tcBorders>
          </w:tcPr>
          <w:p>
            <w:pPr>
              <w:ind w:left="220"/>
              <w:spacing w:after="0"/>
              <w:rPr>
                <w:sz w:val="20"/>
                <w:szCs w:val="20"/>
                <w:color w:val="auto"/>
              </w:rPr>
            </w:pPr>
            <w:r>
              <w:rPr>
                <w:rFonts w:ascii="Arial" w:cs="Arial" w:eastAsia="Arial" w:hAnsi="Arial"/>
                <w:sz w:val="16"/>
                <w:szCs w:val="16"/>
                <w:color w:val="auto"/>
              </w:rPr>
              <w:t>Gary R. Petersen</w:t>
            </w:r>
          </w:p>
        </w:tc>
        <w:tc>
          <w:tcPr>
            <w:tcW w:w="960" w:type="dxa"/>
            <w:vAlign w:val="bottom"/>
            <w:tcBorders>
              <w:right w:val="single" w:sz="8" w:color="424E6A"/>
            </w:tcBorders>
          </w:tcPr>
          <w:p>
            <w:pPr>
              <w:spacing w:after="0"/>
              <w:rPr>
                <w:sz w:val="20"/>
                <w:szCs w:val="20"/>
                <w:color w:val="auto"/>
              </w:rPr>
            </w:pPr>
          </w:p>
        </w:tc>
        <w:tc>
          <w:tcPr>
            <w:tcW w:w="840" w:type="dxa"/>
            <w:vAlign w:val="bottom"/>
            <w:tcBorders>
              <w:right w:val="single" w:sz="8" w:color="424E6A"/>
            </w:tcBorders>
          </w:tcPr>
          <w:p>
            <w:pPr>
              <w:ind w:left="420"/>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424E6A"/>
            </w:tcBorders>
          </w:tcPr>
          <w:p>
            <w:pPr>
              <w:spacing w:after="0"/>
              <w:rPr>
                <w:sz w:val="20"/>
                <w:szCs w:val="20"/>
                <w:color w:val="auto"/>
              </w:rPr>
            </w:pPr>
          </w:p>
        </w:tc>
        <w:tc>
          <w:tcPr>
            <w:tcW w:w="940" w:type="dxa"/>
            <w:vAlign w:val="bottom"/>
            <w:tcBorders>
              <w:right w:val="single" w:sz="8" w:color="424E6A"/>
            </w:tcBorders>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580" w:type="dxa"/>
            <w:vAlign w:val="bottom"/>
          </w:tcPr>
          <w:p>
            <w:pPr>
              <w:ind w:lef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424E6A"/>
            </w:tcBorders>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3"/>
        </w:trPr>
        <w:tc>
          <w:tcPr>
            <w:tcW w:w="1860" w:type="dxa"/>
            <w:vAlign w:val="bottom"/>
            <w:tcBorders>
              <w:left w:val="single" w:sz="8" w:color="424E6A"/>
              <w:bottom w:val="single" w:sz="8" w:color="424E6A"/>
              <w:right w:val="single" w:sz="8" w:color="424E6A"/>
            </w:tcBorders>
          </w:tcPr>
          <w:p>
            <w:pPr>
              <w:spacing w:after="0"/>
              <w:rPr>
                <w:sz w:val="3"/>
                <w:szCs w:val="3"/>
                <w:color w:val="auto"/>
              </w:rPr>
            </w:pPr>
          </w:p>
        </w:tc>
        <w:tc>
          <w:tcPr>
            <w:tcW w:w="960" w:type="dxa"/>
            <w:vAlign w:val="bottom"/>
            <w:tcBorders>
              <w:bottom w:val="single" w:sz="8" w:color="424E6A"/>
              <w:right w:val="single" w:sz="8" w:color="424E6A"/>
            </w:tcBorders>
          </w:tcPr>
          <w:p>
            <w:pPr>
              <w:spacing w:after="0"/>
              <w:rPr>
                <w:sz w:val="3"/>
                <w:szCs w:val="3"/>
                <w:color w:val="auto"/>
              </w:rPr>
            </w:pPr>
          </w:p>
        </w:tc>
        <w:tc>
          <w:tcPr>
            <w:tcW w:w="840" w:type="dxa"/>
            <w:vAlign w:val="bottom"/>
            <w:tcBorders>
              <w:bottom w:val="single" w:sz="8" w:color="424E6A"/>
              <w:right w:val="single" w:sz="8" w:color="424E6A"/>
            </w:tcBorders>
          </w:tcPr>
          <w:p>
            <w:pPr>
              <w:spacing w:after="0"/>
              <w:rPr>
                <w:sz w:val="3"/>
                <w:szCs w:val="3"/>
                <w:color w:val="auto"/>
              </w:rPr>
            </w:pPr>
          </w:p>
        </w:tc>
        <w:tc>
          <w:tcPr>
            <w:tcW w:w="1120" w:type="dxa"/>
            <w:vAlign w:val="bottom"/>
            <w:tcBorders>
              <w:bottom w:val="single" w:sz="8" w:color="424E6A"/>
              <w:right w:val="single" w:sz="8" w:color="424E6A"/>
            </w:tcBorders>
          </w:tcPr>
          <w:p>
            <w:pPr>
              <w:spacing w:after="0"/>
              <w:rPr>
                <w:sz w:val="3"/>
                <w:szCs w:val="3"/>
                <w:color w:val="auto"/>
              </w:rPr>
            </w:pPr>
          </w:p>
        </w:tc>
        <w:tc>
          <w:tcPr>
            <w:tcW w:w="940" w:type="dxa"/>
            <w:vAlign w:val="bottom"/>
            <w:tcBorders>
              <w:bottom w:val="single" w:sz="8" w:color="424E6A"/>
              <w:right w:val="single" w:sz="8" w:color="424E6A"/>
            </w:tcBorders>
          </w:tcPr>
          <w:p>
            <w:pPr>
              <w:spacing w:after="0"/>
              <w:rPr>
                <w:sz w:val="3"/>
                <w:szCs w:val="3"/>
                <w:color w:val="auto"/>
              </w:rPr>
            </w:pPr>
          </w:p>
        </w:tc>
        <w:tc>
          <w:tcPr>
            <w:tcW w:w="120" w:type="dxa"/>
            <w:vAlign w:val="bottom"/>
            <w:tcBorders>
              <w:bottom w:val="single" w:sz="8" w:color="424E6A"/>
            </w:tcBorders>
          </w:tcPr>
          <w:p>
            <w:pPr>
              <w:spacing w:after="0"/>
              <w:rPr>
                <w:sz w:val="3"/>
                <w:szCs w:val="3"/>
                <w:color w:val="auto"/>
              </w:rPr>
            </w:pPr>
          </w:p>
        </w:tc>
        <w:tc>
          <w:tcPr>
            <w:tcW w:w="580" w:type="dxa"/>
            <w:vAlign w:val="bottom"/>
            <w:tcBorders>
              <w:bottom w:val="single" w:sz="8" w:color="424E6A"/>
            </w:tcBorders>
          </w:tcPr>
          <w:p>
            <w:pPr>
              <w:spacing w:after="0"/>
              <w:rPr>
                <w:sz w:val="3"/>
                <w:szCs w:val="3"/>
                <w:color w:val="auto"/>
              </w:rPr>
            </w:pPr>
          </w:p>
        </w:tc>
        <w:tc>
          <w:tcPr>
            <w:tcW w:w="140" w:type="dxa"/>
            <w:vAlign w:val="bottom"/>
            <w:tcBorders>
              <w:bottom w:val="single" w:sz="8" w:color="424E6A"/>
            </w:tcBorders>
          </w:tcPr>
          <w:p>
            <w:pPr>
              <w:spacing w:after="0"/>
              <w:rPr>
                <w:sz w:val="3"/>
                <w:szCs w:val="3"/>
                <w:color w:val="auto"/>
              </w:rPr>
            </w:pPr>
          </w:p>
        </w:tc>
        <w:tc>
          <w:tcPr>
            <w:tcW w:w="280" w:type="dxa"/>
            <w:vAlign w:val="bottom"/>
            <w:tcBorders>
              <w:bottom w:val="single" w:sz="8" w:color="424E6A"/>
            </w:tcBorders>
          </w:tcPr>
          <w:p>
            <w:pPr>
              <w:spacing w:after="0"/>
              <w:rPr>
                <w:sz w:val="3"/>
                <w:szCs w:val="3"/>
                <w:color w:val="auto"/>
              </w:rPr>
            </w:pPr>
          </w:p>
        </w:tc>
        <w:tc>
          <w:tcPr>
            <w:tcW w:w="440" w:type="dxa"/>
            <w:vAlign w:val="bottom"/>
            <w:tcBorders>
              <w:bottom w:val="single" w:sz="8" w:color="424E6A"/>
            </w:tcBorders>
          </w:tcPr>
          <w:p>
            <w:pPr>
              <w:spacing w:after="0"/>
              <w:rPr>
                <w:sz w:val="3"/>
                <w:szCs w:val="3"/>
                <w:color w:val="auto"/>
              </w:rPr>
            </w:pPr>
          </w:p>
        </w:tc>
        <w:tc>
          <w:tcPr>
            <w:tcW w:w="220" w:type="dxa"/>
            <w:vAlign w:val="bottom"/>
            <w:tcBorders>
              <w:bottom w:val="single" w:sz="8" w:color="424E6A"/>
            </w:tcBorders>
          </w:tcPr>
          <w:p>
            <w:pPr>
              <w:spacing w:after="0"/>
              <w:rPr>
                <w:sz w:val="3"/>
                <w:szCs w:val="3"/>
                <w:color w:val="auto"/>
              </w:rPr>
            </w:pPr>
          </w:p>
        </w:tc>
        <w:tc>
          <w:tcPr>
            <w:tcW w:w="120" w:type="dxa"/>
            <w:vAlign w:val="bottom"/>
            <w:tcBorders>
              <w:bottom w:val="single" w:sz="8" w:color="424E6A"/>
            </w:tcBorders>
          </w:tcPr>
          <w:p>
            <w:pPr>
              <w:spacing w:after="0"/>
              <w:rPr>
                <w:sz w:val="3"/>
                <w:szCs w:val="3"/>
                <w:color w:val="auto"/>
              </w:rPr>
            </w:pPr>
          </w:p>
        </w:tc>
        <w:tc>
          <w:tcPr>
            <w:tcW w:w="600" w:type="dxa"/>
            <w:vAlign w:val="bottom"/>
            <w:tcBorders>
              <w:bottom w:val="single" w:sz="8" w:color="424E6A"/>
              <w:right w:val="single" w:sz="8" w:color="424E6A"/>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2240280</wp:posOffset>
            </wp:positionH>
            <wp:positionV relativeFrom="paragraph">
              <wp:posOffset>-2580005</wp:posOffset>
            </wp:positionV>
            <wp:extent cx="3763010" cy="258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763010" cy="258064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1270" w:type="dxa"/>
        <w:tblCellMar>
          <w:top w:w="0" w:type="dxa"/>
          <w:left w:w="0" w:type="dxa"/>
          <w:bottom w:w="0" w:type="dxa"/>
          <w:right w:w="0" w:type="dxa"/>
        </w:tblCellMar>
      </w:tblPr>
      <w:tr>
        <w:trPr>
          <w:trHeight w:val="247"/>
        </w:trPr>
        <w:tc>
          <w:tcPr>
            <w:tcW w:w="1820" w:type="dxa"/>
            <w:vAlign w:val="bottom"/>
            <w:tcBorders>
              <w:left w:val="single" w:sz="8" w:color="424E6A"/>
              <w:right w:val="single" w:sz="8" w:color="424E6A"/>
            </w:tcBorders>
            <w:shd w:val="clear" w:color="auto" w:fill="424E6A"/>
          </w:tcPr>
          <w:p>
            <w:pPr>
              <w:spacing w:after="0"/>
              <w:rPr>
                <w:sz w:val="21"/>
                <w:szCs w:val="21"/>
                <w:color w:val="auto"/>
              </w:rPr>
            </w:pPr>
          </w:p>
        </w:tc>
        <w:tc>
          <w:tcPr>
            <w:tcW w:w="960" w:type="dxa"/>
            <w:vAlign w:val="bottom"/>
            <w:tcBorders>
              <w:right w:val="single" w:sz="8" w:color="424E6A"/>
            </w:tcBorders>
            <w:shd w:val="clear" w:color="auto" w:fill="424E6A"/>
          </w:tcPr>
          <w:p>
            <w:pPr>
              <w:spacing w:after="0"/>
              <w:rPr>
                <w:sz w:val="21"/>
                <w:szCs w:val="21"/>
                <w:color w:val="auto"/>
              </w:rPr>
            </w:pPr>
          </w:p>
        </w:tc>
        <w:tc>
          <w:tcPr>
            <w:tcW w:w="840" w:type="dxa"/>
            <w:vAlign w:val="bottom"/>
            <w:tcBorders>
              <w:right w:val="single" w:sz="8" w:color="424E6A"/>
            </w:tcBorders>
            <w:shd w:val="clear" w:color="auto" w:fill="424E6A"/>
          </w:tcPr>
          <w:p>
            <w:pPr>
              <w:ind w:left="220"/>
              <w:spacing w:after="0"/>
              <w:rPr>
                <w:sz w:val="20"/>
                <w:szCs w:val="20"/>
                <w:color w:val="auto"/>
              </w:rPr>
            </w:pPr>
            <w:r>
              <w:rPr>
                <w:rFonts w:ascii="Arial" w:cs="Arial" w:eastAsia="Arial" w:hAnsi="Arial"/>
                <w:sz w:val="14"/>
                <w:szCs w:val="14"/>
                <w:b w:val="1"/>
                <w:bCs w:val="1"/>
                <w:color w:val="FFFFFF"/>
              </w:rPr>
              <w:t>Audit</w:t>
            </w:r>
          </w:p>
        </w:tc>
        <w:tc>
          <w:tcPr>
            <w:tcW w:w="110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Compensation</w:t>
            </w:r>
          </w:p>
        </w:tc>
        <w:tc>
          <w:tcPr>
            <w:tcW w:w="920" w:type="dxa"/>
            <w:vAlign w:val="bottom"/>
            <w:gridSpan w:val="2"/>
            <w:shd w:val="clear" w:color="auto" w:fill="424E6A"/>
          </w:tcPr>
          <w:p>
            <w:pPr>
              <w:ind w:left="60"/>
              <w:spacing w:after="0"/>
              <w:rPr>
                <w:sz w:val="20"/>
                <w:szCs w:val="20"/>
                <w:color w:val="auto"/>
              </w:rPr>
            </w:pPr>
            <w:r>
              <w:rPr>
                <w:rFonts w:ascii="Arial" w:cs="Arial" w:eastAsia="Arial" w:hAnsi="Arial"/>
                <w:sz w:val="14"/>
                <w:szCs w:val="14"/>
                <w:b w:val="1"/>
                <w:bCs w:val="1"/>
                <w:color w:val="FFFFFF"/>
              </w:rPr>
              <w:t>Governance</w:t>
            </w:r>
          </w:p>
        </w:tc>
        <w:tc>
          <w:tcPr>
            <w:tcW w:w="60" w:type="dxa"/>
            <w:vAlign w:val="bottom"/>
            <w:shd w:val="clear" w:color="auto" w:fill="424E6A"/>
          </w:tcPr>
          <w:p>
            <w:pPr>
              <w:spacing w:after="0"/>
              <w:rPr>
                <w:sz w:val="21"/>
                <w:szCs w:val="21"/>
                <w:color w:val="auto"/>
              </w:rPr>
            </w:pPr>
          </w:p>
        </w:tc>
        <w:tc>
          <w:tcPr>
            <w:tcW w:w="140" w:type="dxa"/>
            <w:vAlign w:val="bottom"/>
            <w:shd w:val="clear" w:color="auto" w:fill="424E6A"/>
          </w:tcPr>
          <w:p>
            <w:pPr>
              <w:spacing w:after="0"/>
              <w:rPr>
                <w:sz w:val="21"/>
                <w:szCs w:val="21"/>
                <w:color w:val="auto"/>
              </w:rPr>
            </w:pPr>
          </w:p>
        </w:tc>
        <w:tc>
          <w:tcPr>
            <w:tcW w:w="580" w:type="dxa"/>
            <w:vAlign w:val="bottom"/>
            <w:shd w:val="clear" w:color="auto" w:fill="424E6A"/>
          </w:tcPr>
          <w:p>
            <w:pPr>
              <w:ind w:left="80"/>
              <w:spacing w:after="0"/>
              <w:rPr>
                <w:sz w:val="20"/>
                <w:szCs w:val="20"/>
                <w:color w:val="auto"/>
              </w:rPr>
            </w:pPr>
            <w:r>
              <w:rPr>
                <w:rFonts w:ascii="Arial" w:cs="Arial" w:eastAsia="Arial" w:hAnsi="Arial"/>
                <w:sz w:val="14"/>
                <w:szCs w:val="14"/>
                <w:b w:val="1"/>
                <w:bCs w:val="1"/>
                <w:color w:val="FFFFFF"/>
              </w:rPr>
              <w:t>HSES</w:t>
            </w:r>
          </w:p>
        </w:tc>
        <w:tc>
          <w:tcPr>
            <w:tcW w:w="140" w:type="dxa"/>
            <w:vAlign w:val="bottom"/>
            <w:shd w:val="clear" w:color="auto" w:fill="424E6A"/>
          </w:tcPr>
          <w:p>
            <w:pPr>
              <w:spacing w:after="0"/>
              <w:rPr>
                <w:sz w:val="21"/>
                <w:szCs w:val="21"/>
                <w:color w:val="auto"/>
              </w:rPr>
            </w:pPr>
          </w:p>
        </w:tc>
        <w:tc>
          <w:tcPr>
            <w:tcW w:w="280" w:type="dxa"/>
            <w:vAlign w:val="bottom"/>
            <w:shd w:val="clear" w:color="auto" w:fill="424E6A"/>
          </w:tcPr>
          <w:p>
            <w:pPr>
              <w:spacing w:after="0"/>
              <w:rPr>
                <w:sz w:val="21"/>
                <w:szCs w:val="21"/>
                <w:color w:val="auto"/>
              </w:rPr>
            </w:pPr>
          </w:p>
        </w:tc>
        <w:tc>
          <w:tcPr>
            <w:tcW w:w="440" w:type="dxa"/>
            <w:vAlign w:val="bottom"/>
            <w:shd w:val="clear" w:color="auto" w:fill="424E6A"/>
          </w:tcPr>
          <w:p>
            <w:pPr>
              <w:spacing w:after="0"/>
              <w:rPr>
                <w:sz w:val="21"/>
                <w:szCs w:val="21"/>
                <w:color w:val="auto"/>
              </w:rPr>
            </w:pPr>
          </w:p>
        </w:tc>
        <w:tc>
          <w:tcPr>
            <w:tcW w:w="220" w:type="dxa"/>
            <w:vAlign w:val="bottom"/>
            <w:shd w:val="clear" w:color="auto" w:fill="424E6A"/>
          </w:tcPr>
          <w:p>
            <w:pPr>
              <w:spacing w:after="0"/>
              <w:rPr>
                <w:sz w:val="21"/>
                <w:szCs w:val="21"/>
                <w:color w:val="auto"/>
              </w:rPr>
            </w:pPr>
          </w:p>
        </w:tc>
        <w:tc>
          <w:tcPr>
            <w:tcW w:w="120" w:type="dxa"/>
            <w:vAlign w:val="bottom"/>
            <w:shd w:val="clear" w:color="auto" w:fill="424E6A"/>
          </w:tcPr>
          <w:p>
            <w:pPr>
              <w:spacing w:after="0"/>
              <w:rPr>
                <w:sz w:val="21"/>
                <w:szCs w:val="21"/>
                <w:color w:val="auto"/>
              </w:rPr>
            </w:pPr>
          </w:p>
        </w:tc>
        <w:tc>
          <w:tcPr>
            <w:tcW w:w="600" w:type="dxa"/>
            <w:vAlign w:val="bottom"/>
            <w:tcBorders>
              <w:righ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Lead</w:t>
            </w:r>
          </w:p>
        </w:tc>
        <w:tc>
          <w:tcPr>
            <w:tcW w:w="0" w:type="dxa"/>
            <w:vAlign w:val="bottom"/>
          </w:tcPr>
          <w:p>
            <w:pPr>
              <w:spacing w:after="0"/>
              <w:rPr>
                <w:sz w:val="1"/>
                <w:szCs w:val="1"/>
                <w:color w:val="auto"/>
              </w:rPr>
            </w:pPr>
          </w:p>
        </w:tc>
      </w:tr>
      <w:tr>
        <w:trPr>
          <w:trHeight w:val="185"/>
        </w:trPr>
        <w:tc>
          <w:tcPr>
            <w:tcW w:w="1820" w:type="dxa"/>
            <w:vAlign w:val="bottom"/>
            <w:tcBorders>
              <w:left w:val="single" w:sz="8" w:color="424E6A"/>
              <w:right w:val="single" w:sz="8" w:color="424E6A"/>
            </w:tcBorders>
            <w:shd w:val="clear" w:color="auto" w:fill="424E6A"/>
          </w:tcPr>
          <w:p>
            <w:pPr>
              <w:spacing w:after="0"/>
              <w:rPr>
                <w:sz w:val="16"/>
                <w:szCs w:val="16"/>
                <w:color w:val="auto"/>
              </w:rPr>
            </w:pPr>
          </w:p>
        </w:tc>
        <w:tc>
          <w:tcPr>
            <w:tcW w:w="960" w:type="dxa"/>
            <w:vAlign w:val="bottom"/>
            <w:tcBorders>
              <w:righ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Independent</w:t>
            </w:r>
          </w:p>
        </w:tc>
        <w:tc>
          <w:tcPr>
            <w:tcW w:w="840" w:type="dxa"/>
            <w:vAlign w:val="bottom"/>
            <w:tcBorders>
              <w:righ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Committee</w:t>
            </w:r>
          </w:p>
        </w:tc>
        <w:tc>
          <w:tcPr>
            <w:tcW w:w="110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Committee</w:t>
            </w:r>
          </w:p>
        </w:tc>
        <w:tc>
          <w:tcPr>
            <w:tcW w:w="920" w:type="dxa"/>
            <w:vAlign w:val="bottom"/>
            <w:gridSpan w:val="2"/>
            <w:shd w:val="clear" w:color="auto" w:fill="424E6A"/>
          </w:tcPr>
          <w:p>
            <w:pPr>
              <w:spacing w:after="0"/>
              <w:rPr>
                <w:sz w:val="20"/>
                <w:szCs w:val="20"/>
                <w:color w:val="auto"/>
              </w:rPr>
            </w:pPr>
            <w:r>
              <w:rPr>
                <w:rFonts w:ascii="Arial" w:cs="Arial" w:eastAsia="Arial" w:hAnsi="Arial"/>
                <w:sz w:val="14"/>
                <w:szCs w:val="14"/>
                <w:b w:val="1"/>
                <w:bCs w:val="1"/>
                <w:color w:val="FFFFFF"/>
              </w:rPr>
              <w:t>​​ Committee</w:t>
            </w:r>
          </w:p>
        </w:tc>
        <w:tc>
          <w:tcPr>
            <w:tcW w:w="2580" w:type="dxa"/>
            <w:vAlign w:val="bottom"/>
            <w:tcBorders>
              <w:right w:val="single" w:sz="8" w:color="424E6A"/>
            </w:tcBorders>
            <w:gridSpan w:val="9"/>
            <w:shd w:val="clear" w:color="auto" w:fill="424E6A"/>
          </w:tcPr>
          <w:p>
            <w:pPr>
              <w:ind w:left="40"/>
              <w:spacing w:after="0"/>
              <w:rPr>
                <w:sz w:val="20"/>
                <w:szCs w:val="20"/>
                <w:color w:val="auto"/>
              </w:rPr>
            </w:pPr>
            <w:r>
              <w:rPr>
                <w:rFonts w:ascii="Arial" w:cs="Arial" w:eastAsia="Arial" w:hAnsi="Arial"/>
                <w:sz w:val="14"/>
                <w:szCs w:val="14"/>
                <w:b w:val="1"/>
                <w:bCs w:val="1"/>
                <w:color w:val="FFFFFF"/>
              </w:rPr>
              <w:t>​​Committee ​​Board Chair ​​Director</w:t>
            </w:r>
          </w:p>
        </w:tc>
        <w:tc>
          <w:tcPr>
            <w:tcW w:w="0" w:type="dxa"/>
            <w:vAlign w:val="bottom"/>
          </w:tcPr>
          <w:p>
            <w:pPr>
              <w:spacing w:after="0"/>
              <w:rPr>
                <w:sz w:val="1"/>
                <w:szCs w:val="1"/>
                <w:color w:val="auto"/>
              </w:rPr>
            </w:pPr>
          </w:p>
        </w:tc>
      </w:tr>
      <w:tr>
        <w:trPr>
          <w:trHeight w:val="202"/>
        </w:trPr>
        <w:tc>
          <w:tcPr>
            <w:tcW w:w="1820" w:type="dxa"/>
            <w:vAlign w:val="bottom"/>
            <w:tcBorders>
              <w:left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6"/>
                <w:szCs w:val="16"/>
                <w:color w:val="auto"/>
              </w:rPr>
              <w:t>Class III Directors</w:t>
            </w:r>
          </w:p>
        </w:tc>
        <w:tc>
          <w:tcPr>
            <w:tcW w:w="960" w:type="dxa"/>
            <w:vAlign w:val="bottom"/>
            <w:tcBorders>
              <w:right w:val="single" w:sz="8" w:color="424E6A"/>
            </w:tcBorders>
            <w:shd w:val="clear" w:color="auto" w:fill="D9DCE1"/>
          </w:tcPr>
          <w:p>
            <w:pPr>
              <w:spacing w:after="0"/>
              <w:rPr>
                <w:sz w:val="17"/>
                <w:szCs w:val="17"/>
                <w:color w:val="auto"/>
              </w:rPr>
            </w:pPr>
          </w:p>
        </w:tc>
        <w:tc>
          <w:tcPr>
            <w:tcW w:w="840" w:type="dxa"/>
            <w:vAlign w:val="bottom"/>
            <w:tcBorders>
              <w:right w:val="single" w:sz="8" w:color="424E6A"/>
            </w:tcBorders>
            <w:vMerge w:val="restart"/>
            <w:shd w:val="clear" w:color="auto" w:fill="D9DCE1"/>
          </w:tcPr>
          <w:p>
            <w:pPr>
              <w:ind w:left="42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D9DCE1"/>
            </w:tcBorders>
            <w:vMerge w:val="restart"/>
            <w:shd w:val="clear" w:color="auto" w:fill="D9DCE1"/>
          </w:tcPr>
          <w:p>
            <w:pPr>
              <w:ind w:left="540"/>
              <w:spacing w:after="0"/>
              <w:rPr>
                <w:sz w:val="20"/>
                <w:szCs w:val="20"/>
                <w:color w:val="auto"/>
              </w:rPr>
            </w:pPr>
            <w:r>
              <w:rPr>
                <w:rFonts w:ascii="Arial" w:cs="Arial" w:eastAsia="Arial" w:hAnsi="Arial"/>
                <w:sz w:val="16"/>
                <w:szCs w:val="16"/>
                <w:color w:val="auto"/>
              </w:rPr>
              <w:t>​</w:t>
            </w:r>
          </w:p>
        </w:tc>
        <w:tc>
          <w:tcPr>
            <w:tcW w:w="300" w:type="dxa"/>
            <w:vAlign w:val="bottom"/>
            <w:vMerge w:val="restart"/>
          </w:tcPr>
          <w:p>
            <w:pPr>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ind w:lef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vMerge w:val="restart"/>
          </w:tcPr>
          <w:p>
            <w:pPr>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80" w:type="dxa"/>
            <w:vAlign w:val="bottom"/>
            <w:vMerge w:val="restart"/>
          </w:tcPr>
          <w:p>
            <w:pPr>
              <w:spacing w:after="0"/>
              <w:rPr>
                <w:sz w:val="20"/>
                <w:szCs w:val="20"/>
                <w:color w:val="auto"/>
              </w:rPr>
            </w:pPr>
            <w:r>
              <w:rPr>
                <w:rFonts w:ascii="Arial" w:cs="Arial" w:eastAsia="Arial" w:hAnsi="Arial"/>
                <w:sz w:val="16"/>
                <w:szCs w:val="16"/>
                <w:color w:val="auto"/>
              </w:rPr>
              <w:t>​​</w:t>
            </w:r>
          </w:p>
        </w:tc>
        <w:tc>
          <w:tcPr>
            <w:tcW w:w="440" w:type="dxa"/>
            <w:vAlign w:val="bottom"/>
            <w:vMerge w:val="restart"/>
          </w:tcPr>
          <w:p>
            <w:pPr>
              <w:ind w:lef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424E6A"/>
            </w:tcBorders>
            <w:vMerge w:val="restart"/>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7"/>
        </w:trPr>
        <w:tc>
          <w:tcPr>
            <w:tcW w:w="1820" w:type="dxa"/>
            <w:vAlign w:val="bottom"/>
            <w:tcBorders>
              <w:left w:val="single" w:sz="8" w:color="424E6A"/>
              <w:right w:val="single" w:sz="8" w:color="424E6A"/>
            </w:tcBorders>
            <w:vMerge w:val="restart"/>
            <w:shd w:val="clear" w:color="auto" w:fill="D9DCE1"/>
          </w:tcPr>
          <w:p>
            <w:pPr>
              <w:ind w:left="220"/>
              <w:spacing w:after="0"/>
              <w:rPr>
                <w:sz w:val="20"/>
                <w:szCs w:val="20"/>
                <w:color w:val="auto"/>
              </w:rPr>
            </w:pPr>
            <w:r>
              <w:rPr>
                <w:rFonts w:ascii="Arial" w:cs="Arial" w:eastAsia="Arial" w:hAnsi="Arial"/>
                <w:sz w:val="16"/>
                <w:szCs w:val="16"/>
                <w:color w:val="auto"/>
              </w:rPr>
              <w:t>(Term expires 2027)</w:t>
            </w:r>
          </w:p>
        </w:tc>
        <w:tc>
          <w:tcPr>
            <w:tcW w:w="960" w:type="dxa"/>
            <w:vAlign w:val="bottom"/>
            <w:tcBorders>
              <w:right w:val="single" w:sz="8" w:color="424E6A"/>
            </w:tcBorders>
            <w:shd w:val="clear" w:color="auto" w:fill="D9DCE1"/>
          </w:tcPr>
          <w:p>
            <w:pPr>
              <w:spacing w:after="0"/>
              <w:rPr>
                <w:sz w:val="9"/>
                <w:szCs w:val="9"/>
                <w:color w:val="auto"/>
              </w:rPr>
            </w:pPr>
          </w:p>
        </w:tc>
        <w:tc>
          <w:tcPr>
            <w:tcW w:w="840" w:type="dxa"/>
            <w:vAlign w:val="bottom"/>
            <w:tcBorders>
              <w:right w:val="single" w:sz="8" w:color="424E6A"/>
            </w:tcBorders>
            <w:vMerge w:val="continue"/>
            <w:shd w:val="clear" w:color="auto" w:fill="D9DCE1"/>
          </w:tcPr>
          <w:p>
            <w:pPr>
              <w:spacing w:after="0"/>
              <w:rPr>
                <w:sz w:val="9"/>
                <w:szCs w:val="9"/>
                <w:color w:val="auto"/>
              </w:rPr>
            </w:pPr>
          </w:p>
        </w:tc>
        <w:tc>
          <w:tcPr>
            <w:tcW w:w="1100" w:type="dxa"/>
            <w:vAlign w:val="bottom"/>
            <w:tcBorders>
              <w:right w:val="single" w:sz="8" w:color="D9DCE1"/>
            </w:tcBorders>
            <w:vMerge w:val="continue"/>
            <w:shd w:val="clear" w:color="auto" w:fill="D9DCE1"/>
          </w:tcPr>
          <w:p>
            <w:pPr>
              <w:spacing w:after="0"/>
              <w:rPr>
                <w:sz w:val="9"/>
                <w:szCs w:val="9"/>
                <w:color w:val="auto"/>
              </w:rPr>
            </w:pPr>
          </w:p>
        </w:tc>
        <w:tc>
          <w:tcPr>
            <w:tcW w:w="3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600" w:type="dxa"/>
            <w:vAlign w:val="bottom"/>
            <w:tcBorders>
              <w:right w:val="single" w:sz="8" w:color="424E6A"/>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820" w:type="dxa"/>
            <w:vAlign w:val="bottom"/>
            <w:tcBorders>
              <w:left w:val="single" w:sz="8" w:color="424E6A"/>
              <w:bottom w:val="single" w:sz="8" w:color="424E6A"/>
              <w:right w:val="single" w:sz="8" w:color="424E6A"/>
            </w:tcBorders>
            <w:vMerge w:val="continue"/>
            <w:shd w:val="clear" w:color="auto" w:fill="D9DCE1"/>
          </w:tcPr>
          <w:p>
            <w:pPr>
              <w:spacing w:after="0"/>
              <w:rPr>
                <w:sz w:val="8"/>
                <w:szCs w:val="8"/>
                <w:color w:val="auto"/>
              </w:rPr>
            </w:pPr>
          </w:p>
        </w:tc>
        <w:tc>
          <w:tcPr>
            <w:tcW w:w="960" w:type="dxa"/>
            <w:vAlign w:val="bottom"/>
            <w:tcBorders>
              <w:bottom w:val="single" w:sz="8" w:color="424E6A"/>
              <w:right w:val="single" w:sz="8" w:color="424E6A"/>
            </w:tcBorders>
            <w:shd w:val="clear" w:color="auto" w:fill="D9DCE1"/>
          </w:tcPr>
          <w:p>
            <w:pPr>
              <w:spacing w:after="0"/>
              <w:rPr>
                <w:sz w:val="8"/>
                <w:szCs w:val="8"/>
                <w:color w:val="auto"/>
              </w:rPr>
            </w:pPr>
          </w:p>
        </w:tc>
        <w:tc>
          <w:tcPr>
            <w:tcW w:w="840" w:type="dxa"/>
            <w:vAlign w:val="bottom"/>
            <w:tcBorders>
              <w:bottom w:val="single" w:sz="8" w:color="424E6A"/>
              <w:right w:val="single" w:sz="8" w:color="424E6A"/>
            </w:tcBorders>
            <w:shd w:val="clear" w:color="auto" w:fill="D9DCE1"/>
          </w:tcPr>
          <w:p>
            <w:pPr>
              <w:spacing w:after="0"/>
              <w:rPr>
                <w:sz w:val="8"/>
                <w:szCs w:val="8"/>
                <w:color w:val="auto"/>
              </w:rPr>
            </w:pPr>
          </w:p>
        </w:tc>
        <w:tc>
          <w:tcPr>
            <w:tcW w:w="1100" w:type="dxa"/>
            <w:vAlign w:val="bottom"/>
            <w:tcBorders>
              <w:bottom w:val="single" w:sz="8" w:color="424E6A"/>
              <w:right w:val="single" w:sz="8" w:color="D9DCE1"/>
            </w:tcBorders>
            <w:shd w:val="clear" w:color="auto" w:fill="D9DCE1"/>
          </w:tcPr>
          <w:p>
            <w:pPr>
              <w:spacing w:after="0"/>
              <w:rPr>
                <w:sz w:val="8"/>
                <w:szCs w:val="8"/>
                <w:color w:val="auto"/>
              </w:rPr>
            </w:pPr>
          </w:p>
        </w:tc>
        <w:tc>
          <w:tcPr>
            <w:tcW w:w="300" w:type="dxa"/>
            <w:vAlign w:val="bottom"/>
            <w:tcBorders>
              <w:bottom w:val="single" w:sz="8" w:color="424E6A"/>
            </w:tcBorders>
          </w:tcPr>
          <w:p>
            <w:pPr>
              <w:spacing w:after="0"/>
              <w:rPr>
                <w:sz w:val="8"/>
                <w:szCs w:val="8"/>
                <w:color w:val="auto"/>
              </w:rPr>
            </w:pPr>
          </w:p>
        </w:tc>
        <w:tc>
          <w:tcPr>
            <w:tcW w:w="620" w:type="dxa"/>
            <w:vAlign w:val="bottom"/>
            <w:tcBorders>
              <w:bottom w:val="single" w:sz="8" w:color="424E6A"/>
            </w:tcBorders>
          </w:tcPr>
          <w:p>
            <w:pPr>
              <w:spacing w:after="0"/>
              <w:rPr>
                <w:sz w:val="8"/>
                <w:szCs w:val="8"/>
                <w:color w:val="auto"/>
              </w:rPr>
            </w:pPr>
          </w:p>
        </w:tc>
        <w:tc>
          <w:tcPr>
            <w:tcW w:w="60" w:type="dxa"/>
            <w:vAlign w:val="bottom"/>
            <w:tcBorders>
              <w:bottom w:val="single" w:sz="8" w:color="424E6A"/>
            </w:tcBorders>
          </w:tcPr>
          <w:p>
            <w:pPr>
              <w:spacing w:after="0"/>
              <w:rPr>
                <w:sz w:val="8"/>
                <w:szCs w:val="8"/>
                <w:color w:val="auto"/>
              </w:rPr>
            </w:pPr>
          </w:p>
        </w:tc>
        <w:tc>
          <w:tcPr>
            <w:tcW w:w="140" w:type="dxa"/>
            <w:vAlign w:val="bottom"/>
            <w:tcBorders>
              <w:bottom w:val="single" w:sz="8" w:color="424E6A"/>
            </w:tcBorders>
          </w:tcPr>
          <w:p>
            <w:pPr>
              <w:spacing w:after="0"/>
              <w:rPr>
                <w:sz w:val="8"/>
                <w:szCs w:val="8"/>
                <w:color w:val="auto"/>
              </w:rPr>
            </w:pPr>
          </w:p>
        </w:tc>
        <w:tc>
          <w:tcPr>
            <w:tcW w:w="580" w:type="dxa"/>
            <w:vAlign w:val="bottom"/>
            <w:tcBorders>
              <w:bottom w:val="single" w:sz="8" w:color="424E6A"/>
            </w:tcBorders>
          </w:tcPr>
          <w:p>
            <w:pPr>
              <w:spacing w:after="0"/>
              <w:rPr>
                <w:sz w:val="8"/>
                <w:szCs w:val="8"/>
                <w:color w:val="auto"/>
              </w:rPr>
            </w:pPr>
          </w:p>
        </w:tc>
        <w:tc>
          <w:tcPr>
            <w:tcW w:w="140" w:type="dxa"/>
            <w:vAlign w:val="bottom"/>
            <w:tcBorders>
              <w:bottom w:val="single" w:sz="8" w:color="424E6A"/>
            </w:tcBorders>
          </w:tcPr>
          <w:p>
            <w:pPr>
              <w:spacing w:after="0"/>
              <w:rPr>
                <w:sz w:val="8"/>
                <w:szCs w:val="8"/>
                <w:color w:val="auto"/>
              </w:rPr>
            </w:pPr>
          </w:p>
        </w:tc>
        <w:tc>
          <w:tcPr>
            <w:tcW w:w="280" w:type="dxa"/>
            <w:vAlign w:val="bottom"/>
            <w:tcBorders>
              <w:bottom w:val="single" w:sz="8" w:color="424E6A"/>
            </w:tcBorders>
          </w:tcPr>
          <w:p>
            <w:pPr>
              <w:spacing w:after="0"/>
              <w:rPr>
                <w:sz w:val="8"/>
                <w:szCs w:val="8"/>
                <w:color w:val="auto"/>
              </w:rPr>
            </w:pPr>
          </w:p>
        </w:tc>
        <w:tc>
          <w:tcPr>
            <w:tcW w:w="440" w:type="dxa"/>
            <w:vAlign w:val="bottom"/>
            <w:tcBorders>
              <w:bottom w:val="single" w:sz="8" w:color="424E6A"/>
            </w:tcBorders>
          </w:tcPr>
          <w:p>
            <w:pPr>
              <w:spacing w:after="0"/>
              <w:rPr>
                <w:sz w:val="8"/>
                <w:szCs w:val="8"/>
                <w:color w:val="auto"/>
              </w:rPr>
            </w:pPr>
          </w:p>
        </w:tc>
        <w:tc>
          <w:tcPr>
            <w:tcW w:w="220" w:type="dxa"/>
            <w:vAlign w:val="bottom"/>
            <w:tcBorders>
              <w:bottom w:val="single" w:sz="8" w:color="424E6A"/>
            </w:tcBorders>
          </w:tcPr>
          <w:p>
            <w:pPr>
              <w:spacing w:after="0"/>
              <w:rPr>
                <w:sz w:val="8"/>
                <w:szCs w:val="8"/>
                <w:color w:val="auto"/>
              </w:rPr>
            </w:pPr>
          </w:p>
        </w:tc>
        <w:tc>
          <w:tcPr>
            <w:tcW w:w="120" w:type="dxa"/>
            <w:vAlign w:val="bottom"/>
            <w:tcBorders>
              <w:bottom w:val="single" w:sz="8" w:color="424E6A"/>
            </w:tcBorders>
          </w:tcPr>
          <w:p>
            <w:pPr>
              <w:spacing w:after="0"/>
              <w:rPr>
                <w:sz w:val="8"/>
                <w:szCs w:val="8"/>
                <w:color w:val="auto"/>
              </w:rPr>
            </w:pPr>
          </w:p>
        </w:tc>
        <w:tc>
          <w:tcPr>
            <w:tcW w:w="600" w:type="dxa"/>
            <w:vAlign w:val="bottom"/>
            <w:tcBorders>
              <w:bottom w:val="single" w:sz="8" w:color="424E6A"/>
              <w:right w:val="single" w:sz="8" w:color="424E6A"/>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820" w:type="dxa"/>
            <w:vAlign w:val="bottom"/>
            <w:tcBorders>
              <w:left w:val="single" w:sz="8" w:color="424E6A"/>
              <w:right w:val="single" w:sz="8" w:color="424E6A"/>
            </w:tcBorders>
          </w:tcPr>
          <w:p>
            <w:pPr>
              <w:ind w:left="220"/>
              <w:spacing w:after="0"/>
              <w:rPr>
                <w:sz w:val="20"/>
                <w:szCs w:val="20"/>
                <w:color w:val="auto"/>
              </w:rPr>
            </w:pPr>
            <w:r>
              <w:rPr>
                <w:rFonts w:ascii="Arial" w:cs="Arial" w:eastAsia="Arial" w:hAnsi="Arial"/>
                <w:sz w:val="16"/>
                <w:szCs w:val="16"/>
                <w:color w:val="auto"/>
              </w:rPr>
              <w:t>Greg L. Armstrong,</w:t>
            </w:r>
          </w:p>
        </w:tc>
        <w:tc>
          <w:tcPr>
            <w:tcW w:w="960" w:type="dxa"/>
            <w:vAlign w:val="bottom"/>
            <w:tcBorders>
              <w:right w:val="single" w:sz="8" w:color="424E6A"/>
            </w:tcBorders>
          </w:tcPr>
          <w:p>
            <w:pPr>
              <w:spacing w:after="0"/>
              <w:rPr>
                <w:sz w:val="18"/>
                <w:szCs w:val="18"/>
                <w:color w:val="auto"/>
              </w:rPr>
            </w:pPr>
          </w:p>
        </w:tc>
        <w:tc>
          <w:tcPr>
            <w:tcW w:w="840" w:type="dxa"/>
            <w:vAlign w:val="bottom"/>
            <w:tcBorders>
              <w:right w:val="single" w:sz="8" w:color="424E6A"/>
            </w:tcBorders>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right w:val="single" w:sz="8" w:color="424E6A"/>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820" w:type="dxa"/>
            <w:vAlign w:val="bottom"/>
            <w:tcBorders>
              <w:left w:val="single" w:sz="8" w:color="424E6A"/>
              <w:right w:val="single" w:sz="8" w:color="424E6A"/>
            </w:tcBorders>
          </w:tcPr>
          <w:p>
            <w:pPr>
              <w:ind w:left="400"/>
              <w:spacing w:after="0"/>
              <w:rPr>
                <w:sz w:val="20"/>
                <w:szCs w:val="20"/>
                <w:color w:val="auto"/>
              </w:rPr>
            </w:pPr>
            <w:r>
              <w:rPr>
                <w:rFonts w:ascii="Arial" w:cs="Arial" w:eastAsia="Arial" w:hAnsi="Arial"/>
                <w:sz w:val="16"/>
                <w:szCs w:val="16"/>
                <w:color w:val="auto"/>
              </w:rPr>
              <w:t>Senior Advisor to</w:t>
            </w:r>
          </w:p>
        </w:tc>
        <w:tc>
          <w:tcPr>
            <w:tcW w:w="960" w:type="dxa"/>
            <w:vAlign w:val="bottom"/>
            <w:tcBorders>
              <w:right w:val="single" w:sz="8" w:color="424E6A"/>
            </w:tcBorders>
          </w:tcPr>
          <w:p>
            <w:pPr>
              <w:spacing w:after="0"/>
              <w:rPr>
                <w:sz w:val="16"/>
                <w:szCs w:val="16"/>
                <w:color w:val="auto"/>
              </w:rPr>
            </w:pPr>
          </w:p>
        </w:tc>
        <w:tc>
          <w:tcPr>
            <w:tcW w:w="840" w:type="dxa"/>
            <w:vAlign w:val="bottom"/>
            <w:tcBorders>
              <w:right w:val="single" w:sz="8" w:color="424E6A"/>
            </w:tcBorders>
            <w:vMerge w:val="restart"/>
          </w:tcPr>
          <w:p>
            <w:pPr>
              <w:ind w:left="420"/>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ind w:left="540"/>
              <w:spacing w:after="0"/>
              <w:rPr>
                <w:sz w:val="20"/>
                <w:szCs w:val="20"/>
                <w:color w:val="auto"/>
              </w:rPr>
            </w:pPr>
            <w:r>
              <w:rPr>
                <w:rFonts w:ascii="Arial" w:cs="Arial" w:eastAsia="Arial" w:hAnsi="Arial"/>
                <w:sz w:val="16"/>
                <w:szCs w:val="16"/>
                <w:color w:val="auto"/>
              </w:rPr>
              <w:t>​</w:t>
            </w:r>
          </w:p>
        </w:tc>
        <w:tc>
          <w:tcPr>
            <w:tcW w:w="300" w:type="dxa"/>
            <w:vAlign w:val="bottom"/>
            <w:vMerge w:val="restart"/>
          </w:tcPr>
          <w:p>
            <w:pPr>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ind w:lef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40" w:type="dxa"/>
            <w:vAlign w:val="bottom"/>
            <w:vMerge w:val="restart"/>
          </w:tcPr>
          <w:p>
            <w:pPr>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80" w:type="dxa"/>
            <w:vAlign w:val="bottom"/>
            <w:vMerge w:val="restart"/>
          </w:tcPr>
          <w:p>
            <w:pPr>
              <w:spacing w:after="0"/>
              <w:rPr>
                <w:sz w:val="20"/>
                <w:szCs w:val="20"/>
                <w:color w:val="auto"/>
              </w:rPr>
            </w:pPr>
            <w:r>
              <w:rPr>
                <w:rFonts w:ascii="Arial" w:cs="Arial" w:eastAsia="Arial" w:hAnsi="Arial"/>
                <w:sz w:val="16"/>
                <w:szCs w:val="16"/>
                <w:color w:val="auto"/>
              </w:rPr>
              <w:t>​​</w:t>
            </w:r>
          </w:p>
        </w:tc>
        <w:tc>
          <w:tcPr>
            <w:tcW w:w="440" w:type="dxa"/>
            <w:vAlign w:val="bottom"/>
            <w:vMerge w:val="restart"/>
          </w:tcPr>
          <w:p>
            <w:pPr>
              <w:ind w:lef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424E6A"/>
            </w:tcBorders>
            <w:vMerge w:val="restart"/>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820" w:type="dxa"/>
            <w:vAlign w:val="bottom"/>
            <w:tcBorders>
              <w:left w:val="single" w:sz="8" w:color="424E6A"/>
              <w:right w:val="single" w:sz="8" w:color="424E6A"/>
            </w:tcBorders>
          </w:tcPr>
          <w:p>
            <w:pPr>
              <w:ind w:left="400"/>
              <w:spacing w:after="0"/>
              <w:rPr>
                <w:sz w:val="20"/>
                <w:szCs w:val="20"/>
                <w:color w:val="auto"/>
              </w:rPr>
            </w:pPr>
            <w:r>
              <w:rPr>
                <w:rFonts w:ascii="Arial" w:cs="Arial" w:eastAsia="Arial" w:hAnsi="Arial"/>
                <w:sz w:val="16"/>
                <w:szCs w:val="16"/>
                <w:color w:val="auto"/>
              </w:rPr>
              <w:t>the CEO (former</w:t>
            </w:r>
          </w:p>
        </w:tc>
        <w:tc>
          <w:tcPr>
            <w:tcW w:w="960" w:type="dxa"/>
            <w:vAlign w:val="bottom"/>
            <w:tcBorders>
              <w:right w:val="single" w:sz="8" w:color="424E6A"/>
            </w:tcBorders>
          </w:tcPr>
          <w:p>
            <w:pPr>
              <w:spacing w:after="0"/>
              <w:rPr>
                <w:sz w:val="16"/>
                <w:szCs w:val="16"/>
                <w:color w:val="auto"/>
              </w:rPr>
            </w:pPr>
          </w:p>
        </w:tc>
        <w:tc>
          <w:tcPr>
            <w:tcW w:w="840" w:type="dxa"/>
            <w:vAlign w:val="bottom"/>
            <w:tcBorders>
              <w:right w:val="single" w:sz="8" w:color="424E6A"/>
            </w:tcBorders>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00" w:type="dxa"/>
            <w:vAlign w:val="bottom"/>
            <w:tcBorders>
              <w:right w:val="single" w:sz="8" w:color="424E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424E6A"/>
              <w:right w:val="single" w:sz="8" w:color="424E6A"/>
            </w:tcBorders>
          </w:tcPr>
          <w:p>
            <w:pPr>
              <w:ind w:left="400"/>
              <w:spacing w:after="0"/>
              <w:rPr>
                <w:sz w:val="20"/>
                <w:szCs w:val="20"/>
                <w:color w:val="auto"/>
              </w:rPr>
            </w:pPr>
            <w:r>
              <w:rPr>
                <w:rFonts w:ascii="Arial" w:cs="Arial" w:eastAsia="Arial" w:hAnsi="Arial"/>
                <w:sz w:val="16"/>
                <w:szCs w:val="16"/>
                <w:color w:val="auto"/>
              </w:rPr>
              <w:t>Chairman of the</w:t>
            </w:r>
          </w:p>
        </w:tc>
        <w:tc>
          <w:tcPr>
            <w:tcW w:w="960" w:type="dxa"/>
            <w:vAlign w:val="bottom"/>
            <w:tcBorders>
              <w:right w:val="single" w:sz="8" w:color="424E6A"/>
            </w:tcBorders>
          </w:tcPr>
          <w:p>
            <w:pPr>
              <w:spacing w:after="0"/>
              <w:rPr>
                <w:sz w:val="17"/>
                <w:szCs w:val="17"/>
                <w:color w:val="auto"/>
              </w:rPr>
            </w:pPr>
          </w:p>
        </w:tc>
        <w:tc>
          <w:tcPr>
            <w:tcW w:w="840" w:type="dxa"/>
            <w:vAlign w:val="bottom"/>
            <w:tcBorders>
              <w:right w:val="single" w:sz="8" w:color="424E6A"/>
            </w:tcBorders>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right w:val="single" w:sz="8" w:color="424E6A"/>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424E6A"/>
              <w:bottom w:val="single" w:sz="8" w:color="424E6A"/>
              <w:right w:val="single" w:sz="8" w:color="424E6A"/>
            </w:tcBorders>
          </w:tcPr>
          <w:p>
            <w:pPr>
              <w:ind w:left="400"/>
              <w:spacing w:after="0"/>
              <w:rPr>
                <w:sz w:val="20"/>
                <w:szCs w:val="20"/>
                <w:color w:val="auto"/>
              </w:rPr>
            </w:pPr>
            <w:r>
              <w:rPr>
                <w:rFonts w:ascii="Arial" w:cs="Arial" w:eastAsia="Arial" w:hAnsi="Arial"/>
                <w:sz w:val="16"/>
                <w:szCs w:val="16"/>
                <w:color w:val="auto"/>
              </w:rPr>
              <w:t>Board and CEO)</w:t>
            </w:r>
          </w:p>
        </w:tc>
        <w:tc>
          <w:tcPr>
            <w:tcW w:w="960" w:type="dxa"/>
            <w:vAlign w:val="bottom"/>
            <w:tcBorders>
              <w:bottom w:val="single" w:sz="8" w:color="424E6A"/>
              <w:right w:val="single" w:sz="8" w:color="424E6A"/>
            </w:tcBorders>
          </w:tcPr>
          <w:p>
            <w:pPr>
              <w:spacing w:after="0"/>
              <w:rPr>
                <w:sz w:val="17"/>
                <w:szCs w:val="17"/>
                <w:color w:val="auto"/>
              </w:rPr>
            </w:pPr>
          </w:p>
        </w:tc>
        <w:tc>
          <w:tcPr>
            <w:tcW w:w="840" w:type="dxa"/>
            <w:vAlign w:val="bottom"/>
            <w:tcBorders>
              <w:bottom w:val="single" w:sz="8" w:color="424E6A"/>
              <w:right w:val="single" w:sz="8" w:color="424E6A"/>
            </w:tcBorders>
          </w:tcPr>
          <w:p>
            <w:pPr>
              <w:spacing w:after="0"/>
              <w:rPr>
                <w:sz w:val="17"/>
                <w:szCs w:val="17"/>
                <w:color w:val="auto"/>
              </w:rPr>
            </w:pPr>
          </w:p>
        </w:tc>
        <w:tc>
          <w:tcPr>
            <w:tcW w:w="1100" w:type="dxa"/>
            <w:vAlign w:val="bottom"/>
            <w:tcBorders>
              <w:bottom w:val="single" w:sz="8" w:color="424E6A"/>
            </w:tcBorders>
          </w:tcPr>
          <w:p>
            <w:pPr>
              <w:spacing w:after="0"/>
              <w:rPr>
                <w:sz w:val="17"/>
                <w:szCs w:val="17"/>
                <w:color w:val="auto"/>
              </w:rPr>
            </w:pPr>
          </w:p>
        </w:tc>
        <w:tc>
          <w:tcPr>
            <w:tcW w:w="300" w:type="dxa"/>
            <w:vAlign w:val="bottom"/>
            <w:tcBorders>
              <w:bottom w:val="single" w:sz="8" w:color="424E6A"/>
            </w:tcBorders>
          </w:tcPr>
          <w:p>
            <w:pPr>
              <w:spacing w:after="0"/>
              <w:rPr>
                <w:sz w:val="17"/>
                <w:szCs w:val="17"/>
                <w:color w:val="auto"/>
              </w:rPr>
            </w:pPr>
          </w:p>
        </w:tc>
        <w:tc>
          <w:tcPr>
            <w:tcW w:w="620" w:type="dxa"/>
            <w:vAlign w:val="bottom"/>
            <w:tcBorders>
              <w:bottom w:val="single" w:sz="8" w:color="424E6A"/>
            </w:tcBorders>
          </w:tcPr>
          <w:p>
            <w:pPr>
              <w:spacing w:after="0"/>
              <w:rPr>
                <w:sz w:val="17"/>
                <w:szCs w:val="17"/>
                <w:color w:val="auto"/>
              </w:rPr>
            </w:pPr>
          </w:p>
        </w:tc>
        <w:tc>
          <w:tcPr>
            <w:tcW w:w="60" w:type="dxa"/>
            <w:vAlign w:val="bottom"/>
            <w:tcBorders>
              <w:bottom w:val="single" w:sz="8" w:color="424E6A"/>
            </w:tcBorders>
          </w:tcPr>
          <w:p>
            <w:pPr>
              <w:spacing w:after="0"/>
              <w:rPr>
                <w:sz w:val="17"/>
                <w:szCs w:val="17"/>
                <w:color w:val="auto"/>
              </w:rPr>
            </w:pPr>
          </w:p>
        </w:tc>
        <w:tc>
          <w:tcPr>
            <w:tcW w:w="140" w:type="dxa"/>
            <w:vAlign w:val="bottom"/>
            <w:tcBorders>
              <w:bottom w:val="single" w:sz="8" w:color="424E6A"/>
            </w:tcBorders>
          </w:tcPr>
          <w:p>
            <w:pPr>
              <w:spacing w:after="0"/>
              <w:rPr>
                <w:sz w:val="17"/>
                <w:szCs w:val="17"/>
                <w:color w:val="auto"/>
              </w:rPr>
            </w:pPr>
          </w:p>
        </w:tc>
        <w:tc>
          <w:tcPr>
            <w:tcW w:w="580" w:type="dxa"/>
            <w:vAlign w:val="bottom"/>
            <w:tcBorders>
              <w:bottom w:val="single" w:sz="8" w:color="424E6A"/>
            </w:tcBorders>
          </w:tcPr>
          <w:p>
            <w:pPr>
              <w:spacing w:after="0"/>
              <w:rPr>
                <w:sz w:val="17"/>
                <w:szCs w:val="17"/>
                <w:color w:val="auto"/>
              </w:rPr>
            </w:pPr>
          </w:p>
        </w:tc>
        <w:tc>
          <w:tcPr>
            <w:tcW w:w="140" w:type="dxa"/>
            <w:vAlign w:val="bottom"/>
            <w:tcBorders>
              <w:bottom w:val="single" w:sz="8" w:color="424E6A"/>
            </w:tcBorders>
          </w:tcPr>
          <w:p>
            <w:pPr>
              <w:spacing w:after="0"/>
              <w:rPr>
                <w:sz w:val="17"/>
                <w:szCs w:val="17"/>
                <w:color w:val="auto"/>
              </w:rPr>
            </w:pPr>
          </w:p>
        </w:tc>
        <w:tc>
          <w:tcPr>
            <w:tcW w:w="280" w:type="dxa"/>
            <w:vAlign w:val="bottom"/>
            <w:tcBorders>
              <w:bottom w:val="single" w:sz="8" w:color="424E6A"/>
            </w:tcBorders>
          </w:tcPr>
          <w:p>
            <w:pPr>
              <w:spacing w:after="0"/>
              <w:rPr>
                <w:sz w:val="17"/>
                <w:szCs w:val="17"/>
                <w:color w:val="auto"/>
              </w:rPr>
            </w:pPr>
          </w:p>
        </w:tc>
        <w:tc>
          <w:tcPr>
            <w:tcW w:w="440" w:type="dxa"/>
            <w:vAlign w:val="bottom"/>
            <w:tcBorders>
              <w:bottom w:val="single" w:sz="8" w:color="424E6A"/>
            </w:tcBorders>
          </w:tcPr>
          <w:p>
            <w:pPr>
              <w:spacing w:after="0"/>
              <w:rPr>
                <w:sz w:val="17"/>
                <w:szCs w:val="17"/>
                <w:color w:val="auto"/>
              </w:rPr>
            </w:pPr>
          </w:p>
        </w:tc>
        <w:tc>
          <w:tcPr>
            <w:tcW w:w="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tcBorders>
          </w:tcPr>
          <w:p>
            <w:pPr>
              <w:spacing w:after="0"/>
              <w:rPr>
                <w:sz w:val="17"/>
                <w:szCs w:val="17"/>
                <w:color w:val="auto"/>
              </w:rPr>
            </w:pPr>
          </w:p>
        </w:tc>
        <w:tc>
          <w:tcPr>
            <w:tcW w:w="600" w:type="dxa"/>
            <w:vAlign w:val="bottom"/>
            <w:tcBorders>
              <w:bottom w:val="single" w:sz="8" w:color="424E6A"/>
              <w:right w:val="single" w:sz="8" w:color="424E6A"/>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424E6A"/>
              <w:bottom w:val="single" w:sz="8" w:color="424E6A"/>
              <w:right w:val="single" w:sz="8" w:color="424E6A"/>
            </w:tcBorders>
          </w:tcPr>
          <w:p>
            <w:pPr>
              <w:ind w:left="220"/>
              <w:spacing w:after="0"/>
              <w:rPr>
                <w:sz w:val="20"/>
                <w:szCs w:val="20"/>
                <w:color w:val="auto"/>
              </w:rPr>
            </w:pPr>
            <w:r>
              <w:rPr>
                <w:rFonts w:ascii="Arial" w:cs="Arial" w:eastAsia="Arial" w:hAnsi="Arial"/>
                <w:sz w:val="16"/>
                <w:szCs w:val="16"/>
                <w:color w:val="auto"/>
              </w:rPr>
              <w:t>John T. Raymond</w:t>
            </w:r>
          </w:p>
        </w:tc>
        <w:tc>
          <w:tcPr>
            <w:tcW w:w="960" w:type="dxa"/>
            <w:vAlign w:val="bottom"/>
            <w:tcBorders>
              <w:bottom w:val="single" w:sz="8" w:color="424E6A"/>
              <w:right w:val="single" w:sz="8" w:color="424E6A"/>
            </w:tcBorders>
          </w:tcPr>
          <w:p>
            <w:pPr>
              <w:spacing w:after="0"/>
              <w:rPr>
                <w:sz w:val="21"/>
                <w:szCs w:val="21"/>
                <w:color w:val="auto"/>
              </w:rPr>
            </w:pPr>
          </w:p>
        </w:tc>
        <w:tc>
          <w:tcPr>
            <w:tcW w:w="840" w:type="dxa"/>
            <w:vAlign w:val="bottom"/>
            <w:tcBorders>
              <w:bottom w:val="single" w:sz="8" w:color="424E6A"/>
              <w:right w:val="single" w:sz="8" w:color="424E6A"/>
            </w:tcBorders>
          </w:tcPr>
          <w:p>
            <w:pPr>
              <w:ind w:left="4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424E6A"/>
            </w:tcBorders>
          </w:tcPr>
          <w:p>
            <w:pPr>
              <w:spacing w:after="0"/>
              <w:rPr>
                <w:sz w:val="21"/>
                <w:szCs w:val="21"/>
                <w:color w:val="auto"/>
              </w:rPr>
            </w:pPr>
          </w:p>
        </w:tc>
        <w:tc>
          <w:tcPr>
            <w:tcW w:w="30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424E6A"/>
            </w:tcBorders>
          </w:tcPr>
          <w:p>
            <w:pPr>
              <w:spacing w:after="0"/>
              <w:rPr>
                <w:sz w:val="21"/>
                <w:szCs w:val="21"/>
                <w:color w:val="auto"/>
              </w:rPr>
            </w:pPr>
          </w:p>
        </w:tc>
        <w:tc>
          <w:tcPr>
            <w:tcW w:w="60" w:type="dxa"/>
            <w:vAlign w:val="bottom"/>
            <w:tcBorders>
              <w:bottom w:val="single" w:sz="8" w:color="424E6A"/>
            </w:tcBorders>
          </w:tcPr>
          <w:p>
            <w:pPr>
              <w:spacing w:after="0"/>
              <w:rPr>
                <w:sz w:val="21"/>
                <w:szCs w:val="21"/>
                <w:color w:val="auto"/>
              </w:rPr>
            </w:pPr>
          </w:p>
        </w:tc>
        <w:tc>
          <w:tcPr>
            <w:tcW w:w="14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424E6A"/>
            </w:tcBorders>
          </w:tcPr>
          <w:p>
            <w:pPr>
              <w:ind w:left="3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24E6A"/>
            </w:tcBorders>
          </w:tcPr>
          <w:p>
            <w:pPr>
              <w:spacing w:after="0"/>
              <w:rPr>
                <w:sz w:val="21"/>
                <w:szCs w:val="21"/>
                <w:color w:val="auto"/>
              </w:rPr>
            </w:pPr>
          </w:p>
        </w:tc>
        <w:tc>
          <w:tcPr>
            <w:tcW w:w="28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424E6A"/>
            </w:tcBorders>
          </w:tcPr>
          <w:p>
            <w:pPr>
              <w:ind w:lef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424E6A"/>
            </w:tcBorders>
          </w:tcPr>
          <w:p>
            <w:pPr>
              <w:spacing w:after="0"/>
              <w:rPr>
                <w:sz w:val="21"/>
                <w:szCs w:val="21"/>
                <w:color w:val="auto"/>
              </w:rPr>
            </w:pPr>
          </w:p>
        </w:tc>
        <w:tc>
          <w:tcPr>
            <w:tcW w:w="12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1820" w:type="dxa"/>
            <w:vAlign w:val="bottom"/>
            <w:tcBorders>
              <w:left w:val="single" w:sz="8" w:color="424E6A"/>
              <w:right w:val="single" w:sz="8" w:color="424E6A"/>
            </w:tcBorders>
          </w:tcPr>
          <w:p>
            <w:pPr>
              <w:ind w:left="220"/>
              <w:spacing w:after="0"/>
              <w:rPr>
                <w:sz w:val="20"/>
                <w:szCs w:val="20"/>
                <w:color w:val="auto"/>
              </w:rPr>
            </w:pPr>
            <w:r>
              <w:rPr>
                <w:rFonts w:ascii="Arial" w:cs="Arial" w:eastAsia="Arial" w:hAnsi="Arial"/>
                <w:sz w:val="16"/>
                <w:szCs w:val="16"/>
                <w:color w:val="auto"/>
              </w:rPr>
              <w:t>Bobby S. Shackouls</w:t>
            </w:r>
          </w:p>
        </w:tc>
        <w:tc>
          <w:tcPr>
            <w:tcW w:w="960" w:type="dxa"/>
            <w:vAlign w:val="bottom"/>
            <w:tcBorders>
              <w:right w:val="single" w:sz="8" w:color="424E6A"/>
            </w:tcBorders>
          </w:tcPr>
          <w:p>
            <w:pPr>
              <w:spacing w:after="0"/>
              <w:rPr>
                <w:sz w:val="20"/>
                <w:szCs w:val="20"/>
                <w:color w:val="auto"/>
              </w:rPr>
            </w:pPr>
          </w:p>
        </w:tc>
        <w:tc>
          <w:tcPr>
            <w:tcW w:w="840" w:type="dxa"/>
            <w:vAlign w:val="bottom"/>
            <w:tcBorders>
              <w:right w:val="single" w:sz="8" w:color="424E6A"/>
            </w:tcBorders>
          </w:tcPr>
          <w:p>
            <w:pPr>
              <w:ind w:left="42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580" w:type="dxa"/>
            <w:vAlign w:val="bottom"/>
          </w:tcPr>
          <w:p>
            <w:pPr>
              <w:ind w:lef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424E6A"/>
            </w:tcBorders>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3"/>
        </w:trPr>
        <w:tc>
          <w:tcPr>
            <w:tcW w:w="1820" w:type="dxa"/>
            <w:vAlign w:val="bottom"/>
            <w:tcBorders>
              <w:left w:val="single" w:sz="8" w:color="424E6A"/>
              <w:bottom w:val="single" w:sz="8" w:color="424E6A"/>
              <w:right w:val="single" w:sz="8" w:color="424E6A"/>
            </w:tcBorders>
          </w:tcPr>
          <w:p>
            <w:pPr>
              <w:spacing w:after="0"/>
              <w:rPr>
                <w:sz w:val="3"/>
                <w:szCs w:val="3"/>
                <w:color w:val="auto"/>
              </w:rPr>
            </w:pPr>
          </w:p>
        </w:tc>
        <w:tc>
          <w:tcPr>
            <w:tcW w:w="960" w:type="dxa"/>
            <w:vAlign w:val="bottom"/>
            <w:tcBorders>
              <w:bottom w:val="single" w:sz="8" w:color="424E6A"/>
              <w:right w:val="single" w:sz="8" w:color="424E6A"/>
            </w:tcBorders>
          </w:tcPr>
          <w:p>
            <w:pPr>
              <w:spacing w:after="0"/>
              <w:rPr>
                <w:sz w:val="3"/>
                <w:szCs w:val="3"/>
                <w:color w:val="auto"/>
              </w:rPr>
            </w:pPr>
          </w:p>
        </w:tc>
        <w:tc>
          <w:tcPr>
            <w:tcW w:w="840" w:type="dxa"/>
            <w:vAlign w:val="bottom"/>
            <w:tcBorders>
              <w:bottom w:val="single" w:sz="8" w:color="424E6A"/>
              <w:right w:val="single" w:sz="8" w:color="424E6A"/>
            </w:tcBorders>
          </w:tcPr>
          <w:p>
            <w:pPr>
              <w:spacing w:after="0"/>
              <w:rPr>
                <w:sz w:val="3"/>
                <w:szCs w:val="3"/>
                <w:color w:val="auto"/>
              </w:rPr>
            </w:pPr>
          </w:p>
        </w:tc>
        <w:tc>
          <w:tcPr>
            <w:tcW w:w="1100" w:type="dxa"/>
            <w:vAlign w:val="bottom"/>
            <w:tcBorders>
              <w:bottom w:val="single" w:sz="8" w:color="424E6A"/>
            </w:tcBorders>
          </w:tcPr>
          <w:p>
            <w:pPr>
              <w:spacing w:after="0"/>
              <w:rPr>
                <w:sz w:val="3"/>
                <w:szCs w:val="3"/>
                <w:color w:val="auto"/>
              </w:rPr>
            </w:pPr>
          </w:p>
        </w:tc>
        <w:tc>
          <w:tcPr>
            <w:tcW w:w="300" w:type="dxa"/>
            <w:vAlign w:val="bottom"/>
            <w:tcBorders>
              <w:bottom w:val="single" w:sz="8" w:color="424E6A"/>
            </w:tcBorders>
          </w:tcPr>
          <w:p>
            <w:pPr>
              <w:spacing w:after="0"/>
              <w:rPr>
                <w:sz w:val="3"/>
                <w:szCs w:val="3"/>
                <w:color w:val="auto"/>
              </w:rPr>
            </w:pPr>
          </w:p>
        </w:tc>
        <w:tc>
          <w:tcPr>
            <w:tcW w:w="620" w:type="dxa"/>
            <w:vAlign w:val="bottom"/>
            <w:tcBorders>
              <w:bottom w:val="single" w:sz="8" w:color="424E6A"/>
            </w:tcBorders>
          </w:tcPr>
          <w:p>
            <w:pPr>
              <w:spacing w:after="0"/>
              <w:rPr>
                <w:sz w:val="3"/>
                <w:szCs w:val="3"/>
                <w:color w:val="auto"/>
              </w:rPr>
            </w:pPr>
          </w:p>
        </w:tc>
        <w:tc>
          <w:tcPr>
            <w:tcW w:w="60" w:type="dxa"/>
            <w:vAlign w:val="bottom"/>
            <w:tcBorders>
              <w:bottom w:val="single" w:sz="8" w:color="424E6A"/>
            </w:tcBorders>
          </w:tcPr>
          <w:p>
            <w:pPr>
              <w:spacing w:after="0"/>
              <w:rPr>
                <w:sz w:val="3"/>
                <w:szCs w:val="3"/>
                <w:color w:val="auto"/>
              </w:rPr>
            </w:pPr>
          </w:p>
        </w:tc>
        <w:tc>
          <w:tcPr>
            <w:tcW w:w="140" w:type="dxa"/>
            <w:vAlign w:val="bottom"/>
            <w:tcBorders>
              <w:bottom w:val="single" w:sz="8" w:color="424E6A"/>
            </w:tcBorders>
          </w:tcPr>
          <w:p>
            <w:pPr>
              <w:spacing w:after="0"/>
              <w:rPr>
                <w:sz w:val="3"/>
                <w:szCs w:val="3"/>
                <w:color w:val="auto"/>
              </w:rPr>
            </w:pPr>
          </w:p>
        </w:tc>
        <w:tc>
          <w:tcPr>
            <w:tcW w:w="580" w:type="dxa"/>
            <w:vAlign w:val="bottom"/>
            <w:tcBorders>
              <w:bottom w:val="single" w:sz="8" w:color="424E6A"/>
            </w:tcBorders>
          </w:tcPr>
          <w:p>
            <w:pPr>
              <w:spacing w:after="0"/>
              <w:rPr>
                <w:sz w:val="3"/>
                <w:szCs w:val="3"/>
                <w:color w:val="auto"/>
              </w:rPr>
            </w:pPr>
          </w:p>
        </w:tc>
        <w:tc>
          <w:tcPr>
            <w:tcW w:w="140" w:type="dxa"/>
            <w:vAlign w:val="bottom"/>
            <w:tcBorders>
              <w:bottom w:val="single" w:sz="8" w:color="424E6A"/>
            </w:tcBorders>
          </w:tcPr>
          <w:p>
            <w:pPr>
              <w:spacing w:after="0"/>
              <w:rPr>
                <w:sz w:val="3"/>
                <w:szCs w:val="3"/>
                <w:color w:val="auto"/>
              </w:rPr>
            </w:pPr>
          </w:p>
        </w:tc>
        <w:tc>
          <w:tcPr>
            <w:tcW w:w="280" w:type="dxa"/>
            <w:vAlign w:val="bottom"/>
            <w:tcBorders>
              <w:bottom w:val="single" w:sz="8" w:color="424E6A"/>
            </w:tcBorders>
          </w:tcPr>
          <w:p>
            <w:pPr>
              <w:spacing w:after="0"/>
              <w:rPr>
                <w:sz w:val="3"/>
                <w:szCs w:val="3"/>
                <w:color w:val="auto"/>
              </w:rPr>
            </w:pPr>
          </w:p>
        </w:tc>
        <w:tc>
          <w:tcPr>
            <w:tcW w:w="440" w:type="dxa"/>
            <w:vAlign w:val="bottom"/>
            <w:tcBorders>
              <w:bottom w:val="single" w:sz="8" w:color="424E6A"/>
            </w:tcBorders>
          </w:tcPr>
          <w:p>
            <w:pPr>
              <w:spacing w:after="0"/>
              <w:rPr>
                <w:sz w:val="3"/>
                <w:szCs w:val="3"/>
                <w:color w:val="auto"/>
              </w:rPr>
            </w:pPr>
          </w:p>
        </w:tc>
        <w:tc>
          <w:tcPr>
            <w:tcW w:w="220" w:type="dxa"/>
            <w:vAlign w:val="bottom"/>
            <w:tcBorders>
              <w:bottom w:val="single" w:sz="8" w:color="424E6A"/>
            </w:tcBorders>
          </w:tcPr>
          <w:p>
            <w:pPr>
              <w:spacing w:after="0"/>
              <w:rPr>
                <w:sz w:val="3"/>
                <w:szCs w:val="3"/>
                <w:color w:val="auto"/>
              </w:rPr>
            </w:pPr>
          </w:p>
        </w:tc>
        <w:tc>
          <w:tcPr>
            <w:tcW w:w="120" w:type="dxa"/>
            <w:vAlign w:val="bottom"/>
            <w:tcBorders>
              <w:bottom w:val="single" w:sz="8" w:color="424E6A"/>
            </w:tcBorders>
          </w:tcPr>
          <w:p>
            <w:pPr>
              <w:spacing w:after="0"/>
              <w:rPr>
                <w:sz w:val="3"/>
                <w:szCs w:val="3"/>
                <w:color w:val="auto"/>
              </w:rPr>
            </w:pPr>
          </w:p>
        </w:tc>
        <w:tc>
          <w:tcPr>
            <w:tcW w:w="600" w:type="dxa"/>
            <w:vAlign w:val="bottom"/>
            <w:tcBorders>
              <w:bottom w:val="single" w:sz="8" w:color="424E6A"/>
              <w:right w:val="single" w:sz="8" w:color="424E6A"/>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2214245</wp:posOffset>
            </wp:positionH>
            <wp:positionV relativeFrom="paragraph">
              <wp:posOffset>-1276985</wp:posOffset>
            </wp:positionV>
            <wp:extent cx="3789045" cy="127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789045" cy="1277620"/>
                    </a:xfrm>
                    <a:prstGeom prst="rect">
                      <a:avLst/>
                    </a:prstGeom>
                    <a:noFill/>
                  </pic:spPr>
                </pic:pic>
              </a:graphicData>
            </a:graphic>
          </wp:anchor>
        </w:drawing>
      </w:r>
    </w:p>
    <w:p>
      <w:pPr>
        <w:spacing w:after="0" w:line="96" w:lineRule="exact"/>
        <w:rPr>
          <w:sz w:val="20"/>
          <w:szCs w:val="20"/>
          <w:color w:val="auto"/>
        </w:rPr>
      </w:pPr>
    </w:p>
    <w:p>
      <w:pPr>
        <w:ind w:left="1700" w:hanging="440"/>
        <w:spacing w:after="0"/>
        <w:tabs>
          <w:tab w:leader="none" w:pos="1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Nominated by the Board for election at the 2026 Annual Meeting.</w:t>
      </w:r>
    </w:p>
    <w:p>
      <w:pPr>
        <w:spacing w:after="0" w:line="36"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Determined by the Board to be independent under applicable Nasdaq and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93980" cy="939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3980" cy="93980"/>
                    </a:xfrm>
                    <a:prstGeom prst="rect">
                      <a:avLst/>
                    </a:prstGeom>
                    <a:noFill/>
                  </pic:spPr>
                </pic:pic>
              </a:graphicData>
            </a:graphic>
          </wp:anchor>
        </w:drawing>
      </w:r>
    </w:p>
    <w:p>
      <w:pPr>
        <w:spacing w:after="0" w:line="7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Company Employee — independence has not been assessed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93980" cy="946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3980" cy="94615"/>
                    </a:xfrm>
                    <a:prstGeom prst="rect">
                      <a:avLst/>
                    </a:prstGeom>
                    <a:noFill/>
                  </pic:spPr>
                </pic:pic>
              </a:graphicData>
            </a:graphic>
          </wp:anchor>
        </w:drawing>
      </w:r>
    </w:p>
    <w:p>
      <w:pPr>
        <w:spacing w:after="0" w:line="7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Committee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93980" cy="774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3980" cy="77470"/>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76835" cy="774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77470"/>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Board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68580" cy="1028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02870"/>
                    </a:xfrm>
                    <a:prstGeom prst="rect">
                      <a:avLst/>
                    </a:prstGeom>
                    <a:noFill/>
                  </pic:spPr>
                </pic:pic>
              </a:graphicData>
            </a:graphic>
          </wp:anchor>
        </w:drawing>
      </w:r>
    </w:p>
    <w:p>
      <w:pPr>
        <w:spacing w:after="0" w:line="84"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68580" cy="1028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02870"/>
                    </a:xfrm>
                    <a:prstGeom prst="rect">
                      <a:avLst/>
                    </a:prstGeom>
                    <a:noFill/>
                  </pic:spPr>
                </pic:pic>
              </a:graphicData>
            </a:graphic>
          </wp:anchor>
        </w:drawing>
      </w:r>
    </w:p>
    <w:p>
      <w:pPr>
        <w:spacing w:after="0" w:line="1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and Nominee Experience and Qualifications</w:t>
      </w:r>
    </w:p>
    <w:p>
      <w:pPr>
        <w:spacing w:after="0" w:line="158"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7"/>
          <w:szCs w:val="17"/>
          <w:color w:val="auto"/>
        </w:rPr>
        <w:t>With respect to any director nominations made by the Board in connection with annual director elections or in the event of a vacancy on the Board, in each case to the extent requested by the Chairman of the Board, the Governance Committee assists in identifying and screening potential candidates. The Governance Committee makes its recommendations based on an assessment of the skills, experience and attributes of the candidate in the context of the needs of the Board. It is the policy and practice of the Governance Committee and the Board to consider a candidate’s background and attributes in connection with the process of identifying and assessing potential Board candidates.</w:t>
      </w:r>
    </w:p>
    <w:p>
      <w:pPr>
        <w:spacing w:after="0" w:line="80"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Our board assessment, refreshment and succession planning process involves (i) the periodic</w:t>
      </w:r>
    </w:p>
    <w:p>
      <w:pPr>
        <w:spacing w:after="0" w:line="27" w:lineRule="exact"/>
        <w:rPr>
          <w:sz w:val="20"/>
          <w:szCs w:val="20"/>
          <w:color w:val="auto"/>
        </w:rPr>
      </w:pPr>
    </w:p>
    <w:p>
      <w:pPr>
        <w:ind w:left="1260" w:right="439"/>
        <w:spacing w:after="0" w:line="256" w:lineRule="auto"/>
        <w:rPr>
          <w:sz w:val="20"/>
          <w:szCs w:val="20"/>
          <w:color w:val="auto"/>
        </w:rPr>
      </w:pPr>
      <w:r>
        <w:rPr>
          <w:rFonts w:ascii="Arial" w:cs="Arial" w:eastAsia="Arial" w:hAnsi="Arial"/>
          <w:sz w:val="17"/>
          <w:szCs w:val="17"/>
          <w:color w:val="auto"/>
        </w:rPr>
        <w:t>assessment of the skills, background and experience of our directors, which is used to identify potential enhancement areas relative to the ideal mix of skills, background and experience for our board, (ii) the development and maintenance of a board succession plan that identifies near and longer-term actions and includes succession plans for each board committee, and (iii) the annual evaluation by each director of the performance of every other director in a variety of categories that directly impact overall board performance and effectiveness. Board succession planning efforts and individual director evaluations are updated on a regular basis with assistance and oversight of the Governance Committee. The Governance Committee also oversees the Board’s annual self-assessment process as well as the process by which the Board assesses the effectiveness of the Board and its various committees.</w:t>
      </w:r>
    </w:p>
    <w:p>
      <w:pPr>
        <w:spacing w:after="0" w:line="103" w:lineRule="exact"/>
        <w:rPr>
          <w:sz w:val="20"/>
          <w:szCs w:val="20"/>
          <w:color w:val="auto"/>
        </w:rPr>
      </w:pPr>
    </w:p>
    <w:p>
      <w:pPr>
        <w:ind w:left="1260" w:right="419" w:firstLine="360"/>
        <w:spacing w:after="0" w:line="246" w:lineRule="auto"/>
        <w:rPr>
          <w:sz w:val="20"/>
          <w:szCs w:val="20"/>
          <w:color w:val="auto"/>
        </w:rPr>
      </w:pPr>
      <w:r>
        <w:rPr>
          <w:rFonts w:ascii="Arial" w:cs="Arial" w:eastAsia="Arial" w:hAnsi="Arial"/>
          <w:sz w:val="18"/>
          <w:szCs w:val="18"/>
          <w:color w:val="auto"/>
        </w:rPr>
        <w:t>In evaluating director nominees and in reviewing the qualifications and experience of the directors continuing in office, the Governance Committee and Board consider a variety of factors, including independence, financial literacy, personal and professional accomplishments, attributes, background and experience in light of the needs of the Board. For incumbent directors, factors also include past performance on the Board. The Board has determined that it is beneficial to have individuals on the Board with the following skills, experiences and attributes (See the Director Skills Matrix below for an overview of the skills, experiences and attributes of our current Board members):</w:t>
      </w:r>
    </w:p>
    <w:p>
      <w:pPr>
        <w:spacing w:after="0" w:line="147" w:lineRule="exact"/>
        <w:rPr>
          <w:sz w:val="20"/>
          <w:szCs w:val="20"/>
          <w:color w:val="auto"/>
        </w:rPr>
      </w:pPr>
    </w:p>
    <w:tbl>
      <w:tblPr>
        <w:tblLayout w:type="fixed"/>
        <w:tblInd w:w="1270" w:type="dxa"/>
        <w:tblCellMar>
          <w:top w:w="0" w:type="dxa"/>
          <w:left w:w="0" w:type="dxa"/>
          <w:bottom w:w="0" w:type="dxa"/>
          <w:right w:w="0" w:type="dxa"/>
        </w:tblCellMar>
      </w:tblPr>
      <w:tr>
        <w:trPr>
          <w:trHeight w:val="309"/>
        </w:trPr>
        <w:tc>
          <w:tcPr>
            <w:tcW w:w="160" w:type="dxa"/>
            <w:vAlign w:val="bottom"/>
            <w:tcBorders>
              <w:top w:val="single" w:sz="8" w:color="auto"/>
              <w:lef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5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Public Company Experience (Officer/Director)</w:t>
            </w:r>
          </w:p>
        </w:tc>
        <w:tc>
          <w:tcPr>
            <w:tcW w:w="20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w:t>
            </w:r>
          </w:p>
        </w:tc>
        <w:tc>
          <w:tcPr>
            <w:tcW w:w="43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Industry Experience (Upstream/Midstream/Downstream)</w:t>
            </w:r>
          </w:p>
        </w:tc>
      </w:tr>
      <w:tr>
        <w:trPr>
          <w:trHeight w:val="229"/>
        </w:trPr>
        <w:tc>
          <w:tcPr>
            <w:tcW w:w="16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5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Finance/Accounting</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43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Private Equity</w:t>
            </w:r>
          </w:p>
        </w:tc>
      </w:tr>
      <w:tr>
        <w:trPr>
          <w:trHeight w:val="230"/>
        </w:trPr>
        <w:tc>
          <w:tcPr>
            <w:tcW w:w="16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5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Business Development/Strategy/Commercial</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43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International</w:t>
            </w:r>
          </w:p>
        </w:tc>
      </w:tr>
      <w:tr>
        <w:trPr>
          <w:trHeight w:val="229"/>
        </w:trPr>
        <w:tc>
          <w:tcPr>
            <w:tcW w:w="16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5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Governance/Government Relations/Legal</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43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Cybersecurity/IT</w:t>
            </w:r>
          </w:p>
        </w:tc>
      </w:tr>
      <w:tr>
        <w:trPr>
          <w:trHeight w:val="243"/>
        </w:trPr>
        <w:tc>
          <w:tcPr>
            <w:tcW w:w="16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5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Operations/Engineering/Construction/Technical</w:t>
            </w:r>
          </w:p>
        </w:tc>
        <w:tc>
          <w:tcPr>
            <w:tcW w:w="200" w:type="dxa"/>
            <w:vAlign w:val="bottom"/>
          </w:tcPr>
          <w:p>
            <w:pPr>
              <w:spacing w:after="0"/>
              <w:rPr>
                <w:sz w:val="21"/>
                <w:szCs w:val="21"/>
                <w:color w:val="auto"/>
              </w:rPr>
            </w:pPr>
          </w:p>
        </w:tc>
        <w:tc>
          <w:tcPr>
            <w:tcW w:w="4300" w:type="dxa"/>
            <w:vAlign w:val="bottom"/>
            <w:tcBorders>
              <w:right w:val="single" w:sz="8" w:color="auto"/>
            </w:tcBorders>
          </w:tcPr>
          <w:p>
            <w:pPr>
              <w:spacing w:after="0"/>
              <w:rPr>
                <w:sz w:val="21"/>
                <w:szCs w:val="21"/>
                <w:color w:val="auto"/>
              </w:rPr>
            </w:pPr>
          </w:p>
        </w:tc>
      </w:tr>
      <w:tr>
        <w:trPr>
          <w:trHeight w:val="164"/>
        </w:trPr>
        <w:tc>
          <w:tcPr>
            <w:tcW w:w="160" w:type="dxa"/>
            <w:vAlign w:val="bottom"/>
            <w:tcBorders>
              <w:left w:val="single" w:sz="8" w:color="auto"/>
              <w:bottom w:val="single" w:sz="8" w:color="auto"/>
            </w:tcBorders>
          </w:tcPr>
          <w:p>
            <w:pPr>
              <w:spacing w:after="0"/>
              <w:rPr>
                <w:sz w:val="14"/>
                <w:szCs w:val="14"/>
                <w:color w:val="auto"/>
              </w:rPr>
            </w:pPr>
          </w:p>
        </w:tc>
        <w:tc>
          <w:tcPr>
            <w:tcW w:w="3560" w:type="dxa"/>
            <w:vAlign w:val="bottom"/>
            <w:tcBorders>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300" w:type="dxa"/>
            <w:vAlign w:val="bottom"/>
            <w:tcBorders>
              <w:bottom w:val="single" w:sz="8" w:color="auto"/>
              <w:right w:val="single" w:sz="8" w:color="auto"/>
            </w:tcBorders>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7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Skills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137795</wp:posOffset>
            </wp:positionV>
            <wp:extent cx="8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97" w:lineRule="exact"/>
        <w:rPr>
          <w:sz w:val="20"/>
          <w:szCs w:val="20"/>
          <w:color w:val="auto"/>
        </w:rPr>
      </w:pPr>
    </w:p>
    <w:tbl>
      <w:tblPr>
        <w:tblLayout w:type="fixed"/>
        <w:tblInd w:w="1270" w:type="dxa"/>
        <w:tblCellMar>
          <w:top w:w="0" w:type="dxa"/>
          <w:left w:w="0" w:type="dxa"/>
          <w:bottom w:w="0" w:type="dxa"/>
          <w:right w:w="0" w:type="dxa"/>
        </w:tblCellMar>
      </w:tblPr>
      <w:tr>
        <w:trPr>
          <w:trHeight w:val="270"/>
        </w:trPr>
        <w:tc>
          <w:tcPr>
            <w:tcW w:w="1400" w:type="dxa"/>
            <w:vAlign w:val="bottom"/>
            <w:tcBorders>
              <w:left w:val="single" w:sz="8" w:color="424E6A"/>
              <w:right w:val="single" w:sz="8" w:color="auto"/>
            </w:tcBorders>
            <w:shd w:val="clear" w:color="auto" w:fill="424E6A"/>
          </w:tcPr>
          <w:p>
            <w:pPr>
              <w:spacing w:after="0"/>
              <w:rPr>
                <w:sz w:val="23"/>
                <w:szCs w:val="23"/>
                <w:color w:val="auto"/>
              </w:rPr>
            </w:pPr>
          </w:p>
        </w:tc>
        <w:tc>
          <w:tcPr>
            <w:tcW w:w="40" w:type="dxa"/>
            <w:vAlign w:val="bottom"/>
            <w:shd w:val="clear" w:color="auto" w:fill="424E6A"/>
          </w:tcPr>
          <w:p>
            <w:pPr>
              <w:spacing w:after="0"/>
              <w:rPr>
                <w:sz w:val="23"/>
                <w:szCs w:val="23"/>
                <w:color w:val="auto"/>
              </w:rPr>
            </w:pPr>
          </w:p>
        </w:tc>
        <w:tc>
          <w:tcPr>
            <w:tcW w:w="600" w:type="dxa"/>
            <w:vAlign w:val="bottom"/>
            <w:shd w:val="clear" w:color="auto" w:fill="424E6A"/>
          </w:tcPr>
          <w:p>
            <w:pPr>
              <w:ind w:left="20"/>
              <w:spacing w:after="0"/>
              <w:rPr>
                <w:sz w:val="20"/>
                <w:szCs w:val="20"/>
                <w:color w:val="auto"/>
              </w:rPr>
            </w:pPr>
            <w:r>
              <w:rPr>
                <w:rFonts w:ascii="Arial" w:cs="Arial" w:eastAsia="Arial" w:hAnsi="Arial"/>
                <w:sz w:val="11"/>
                <w:szCs w:val="11"/>
                <w:b w:val="1"/>
                <w:bCs w:val="1"/>
                <w:color w:val="FFFFFF"/>
                <w:w w:val="99"/>
              </w:rPr>
              <w:t>Armstrong</w:t>
            </w:r>
          </w:p>
        </w:tc>
        <w:tc>
          <w:tcPr>
            <w:tcW w:w="80" w:type="dxa"/>
            <w:vAlign w:val="bottom"/>
            <w:tcBorders>
              <w:right w:val="single" w:sz="8" w:color="auto"/>
            </w:tcBorders>
            <w:shd w:val="clear" w:color="auto" w:fill="424E6A"/>
          </w:tcPr>
          <w:p>
            <w:pPr>
              <w:spacing w:after="0"/>
              <w:rPr>
                <w:sz w:val="23"/>
                <w:szCs w:val="23"/>
                <w:color w:val="auto"/>
              </w:rPr>
            </w:pPr>
          </w:p>
        </w:tc>
        <w:tc>
          <w:tcPr>
            <w:tcW w:w="60" w:type="dxa"/>
            <w:vAlign w:val="bottom"/>
            <w:shd w:val="clear" w:color="auto" w:fill="424E6A"/>
          </w:tcPr>
          <w:p>
            <w:pPr>
              <w:spacing w:after="0"/>
              <w:rPr>
                <w:sz w:val="23"/>
                <w:szCs w:val="23"/>
                <w:color w:val="auto"/>
              </w:rPr>
            </w:pPr>
          </w:p>
        </w:tc>
        <w:tc>
          <w:tcPr>
            <w:tcW w:w="260" w:type="dxa"/>
            <w:vAlign w:val="bottom"/>
            <w:shd w:val="clear" w:color="auto" w:fill="424E6A"/>
          </w:tcPr>
          <w:p>
            <w:pPr>
              <w:spacing w:after="0"/>
              <w:rPr>
                <w:sz w:val="20"/>
                <w:szCs w:val="20"/>
                <w:color w:val="auto"/>
              </w:rPr>
            </w:pPr>
            <w:r>
              <w:rPr>
                <w:rFonts w:ascii="Arial" w:cs="Arial" w:eastAsia="Arial" w:hAnsi="Arial"/>
                <w:sz w:val="11"/>
                <w:szCs w:val="11"/>
                <w:b w:val="1"/>
                <w:bCs w:val="1"/>
                <w:color w:val="FFFFFF"/>
                <w:w w:val="95"/>
              </w:rPr>
              <w:t>Burk</w:t>
            </w:r>
          </w:p>
        </w:tc>
        <w:tc>
          <w:tcPr>
            <w:tcW w:w="100" w:type="dxa"/>
            <w:vAlign w:val="bottom"/>
            <w:tcBorders>
              <w:right w:val="single" w:sz="8" w:color="auto"/>
            </w:tcBorders>
            <w:shd w:val="clear" w:color="auto" w:fill="424E6A"/>
          </w:tcPr>
          <w:p>
            <w:pPr>
              <w:spacing w:after="0"/>
              <w:rPr>
                <w:sz w:val="23"/>
                <w:szCs w:val="23"/>
                <w:color w:val="auto"/>
              </w:rPr>
            </w:pPr>
          </w:p>
        </w:tc>
        <w:tc>
          <w:tcPr>
            <w:tcW w:w="40" w:type="dxa"/>
            <w:vAlign w:val="bottom"/>
            <w:shd w:val="clear" w:color="auto" w:fill="424E6A"/>
          </w:tcPr>
          <w:p>
            <w:pPr>
              <w:spacing w:after="0"/>
              <w:rPr>
                <w:sz w:val="23"/>
                <w:szCs w:val="23"/>
                <w:color w:val="auto"/>
              </w:rPr>
            </w:pPr>
          </w:p>
        </w:tc>
        <w:tc>
          <w:tcPr>
            <w:tcW w:w="400" w:type="dxa"/>
            <w:vAlign w:val="bottom"/>
            <w:shd w:val="clear" w:color="auto" w:fill="424E6A"/>
          </w:tcPr>
          <w:p>
            <w:pPr>
              <w:ind w:left="20"/>
              <w:spacing w:after="0"/>
              <w:rPr>
                <w:sz w:val="20"/>
                <w:szCs w:val="20"/>
                <w:color w:val="auto"/>
              </w:rPr>
            </w:pPr>
            <w:r>
              <w:rPr>
                <w:rFonts w:ascii="Arial" w:cs="Arial" w:eastAsia="Arial" w:hAnsi="Arial"/>
                <w:sz w:val="11"/>
                <w:szCs w:val="11"/>
                <w:b w:val="1"/>
                <w:bCs w:val="1"/>
                <w:color w:val="FFFFFF"/>
                <w:w w:val="96"/>
              </w:rPr>
              <w:t>Chiang</w:t>
            </w:r>
          </w:p>
        </w:tc>
        <w:tc>
          <w:tcPr>
            <w:tcW w:w="100" w:type="dxa"/>
            <w:vAlign w:val="bottom"/>
            <w:tcBorders>
              <w:right w:val="single" w:sz="8" w:color="auto"/>
            </w:tcBorders>
            <w:shd w:val="clear" w:color="auto" w:fill="424E6A"/>
          </w:tcPr>
          <w:p>
            <w:pPr>
              <w:spacing w:after="0"/>
              <w:rPr>
                <w:sz w:val="23"/>
                <w:szCs w:val="23"/>
                <w:color w:val="auto"/>
              </w:rPr>
            </w:pPr>
          </w:p>
        </w:tc>
        <w:tc>
          <w:tcPr>
            <w:tcW w:w="720" w:type="dxa"/>
            <w:vAlign w:val="bottom"/>
            <w:tcBorders>
              <w:right w:val="single" w:sz="8" w:color="auto"/>
            </w:tcBorders>
            <w:gridSpan w:val="3"/>
            <w:shd w:val="clear" w:color="auto" w:fill="424E6A"/>
          </w:tcPr>
          <w:p>
            <w:pPr>
              <w:ind w:left="20"/>
              <w:spacing w:after="0"/>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1"/>
                <w:szCs w:val="11"/>
                <w:b w:val="1"/>
                <w:bCs w:val="1"/>
                <w:color w:val="FFFFFF"/>
              </w:rPr>
              <w:t xml:space="preserve"> DeSanctis </w:t>
            </w:r>
            <w:r>
              <w:rPr>
                <w:rFonts w:ascii="Arial" w:cs="Arial" w:eastAsia="Arial" w:hAnsi="Arial"/>
                <w:sz w:val="22"/>
                <w:szCs w:val="22"/>
                <w:b w:val="1"/>
                <w:bCs w:val="1"/>
                <w:color w:val="FFFFFF"/>
                <w:vertAlign w:val="subscript"/>
              </w:rPr>
              <w:t>​</w:t>
            </w:r>
          </w:p>
        </w:tc>
        <w:tc>
          <w:tcPr>
            <w:tcW w:w="700" w:type="dxa"/>
            <w:vAlign w:val="bottom"/>
            <w:tcBorders>
              <w:right w:val="single" w:sz="8" w:color="auto"/>
            </w:tcBorders>
            <w:gridSpan w:val="3"/>
            <w:shd w:val="clear" w:color="auto" w:fill="424E6A"/>
          </w:tcPr>
          <w:p>
            <w:pPr>
              <w:ind w:left="20"/>
              <w:spacing w:after="0"/>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1"/>
                <w:szCs w:val="11"/>
                <w:b w:val="1"/>
                <w:bCs w:val="1"/>
                <w:color w:val="FFFFFF"/>
              </w:rPr>
              <w:t xml:space="preserve"> McCarthy </w:t>
            </w:r>
            <w:r>
              <w:rPr>
                <w:rFonts w:ascii="Arial" w:cs="Arial" w:eastAsia="Arial" w:hAnsi="Arial"/>
                <w:sz w:val="22"/>
                <w:szCs w:val="22"/>
                <w:b w:val="1"/>
                <w:bCs w:val="1"/>
                <w:color w:val="FFFFFF"/>
                <w:vertAlign w:val="subscript"/>
              </w:rPr>
              <w:t>​</w:t>
            </w:r>
          </w:p>
        </w:tc>
        <w:tc>
          <w:tcPr>
            <w:tcW w:w="560" w:type="dxa"/>
            <w:vAlign w:val="bottom"/>
            <w:tcBorders>
              <w:right w:val="single" w:sz="8" w:color="auto"/>
            </w:tcBorders>
            <w:gridSpan w:val="3"/>
            <w:shd w:val="clear" w:color="auto" w:fill="424E6A"/>
          </w:tcPr>
          <w:p>
            <w:pPr>
              <w:ind w:left="20"/>
              <w:spacing w:after="0"/>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1"/>
                <w:szCs w:val="11"/>
                <w:b w:val="1"/>
                <w:bCs w:val="1"/>
                <w:color w:val="FFFFFF"/>
              </w:rPr>
              <w:t xml:space="preserve">Pefanis </w:t>
            </w:r>
            <w:r>
              <w:rPr>
                <w:rFonts w:ascii="Arial" w:cs="Arial" w:eastAsia="Arial" w:hAnsi="Arial"/>
                <w:sz w:val="22"/>
                <w:szCs w:val="22"/>
                <w:b w:val="1"/>
                <w:bCs w:val="1"/>
                <w:color w:val="FFFFFF"/>
                <w:vertAlign w:val="subscript"/>
              </w:rPr>
              <w:t>​</w:t>
            </w:r>
          </w:p>
        </w:tc>
        <w:tc>
          <w:tcPr>
            <w:tcW w:w="660" w:type="dxa"/>
            <w:vAlign w:val="bottom"/>
            <w:tcBorders>
              <w:right w:val="single" w:sz="8" w:color="auto"/>
            </w:tcBorders>
            <w:gridSpan w:val="3"/>
            <w:shd w:val="clear" w:color="auto" w:fill="424E6A"/>
          </w:tcPr>
          <w:p>
            <w:pPr>
              <w:ind w:left="40"/>
              <w:spacing w:after="0"/>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1"/>
                <w:szCs w:val="11"/>
                <w:b w:val="1"/>
                <w:bCs w:val="1"/>
                <w:color w:val="FFFFFF"/>
              </w:rPr>
              <w:t xml:space="preserve"> Petersen </w:t>
            </w:r>
            <w:r>
              <w:rPr>
                <w:rFonts w:ascii="Arial" w:cs="Arial" w:eastAsia="Arial" w:hAnsi="Arial"/>
                <w:sz w:val="22"/>
                <w:szCs w:val="22"/>
                <w:b w:val="1"/>
                <w:bCs w:val="1"/>
                <w:color w:val="FFFFFF"/>
                <w:vertAlign w:val="subscript"/>
              </w:rPr>
              <w:t>​</w:t>
            </w:r>
          </w:p>
        </w:tc>
        <w:tc>
          <w:tcPr>
            <w:tcW w:w="540" w:type="dxa"/>
            <w:vAlign w:val="bottom"/>
            <w:tcBorders>
              <w:right w:val="single" w:sz="8" w:color="auto"/>
            </w:tcBorders>
            <w:gridSpan w:val="3"/>
            <w:shd w:val="clear" w:color="auto" w:fill="424E6A"/>
          </w:tcPr>
          <w:p>
            <w:pPr>
              <w:ind w:left="20"/>
              <w:spacing w:after="0"/>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1"/>
                <w:szCs w:val="11"/>
                <w:b w:val="1"/>
                <w:bCs w:val="1"/>
                <w:color w:val="FFFFFF"/>
              </w:rPr>
              <w:t xml:space="preserve"> Pruner </w:t>
            </w:r>
            <w:r>
              <w:rPr>
                <w:rFonts w:ascii="Arial" w:cs="Arial" w:eastAsia="Arial" w:hAnsi="Arial"/>
                <w:sz w:val="22"/>
                <w:szCs w:val="22"/>
                <w:b w:val="1"/>
                <w:bCs w:val="1"/>
                <w:color w:val="FFFFFF"/>
                <w:vertAlign w:val="subscript"/>
              </w:rPr>
              <w:t>​</w:t>
            </w:r>
          </w:p>
        </w:tc>
        <w:tc>
          <w:tcPr>
            <w:tcW w:w="680" w:type="dxa"/>
            <w:vAlign w:val="bottom"/>
            <w:tcBorders>
              <w:right w:val="single" w:sz="8" w:color="auto"/>
            </w:tcBorders>
            <w:gridSpan w:val="3"/>
            <w:shd w:val="clear" w:color="auto" w:fill="424E6A"/>
          </w:tcPr>
          <w:p>
            <w:pPr>
              <w:ind w:left="20"/>
              <w:spacing w:after="0"/>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1"/>
                <w:szCs w:val="11"/>
                <w:b w:val="1"/>
                <w:bCs w:val="1"/>
                <w:color w:val="FFFFFF"/>
              </w:rPr>
              <w:t xml:space="preserve">Raymond </w:t>
            </w:r>
            <w:r>
              <w:rPr>
                <w:rFonts w:ascii="Arial" w:cs="Arial" w:eastAsia="Arial" w:hAnsi="Arial"/>
                <w:sz w:val="22"/>
                <w:szCs w:val="22"/>
                <w:b w:val="1"/>
                <w:bCs w:val="1"/>
                <w:color w:val="FFFFFF"/>
                <w:vertAlign w:val="subscript"/>
              </w:rPr>
              <w:t>​</w:t>
            </w:r>
          </w:p>
        </w:tc>
        <w:tc>
          <w:tcPr>
            <w:tcW w:w="720" w:type="dxa"/>
            <w:vAlign w:val="bottom"/>
            <w:tcBorders>
              <w:right w:val="single" w:sz="8" w:color="auto"/>
            </w:tcBorders>
            <w:gridSpan w:val="3"/>
            <w:shd w:val="clear" w:color="auto" w:fill="424E6A"/>
          </w:tcPr>
          <w:p>
            <w:pPr>
              <w:ind w:left="20"/>
              <w:spacing w:after="0"/>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1"/>
                <w:szCs w:val="11"/>
                <w:b w:val="1"/>
                <w:bCs w:val="1"/>
                <w:color w:val="FFFFFF"/>
              </w:rPr>
              <w:t xml:space="preserve">Shackouls </w:t>
            </w:r>
            <w:r>
              <w:rPr>
                <w:rFonts w:ascii="Arial" w:cs="Arial" w:eastAsia="Arial" w:hAnsi="Arial"/>
                <w:sz w:val="22"/>
                <w:szCs w:val="22"/>
                <w:b w:val="1"/>
                <w:bCs w:val="1"/>
                <w:color w:val="FFFFFF"/>
                <w:vertAlign w:val="subscript"/>
              </w:rPr>
              <w:t>​</w:t>
            </w:r>
          </w:p>
        </w:tc>
        <w:tc>
          <w:tcPr>
            <w:tcW w:w="480" w:type="dxa"/>
            <w:vAlign w:val="bottom"/>
            <w:gridSpan w:val="2"/>
            <w:shd w:val="clear" w:color="auto" w:fill="424E6A"/>
          </w:tcPr>
          <w:p>
            <w:pPr>
              <w:ind w:left="20"/>
              <w:spacing w:after="0"/>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1"/>
                <w:szCs w:val="11"/>
                <w:b w:val="1"/>
                <w:bCs w:val="1"/>
                <w:color w:val="FFFFFF"/>
              </w:rPr>
              <w:t xml:space="preserve"> Ziemba</w:t>
            </w:r>
          </w:p>
        </w:tc>
        <w:tc>
          <w:tcPr>
            <w:tcW w:w="80" w:type="dxa"/>
            <w:vAlign w:val="bottom"/>
            <w:tcBorders>
              <w:right w:val="single" w:sz="8" w:color="424E6A"/>
            </w:tcBorders>
            <w:shd w:val="clear" w:color="auto" w:fill="424E6A"/>
          </w:tcPr>
          <w:p>
            <w:pPr>
              <w:spacing w:after="0"/>
              <w:rPr>
                <w:sz w:val="23"/>
                <w:szCs w:val="23"/>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424E6A"/>
              <w:right w:val="single" w:sz="8" w:color="auto"/>
            </w:tcBorders>
            <w:shd w:val="clear" w:color="auto" w:fill="D9DCE1"/>
          </w:tcPr>
          <w:p>
            <w:pPr>
              <w:ind w:left="60"/>
              <w:spacing w:after="0"/>
              <w:rPr>
                <w:sz w:val="20"/>
                <w:szCs w:val="20"/>
                <w:color w:val="auto"/>
              </w:rPr>
            </w:pPr>
            <w:r>
              <w:rPr>
                <w:rFonts w:ascii="Arial" w:cs="Arial" w:eastAsia="Arial" w:hAnsi="Arial"/>
                <w:sz w:val="11"/>
                <w:szCs w:val="11"/>
                <w:color w:val="auto"/>
              </w:rPr>
              <w:t>Public Company</w:t>
            </w:r>
          </w:p>
        </w:tc>
        <w:tc>
          <w:tcPr>
            <w:tcW w:w="40" w:type="dxa"/>
            <w:vAlign w:val="bottom"/>
            <w:shd w:val="clear" w:color="auto" w:fill="D9DCE1"/>
          </w:tcPr>
          <w:p>
            <w:pPr>
              <w:spacing w:after="0"/>
              <w:rPr>
                <w:sz w:val="16"/>
                <w:szCs w:val="16"/>
                <w:color w:val="auto"/>
              </w:rPr>
            </w:pPr>
          </w:p>
        </w:tc>
        <w:tc>
          <w:tcPr>
            <w:tcW w:w="600" w:type="dxa"/>
            <w:vAlign w:val="bottom"/>
            <w:vMerge w:val="restart"/>
            <w:shd w:val="clear" w:color="auto" w:fill="D9DCE1"/>
          </w:tcPr>
          <w:p>
            <w:pPr>
              <w:ind w:left="260"/>
              <w:spacing w:after="0" w:line="265" w:lineRule="exact"/>
              <w:rPr>
                <w:sz w:val="20"/>
                <w:szCs w:val="20"/>
                <w:color w:val="auto"/>
              </w:rPr>
            </w:pPr>
            <w:r>
              <w:rPr>
                <w:rFonts w:ascii="Arial" w:cs="Arial" w:eastAsia="Arial" w:hAnsi="Arial"/>
                <w:sz w:val="23"/>
                <w:szCs w:val="23"/>
                <w:color w:val="auto"/>
                <w:vertAlign w:val="subscript"/>
              </w:rPr>
              <w:t>​</w:t>
            </w:r>
            <w:r>
              <w:rPr>
                <w:rFonts w:ascii="MS PGothic" w:cs="MS PGothic" w:eastAsia="MS PGothic" w:hAnsi="MS PGothic"/>
                <w:sz w:val="23"/>
                <w:szCs w:val="23"/>
                <w:color w:val="auto"/>
              </w:rPr>
              <w:t>✓</w:t>
            </w:r>
          </w:p>
        </w:tc>
        <w:tc>
          <w:tcPr>
            <w:tcW w:w="80" w:type="dxa"/>
            <w:vAlign w:val="bottom"/>
            <w:tcBorders>
              <w:right w:val="single" w:sz="8" w:color="auto"/>
            </w:tcBorders>
            <w:shd w:val="clear" w:color="auto" w:fill="D9DCE1"/>
          </w:tcPr>
          <w:p>
            <w:pPr>
              <w:spacing w:after="0"/>
              <w:rPr>
                <w:sz w:val="16"/>
                <w:szCs w:val="16"/>
                <w:color w:val="auto"/>
              </w:rPr>
            </w:pPr>
          </w:p>
        </w:tc>
        <w:tc>
          <w:tcPr>
            <w:tcW w:w="60" w:type="dxa"/>
            <w:vAlign w:val="bottom"/>
            <w:shd w:val="clear" w:color="auto" w:fill="D9DCE1"/>
          </w:tcPr>
          <w:p>
            <w:pPr>
              <w:spacing w:after="0"/>
              <w:rPr>
                <w:sz w:val="16"/>
                <w:szCs w:val="16"/>
                <w:color w:val="auto"/>
              </w:rPr>
            </w:pPr>
          </w:p>
        </w:tc>
        <w:tc>
          <w:tcPr>
            <w:tcW w:w="360" w:type="dxa"/>
            <w:vAlign w:val="bottom"/>
            <w:tcBorders>
              <w:right w:val="single" w:sz="8" w:color="auto"/>
            </w:tcBorders>
            <w:gridSpan w:val="2"/>
            <w:vMerge w:val="restart"/>
            <w:shd w:val="clear" w:color="auto" w:fill="D9DCE1"/>
          </w:tcPr>
          <w:p>
            <w:pPr>
              <w:jc w:val="right"/>
              <w:ind w:right="3"/>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w:t>
            </w:r>
          </w:p>
        </w:tc>
        <w:tc>
          <w:tcPr>
            <w:tcW w:w="40" w:type="dxa"/>
            <w:vAlign w:val="bottom"/>
            <w:shd w:val="clear" w:color="auto" w:fill="D9DCE1"/>
          </w:tcPr>
          <w:p>
            <w:pPr>
              <w:spacing w:after="0"/>
              <w:rPr>
                <w:sz w:val="16"/>
                <w:szCs w:val="16"/>
                <w:color w:val="auto"/>
              </w:rPr>
            </w:pPr>
          </w:p>
        </w:tc>
        <w:tc>
          <w:tcPr>
            <w:tcW w:w="400" w:type="dxa"/>
            <w:vAlign w:val="bottom"/>
            <w:vMerge w:val="restart"/>
            <w:shd w:val="clear" w:color="auto" w:fill="D9DCE1"/>
          </w:tcPr>
          <w:p>
            <w:pPr>
              <w:ind w:left="160"/>
              <w:spacing w:after="0" w:line="265" w:lineRule="exact"/>
              <w:rPr>
                <w:sz w:val="20"/>
                <w:szCs w:val="20"/>
                <w:color w:val="auto"/>
              </w:rPr>
            </w:pPr>
            <w:r>
              <w:rPr>
                <w:rFonts w:ascii="Arial" w:cs="Arial" w:eastAsia="Arial" w:hAnsi="Arial"/>
                <w:sz w:val="23"/>
                <w:szCs w:val="23"/>
                <w:color w:val="auto"/>
                <w:w w:val="95"/>
                <w:vertAlign w:val="subscript"/>
              </w:rPr>
              <w:t>​</w:t>
            </w:r>
            <w:r>
              <w:rPr>
                <w:rFonts w:ascii="MS PGothic" w:cs="MS PGothic" w:eastAsia="MS PGothic" w:hAnsi="MS PGothic"/>
                <w:sz w:val="23"/>
                <w:szCs w:val="23"/>
                <w:color w:val="auto"/>
                <w:w w:val="95"/>
              </w:rPr>
              <w:t>✓</w:t>
            </w:r>
          </w:p>
        </w:tc>
        <w:tc>
          <w:tcPr>
            <w:tcW w:w="100" w:type="dxa"/>
            <w:vAlign w:val="bottom"/>
            <w:tcBorders>
              <w:right w:val="single" w:sz="8" w:color="auto"/>
            </w:tcBorders>
            <w:shd w:val="clear" w:color="auto" w:fill="D9DCE1"/>
          </w:tcPr>
          <w:p>
            <w:pPr>
              <w:spacing w:after="0"/>
              <w:rPr>
                <w:sz w:val="16"/>
                <w:szCs w:val="16"/>
                <w:color w:val="auto"/>
              </w:rPr>
            </w:pPr>
          </w:p>
        </w:tc>
        <w:tc>
          <w:tcPr>
            <w:tcW w:w="60" w:type="dxa"/>
            <w:vAlign w:val="bottom"/>
            <w:shd w:val="clear" w:color="auto" w:fill="D9DCE1"/>
          </w:tcPr>
          <w:p>
            <w:pPr>
              <w:spacing w:after="0"/>
              <w:rPr>
                <w:sz w:val="16"/>
                <w:szCs w:val="16"/>
                <w:color w:val="auto"/>
              </w:rPr>
            </w:pPr>
          </w:p>
        </w:tc>
        <w:tc>
          <w:tcPr>
            <w:tcW w:w="440" w:type="dxa"/>
            <w:vAlign w:val="bottom"/>
            <w:vMerge w:val="restart"/>
            <w:shd w:val="clear" w:color="auto" w:fill="D9DCE1"/>
          </w:tcPr>
          <w:p>
            <w:pPr>
              <w:ind w:left="220"/>
              <w:spacing w:after="0" w:line="265" w:lineRule="exact"/>
              <w:rPr>
                <w:sz w:val="20"/>
                <w:szCs w:val="20"/>
                <w:color w:val="auto"/>
              </w:rPr>
            </w:pPr>
            <w:r>
              <w:rPr>
                <w:rFonts w:ascii="Arial" w:cs="Arial" w:eastAsia="Arial" w:hAnsi="Arial"/>
                <w:sz w:val="23"/>
                <w:szCs w:val="23"/>
                <w:color w:val="auto"/>
                <w:w w:val="86"/>
                <w:vertAlign w:val="subscript"/>
              </w:rPr>
              <w:t>​</w:t>
            </w:r>
            <w:r>
              <w:rPr>
                <w:rFonts w:ascii="MS PGothic" w:cs="MS PGothic" w:eastAsia="MS PGothic" w:hAnsi="MS PGothic"/>
                <w:sz w:val="23"/>
                <w:szCs w:val="23"/>
                <w:color w:val="auto"/>
                <w:w w:val="86"/>
              </w:rPr>
              <w:t>✓</w:t>
            </w:r>
          </w:p>
        </w:tc>
        <w:tc>
          <w:tcPr>
            <w:tcW w:w="220" w:type="dxa"/>
            <w:vAlign w:val="bottom"/>
            <w:tcBorders>
              <w:right w:val="single" w:sz="8" w:color="auto"/>
            </w:tcBorders>
            <w:shd w:val="clear" w:color="auto" w:fill="D9DCE1"/>
          </w:tcPr>
          <w:p>
            <w:pPr>
              <w:spacing w:after="0"/>
              <w:rPr>
                <w:sz w:val="16"/>
                <w:szCs w:val="16"/>
                <w:color w:val="auto"/>
              </w:rPr>
            </w:pPr>
          </w:p>
        </w:tc>
        <w:tc>
          <w:tcPr>
            <w:tcW w:w="60" w:type="dxa"/>
            <w:vAlign w:val="bottom"/>
            <w:shd w:val="clear" w:color="auto" w:fill="D9DCE1"/>
          </w:tcPr>
          <w:p>
            <w:pPr>
              <w:spacing w:after="0"/>
              <w:rPr>
                <w:sz w:val="16"/>
                <w:szCs w:val="16"/>
                <w:color w:val="auto"/>
              </w:rPr>
            </w:pPr>
          </w:p>
        </w:tc>
        <w:tc>
          <w:tcPr>
            <w:tcW w:w="440" w:type="dxa"/>
            <w:vAlign w:val="bottom"/>
            <w:vMerge w:val="restart"/>
            <w:shd w:val="clear" w:color="auto" w:fill="D9DCE1"/>
          </w:tcPr>
          <w:p>
            <w:pPr>
              <w:ind w:left="220"/>
              <w:spacing w:after="0" w:line="265" w:lineRule="exact"/>
              <w:rPr>
                <w:sz w:val="20"/>
                <w:szCs w:val="20"/>
                <w:color w:val="auto"/>
              </w:rPr>
            </w:pPr>
            <w:r>
              <w:rPr>
                <w:rFonts w:ascii="Arial" w:cs="Arial" w:eastAsia="Arial" w:hAnsi="Arial"/>
                <w:sz w:val="23"/>
                <w:szCs w:val="23"/>
                <w:color w:val="auto"/>
                <w:w w:val="86"/>
                <w:vertAlign w:val="subscript"/>
              </w:rPr>
              <w:t>​</w:t>
            </w:r>
            <w:r>
              <w:rPr>
                <w:rFonts w:ascii="MS PGothic" w:cs="MS PGothic" w:eastAsia="MS PGothic" w:hAnsi="MS PGothic"/>
                <w:sz w:val="23"/>
                <w:szCs w:val="23"/>
                <w:color w:val="auto"/>
                <w:w w:val="86"/>
              </w:rPr>
              <w:t>✓</w:t>
            </w:r>
          </w:p>
        </w:tc>
        <w:tc>
          <w:tcPr>
            <w:tcW w:w="200" w:type="dxa"/>
            <w:vAlign w:val="bottom"/>
            <w:tcBorders>
              <w:right w:val="single" w:sz="8" w:color="auto"/>
            </w:tcBorders>
            <w:shd w:val="clear" w:color="auto" w:fill="D9DCE1"/>
          </w:tcPr>
          <w:p>
            <w:pPr>
              <w:spacing w:after="0"/>
              <w:rPr>
                <w:sz w:val="16"/>
                <w:szCs w:val="16"/>
                <w:color w:val="auto"/>
              </w:rPr>
            </w:pPr>
          </w:p>
        </w:tc>
        <w:tc>
          <w:tcPr>
            <w:tcW w:w="60" w:type="dxa"/>
            <w:vAlign w:val="bottom"/>
            <w:shd w:val="clear" w:color="auto" w:fill="D9DCE1"/>
          </w:tcPr>
          <w:p>
            <w:pPr>
              <w:spacing w:after="0"/>
              <w:rPr>
                <w:sz w:val="16"/>
                <w:szCs w:val="16"/>
                <w:color w:val="auto"/>
              </w:rPr>
            </w:pPr>
          </w:p>
        </w:tc>
        <w:tc>
          <w:tcPr>
            <w:tcW w:w="340" w:type="dxa"/>
            <w:vAlign w:val="bottom"/>
            <w:vMerge w:val="restart"/>
            <w:shd w:val="clear" w:color="auto" w:fill="D9DCE1"/>
          </w:tcPr>
          <w:p>
            <w:pPr>
              <w:ind w:left="160"/>
              <w:spacing w:after="0" w:line="253" w:lineRule="exact"/>
              <w:rPr>
                <w:sz w:val="20"/>
                <w:szCs w:val="20"/>
                <w:color w:val="auto"/>
              </w:rPr>
            </w:pPr>
            <w:r>
              <w:rPr>
                <w:rFonts w:ascii="Arial" w:cs="Arial" w:eastAsia="Arial" w:hAnsi="Arial"/>
                <w:sz w:val="22"/>
                <w:szCs w:val="22"/>
                <w:color w:val="auto"/>
                <w:w w:val="72"/>
                <w:vertAlign w:val="subscript"/>
              </w:rPr>
              <w:t>​</w:t>
            </w:r>
            <w:r>
              <w:rPr>
                <w:rFonts w:ascii="MS PGothic" w:cs="MS PGothic" w:eastAsia="MS PGothic" w:hAnsi="MS PGothic"/>
                <w:sz w:val="22"/>
                <w:szCs w:val="22"/>
                <w:color w:val="auto"/>
                <w:w w:val="72"/>
              </w:rPr>
              <w:t>✓</w:t>
            </w:r>
          </w:p>
        </w:tc>
        <w:tc>
          <w:tcPr>
            <w:tcW w:w="160" w:type="dxa"/>
            <w:vAlign w:val="bottom"/>
            <w:tcBorders>
              <w:right w:val="single" w:sz="8" w:color="auto"/>
            </w:tcBorders>
            <w:shd w:val="clear" w:color="auto" w:fill="D9DCE1"/>
          </w:tcPr>
          <w:p>
            <w:pPr>
              <w:spacing w:after="0"/>
              <w:rPr>
                <w:sz w:val="16"/>
                <w:szCs w:val="16"/>
                <w:color w:val="auto"/>
              </w:rPr>
            </w:pPr>
          </w:p>
        </w:tc>
        <w:tc>
          <w:tcPr>
            <w:tcW w:w="60" w:type="dxa"/>
            <w:vAlign w:val="bottom"/>
            <w:shd w:val="clear" w:color="auto" w:fill="D9DCE1"/>
          </w:tcPr>
          <w:p>
            <w:pPr>
              <w:spacing w:after="0"/>
              <w:rPr>
                <w:sz w:val="16"/>
                <w:szCs w:val="16"/>
                <w:color w:val="auto"/>
              </w:rPr>
            </w:pPr>
          </w:p>
        </w:tc>
        <w:tc>
          <w:tcPr>
            <w:tcW w:w="400" w:type="dxa"/>
            <w:vAlign w:val="bottom"/>
            <w:vMerge w:val="restart"/>
            <w:shd w:val="clear" w:color="auto" w:fill="D9DCE1"/>
          </w:tcPr>
          <w:p>
            <w:pPr>
              <w:ind w:left="200"/>
              <w:spacing w:after="0" w:line="265" w:lineRule="exact"/>
              <w:rPr>
                <w:sz w:val="20"/>
                <w:szCs w:val="20"/>
                <w:color w:val="auto"/>
              </w:rPr>
            </w:pPr>
            <w:r>
              <w:rPr>
                <w:rFonts w:ascii="Arial" w:cs="Arial" w:eastAsia="Arial" w:hAnsi="Arial"/>
                <w:sz w:val="23"/>
                <w:szCs w:val="23"/>
                <w:color w:val="auto"/>
                <w:w w:val="78"/>
                <w:vertAlign w:val="subscript"/>
              </w:rPr>
              <w:t>​</w:t>
            </w:r>
            <w:r>
              <w:rPr>
                <w:rFonts w:ascii="MS PGothic" w:cs="MS PGothic" w:eastAsia="MS PGothic" w:hAnsi="MS PGothic"/>
                <w:sz w:val="23"/>
                <w:szCs w:val="23"/>
                <w:color w:val="auto"/>
                <w:w w:val="78"/>
              </w:rPr>
              <w:t>✓</w:t>
            </w:r>
          </w:p>
        </w:tc>
        <w:tc>
          <w:tcPr>
            <w:tcW w:w="200" w:type="dxa"/>
            <w:vAlign w:val="bottom"/>
            <w:tcBorders>
              <w:right w:val="single" w:sz="8" w:color="auto"/>
            </w:tcBorders>
            <w:shd w:val="clear" w:color="auto" w:fill="D9DCE1"/>
          </w:tcPr>
          <w:p>
            <w:pPr>
              <w:spacing w:after="0"/>
              <w:rPr>
                <w:sz w:val="16"/>
                <w:szCs w:val="16"/>
                <w:color w:val="auto"/>
              </w:rPr>
            </w:pPr>
          </w:p>
        </w:tc>
        <w:tc>
          <w:tcPr>
            <w:tcW w:w="60" w:type="dxa"/>
            <w:vAlign w:val="bottom"/>
            <w:shd w:val="clear" w:color="auto" w:fill="D9DCE1"/>
          </w:tcPr>
          <w:p>
            <w:pPr>
              <w:spacing w:after="0"/>
              <w:rPr>
                <w:sz w:val="16"/>
                <w:szCs w:val="16"/>
                <w:color w:val="auto"/>
              </w:rPr>
            </w:pPr>
          </w:p>
        </w:tc>
        <w:tc>
          <w:tcPr>
            <w:tcW w:w="320" w:type="dxa"/>
            <w:vAlign w:val="bottom"/>
            <w:vMerge w:val="restart"/>
            <w:shd w:val="clear" w:color="auto" w:fill="D9DCE1"/>
          </w:tcPr>
          <w:p>
            <w:pPr>
              <w:ind w:left="140"/>
              <w:spacing w:after="0" w:line="253" w:lineRule="exact"/>
              <w:rPr>
                <w:sz w:val="20"/>
                <w:szCs w:val="20"/>
                <w:color w:val="auto"/>
              </w:rPr>
            </w:pPr>
            <w:r>
              <w:rPr>
                <w:rFonts w:ascii="Arial" w:cs="Arial" w:eastAsia="Arial" w:hAnsi="Arial"/>
                <w:sz w:val="22"/>
                <w:szCs w:val="22"/>
                <w:color w:val="auto"/>
                <w:w w:val="72"/>
                <w:vertAlign w:val="subscript"/>
              </w:rPr>
              <w:t>​</w:t>
            </w:r>
            <w:r>
              <w:rPr>
                <w:rFonts w:ascii="MS PGothic" w:cs="MS PGothic" w:eastAsia="MS PGothic" w:hAnsi="MS PGothic"/>
                <w:sz w:val="22"/>
                <w:szCs w:val="22"/>
                <w:color w:val="auto"/>
                <w:w w:val="72"/>
              </w:rPr>
              <w:t>✓</w:t>
            </w:r>
          </w:p>
        </w:tc>
        <w:tc>
          <w:tcPr>
            <w:tcW w:w="160" w:type="dxa"/>
            <w:vAlign w:val="bottom"/>
            <w:tcBorders>
              <w:right w:val="single" w:sz="8" w:color="auto"/>
            </w:tcBorders>
            <w:shd w:val="clear" w:color="auto" w:fill="D9DCE1"/>
          </w:tcPr>
          <w:p>
            <w:pPr>
              <w:spacing w:after="0"/>
              <w:rPr>
                <w:sz w:val="16"/>
                <w:szCs w:val="16"/>
                <w:color w:val="auto"/>
              </w:rPr>
            </w:pPr>
          </w:p>
        </w:tc>
        <w:tc>
          <w:tcPr>
            <w:tcW w:w="60" w:type="dxa"/>
            <w:vAlign w:val="bottom"/>
            <w:shd w:val="clear" w:color="auto" w:fill="D9DCE1"/>
          </w:tcPr>
          <w:p>
            <w:pPr>
              <w:spacing w:after="0"/>
              <w:rPr>
                <w:sz w:val="16"/>
                <w:szCs w:val="16"/>
                <w:color w:val="auto"/>
              </w:rPr>
            </w:pPr>
          </w:p>
        </w:tc>
        <w:tc>
          <w:tcPr>
            <w:tcW w:w="420" w:type="dxa"/>
            <w:vAlign w:val="bottom"/>
            <w:vMerge w:val="restart"/>
            <w:shd w:val="clear" w:color="auto" w:fill="D9DCE1"/>
          </w:tcPr>
          <w:p>
            <w:pPr>
              <w:ind w:left="220"/>
              <w:spacing w:after="0" w:line="265" w:lineRule="exact"/>
              <w:rPr>
                <w:sz w:val="20"/>
                <w:szCs w:val="20"/>
                <w:color w:val="auto"/>
              </w:rPr>
            </w:pPr>
            <w:r>
              <w:rPr>
                <w:rFonts w:ascii="Arial" w:cs="Arial" w:eastAsia="Arial" w:hAnsi="Arial"/>
                <w:sz w:val="23"/>
                <w:szCs w:val="23"/>
                <w:color w:val="auto"/>
                <w:w w:val="78"/>
                <w:vertAlign w:val="subscript"/>
              </w:rPr>
              <w:t>​</w:t>
            </w:r>
            <w:r>
              <w:rPr>
                <w:rFonts w:ascii="MS PGothic" w:cs="MS PGothic" w:eastAsia="MS PGothic" w:hAnsi="MS PGothic"/>
                <w:sz w:val="23"/>
                <w:szCs w:val="23"/>
                <w:color w:val="auto"/>
                <w:w w:val="78"/>
              </w:rPr>
              <w:t>✓</w:t>
            </w:r>
          </w:p>
        </w:tc>
        <w:tc>
          <w:tcPr>
            <w:tcW w:w="200" w:type="dxa"/>
            <w:vAlign w:val="bottom"/>
            <w:tcBorders>
              <w:right w:val="single" w:sz="8" w:color="auto"/>
            </w:tcBorders>
            <w:shd w:val="clear" w:color="auto" w:fill="D9DCE1"/>
          </w:tcPr>
          <w:p>
            <w:pPr>
              <w:spacing w:after="0"/>
              <w:rPr>
                <w:sz w:val="16"/>
                <w:szCs w:val="16"/>
                <w:color w:val="auto"/>
              </w:rPr>
            </w:pPr>
          </w:p>
        </w:tc>
        <w:tc>
          <w:tcPr>
            <w:tcW w:w="60" w:type="dxa"/>
            <w:vAlign w:val="bottom"/>
            <w:shd w:val="clear" w:color="auto" w:fill="D9DCE1"/>
          </w:tcPr>
          <w:p>
            <w:pPr>
              <w:spacing w:after="0"/>
              <w:rPr>
                <w:sz w:val="16"/>
                <w:szCs w:val="16"/>
                <w:color w:val="auto"/>
              </w:rPr>
            </w:pPr>
          </w:p>
        </w:tc>
        <w:tc>
          <w:tcPr>
            <w:tcW w:w="460" w:type="dxa"/>
            <w:vAlign w:val="bottom"/>
            <w:vMerge w:val="restart"/>
            <w:shd w:val="clear" w:color="auto" w:fill="D9DCE1"/>
          </w:tcPr>
          <w:p>
            <w:pPr>
              <w:ind w:left="240"/>
              <w:spacing w:after="0" w:line="265" w:lineRule="exact"/>
              <w:rPr>
                <w:sz w:val="20"/>
                <w:szCs w:val="20"/>
                <w:color w:val="auto"/>
              </w:rPr>
            </w:pPr>
            <w:r>
              <w:rPr>
                <w:rFonts w:ascii="Arial" w:cs="Arial" w:eastAsia="Arial" w:hAnsi="Arial"/>
                <w:sz w:val="23"/>
                <w:szCs w:val="23"/>
                <w:color w:val="auto"/>
                <w:w w:val="86"/>
                <w:vertAlign w:val="subscript"/>
              </w:rPr>
              <w:t>​</w:t>
            </w:r>
            <w:r>
              <w:rPr>
                <w:rFonts w:ascii="MS PGothic" w:cs="MS PGothic" w:eastAsia="MS PGothic" w:hAnsi="MS PGothic"/>
                <w:sz w:val="23"/>
                <w:szCs w:val="23"/>
                <w:color w:val="auto"/>
                <w:w w:val="86"/>
              </w:rPr>
              <w:t>✓</w:t>
            </w:r>
          </w:p>
        </w:tc>
        <w:tc>
          <w:tcPr>
            <w:tcW w:w="200" w:type="dxa"/>
            <w:vAlign w:val="bottom"/>
            <w:tcBorders>
              <w:right w:val="single" w:sz="8" w:color="auto"/>
            </w:tcBorders>
            <w:shd w:val="clear" w:color="auto" w:fill="D9DCE1"/>
          </w:tcPr>
          <w:p>
            <w:pPr>
              <w:spacing w:after="0"/>
              <w:rPr>
                <w:sz w:val="16"/>
                <w:szCs w:val="16"/>
                <w:color w:val="auto"/>
              </w:rPr>
            </w:pPr>
          </w:p>
        </w:tc>
        <w:tc>
          <w:tcPr>
            <w:tcW w:w="60" w:type="dxa"/>
            <w:vAlign w:val="bottom"/>
            <w:shd w:val="clear" w:color="auto" w:fill="D9DCE1"/>
          </w:tcPr>
          <w:p>
            <w:pPr>
              <w:spacing w:after="0"/>
              <w:rPr>
                <w:sz w:val="16"/>
                <w:szCs w:val="16"/>
                <w:color w:val="auto"/>
              </w:rPr>
            </w:pPr>
          </w:p>
        </w:tc>
        <w:tc>
          <w:tcPr>
            <w:tcW w:w="420" w:type="dxa"/>
            <w:vAlign w:val="bottom"/>
            <w:vMerge w:val="restart"/>
            <w:shd w:val="clear" w:color="auto" w:fill="D9DCE1"/>
          </w:tcPr>
          <w:p>
            <w:pPr>
              <w:ind w:left="160"/>
              <w:spacing w:after="0" w:line="265" w:lineRule="exact"/>
              <w:rPr>
                <w:sz w:val="20"/>
                <w:szCs w:val="20"/>
                <w:color w:val="auto"/>
              </w:rPr>
            </w:pPr>
            <w:r>
              <w:rPr>
                <w:rFonts w:ascii="Arial" w:cs="Arial" w:eastAsia="Arial" w:hAnsi="Arial"/>
                <w:sz w:val="23"/>
                <w:szCs w:val="23"/>
                <w:color w:val="auto"/>
                <w:vertAlign w:val="subscript"/>
              </w:rPr>
              <w:t>​</w:t>
            </w:r>
            <w:r>
              <w:rPr>
                <w:rFonts w:ascii="MS PGothic" w:cs="MS PGothic" w:eastAsia="MS PGothic" w:hAnsi="MS PGothic"/>
                <w:sz w:val="23"/>
                <w:szCs w:val="23"/>
                <w:color w:val="auto"/>
              </w:rPr>
              <w:t>✓</w:t>
            </w:r>
          </w:p>
        </w:tc>
        <w:tc>
          <w:tcPr>
            <w:tcW w:w="80" w:type="dxa"/>
            <w:vAlign w:val="bottom"/>
            <w:tcBorders>
              <w:right w:val="single" w:sz="8" w:color="424E6A"/>
            </w:tcBorders>
            <w:shd w:val="clear" w:color="auto" w:fill="D9DCE1"/>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424E6A"/>
              <w:bottom w:val="single" w:sz="8" w:color="auto"/>
              <w:right w:val="single" w:sz="8" w:color="auto"/>
            </w:tcBorders>
            <w:shd w:val="clear" w:color="auto" w:fill="D9DCE1"/>
          </w:tcPr>
          <w:p>
            <w:pPr>
              <w:ind w:left="180"/>
              <w:spacing w:after="0"/>
              <w:rPr>
                <w:sz w:val="20"/>
                <w:szCs w:val="20"/>
                <w:color w:val="auto"/>
              </w:rPr>
            </w:pPr>
            <w:r>
              <w:rPr>
                <w:rFonts w:ascii="Arial" w:cs="Arial" w:eastAsia="Arial" w:hAnsi="Arial"/>
                <w:sz w:val="11"/>
                <w:szCs w:val="11"/>
                <w:color w:val="auto"/>
              </w:rPr>
              <w:t>Experience</w:t>
            </w:r>
          </w:p>
        </w:tc>
        <w:tc>
          <w:tcPr>
            <w:tcW w:w="40" w:type="dxa"/>
            <w:vAlign w:val="bottom"/>
            <w:tcBorders>
              <w:bottom w:val="single" w:sz="8" w:color="auto"/>
            </w:tcBorders>
            <w:shd w:val="clear" w:color="auto" w:fill="D9DCE1"/>
          </w:tcPr>
          <w:p>
            <w:pPr>
              <w:spacing w:after="0"/>
              <w:rPr>
                <w:sz w:val="15"/>
                <w:szCs w:val="15"/>
                <w:color w:val="auto"/>
              </w:rPr>
            </w:pPr>
          </w:p>
        </w:tc>
        <w:tc>
          <w:tcPr>
            <w:tcW w:w="600" w:type="dxa"/>
            <w:vAlign w:val="bottom"/>
            <w:tcBorders>
              <w:bottom w:val="single" w:sz="8" w:color="auto"/>
            </w:tcBorders>
            <w:vMerge w:val="continue"/>
            <w:shd w:val="clear" w:color="auto" w:fill="D9DCE1"/>
          </w:tcPr>
          <w:p>
            <w:pPr>
              <w:spacing w:after="0"/>
              <w:rPr>
                <w:sz w:val="15"/>
                <w:szCs w:val="15"/>
                <w:color w:val="auto"/>
              </w:rPr>
            </w:pPr>
          </w:p>
        </w:tc>
        <w:tc>
          <w:tcPr>
            <w:tcW w:w="80" w:type="dxa"/>
            <w:vAlign w:val="bottom"/>
            <w:tcBorders>
              <w:bottom w:val="single" w:sz="8" w:color="auto"/>
              <w:right w:val="single" w:sz="8" w:color="auto"/>
            </w:tcBorders>
            <w:shd w:val="clear" w:color="auto" w:fill="D9DCE1"/>
          </w:tcPr>
          <w:p>
            <w:pPr>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spacing w:after="0"/>
              <w:rPr>
                <w:sz w:val="15"/>
                <w:szCs w:val="15"/>
                <w:color w:val="auto"/>
              </w:rPr>
            </w:pPr>
          </w:p>
        </w:tc>
        <w:tc>
          <w:tcPr>
            <w:tcW w:w="360" w:type="dxa"/>
            <w:vAlign w:val="bottom"/>
            <w:tcBorders>
              <w:bottom w:val="single" w:sz="8" w:color="auto"/>
              <w:right w:val="single" w:sz="8" w:color="auto"/>
            </w:tcBorders>
            <w:gridSpan w:val="2"/>
            <w:vMerge w:val="continue"/>
            <w:shd w:val="clear" w:color="auto" w:fill="D9DCE1"/>
          </w:tcPr>
          <w:p>
            <w:pPr>
              <w:spacing w:after="0"/>
              <w:rPr>
                <w:sz w:val="15"/>
                <w:szCs w:val="15"/>
                <w:color w:val="auto"/>
              </w:rPr>
            </w:pPr>
          </w:p>
        </w:tc>
        <w:tc>
          <w:tcPr>
            <w:tcW w:w="40" w:type="dxa"/>
            <w:vAlign w:val="bottom"/>
            <w:tcBorders>
              <w:bottom w:val="single" w:sz="8" w:color="auto"/>
            </w:tcBorders>
            <w:shd w:val="clear" w:color="auto" w:fill="D9DCE1"/>
          </w:tcPr>
          <w:p>
            <w:pPr>
              <w:spacing w:after="0"/>
              <w:rPr>
                <w:sz w:val="15"/>
                <w:szCs w:val="15"/>
                <w:color w:val="auto"/>
              </w:rPr>
            </w:pPr>
          </w:p>
        </w:tc>
        <w:tc>
          <w:tcPr>
            <w:tcW w:w="400" w:type="dxa"/>
            <w:vAlign w:val="bottom"/>
            <w:tcBorders>
              <w:bottom w:val="single" w:sz="8" w:color="auto"/>
            </w:tcBorders>
            <w:vMerge w:val="continue"/>
            <w:shd w:val="clear" w:color="auto" w:fill="D9DCE1"/>
          </w:tcPr>
          <w:p>
            <w:pPr>
              <w:spacing w:after="0"/>
              <w:rPr>
                <w:sz w:val="15"/>
                <w:szCs w:val="15"/>
                <w:color w:val="auto"/>
              </w:rPr>
            </w:pPr>
          </w:p>
        </w:tc>
        <w:tc>
          <w:tcPr>
            <w:tcW w:w="100" w:type="dxa"/>
            <w:vAlign w:val="bottom"/>
            <w:tcBorders>
              <w:bottom w:val="single" w:sz="8" w:color="auto"/>
              <w:right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vMerge w:val="continue"/>
            <w:shd w:val="clear" w:color="auto" w:fill="D9DCE1"/>
          </w:tcPr>
          <w:p>
            <w:pPr>
              <w:spacing w:after="0"/>
              <w:rPr>
                <w:sz w:val="15"/>
                <w:szCs w:val="15"/>
                <w:color w:val="auto"/>
              </w:rPr>
            </w:pPr>
          </w:p>
        </w:tc>
        <w:tc>
          <w:tcPr>
            <w:tcW w:w="220" w:type="dxa"/>
            <w:vAlign w:val="bottom"/>
            <w:tcBorders>
              <w:bottom w:val="single" w:sz="8" w:color="auto"/>
              <w:right w:val="single" w:sz="8" w:color="auto"/>
            </w:tcBorders>
            <w:shd w:val="clear" w:color="auto" w:fill="D9DCE1"/>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vMerge w:val="continue"/>
            <w:shd w:val="clear" w:color="auto" w:fill="D9DCE1"/>
          </w:tcPr>
          <w:p>
            <w:pPr>
              <w:spacing w:after="0"/>
              <w:rPr>
                <w:sz w:val="15"/>
                <w:szCs w:val="15"/>
                <w:color w:val="auto"/>
              </w:rPr>
            </w:pPr>
          </w:p>
        </w:tc>
        <w:tc>
          <w:tcPr>
            <w:tcW w:w="200" w:type="dxa"/>
            <w:vAlign w:val="bottom"/>
            <w:tcBorders>
              <w:bottom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vMerge w:val="continue"/>
            <w:shd w:val="clear" w:color="auto" w:fill="D9DCE1"/>
          </w:tcPr>
          <w:p>
            <w:pPr>
              <w:spacing w:after="0"/>
              <w:rPr>
                <w:sz w:val="15"/>
                <w:szCs w:val="15"/>
                <w:color w:val="auto"/>
              </w:rPr>
            </w:pPr>
          </w:p>
        </w:tc>
        <w:tc>
          <w:tcPr>
            <w:tcW w:w="160" w:type="dxa"/>
            <w:vAlign w:val="bottom"/>
            <w:tcBorders>
              <w:bottom w:val="single" w:sz="8" w:color="auto"/>
              <w:right w:val="single" w:sz="8" w:color="auto"/>
            </w:tcBorders>
            <w:shd w:val="clear" w:color="auto" w:fill="D9DCE1"/>
          </w:tcPr>
          <w:p>
            <w:pPr>
              <w:ind w:left="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
                <w:szCs w:val="1"/>
                <w:color w:val="auto"/>
                <w:w w:val="4294942296"/>
              </w:rPr>
              <w:t>​</w:t>
            </w:r>
          </w:p>
        </w:tc>
        <w:tc>
          <w:tcPr>
            <w:tcW w:w="400" w:type="dxa"/>
            <w:vAlign w:val="bottom"/>
            <w:tcBorders>
              <w:bottom w:val="single" w:sz="8" w:color="auto"/>
            </w:tcBorders>
            <w:vMerge w:val="continue"/>
            <w:shd w:val="clear" w:color="auto" w:fill="D9DCE1"/>
          </w:tcPr>
          <w:p>
            <w:pPr>
              <w:spacing w:after="0"/>
              <w:rPr>
                <w:sz w:val="15"/>
                <w:szCs w:val="15"/>
                <w:color w:val="auto"/>
              </w:rPr>
            </w:pPr>
          </w:p>
        </w:tc>
        <w:tc>
          <w:tcPr>
            <w:tcW w:w="200" w:type="dxa"/>
            <w:vAlign w:val="bottom"/>
            <w:tcBorders>
              <w:bottom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vMerge w:val="continue"/>
            <w:shd w:val="clear" w:color="auto" w:fill="D9DCE1"/>
          </w:tcPr>
          <w:p>
            <w:pPr>
              <w:spacing w:after="0"/>
              <w:rPr>
                <w:sz w:val="15"/>
                <w:szCs w:val="15"/>
                <w:color w:val="auto"/>
              </w:rPr>
            </w:pPr>
          </w:p>
        </w:tc>
        <w:tc>
          <w:tcPr>
            <w:tcW w:w="160" w:type="dxa"/>
            <w:vAlign w:val="bottom"/>
            <w:tcBorders>
              <w:bottom w:val="single" w:sz="8" w:color="auto"/>
              <w:right w:val="single" w:sz="8" w:color="auto"/>
            </w:tcBorders>
            <w:shd w:val="clear" w:color="auto" w:fill="D9DCE1"/>
          </w:tcPr>
          <w:p>
            <w:pPr>
              <w:ind w:left="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vMerge w:val="continue"/>
            <w:shd w:val="clear" w:color="auto" w:fill="D9DCE1"/>
          </w:tcPr>
          <w:p>
            <w:pPr>
              <w:spacing w:after="0"/>
              <w:rPr>
                <w:sz w:val="15"/>
                <w:szCs w:val="15"/>
                <w:color w:val="auto"/>
              </w:rPr>
            </w:pPr>
          </w:p>
        </w:tc>
        <w:tc>
          <w:tcPr>
            <w:tcW w:w="200" w:type="dxa"/>
            <w:vAlign w:val="bottom"/>
            <w:tcBorders>
              <w:bottom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vMerge w:val="continue"/>
            <w:shd w:val="clear" w:color="auto" w:fill="D9DCE1"/>
          </w:tcPr>
          <w:p>
            <w:pPr>
              <w:spacing w:after="0"/>
              <w:rPr>
                <w:sz w:val="15"/>
                <w:szCs w:val="15"/>
                <w:color w:val="auto"/>
              </w:rPr>
            </w:pPr>
          </w:p>
        </w:tc>
        <w:tc>
          <w:tcPr>
            <w:tcW w:w="200" w:type="dxa"/>
            <w:vAlign w:val="bottom"/>
            <w:tcBorders>
              <w:bottom w:val="single" w:sz="8" w:color="auto"/>
              <w:right w:val="single" w:sz="8" w:color="auto"/>
            </w:tcBorders>
            <w:shd w:val="clear" w:color="auto" w:fill="D9DCE1"/>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vMerge w:val="continue"/>
            <w:shd w:val="clear" w:color="auto" w:fill="D9DCE1"/>
          </w:tcPr>
          <w:p>
            <w:pPr>
              <w:spacing w:after="0"/>
              <w:rPr>
                <w:sz w:val="15"/>
                <w:szCs w:val="15"/>
                <w:color w:val="auto"/>
              </w:rPr>
            </w:pPr>
          </w:p>
        </w:tc>
        <w:tc>
          <w:tcPr>
            <w:tcW w:w="80" w:type="dxa"/>
            <w:vAlign w:val="bottom"/>
            <w:tcBorders>
              <w:bottom w:val="single" w:sz="8" w:color="auto"/>
              <w:right w:val="single" w:sz="8" w:color="424E6A"/>
            </w:tcBorders>
            <w:shd w:val="clear" w:color="auto" w:fill="D9DCE1"/>
          </w:tcPr>
          <w:p>
            <w:pP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9"/>
        </w:trPr>
        <w:tc>
          <w:tcPr>
            <w:tcW w:w="1400" w:type="dxa"/>
            <w:vAlign w:val="bottom"/>
            <w:tcBorders>
              <w:left w:val="single" w:sz="8" w:color="424E6A"/>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Finance/Accounting</w:t>
            </w:r>
          </w:p>
        </w:tc>
        <w:tc>
          <w:tcPr>
            <w:tcW w:w="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260"/>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gridSpan w:val="2"/>
          </w:tcPr>
          <w:p>
            <w:pPr>
              <w:jc w:val="right"/>
              <w:ind w:right="3"/>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w:t>
            </w:r>
          </w:p>
        </w:tc>
        <w:tc>
          <w:tcPr>
            <w:tcW w:w="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160"/>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ind w:left="220"/>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ind w:left="220"/>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tcPr>
          <w:p>
            <w:pPr>
              <w:ind w:left="160"/>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40"/>
              <w:spacing w:after="0"/>
              <w:rPr>
                <w:sz w:val="20"/>
                <w:szCs w:val="20"/>
                <w:color w:val="auto"/>
              </w:rPr>
            </w:pPr>
            <w:r>
              <w:rPr>
                <w:rFonts w:ascii="Arial" w:cs="Arial" w:eastAsia="Arial" w:hAnsi="Arial"/>
                <w:sz w:val="1"/>
                <w:szCs w:val="1"/>
                <w:color w:val="auto"/>
                <w:w w:val="4294942296"/>
              </w:rPr>
              <w:t>​</w:t>
            </w:r>
          </w:p>
        </w:tc>
        <w:tc>
          <w:tcPr>
            <w:tcW w:w="400" w:type="dxa"/>
            <w:vAlign w:val="bottom"/>
            <w:tcBorders>
              <w:bottom w:val="single" w:sz="8" w:color="auto"/>
            </w:tcBorders>
          </w:tcPr>
          <w:p>
            <w:pPr>
              <w:ind w:left="200"/>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tcPr>
          <w:p>
            <w:pPr>
              <w:ind w:left="140"/>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tcPr>
          <w:p>
            <w:pPr>
              <w:ind w:left="220"/>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tcPr>
          <w:p>
            <w:pPr>
              <w:ind w:left="240"/>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tcPr>
          <w:p>
            <w:pPr>
              <w:ind w:left="160"/>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80" w:type="dxa"/>
            <w:vAlign w:val="bottom"/>
            <w:tcBorders>
              <w:bottom w:val="single" w:sz="8" w:color="auto"/>
              <w:right w:val="single" w:sz="8" w:color="424E6A"/>
            </w:tcBorders>
          </w:tcPr>
          <w:p>
            <w:pP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8"/>
        </w:trPr>
        <w:tc>
          <w:tcPr>
            <w:tcW w:w="1400" w:type="dxa"/>
            <w:vAlign w:val="bottom"/>
            <w:tcBorders>
              <w:left w:val="single" w:sz="8" w:color="424E6A"/>
              <w:right w:val="single" w:sz="8" w:color="auto"/>
            </w:tcBorders>
            <w:shd w:val="clear" w:color="auto" w:fill="D9DCE1"/>
          </w:tcPr>
          <w:p>
            <w:pPr>
              <w:ind w:left="60"/>
              <w:spacing w:after="0"/>
              <w:rPr>
                <w:sz w:val="20"/>
                <w:szCs w:val="20"/>
                <w:color w:val="auto"/>
              </w:rPr>
            </w:pPr>
            <w:r>
              <w:rPr>
                <w:rFonts w:ascii="Arial" w:cs="Arial" w:eastAsia="Arial" w:hAnsi="Arial"/>
                <w:sz w:val="11"/>
                <w:szCs w:val="11"/>
                <w:color w:val="auto"/>
              </w:rPr>
              <w:t>Business Development/​</w:t>
            </w:r>
          </w:p>
        </w:tc>
        <w:tc>
          <w:tcPr>
            <w:tcW w:w="40" w:type="dxa"/>
            <w:vAlign w:val="bottom"/>
            <w:shd w:val="clear" w:color="auto" w:fill="D9DCE1"/>
          </w:tcPr>
          <w:p>
            <w:pPr>
              <w:spacing w:after="0"/>
              <w:rPr>
                <w:sz w:val="15"/>
                <w:szCs w:val="15"/>
                <w:color w:val="auto"/>
              </w:rPr>
            </w:pPr>
          </w:p>
        </w:tc>
        <w:tc>
          <w:tcPr>
            <w:tcW w:w="600" w:type="dxa"/>
            <w:vAlign w:val="bottom"/>
            <w:vMerge w:val="restart"/>
            <w:shd w:val="clear" w:color="auto" w:fill="D9DCE1"/>
          </w:tcPr>
          <w:p>
            <w:pPr>
              <w:ind w:left="2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80" w:type="dxa"/>
            <w:vAlign w:val="bottom"/>
            <w:tcBorders>
              <w:right w:val="single" w:sz="8" w:color="auto"/>
            </w:tcBorders>
            <w:shd w:val="clear" w:color="auto" w:fill="D9DCE1"/>
          </w:tcPr>
          <w:p>
            <w:pPr>
              <w:spacing w:after="0"/>
              <w:rPr>
                <w:sz w:val="15"/>
                <w:szCs w:val="15"/>
                <w:color w:val="auto"/>
              </w:rPr>
            </w:pPr>
          </w:p>
        </w:tc>
        <w:tc>
          <w:tcPr>
            <w:tcW w:w="60" w:type="dxa"/>
            <w:vAlign w:val="bottom"/>
            <w:shd w:val="clear" w:color="auto" w:fill="D9DCE1"/>
          </w:tcPr>
          <w:p>
            <w:pPr>
              <w:spacing w:after="0"/>
              <w:rPr>
                <w:sz w:val="15"/>
                <w:szCs w:val="15"/>
                <w:color w:val="auto"/>
              </w:rPr>
            </w:pPr>
          </w:p>
        </w:tc>
        <w:tc>
          <w:tcPr>
            <w:tcW w:w="360" w:type="dxa"/>
            <w:vAlign w:val="bottom"/>
            <w:tcBorders>
              <w:right w:val="single" w:sz="8" w:color="auto"/>
            </w:tcBorders>
            <w:gridSpan w:val="2"/>
            <w:vMerge w:val="restart"/>
            <w:shd w:val="clear" w:color="auto" w:fill="D9DCE1"/>
          </w:tcPr>
          <w:p>
            <w:pPr>
              <w:jc w:val="right"/>
              <w:ind w:right="3"/>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w:t>
            </w:r>
          </w:p>
        </w:tc>
        <w:tc>
          <w:tcPr>
            <w:tcW w:w="40" w:type="dxa"/>
            <w:vAlign w:val="bottom"/>
            <w:shd w:val="clear" w:color="auto" w:fill="D9DCE1"/>
          </w:tcPr>
          <w:p>
            <w:pPr>
              <w:spacing w:after="0"/>
              <w:rPr>
                <w:sz w:val="15"/>
                <w:szCs w:val="15"/>
                <w:color w:val="auto"/>
              </w:rPr>
            </w:pPr>
          </w:p>
        </w:tc>
        <w:tc>
          <w:tcPr>
            <w:tcW w:w="400" w:type="dxa"/>
            <w:vAlign w:val="bottom"/>
            <w:vMerge w:val="restart"/>
            <w:shd w:val="clear" w:color="auto" w:fill="D9DCE1"/>
          </w:tcPr>
          <w:p>
            <w:pPr>
              <w:ind w:left="1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00" w:type="dxa"/>
            <w:vAlign w:val="bottom"/>
            <w:tcBorders>
              <w:right w:val="single" w:sz="8" w:color="auto"/>
            </w:tcBorders>
            <w:shd w:val="clear" w:color="auto" w:fill="D9DCE1"/>
          </w:tcPr>
          <w:p>
            <w:pPr>
              <w:spacing w:after="0"/>
              <w:rPr>
                <w:sz w:val="15"/>
                <w:szCs w:val="15"/>
                <w:color w:val="auto"/>
              </w:rPr>
            </w:pPr>
          </w:p>
        </w:tc>
        <w:tc>
          <w:tcPr>
            <w:tcW w:w="60" w:type="dxa"/>
            <w:vAlign w:val="bottom"/>
            <w:shd w:val="clear" w:color="auto" w:fill="D9DCE1"/>
          </w:tcPr>
          <w:p>
            <w:pPr>
              <w:spacing w:after="0"/>
              <w:rPr>
                <w:sz w:val="15"/>
                <w:szCs w:val="15"/>
                <w:color w:val="auto"/>
              </w:rPr>
            </w:pPr>
          </w:p>
        </w:tc>
        <w:tc>
          <w:tcPr>
            <w:tcW w:w="440" w:type="dxa"/>
            <w:vAlign w:val="bottom"/>
            <w:vMerge w:val="restart"/>
            <w:shd w:val="clear" w:color="auto" w:fill="D9DCE1"/>
          </w:tcPr>
          <w:p>
            <w:pPr>
              <w:ind w:left="22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20" w:type="dxa"/>
            <w:vAlign w:val="bottom"/>
            <w:tcBorders>
              <w:right w:val="single" w:sz="8" w:color="auto"/>
            </w:tcBorders>
            <w:shd w:val="clear" w:color="auto" w:fill="D9DCE1"/>
          </w:tcPr>
          <w:p>
            <w:pPr>
              <w:spacing w:after="0"/>
              <w:rPr>
                <w:sz w:val="15"/>
                <w:szCs w:val="15"/>
                <w:color w:val="auto"/>
              </w:rPr>
            </w:pPr>
          </w:p>
        </w:tc>
        <w:tc>
          <w:tcPr>
            <w:tcW w:w="60" w:type="dxa"/>
            <w:vAlign w:val="bottom"/>
            <w:shd w:val="clear" w:color="auto" w:fill="D9DCE1"/>
          </w:tcPr>
          <w:p>
            <w:pPr>
              <w:spacing w:after="0"/>
              <w:rPr>
                <w:sz w:val="15"/>
                <w:szCs w:val="15"/>
                <w:color w:val="auto"/>
              </w:rPr>
            </w:pPr>
          </w:p>
        </w:tc>
        <w:tc>
          <w:tcPr>
            <w:tcW w:w="440" w:type="dxa"/>
            <w:vAlign w:val="bottom"/>
            <w:vMerge w:val="restart"/>
            <w:shd w:val="clear" w:color="auto" w:fill="D9DCE1"/>
          </w:tcPr>
          <w:p>
            <w:pPr>
              <w:ind w:left="22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right w:val="single" w:sz="8" w:color="auto"/>
            </w:tcBorders>
            <w:shd w:val="clear" w:color="auto" w:fill="D9DCE1"/>
          </w:tcPr>
          <w:p>
            <w:pPr>
              <w:spacing w:after="0"/>
              <w:rPr>
                <w:sz w:val="15"/>
                <w:szCs w:val="15"/>
                <w:color w:val="auto"/>
              </w:rPr>
            </w:pPr>
          </w:p>
        </w:tc>
        <w:tc>
          <w:tcPr>
            <w:tcW w:w="60" w:type="dxa"/>
            <w:vAlign w:val="bottom"/>
            <w:shd w:val="clear" w:color="auto" w:fill="D9DCE1"/>
          </w:tcPr>
          <w:p>
            <w:pPr>
              <w:spacing w:after="0"/>
              <w:rPr>
                <w:sz w:val="15"/>
                <w:szCs w:val="15"/>
                <w:color w:val="auto"/>
              </w:rPr>
            </w:pPr>
          </w:p>
        </w:tc>
        <w:tc>
          <w:tcPr>
            <w:tcW w:w="340" w:type="dxa"/>
            <w:vAlign w:val="bottom"/>
            <w:vMerge w:val="restart"/>
            <w:shd w:val="clear" w:color="auto" w:fill="D9DCE1"/>
          </w:tcPr>
          <w:p>
            <w:pPr>
              <w:ind w:left="1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60" w:type="dxa"/>
            <w:vAlign w:val="bottom"/>
            <w:tcBorders>
              <w:right w:val="single" w:sz="8" w:color="auto"/>
            </w:tcBorders>
            <w:shd w:val="clear" w:color="auto" w:fill="D9DCE1"/>
          </w:tcPr>
          <w:p>
            <w:pPr>
              <w:spacing w:after="0"/>
              <w:rPr>
                <w:sz w:val="15"/>
                <w:szCs w:val="15"/>
                <w:color w:val="auto"/>
              </w:rPr>
            </w:pPr>
          </w:p>
        </w:tc>
        <w:tc>
          <w:tcPr>
            <w:tcW w:w="60" w:type="dxa"/>
            <w:vAlign w:val="bottom"/>
            <w:shd w:val="clear" w:color="auto" w:fill="D9DCE1"/>
          </w:tcPr>
          <w:p>
            <w:pPr>
              <w:spacing w:after="0"/>
              <w:rPr>
                <w:sz w:val="15"/>
                <w:szCs w:val="15"/>
                <w:color w:val="auto"/>
              </w:rPr>
            </w:pPr>
          </w:p>
        </w:tc>
        <w:tc>
          <w:tcPr>
            <w:tcW w:w="400" w:type="dxa"/>
            <w:vAlign w:val="bottom"/>
            <w:vMerge w:val="restart"/>
            <w:shd w:val="clear" w:color="auto" w:fill="D9DCE1"/>
          </w:tcPr>
          <w:p>
            <w:pPr>
              <w:ind w:left="20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right w:val="single" w:sz="8" w:color="auto"/>
            </w:tcBorders>
            <w:shd w:val="clear" w:color="auto" w:fill="D9DCE1"/>
          </w:tcPr>
          <w:p>
            <w:pPr>
              <w:spacing w:after="0"/>
              <w:rPr>
                <w:sz w:val="15"/>
                <w:szCs w:val="15"/>
                <w:color w:val="auto"/>
              </w:rPr>
            </w:pPr>
          </w:p>
        </w:tc>
        <w:tc>
          <w:tcPr>
            <w:tcW w:w="60" w:type="dxa"/>
            <w:vAlign w:val="bottom"/>
            <w:shd w:val="clear" w:color="auto" w:fill="D9DCE1"/>
          </w:tcPr>
          <w:p>
            <w:pPr>
              <w:spacing w:after="0"/>
              <w:rPr>
                <w:sz w:val="15"/>
                <w:szCs w:val="15"/>
                <w:color w:val="auto"/>
              </w:rPr>
            </w:pPr>
          </w:p>
        </w:tc>
        <w:tc>
          <w:tcPr>
            <w:tcW w:w="320" w:type="dxa"/>
            <w:vAlign w:val="bottom"/>
            <w:vMerge w:val="restart"/>
            <w:shd w:val="clear" w:color="auto" w:fill="D9DCE1"/>
          </w:tcPr>
          <w:p>
            <w:pPr>
              <w:ind w:left="14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60" w:type="dxa"/>
            <w:vAlign w:val="bottom"/>
            <w:tcBorders>
              <w:right w:val="single" w:sz="8" w:color="auto"/>
            </w:tcBorders>
            <w:shd w:val="clear" w:color="auto" w:fill="D9DCE1"/>
          </w:tcPr>
          <w:p>
            <w:pPr>
              <w:spacing w:after="0"/>
              <w:rPr>
                <w:sz w:val="15"/>
                <w:szCs w:val="15"/>
                <w:color w:val="auto"/>
              </w:rPr>
            </w:pPr>
          </w:p>
        </w:tc>
        <w:tc>
          <w:tcPr>
            <w:tcW w:w="60" w:type="dxa"/>
            <w:vAlign w:val="bottom"/>
            <w:shd w:val="clear" w:color="auto" w:fill="D9DCE1"/>
          </w:tcPr>
          <w:p>
            <w:pPr>
              <w:spacing w:after="0"/>
              <w:rPr>
                <w:sz w:val="15"/>
                <w:szCs w:val="15"/>
                <w:color w:val="auto"/>
              </w:rPr>
            </w:pPr>
          </w:p>
        </w:tc>
        <w:tc>
          <w:tcPr>
            <w:tcW w:w="420" w:type="dxa"/>
            <w:vAlign w:val="bottom"/>
            <w:vMerge w:val="restart"/>
            <w:shd w:val="clear" w:color="auto" w:fill="D9DCE1"/>
          </w:tcPr>
          <w:p>
            <w:pPr>
              <w:ind w:left="22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right w:val="single" w:sz="8" w:color="auto"/>
            </w:tcBorders>
            <w:shd w:val="clear" w:color="auto" w:fill="D9DCE1"/>
          </w:tcPr>
          <w:p>
            <w:pPr>
              <w:spacing w:after="0"/>
              <w:rPr>
                <w:sz w:val="15"/>
                <w:szCs w:val="15"/>
                <w:color w:val="auto"/>
              </w:rPr>
            </w:pPr>
          </w:p>
        </w:tc>
        <w:tc>
          <w:tcPr>
            <w:tcW w:w="60" w:type="dxa"/>
            <w:vAlign w:val="bottom"/>
            <w:shd w:val="clear" w:color="auto" w:fill="D9DCE1"/>
          </w:tcPr>
          <w:p>
            <w:pPr>
              <w:spacing w:after="0"/>
              <w:rPr>
                <w:sz w:val="15"/>
                <w:szCs w:val="15"/>
                <w:color w:val="auto"/>
              </w:rPr>
            </w:pPr>
          </w:p>
        </w:tc>
        <w:tc>
          <w:tcPr>
            <w:tcW w:w="460" w:type="dxa"/>
            <w:vAlign w:val="bottom"/>
            <w:vMerge w:val="restart"/>
            <w:shd w:val="clear" w:color="auto" w:fill="D9DCE1"/>
          </w:tcPr>
          <w:p>
            <w:pPr>
              <w:ind w:left="24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right w:val="single" w:sz="8" w:color="auto"/>
            </w:tcBorders>
            <w:shd w:val="clear" w:color="auto" w:fill="D9DCE1"/>
          </w:tcPr>
          <w:p>
            <w:pPr>
              <w:spacing w:after="0"/>
              <w:rPr>
                <w:sz w:val="15"/>
                <w:szCs w:val="15"/>
                <w:color w:val="auto"/>
              </w:rPr>
            </w:pPr>
          </w:p>
        </w:tc>
        <w:tc>
          <w:tcPr>
            <w:tcW w:w="60" w:type="dxa"/>
            <w:vAlign w:val="bottom"/>
            <w:shd w:val="clear" w:color="auto" w:fill="D9DCE1"/>
          </w:tcPr>
          <w:p>
            <w:pPr>
              <w:spacing w:after="0"/>
              <w:rPr>
                <w:sz w:val="15"/>
                <w:szCs w:val="15"/>
                <w:color w:val="auto"/>
              </w:rPr>
            </w:pPr>
          </w:p>
        </w:tc>
        <w:tc>
          <w:tcPr>
            <w:tcW w:w="420" w:type="dxa"/>
            <w:vAlign w:val="bottom"/>
            <w:vMerge w:val="restart"/>
            <w:shd w:val="clear" w:color="auto" w:fill="D9DCE1"/>
          </w:tcPr>
          <w:p>
            <w:pPr>
              <w:ind w:left="1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80" w:type="dxa"/>
            <w:vAlign w:val="bottom"/>
            <w:tcBorders>
              <w:right w:val="single" w:sz="8" w:color="424E6A"/>
            </w:tcBorders>
            <w:shd w:val="clear" w:color="auto" w:fill="D9DCE1"/>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424E6A"/>
              <w:bottom w:val="single" w:sz="8" w:color="auto"/>
              <w:right w:val="single" w:sz="8" w:color="auto"/>
            </w:tcBorders>
            <w:shd w:val="clear" w:color="auto" w:fill="D9DCE1"/>
          </w:tcPr>
          <w:p>
            <w:pPr>
              <w:ind w:left="180"/>
              <w:spacing w:after="0"/>
              <w:rPr>
                <w:sz w:val="20"/>
                <w:szCs w:val="20"/>
                <w:color w:val="auto"/>
              </w:rPr>
            </w:pPr>
            <w:r>
              <w:rPr>
                <w:rFonts w:ascii="Arial" w:cs="Arial" w:eastAsia="Arial" w:hAnsi="Arial"/>
                <w:sz w:val="11"/>
                <w:szCs w:val="11"/>
                <w:color w:val="auto"/>
              </w:rPr>
              <w:t>Strategy/Commercial</w:t>
            </w:r>
          </w:p>
        </w:tc>
        <w:tc>
          <w:tcPr>
            <w:tcW w:w="40" w:type="dxa"/>
            <w:vAlign w:val="bottom"/>
            <w:tcBorders>
              <w:bottom w:val="single" w:sz="8" w:color="auto"/>
            </w:tcBorders>
            <w:shd w:val="clear" w:color="auto" w:fill="D9DCE1"/>
          </w:tcPr>
          <w:p>
            <w:pPr>
              <w:spacing w:after="0"/>
              <w:rPr>
                <w:sz w:val="15"/>
                <w:szCs w:val="15"/>
                <w:color w:val="auto"/>
              </w:rPr>
            </w:pPr>
          </w:p>
        </w:tc>
        <w:tc>
          <w:tcPr>
            <w:tcW w:w="600" w:type="dxa"/>
            <w:vAlign w:val="bottom"/>
            <w:tcBorders>
              <w:bottom w:val="single" w:sz="8" w:color="auto"/>
            </w:tcBorders>
            <w:vMerge w:val="continue"/>
            <w:shd w:val="clear" w:color="auto" w:fill="D9DCE1"/>
          </w:tcPr>
          <w:p>
            <w:pPr>
              <w:spacing w:after="0"/>
              <w:rPr>
                <w:sz w:val="15"/>
                <w:szCs w:val="15"/>
                <w:color w:val="auto"/>
              </w:rPr>
            </w:pPr>
          </w:p>
        </w:tc>
        <w:tc>
          <w:tcPr>
            <w:tcW w:w="80" w:type="dxa"/>
            <w:vAlign w:val="bottom"/>
            <w:tcBorders>
              <w:bottom w:val="single" w:sz="8" w:color="auto"/>
              <w:right w:val="single" w:sz="8" w:color="auto"/>
            </w:tcBorders>
            <w:shd w:val="clear" w:color="auto" w:fill="D9DCE1"/>
          </w:tcPr>
          <w:p>
            <w:pPr>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spacing w:after="0"/>
              <w:rPr>
                <w:sz w:val="15"/>
                <w:szCs w:val="15"/>
                <w:color w:val="auto"/>
              </w:rPr>
            </w:pPr>
          </w:p>
        </w:tc>
        <w:tc>
          <w:tcPr>
            <w:tcW w:w="360" w:type="dxa"/>
            <w:vAlign w:val="bottom"/>
            <w:tcBorders>
              <w:bottom w:val="single" w:sz="8" w:color="auto"/>
              <w:right w:val="single" w:sz="8" w:color="auto"/>
            </w:tcBorders>
            <w:gridSpan w:val="2"/>
            <w:vMerge w:val="continue"/>
            <w:shd w:val="clear" w:color="auto" w:fill="D9DCE1"/>
          </w:tcPr>
          <w:p>
            <w:pPr>
              <w:spacing w:after="0"/>
              <w:rPr>
                <w:sz w:val="15"/>
                <w:szCs w:val="15"/>
                <w:color w:val="auto"/>
              </w:rPr>
            </w:pPr>
          </w:p>
        </w:tc>
        <w:tc>
          <w:tcPr>
            <w:tcW w:w="40" w:type="dxa"/>
            <w:vAlign w:val="bottom"/>
            <w:tcBorders>
              <w:bottom w:val="single" w:sz="8" w:color="auto"/>
            </w:tcBorders>
            <w:shd w:val="clear" w:color="auto" w:fill="D9DCE1"/>
          </w:tcPr>
          <w:p>
            <w:pPr>
              <w:spacing w:after="0"/>
              <w:rPr>
                <w:sz w:val="15"/>
                <w:szCs w:val="15"/>
                <w:color w:val="auto"/>
              </w:rPr>
            </w:pPr>
          </w:p>
        </w:tc>
        <w:tc>
          <w:tcPr>
            <w:tcW w:w="400" w:type="dxa"/>
            <w:vAlign w:val="bottom"/>
            <w:tcBorders>
              <w:bottom w:val="single" w:sz="8" w:color="auto"/>
            </w:tcBorders>
            <w:vMerge w:val="continue"/>
            <w:shd w:val="clear" w:color="auto" w:fill="D9DCE1"/>
          </w:tcPr>
          <w:p>
            <w:pPr>
              <w:spacing w:after="0"/>
              <w:rPr>
                <w:sz w:val="15"/>
                <w:szCs w:val="15"/>
                <w:color w:val="auto"/>
              </w:rPr>
            </w:pPr>
          </w:p>
        </w:tc>
        <w:tc>
          <w:tcPr>
            <w:tcW w:w="100" w:type="dxa"/>
            <w:vAlign w:val="bottom"/>
            <w:tcBorders>
              <w:bottom w:val="single" w:sz="8" w:color="auto"/>
              <w:right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vMerge w:val="continue"/>
            <w:shd w:val="clear" w:color="auto" w:fill="D9DCE1"/>
          </w:tcPr>
          <w:p>
            <w:pPr>
              <w:spacing w:after="0"/>
              <w:rPr>
                <w:sz w:val="15"/>
                <w:szCs w:val="15"/>
                <w:color w:val="auto"/>
              </w:rPr>
            </w:pPr>
          </w:p>
        </w:tc>
        <w:tc>
          <w:tcPr>
            <w:tcW w:w="220" w:type="dxa"/>
            <w:vAlign w:val="bottom"/>
            <w:tcBorders>
              <w:bottom w:val="single" w:sz="8" w:color="auto"/>
              <w:right w:val="single" w:sz="8" w:color="auto"/>
            </w:tcBorders>
            <w:shd w:val="clear" w:color="auto" w:fill="D9DCE1"/>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vMerge w:val="continue"/>
            <w:shd w:val="clear" w:color="auto" w:fill="D9DCE1"/>
          </w:tcPr>
          <w:p>
            <w:pPr>
              <w:spacing w:after="0"/>
              <w:rPr>
                <w:sz w:val="15"/>
                <w:szCs w:val="15"/>
                <w:color w:val="auto"/>
              </w:rPr>
            </w:pPr>
          </w:p>
        </w:tc>
        <w:tc>
          <w:tcPr>
            <w:tcW w:w="200" w:type="dxa"/>
            <w:vAlign w:val="bottom"/>
            <w:tcBorders>
              <w:bottom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vMerge w:val="continue"/>
            <w:shd w:val="clear" w:color="auto" w:fill="D9DCE1"/>
          </w:tcPr>
          <w:p>
            <w:pPr>
              <w:spacing w:after="0"/>
              <w:rPr>
                <w:sz w:val="15"/>
                <w:szCs w:val="15"/>
                <w:color w:val="auto"/>
              </w:rPr>
            </w:pPr>
          </w:p>
        </w:tc>
        <w:tc>
          <w:tcPr>
            <w:tcW w:w="160" w:type="dxa"/>
            <w:vAlign w:val="bottom"/>
            <w:tcBorders>
              <w:bottom w:val="single" w:sz="8" w:color="auto"/>
              <w:right w:val="single" w:sz="8" w:color="auto"/>
            </w:tcBorders>
            <w:shd w:val="clear" w:color="auto" w:fill="D9DCE1"/>
          </w:tcPr>
          <w:p>
            <w:pPr>
              <w:ind w:left="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
                <w:szCs w:val="1"/>
                <w:color w:val="auto"/>
                <w:w w:val="4294942296"/>
              </w:rPr>
              <w:t>​</w:t>
            </w:r>
          </w:p>
        </w:tc>
        <w:tc>
          <w:tcPr>
            <w:tcW w:w="400" w:type="dxa"/>
            <w:vAlign w:val="bottom"/>
            <w:tcBorders>
              <w:bottom w:val="single" w:sz="8" w:color="auto"/>
            </w:tcBorders>
            <w:vMerge w:val="continue"/>
            <w:shd w:val="clear" w:color="auto" w:fill="D9DCE1"/>
          </w:tcPr>
          <w:p>
            <w:pPr>
              <w:spacing w:after="0"/>
              <w:rPr>
                <w:sz w:val="15"/>
                <w:szCs w:val="15"/>
                <w:color w:val="auto"/>
              </w:rPr>
            </w:pPr>
          </w:p>
        </w:tc>
        <w:tc>
          <w:tcPr>
            <w:tcW w:w="200" w:type="dxa"/>
            <w:vAlign w:val="bottom"/>
            <w:tcBorders>
              <w:bottom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vMerge w:val="continue"/>
            <w:shd w:val="clear" w:color="auto" w:fill="D9DCE1"/>
          </w:tcPr>
          <w:p>
            <w:pPr>
              <w:spacing w:after="0"/>
              <w:rPr>
                <w:sz w:val="15"/>
                <w:szCs w:val="15"/>
                <w:color w:val="auto"/>
              </w:rPr>
            </w:pPr>
          </w:p>
        </w:tc>
        <w:tc>
          <w:tcPr>
            <w:tcW w:w="160" w:type="dxa"/>
            <w:vAlign w:val="bottom"/>
            <w:tcBorders>
              <w:bottom w:val="single" w:sz="8" w:color="auto"/>
              <w:right w:val="single" w:sz="8" w:color="auto"/>
            </w:tcBorders>
            <w:shd w:val="clear" w:color="auto" w:fill="D9DCE1"/>
          </w:tcPr>
          <w:p>
            <w:pPr>
              <w:ind w:left="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vMerge w:val="continue"/>
            <w:shd w:val="clear" w:color="auto" w:fill="D9DCE1"/>
          </w:tcPr>
          <w:p>
            <w:pPr>
              <w:spacing w:after="0"/>
              <w:rPr>
                <w:sz w:val="15"/>
                <w:szCs w:val="15"/>
                <w:color w:val="auto"/>
              </w:rPr>
            </w:pPr>
          </w:p>
        </w:tc>
        <w:tc>
          <w:tcPr>
            <w:tcW w:w="200" w:type="dxa"/>
            <w:vAlign w:val="bottom"/>
            <w:tcBorders>
              <w:bottom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vMerge w:val="continue"/>
            <w:shd w:val="clear" w:color="auto" w:fill="D9DCE1"/>
          </w:tcPr>
          <w:p>
            <w:pPr>
              <w:spacing w:after="0"/>
              <w:rPr>
                <w:sz w:val="15"/>
                <w:szCs w:val="15"/>
                <w:color w:val="auto"/>
              </w:rPr>
            </w:pPr>
          </w:p>
        </w:tc>
        <w:tc>
          <w:tcPr>
            <w:tcW w:w="200" w:type="dxa"/>
            <w:vAlign w:val="bottom"/>
            <w:tcBorders>
              <w:bottom w:val="single" w:sz="8" w:color="auto"/>
              <w:right w:val="single" w:sz="8" w:color="auto"/>
            </w:tcBorders>
            <w:shd w:val="clear" w:color="auto" w:fill="D9DCE1"/>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vMerge w:val="continue"/>
            <w:shd w:val="clear" w:color="auto" w:fill="D9DCE1"/>
          </w:tcPr>
          <w:p>
            <w:pPr>
              <w:spacing w:after="0"/>
              <w:rPr>
                <w:sz w:val="15"/>
                <w:szCs w:val="15"/>
                <w:color w:val="auto"/>
              </w:rPr>
            </w:pPr>
          </w:p>
        </w:tc>
        <w:tc>
          <w:tcPr>
            <w:tcW w:w="80" w:type="dxa"/>
            <w:vAlign w:val="bottom"/>
            <w:tcBorders>
              <w:bottom w:val="single" w:sz="8" w:color="auto"/>
              <w:right w:val="single" w:sz="8" w:color="424E6A"/>
            </w:tcBorders>
            <w:shd w:val="clear" w:color="auto" w:fill="D9DCE1"/>
          </w:tcPr>
          <w:p>
            <w:pP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8"/>
        </w:trPr>
        <w:tc>
          <w:tcPr>
            <w:tcW w:w="1400" w:type="dxa"/>
            <w:vAlign w:val="bottom"/>
            <w:tcBorders>
              <w:left w:val="single" w:sz="8" w:color="424E6A"/>
              <w:right w:val="single" w:sz="8" w:color="auto"/>
            </w:tcBorders>
          </w:tcPr>
          <w:p>
            <w:pPr>
              <w:ind w:left="60"/>
              <w:spacing w:after="0"/>
              <w:rPr>
                <w:sz w:val="20"/>
                <w:szCs w:val="20"/>
                <w:color w:val="auto"/>
              </w:rPr>
            </w:pPr>
            <w:r>
              <w:rPr>
                <w:rFonts w:ascii="Arial" w:cs="Arial" w:eastAsia="Arial" w:hAnsi="Arial"/>
                <w:sz w:val="11"/>
                <w:szCs w:val="11"/>
                <w:color w:val="auto"/>
              </w:rPr>
              <w:t>Governance/​Government</w:t>
            </w:r>
          </w:p>
        </w:tc>
        <w:tc>
          <w:tcPr>
            <w:tcW w:w="40" w:type="dxa"/>
            <w:vAlign w:val="bottom"/>
          </w:tcPr>
          <w:p>
            <w:pPr>
              <w:spacing w:after="0"/>
              <w:rPr>
                <w:sz w:val="15"/>
                <w:szCs w:val="15"/>
                <w:color w:val="auto"/>
              </w:rPr>
            </w:pPr>
          </w:p>
        </w:tc>
        <w:tc>
          <w:tcPr>
            <w:tcW w:w="600" w:type="dxa"/>
            <w:vAlign w:val="bottom"/>
            <w:vMerge w:val="restart"/>
          </w:tcPr>
          <w:p>
            <w:pPr>
              <w:ind w:left="2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Borders>
              <w:right w:val="single" w:sz="8" w:color="auto"/>
            </w:tcBorders>
            <w:gridSpan w:val="2"/>
            <w:vMerge w:val="restart"/>
          </w:tcPr>
          <w:p>
            <w:pPr>
              <w:jc w:val="right"/>
              <w:ind w:right="3"/>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w:t>
            </w:r>
          </w:p>
        </w:tc>
        <w:tc>
          <w:tcPr>
            <w:tcW w:w="40" w:type="dxa"/>
            <w:vAlign w:val="bottom"/>
          </w:tcPr>
          <w:p>
            <w:pPr>
              <w:spacing w:after="0"/>
              <w:rPr>
                <w:sz w:val="15"/>
                <w:szCs w:val="15"/>
                <w:color w:val="auto"/>
              </w:rPr>
            </w:pPr>
          </w:p>
        </w:tc>
        <w:tc>
          <w:tcPr>
            <w:tcW w:w="400" w:type="dxa"/>
            <w:vAlign w:val="bottom"/>
            <w:vMerge w:val="restart"/>
          </w:tcPr>
          <w:p>
            <w:pPr>
              <w:ind w:left="1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vMerge w:val="restart"/>
          </w:tcPr>
          <w:p>
            <w:pPr>
              <w:ind w:left="22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vMerge w:val="restart"/>
          </w:tcPr>
          <w:p>
            <w:pPr>
              <w:ind w:left="22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restart"/>
          </w:tcPr>
          <w:p>
            <w:pPr>
              <w:ind w:left="1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vMerge w:val="restart"/>
          </w:tcPr>
          <w:p>
            <w:pPr>
              <w:ind w:left="20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vMerge w:val="restart"/>
          </w:tcPr>
          <w:p>
            <w:pPr>
              <w:ind w:left="14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vMerge w:val="restart"/>
          </w:tcPr>
          <w:p>
            <w:pPr>
              <w:ind w:left="22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vMerge w:val="restart"/>
          </w:tcPr>
          <w:p>
            <w:pPr>
              <w:ind w:left="24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vMerge w:val="restart"/>
          </w:tcPr>
          <w:p>
            <w:pPr>
              <w:ind w:left="1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80" w:type="dxa"/>
            <w:vAlign w:val="bottom"/>
            <w:tcBorders>
              <w:right w:val="single" w:sz="8" w:color="424E6A"/>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424E6A"/>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Relations/Legal</w:t>
            </w:r>
          </w:p>
        </w:tc>
        <w:tc>
          <w:tcPr>
            <w:tcW w:w="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gridSpan w:val="2"/>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40"/>
              <w:spacing w:after="0"/>
              <w:rPr>
                <w:sz w:val="20"/>
                <w:szCs w:val="20"/>
                <w:color w:val="auto"/>
              </w:rPr>
            </w:pPr>
            <w:r>
              <w:rPr>
                <w:rFonts w:ascii="Arial" w:cs="Arial" w:eastAsia="Arial" w:hAnsi="Arial"/>
                <w:sz w:val="1"/>
                <w:szCs w:val="1"/>
                <w:color w:val="auto"/>
                <w:w w:val="4294942296"/>
              </w:rPr>
              <w:t>​</w:t>
            </w:r>
          </w:p>
        </w:tc>
        <w:tc>
          <w:tcPr>
            <w:tcW w:w="40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right w:val="single" w:sz="8" w:color="424E6A"/>
            </w:tcBorders>
          </w:tcPr>
          <w:p>
            <w:pP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8"/>
        </w:trPr>
        <w:tc>
          <w:tcPr>
            <w:tcW w:w="1400" w:type="dxa"/>
            <w:vAlign w:val="bottom"/>
            <w:tcBorders>
              <w:left w:val="single" w:sz="8" w:color="424E6A"/>
              <w:right w:val="single" w:sz="8" w:color="auto"/>
            </w:tcBorders>
            <w:shd w:val="clear" w:color="auto" w:fill="D9DCE1"/>
          </w:tcPr>
          <w:p>
            <w:pPr>
              <w:ind w:left="60"/>
              <w:spacing w:after="0"/>
              <w:rPr>
                <w:sz w:val="20"/>
                <w:szCs w:val="20"/>
                <w:color w:val="auto"/>
              </w:rPr>
            </w:pPr>
            <w:r>
              <w:rPr>
                <w:rFonts w:ascii="Arial" w:cs="Arial" w:eastAsia="Arial" w:hAnsi="Arial"/>
                <w:sz w:val="11"/>
                <w:szCs w:val="11"/>
                <w:color w:val="auto"/>
              </w:rPr>
              <w:t>Operations/Engineering/</w:t>
            </w:r>
          </w:p>
        </w:tc>
        <w:tc>
          <w:tcPr>
            <w:tcW w:w="40" w:type="dxa"/>
            <w:vAlign w:val="bottom"/>
            <w:shd w:val="clear" w:color="auto" w:fill="D9DCE1"/>
          </w:tcPr>
          <w:p>
            <w:pPr>
              <w:spacing w:after="0"/>
              <w:rPr>
                <w:sz w:val="15"/>
                <w:szCs w:val="15"/>
                <w:color w:val="auto"/>
              </w:rPr>
            </w:pPr>
          </w:p>
        </w:tc>
        <w:tc>
          <w:tcPr>
            <w:tcW w:w="600" w:type="dxa"/>
            <w:vAlign w:val="bottom"/>
            <w:shd w:val="clear" w:color="auto" w:fill="D9DCE1"/>
          </w:tcPr>
          <w:p>
            <w:pPr>
              <w:spacing w:after="0"/>
              <w:rPr>
                <w:sz w:val="15"/>
                <w:szCs w:val="15"/>
                <w:color w:val="auto"/>
              </w:rPr>
            </w:pPr>
          </w:p>
        </w:tc>
        <w:tc>
          <w:tcPr>
            <w:tcW w:w="80" w:type="dxa"/>
            <w:vAlign w:val="bottom"/>
            <w:tcBorders>
              <w:right w:val="single" w:sz="8" w:color="auto"/>
            </w:tcBorders>
            <w:shd w:val="clear" w:color="auto" w:fill="D9DCE1"/>
          </w:tcPr>
          <w:p>
            <w:pPr>
              <w:spacing w:after="0"/>
              <w:rPr>
                <w:sz w:val="15"/>
                <w:szCs w:val="15"/>
                <w:color w:val="auto"/>
              </w:rPr>
            </w:pPr>
          </w:p>
        </w:tc>
        <w:tc>
          <w:tcPr>
            <w:tcW w:w="60" w:type="dxa"/>
            <w:vAlign w:val="bottom"/>
            <w:shd w:val="clear" w:color="auto" w:fill="D9DCE1"/>
          </w:tcPr>
          <w:p>
            <w:pPr>
              <w:spacing w:after="0"/>
              <w:rPr>
                <w:sz w:val="15"/>
                <w:szCs w:val="15"/>
                <w:color w:val="auto"/>
              </w:rPr>
            </w:pPr>
          </w:p>
        </w:tc>
        <w:tc>
          <w:tcPr>
            <w:tcW w:w="260" w:type="dxa"/>
            <w:vAlign w:val="bottom"/>
            <w:shd w:val="clear" w:color="auto" w:fill="D9DCE1"/>
          </w:tcPr>
          <w:p>
            <w:pPr>
              <w:spacing w:after="0"/>
              <w:rPr>
                <w:sz w:val="15"/>
                <w:szCs w:val="15"/>
                <w:color w:val="auto"/>
              </w:rPr>
            </w:pPr>
          </w:p>
        </w:tc>
        <w:tc>
          <w:tcPr>
            <w:tcW w:w="100" w:type="dxa"/>
            <w:vAlign w:val="bottom"/>
            <w:tcBorders>
              <w:right w:val="single" w:sz="8" w:color="auto"/>
            </w:tcBorders>
            <w:shd w:val="clear" w:color="auto" w:fill="D9DCE1"/>
          </w:tcPr>
          <w:p>
            <w:pPr>
              <w:spacing w:after="0"/>
              <w:rPr>
                <w:sz w:val="15"/>
                <w:szCs w:val="15"/>
                <w:color w:val="auto"/>
              </w:rPr>
            </w:pPr>
          </w:p>
        </w:tc>
        <w:tc>
          <w:tcPr>
            <w:tcW w:w="40" w:type="dxa"/>
            <w:vAlign w:val="bottom"/>
            <w:shd w:val="clear" w:color="auto" w:fill="D9DCE1"/>
          </w:tcPr>
          <w:p>
            <w:pPr>
              <w:spacing w:after="0"/>
              <w:rPr>
                <w:sz w:val="15"/>
                <w:szCs w:val="15"/>
                <w:color w:val="auto"/>
              </w:rPr>
            </w:pPr>
          </w:p>
        </w:tc>
        <w:tc>
          <w:tcPr>
            <w:tcW w:w="400" w:type="dxa"/>
            <w:vAlign w:val="bottom"/>
            <w:shd w:val="clear" w:color="auto" w:fill="D9DCE1"/>
          </w:tcPr>
          <w:p>
            <w:pPr>
              <w:spacing w:after="0"/>
              <w:rPr>
                <w:sz w:val="15"/>
                <w:szCs w:val="15"/>
                <w:color w:val="auto"/>
              </w:rPr>
            </w:pPr>
          </w:p>
        </w:tc>
        <w:tc>
          <w:tcPr>
            <w:tcW w:w="100" w:type="dxa"/>
            <w:vAlign w:val="bottom"/>
            <w:tcBorders>
              <w:right w:val="single" w:sz="8" w:color="auto"/>
            </w:tcBorders>
            <w:shd w:val="clear" w:color="auto" w:fill="D9DCE1"/>
          </w:tcPr>
          <w:p>
            <w:pPr>
              <w:spacing w:after="0"/>
              <w:rPr>
                <w:sz w:val="15"/>
                <w:szCs w:val="15"/>
                <w:color w:val="auto"/>
              </w:rPr>
            </w:pPr>
          </w:p>
        </w:tc>
        <w:tc>
          <w:tcPr>
            <w:tcW w:w="60" w:type="dxa"/>
            <w:vAlign w:val="bottom"/>
            <w:shd w:val="clear" w:color="auto" w:fill="D9DCE1"/>
          </w:tcPr>
          <w:p>
            <w:pPr>
              <w:spacing w:after="0"/>
              <w:rPr>
                <w:sz w:val="15"/>
                <w:szCs w:val="15"/>
                <w:color w:val="auto"/>
              </w:rPr>
            </w:pPr>
          </w:p>
        </w:tc>
        <w:tc>
          <w:tcPr>
            <w:tcW w:w="440" w:type="dxa"/>
            <w:vAlign w:val="bottom"/>
            <w:shd w:val="clear" w:color="auto" w:fill="D9DCE1"/>
          </w:tcPr>
          <w:p>
            <w:pPr>
              <w:spacing w:after="0"/>
              <w:rPr>
                <w:sz w:val="15"/>
                <w:szCs w:val="15"/>
                <w:color w:val="auto"/>
              </w:rPr>
            </w:pPr>
          </w:p>
        </w:tc>
        <w:tc>
          <w:tcPr>
            <w:tcW w:w="220" w:type="dxa"/>
            <w:vAlign w:val="bottom"/>
            <w:tcBorders>
              <w:right w:val="single" w:sz="8" w:color="auto"/>
            </w:tcBorders>
            <w:shd w:val="clear" w:color="auto" w:fill="D9DCE1"/>
          </w:tcPr>
          <w:p>
            <w:pPr>
              <w:spacing w:after="0"/>
              <w:rPr>
                <w:sz w:val="15"/>
                <w:szCs w:val="15"/>
                <w:color w:val="auto"/>
              </w:rPr>
            </w:pPr>
          </w:p>
        </w:tc>
        <w:tc>
          <w:tcPr>
            <w:tcW w:w="60" w:type="dxa"/>
            <w:vAlign w:val="bottom"/>
            <w:shd w:val="clear" w:color="auto" w:fill="D9DCE1"/>
          </w:tcPr>
          <w:p>
            <w:pPr>
              <w:spacing w:after="0"/>
              <w:rPr>
                <w:sz w:val="15"/>
                <w:szCs w:val="15"/>
                <w:color w:val="auto"/>
              </w:rPr>
            </w:pPr>
          </w:p>
        </w:tc>
        <w:tc>
          <w:tcPr>
            <w:tcW w:w="440" w:type="dxa"/>
            <w:vAlign w:val="bottom"/>
            <w:shd w:val="clear" w:color="auto" w:fill="D9DCE1"/>
          </w:tcPr>
          <w:p>
            <w:pPr>
              <w:spacing w:after="0"/>
              <w:rPr>
                <w:sz w:val="15"/>
                <w:szCs w:val="15"/>
                <w:color w:val="auto"/>
              </w:rPr>
            </w:pPr>
          </w:p>
        </w:tc>
        <w:tc>
          <w:tcPr>
            <w:tcW w:w="200" w:type="dxa"/>
            <w:vAlign w:val="bottom"/>
            <w:tcBorders>
              <w:right w:val="single" w:sz="8" w:color="auto"/>
            </w:tcBorders>
            <w:shd w:val="clear" w:color="auto" w:fill="D9DCE1"/>
          </w:tcPr>
          <w:p>
            <w:pPr>
              <w:spacing w:after="0"/>
              <w:rPr>
                <w:sz w:val="15"/>
                <w:szCs w:val="15"/>
                <w:color w:val="auto"/>
              </w:rPr>
            </w:pPr>
          </w:p>
        </w:tc>
        <w:tc>
          <w:tcPr>
            <w:tcW w:w="60" w:type="dxa"/>
            <w:vAlign w:val="bottom"/>
            <w:shd w:val="clear" w:color="auto" w:fill="D9DCE1"/>
          </w:tcPr>
          <w:p>
            <w:pPr>
              <w:spacing w:after="0"/>
              <w:rPr>
                <w:sz w:val="15"/>
                <w:szCs w:val="15"/>
                <w:color w:val="auto"/>
              </w:rPr>
            </w:pPr>
          </w:p>
        </w:tc>
        <w:tc>
          <w:tcPr>
            <w:tcW w:w="340" w:type="dxa"/>
            <w:vAlign w:val="bottom"/>
            <w:shd w:val="clear" w:color="auto" w:fill="D9DCE1"/>
          </w:tcPr>
          <w:p>
            <w:pPr>
              <w:spacing w:after="0"/>
              <w:rPr>
                <w:sz w:val="15"/>
                <w:szCs w:val="15"/>
                <w:color w:val="auto"/>
              </w:rPr>
            </w:pPr>
          </w:p>
        </w:tc>
        <w:tc>
          <w:tcPr>
            <w:tcW w:w="160" w:type="dxa"/>
            <w:vAlign w:val="bottom"/>
            <w:tcBorders>
              <w:right w:val="single" w:sz="8" w:color="auto"/>
            </w:tcBorders>
            <w:shd w:val="clear" w:color="auto" w:fill="D9DCE1"/>
          </w:tcPr>
          <w:p>
            <w:pPr>
              <w:spacing w:after="0"/>
              <w:rPr>
                <w:sz w:val="15"/>
                <w:szCs w:val="15"/>
                <w:color w:val="auto"/>
              </w:rPr>
            </w:pPr>
          </w:p>
        </w:tc>
        <w:tc>
          <w:tcPr>
            <w:tcW w:w="60" w:type="dxa"/>
            <w:vAlign w:val="bottom"/>
            <w:shd w:val="clear" w:color="auto" w:fill="D9DCE1"/>
          </w:tcPr>
          <w:p>
            <w:pPr>
              <w:spacing w:after="0"/>
              <w:rPr>
                <w:sz w:val="15"/>
                <w:szCs w:val="15"/>
                <w:color w:val="auto"/>
              </w:rPr>
            </w:pPr>
          </w:p>
        </w:tc>
        <w:tc>
          <w:tcPr>
            <w:tcW w:w="400" w:type="dxa"/>
            <w:vAlign w:val="bottom"/>
            <w:shd w:val="clear" w:color="auto" w:fill="D9DCE1"/>
          </w:tcPr>
          <w:p>
            <w:pPr>
              <w:spacing w:after="0"/>
              <w:rPr>
                <w:sz w:val="15"/>
                <w:szCs w:val="15"/>
                <w:color w:val="auto"/>
              </w:rPr>
            </w:pPr>
          </w:p>
        </w:tc>
        <w:tc>
          <w:tcPr>
            <w:tcW w:w="200" w:type="dxa"/>
            <w:vAlign w:val="bottom"/>
            <w:tcBorders>
              <w:right w:val="single" w:sz="8" w:color="auto"/>
            </w:tcBorders>
            <w:shd w:val="clear" w:color="auto" w:fill="D9DCE1"/>
          </w:tcPr>
          <w:p>
            <w:pPr>
              <w:spacing w:after="0"/>
              <w:rPr>
                <w:sz w:val="15"/>
                <w:szCs w:val="15"/>
                <w:color w:val="auto"/>
              </w:rPr>
            </w:pPr>
          </w:p>
        </w:tc>
        <w:tc>
          <w:tcPr>
            <w:tcW w:w="60" w:type="dxa"/>
            <w:vAlign w:val="bottom"/>
            <w:shd w:val="clear" w:color="auto" w:fill="D9DCE1"/>
          </w:tcPr>
          <w:p>
            <w:pPr>
              <w:spacing w:after="0"/>
              <w:rPr>
                <w:sz w:val="15"/>
                <w:szCs w:val="15"/>
                <w:color w:val="auto"/>
              </w:rPr>
            </w:pPr>
          </w:p>
        </w:tc>
        <w:tc>
          <w:tcPr>
            <w:tcW w:w="320" w:type="dxa"/>
            <w:vAlign w:val="bottom"/>
            <w:shd w:val="clear" w:color="auto" w:fill="D9DCE1"/>
          </w:tcPr>
          <w:p>
            <w:pPr>
              <w:spacing w:after="0"/>
              <w:rPr>
                <w:sz w:val="15"/>
                <w:szCs w:val="15"/>
                <w:color w:val="auto"/>
              </w:rPr>
            </w:pPr>
          </w:p>
        </w:tc>
        <w:tc>
          <w:tcPr>
            <w:tcW w:w="160" w:type="dxa"/>
            <w:vAlign w:val="bottom"/>
            <w:tcBorders>
              <w:right w:val="single" w:sz="8" w:color="auto"/>
            </w:tcBorders>
            <w:shd w:val="clear" w:color="auto" w:fill="D9DCE1"/>
          </w:tcPr>
          <w:p>
            <w:pPr>
              <w:spacing w:after="0"/>
              <w:rPr>
                <w:sz w:val="15"/>
                <w:szCs w:val="15"/>
                <w:color w:val="auto"/>
              </w:rPr>
            </w:pPr>
          </w:p>
        </w:tc>
        <w:tc>
          <w:tcPr>
            <w:tcW w:w="60" w:type="dxa"/>
            <w:vAlign w:val="bottom"/>
            <w:shd w:val="clear" w:color="auto" w:fill="D9DCE1"/>
          </w:tcPr>
          <w:p>
            <w:pPr>
              <w:spacing w:after="0"/>
              <w:rPr>
                <w:sz w:val="15"/>
                <w:szCs w:val="15"/>
                <w:color w:val="auto"/>
              </w:rPr>
            </w:pPr>
          </w:p>
        </w:tc>
        <w:tc>
          <w:tcPr>
            <w:tcW w:w="420" w:type="dxa"/>
            <w:vAlign w:val="bottom"/>
            <w:shd w:val="clear" w:color="auto" w:fill="D9DCE1"/>
          </w:tcPr>
          <w:p>
            <w:pPr>
              <w:spacing w:after="0"/>
              <w:rPr>
                <w:sz w:val="15"/>
                <w:szCs w:val="15"/>
                <w:color w:val="auto"/>
              </w:rPr>
            </w:pPr>
          </w:p>
        </w:tc>
        <w:tc>
          <w:tcPr>
            <w:tcW w:w="200" w:type="dxa"/>
            <w:vAlign w:val="bottom"/>
            <w:tcBorders>
              <w:right w:val="single" w:sz="8" w:color="auto"/>
            </w:tcBorders>
            <w:shd w:val="clear" w:color="auto" w:fill="D9DCE1"/>
          </w:tcPr>
          <w:p>
            <w:pPr>
              <w:spacing w:after="0"/>
              <w:rPr>
                <w:sz w:val="15"/>
                <w:szCs w:val="15"/>
                <w:color w:val="auto"/>
              </w:rPr>
            </w:pPr>
          </w:p>
        </w:tc>
        <w:tc>
          <w:tcPr>
            <w:tcW w:w="60" w:type="dxa"/>
            <w:vAlign w:val="bottom"/>
            <w:shd w:val="clear" w:color="auto" w:fill="D9DCE1"/>
          </w:tcPr>
          <w:p>
            <w:pPr>
              <w:spacing w:after="0"/>
              <w:rPr>
                <w:sz w:val="15"/>
                <w:szCs w:val="15"/>
                <w:color w:val="auto"/>
              </w:rPr>
            </w:pPr>
          </w:p>
        </w:tc>
        <w:tc>
          <w:tcPr>
            <w:tcW w:w="460" w:type="dxa"/>
            <w:vAlign w:val="bottom"/>
            <w:shd w:val="clear" w:color="auto" w:fill="D9DCE1"/>
          </w:tcPr>
          <w:p>
            <w:pPr>
              <w:spacing w:after="0"/>
              <w:rPr>
                <w:sz w:val="15"/>
                <w:szCs w:val="15"/>
                <w:color w:val="auto"/>
              </w:rPr>
            </w:pPr>
          </w:p>
        </w:tc>
        <w:tc>
          <w:tcPr>
            <w:tcW w:w="200" w:type="dxa"/>
            <w:vAlign w:val="bottom"/>
            <w:tcBorders>
              <w:right w:val="single" w:sz="8" w:color="auto"/>
            </w:tcBorders>
            <w:shd w:val="clear" w:color="auto" w:fill="D9DCE1"/>
          </w:tcPr>
          <w:p>
            <w:pPr>
              <w:spacing w:after="0"/>
              <w:rPr>
                <w:sz w:val="15"/>
                <w:szCs w:val="15"/>
                <w:color w:val="auto"/>
              </w:rPr>
            </w:pPr>
          </w:p>
        </w:tc>
        <w:tc>
          <w:tcPr>
            <w:tcW w:w="60" w:type="dxa"/>
            <w:vAlign w:val="bottom"/>
            <w:shd w:val="clear" w:color="auto" w:fill="D9DCE1"/>
          </w:tcPr>
          <w:p>
            <w:pPr>
              <w:spacing w:after="0"/>
              <w:rPr>
                <w:sz w:val="15"/>
                <w:szCs w:val="15"/>
                <w:color w:val="auto"/>
              </w:rPr>
            </w:pPr>
          </w:p>
        </w:tc>
        <w:tc>
          <w:tcPr>
            <w:tcW w:w="420" w:type="dxa"/>
            <w:vAlign w:val="bottom"/>
            <w:shd w:val="clear" w:color="auto" w:fill="D9DCE1"/>
          </w:tcPr>
          <w:p>
            <w:pPr>
              <w:spacing w:after="0"/>
              <w:rPr>
                <w:sz w:val="15"/>
                <w:szCs w:val="15"/>
                <w:color w:val="auto"/>
              </w:rPr>
            </w:pPr>
          </w:p>
        </w:tc>
        <w:tc>
          <w:tcPr>
            <w:tcW w:w="80" w:type="dxa"/>
            <w:vAlign w:val="bottom"/>
            <w:tcBorders>
              <w:right w:val="single" w:sz="8" w:color="424E6A"/>
            </w:tcBorders>
            <w:shd w:val="clear" w:color="auto" w:fill="D9DCE1"/>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424E6A"/>
              <w:right w:val="single" w:sz="8" w:color="auto"/>
            </w:tcBorders>
            <w:shd w:val="clear" w:color="auto" w:fill="D9DCE1"/>
          </w:tcPr>
          <w:p>
            <w:pPr>
              <w:ind w:left="180"/>
              <w:spacing w:after="0"/>
              <w:rPr>
                <w:sz w:val="20"/>
                <w:szCs w:val="20"/>
                <w:color w:val="auto"/>
              </w:rPr>
            </w:pPr>
            <w:r>
              <w:rPr>
                <w:rFonts w:ascii="Arial" w:cs="Arial" w:eastAsia="Arial" w:hAnsi="Arial"/>
                <w:sz w:val="11"/>
                <w:szCs w:val="11"/>
                <w:color w:val="auto"/>
              </w:rPr>
              <w:t>Construction/​</w:t>
            </w:r>
          </w:p>
        </w:tc>
        <w:tc>
          <w:tcPr>
            <w:tcW w:w="40" w:type="dxa"/>
            <w:vAlign w:val="bottom"/>
            <w:shd w:val="clear" w:color="auto" w:fill="D9DCE1"/>
          </w:tcPr>
          <w:p>
            <w:pPr>
              <w:spacing w:after="0"/>
              <w:rPr>
                <w:sz w:val="11"/>
                <w:szCs w:val="11"/>
                <w:color w:val="auto"/>
              </w:rPr>
            </w:pPr>
          </w:p>
        </w:tc>
        <w:tc>
          <w:tcPr>
            <w:tcW w:w="600" w:type="dxa"/>
            <w:vAlign w:val="bottom"/>
            <w:vMerge w:val="restart"/>
            <w:shd w:val="clear" w:color="auto" w:fill="D9DCE1"/>
          </w:tcPr>
          <w:p>
            <w:pPr>
              <w:ind w:left="2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80" w:type="dxa"/>
            <w:vAlign w:val="bottom"/>
            <w:tcBorders>
              <w:right w:val="single" w:sz="8" w:color="auto"/>
            </w:tcBorders>
            <w:shd w:val="clear" w:color="auto" w:fill="D9DCE1"/>
          </w:tcPr>
          <w:p>
            <w:pPr>
              <w:spacing w:after="0"/>
              <w:rPr>
                <w:sz w:val="11"/>
                <w:szCs w:val="11"/>
                <w:color w:val="auto"/>
              </w:rPr>
            </w:pPr>
          </w:p>
        </w:tc>
        <w:tc>
          <w:tcPr>
            <w:tcW w:w="60" w:type="dxa"/>
            <w:vAlign w:val="bottom"/>
            <w:shd w:val="clear" w:color="auto" w:fill="D9DCE1"/>
          </w:tcPr>
          <w:p>
            <w:pPr>
              <w:spacing w:after="0"/>
              <w:rPr>
                <w:sz w:val="11"/>
                <w:szCs w:val="11"/>
                <w:color w:val="auto"/>
              </w:rPr>
            </w:pPr>
          </w:p>
        </w:tc>
        <w:tc>
          <w:tcPr>
            <w:tcW w:w="260" w:type="dxa"/>
            <w:vAlign w:val="bottom"/>
            <w:shd w:val="clear" w:color="auto" w:fill="D9DCE1"/>
          </w:tcPr>
          <w:p>
            <w:pPr>
              <w:spacing w:after="0"/>
              <w:rPr>
                <w:sz w:val="11"/>
                <w:szCs w:val="11"/>
                <w:color w:val="auto"/>
              </w:rPr>
            </w:pPr>
          </w:p>
        </w:tc>
        <w:tc>
          <w:tcPr>
            <w:tcW w:w="100" w:type="dxa"/>
            <w:vAlign w:val="bottom"/>
            <w:tcBorders>
              <w:right w:val="single" w:sz="8" w:color="auto"/>
            </w:tcBorders>
            <w:shd w:val="clear" w:color="auto" w:fill="D9DCE1"/>
          </w:tcPr>
          <w:p>
            <w:pPr>
              <w:spacing w:after="0"/>
              <w:rPr>
                <w:sz w:val="11"/>
                <w:szCs w:val="11"/>
                <w:color w:val="auto"/>
              </w:rPr>
            </w:pPr>
          </w:p>
        </w:tc>
        <w:tc>
          <w:tcPr>
            <w:tcW w:w="40" w:type="dxa"/>
            <w:vAlign w:val="bottom"/>
            <w:shd w:val="clear" w:color="auto" w:fill="D9DCE1"/>
          </w:tcPr>
          <w:p>
            <w:pPr>
              <w:spacing w:after="0"/>
              <w:rPr>
                <w:sz w:val="11"/>
                <w:szCs w:val="11"/>
                <w:color w:val="auto"/>
              </w:rPr>
            </w:pPr>
          </w:p>
        </w:tc>
        <w:tc>
          <w:tcPr>
            <w:tcW w:w="400" w:type="dxa"/>
            <w:vAlign w:val="bottom"/>
            <w:vMerge w:val="restart"/>
            <w:shd w:val="clear" w:color="auto" w:fill="D9DCE1"/>
          </w:tcPr>
          <w:p>
            <w:pPr>
              <w:ind w:left="1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00" w:type="dxa"/>
            <w:vAlign w:val="bottom"/>
            <w:tcBorders>
              <w:right w:val="single" w:sz="8" w:color="auto"/>
            </w:tcBorders>
            <w:shd w:val="clear" w:color="auto" w:fill="D9DCE1"/>
          </w:tcPr>
          <w:p>
            <w:pPr>
              <w:spacing w:after="0"/>
              <w:rPr>
                <w:sz w:val="11"/>
                <w:szCs w:val="11"/>
                <w:color w:val="auto"/>
              </w:rPr>
            </w:pPr>
          </w:p>
        </w:tc>
        <w:tc>
          <w:tcPr>
            <w:tcW w:w="60" w:type="dxa"/>
            <w:vAlign w:val="bottom"/>
            <w:shd w:val="clear" w:color="auto" w:fill="D9DCE1"/>
          </w:tcPr>
          <w:p>
            <w:pPr>
              <w:spacing w:after="0"/>
              <w:rPr>
                <w:sz w:val="11"/>
                <w:szCs w:val="11"/>
                <w:color w:val="auto"/>
              </w:rPr>
            </w:pPr>
          </w:p>
        </w:tc>
        <w:tc>
          <w:tcPr>
            <w:tcW w:w="440" w:type="dxa"/>
            <w:vAlign w:val="bottom"/>
            <w:vMerge w:val="restart"/>
            <w:shd w:val="clear" w:color="auto" w:fill="D9DCE1"/>
          </w:tcPr>
          <w:p>
            <w:pPr>
              <w:ind w:left="22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20" w:type="dxa"/>
            <w:vAlign w:val="bottom"/>
            <w:tcBorders>
              <w:right w:val="single" w:sz="8" w:color="auto"/>
            </w:tcBorders>
            <w:shd w:val="clear" w:color="auto" w:fill="D9DCE1"/>
          </w:tcPr>
          <w:p>
            <w:pPr>
              <w:spacing w:after="0"/>
              <w:rPr>
                <w:sz w:val="11"/>
                <w:szCs w:val="11"/>
                <w:color w:val="auto"/>
              </w:rPr>
            </w:pPr>
          </w:p>
        </w:tc>
        <w:tc>
          <w:tcPr>
            <w:tcW w:w="60" w:type="dxa"/>
            <w:vAlign w:val="bottom"/>
            <w:shd w:val="clear" w:color="auto" w:fill="D9DCE1"/>
          </w:tcPr>
          <w:p>
            <w:pPr>
              <w:spacing w:after="0"/>
              <w:rPr>
                <w:sz w:val="11"/>
                <w:szCs w:val="11"/>
                <w:color w:val="auto"/>
              </w:rPr>
            </w:pPr>
          </w:p>
        </w:tc>
        <w:tc>
          <w:tcPr>
            <w:tcW w:w="440" w:type="dxa"/>
            <w:vAlign w:val="bottom"/>
            <w:shd w:val="clear" w:color="auto" w:fill="D9DCE1"/>
          </w:tcPr>
          <w:p>
            <w:pPr>
              <w:spacing w:after="0"/>
              <w:rPr>
                <w:sz w:val="11"/>
                <w:szCs w:val="11"/>
                <w:color w:val="auto"/>
              </w:rPr>
            </w:pPr>
          </w:p>
        </w:tc>
        <w:tc>
          <w:tcPr>
            <w:tcW w:w="200" w:type="dxa"/>
            <w:vAlign w:val="bottom"/>
            <w:tcBorders>
              <w:right w:val="single" w:sz="8" w:color="auto"/>
            </w:tcBorders>
            <w:shd w:val="clear" w:color="auto" w:fill="D9DCE1"/>
          </w:tcPr>
          <w:p>
            <w:pPr>
              <w:spacing w:after="0"/>
              <w:rPr>
                <w:sz w:val="11"/>
                <w:szCs w:val="11"/>
                <w:color w:val="auto"/>
              </w:rPr>
            </w:pPr>
          </w:p>
        </w:tc>
        <w:tc>
          <w:tcPr>
            <w:tcW w:w="60" w:type="dxa"/>
            <w:vAlign w:val="bottom"/>
            <w:shd w:val="clear" w:color="auto" w:fill="D9DCE1"/>
          </w:tcPr>
          <w:p>
            <w:pPr>
              <w:spacing w:after="0"/>
              <w:rPr>
                <w:sz w:val="11"/>
                <w:szCs w:val="11"/>
                <w:color w:val="auto"/>
              </w:rPr>
            </w:pPr>
          </w:p>
        </w:tc>
        <w:tc>
          <w:tcPr>
            <w:tcW w:w="340" w:type="dxa"/>
            <w:vAlign w:val="bottom"/>
            <w:vMerge w:val="restart"/>
            <w:shd w:val="clear" w:color="auto" w:fill="D9DCE1"/>
          </w:tcPr>
          <w:p>
            <w:pPr>
              <w:ind w:left="1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60" w:type="dxa"/>
            <w:vAlign w:val="bottom"/>
            <w:tcBorders>
              <w:right w:val="single" w:sz="8" w:color="auto"/>
            </w:tcBorders>
            <w:shd w:val="clear" w:color="auto" w:fill="D9DCE1"/>
          </w:tcPr>
          <w:p>
            <w:pPr>
              <w:spacing w:after="0"/>
              <w:rPr>
                <w:sz w:val="11"/>
                <w:szCs w:val="11"/>
                <w:color w:val="auto"/>
              </w:rPr>
            </w:pPr>
          </w:p>
        </w:tc>
        <w:tc>
          <w:tcPr>
            <w:tcW w:w="60" w:type="dxa"/>
            <w:vAlign w:val="bottom"/>
            <w:shd w:val="clear" w:color="auto" w:fill="D9DCE1"/>
          </w:tcPr>
          <w:p>
            <w:pPr>
              <w:spacing w:after="0"/>
              <w:rPr>
                <w:sz w:val="11"/>
                <w:szCs w:val="11"/>
                <w:color w:val="auto"/>
              </w:rPr>
            </w:pPr>
          </w:p>
        </w:tc>
        <w:tc>
          <w:tcPr>
            <w:tcW w:w="400" w:type="dxa"/>
            <w:vAlign w:val="bottom"/>
            <w:shd w:val="clear" w:color="auto" w:fill="D9DCE1"/>
          </w:tcPr>
          <w:p>
            <w:pPr>
              <w:spacing w:after="0"/>
              <w:rPr>
                <w:sz w:val="11"/>
                <w:szCs w:val="11"/>
                <w:color w:val="auto"/>
              </w:rPr>
            </w:pPr>
          </w:p>
        </w:tc>
        <w:tc>
          <w:tcPr>
            <w:tcW w:w="200" w:type="dxa"/>
            <w:vAlign w:val="bottom"/>
            <w:tcBorders>
              <w:right w:val="single" w:sz="8" w:color="auto"/>
            </w:tcBorders>
            <w:shd w:val="clear" w:color="auto" w:fill="D9DCE1"/>
          </w:tcPr>
          <w:p>
            <w:pPr>
              <w:spacing w:after="0"/>
              <w:rPr>
                <w:sz w:val="11"/>
                <w:szCs w:val="11"/>
                <w:color w:val="auto"/>
              </w:rPr>
            </w:pPr>
          </w:p>
        </w:tc>
        <w:tc>
          <w:tcPr>
            <w:tcW w:w="60" w:type="dxa"/>
            <w:vAlign w:val="bottom"/>
            <w:shd w:val="clear" w:color="auto" w:fill="D9DCE1"/>
          </w:tcPr>
          <w:p>
            <w:pPr>
              <w:spacing w:after="0"/>
              <w:rPr>
                <w:sz w:val="11"/>
                <w:szCs w:val="11"/>
                <w:color w:val="auto"/>
              </w:rPr>
            </w:pPr>
          </w:p>
        </w:tc>
        <w:tc>
          <w:tcPr>
            <w:tcW w:w="320" w:type="dxa"/>
            <w:vAlign w:val="bottom"/>
            <w:shd w:val="clear" w:color="auto" w:fill="D9DCE1"/>
          </w:tcPr>
          <w:p>
            <w:pPr>
              <w:spacing w:after="0"/>
              <w:rPr>
                <w:sz w:val="11"/>
                <w:szCs w:val="11"/>
                <w:color w:val="auto"/>
              </w:rPr>
            </w:pPr>
          </w:p>
        </w:tc>
        <w:tc>
          <w:tcPr>
            <w:tcW w:w="160" w:type="dxa"/>
            <w:vAlign w:val="bottom"/>
            <w:tcBorders>
              <w:right w:val="single" w:sz="8" w:color="auto"/>
            </w:tcBorders>
            <w:shd w:val="clear" w:color="auto" w:fill="D9DCE1"/>
          </w:tcPr>
          <w:p>
            <w:pPr>
              <w:spacing w:after="0"/>
              <w:rPr>
                <w:sz w:val="11"/>
                <w:szCs w:val="11"/>
                <w:color w:val="auto"/>
              </w:rPr>
            </w:pPr>
          </w:p>
        </w:tc>
        <w:tc>
          <w:tcPr>
            <w:tcW w:w="60" w:type="dxa"/>
            <w:vAlign w:val="bottom"/>
            <w:shd w:val="clear" w:color="auto" w:fill="D9DCE1"/>
          </w:tcPr>
          <w:p>
            <w:pPr>
              <w:spacing w:after="0"/>
              <w:rPr>
                <w:sz w:val="11"/>
                <w:szCs w:val="11"/>
                <w:color w:val="auto"/>
              </w:rPr>
            </w:pPr>
          </w:p>
        </w:tc>
        <w:tc>
          <w:tcPr>
            <w:tcW w:w="420" w:type="dxa"/>
            <w:vAlign w:val="bottom"/>
            <w:vMerge w:val="restart"/>
            <w:shd w:val="clear" w:color="auto" w:fill="D9DCE1"/>
          </w:tcPr>
          <w:p>
            <w:pPr>
              <w:ind w:left="22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right w:val="single" w:sz="8" w:color="auto"/>
            </w:tcBorders>
            <w:shd w:val="clear" w:color="auto" w:fill="D9DCE1"/>
          </w:tcPr>
          <w:p>
            <w:pPr>
              <w:spacing w:after="0"/>
              <w:rPr>
                <w:sz w:val="11"/>
                <w:szCs w:val="11"/>
                <w:color w:val="auto"/>
              </w:rPr>
            </w:pPr>
          </w:p>
        </w:tc>
        <w:tc>
          <w:tcPr>
            <w:tcW w:w="60" w:type="dxa"/>
            <w:vAlign w:val="bottom"/>
            <w:shd w:val="clear" w:color="auto" w:fill="D9DCE1"/>
          </w:tcPr>
          <w:p>
            <w:pPr>
              <w:spacing w:after="0"/>
              <w:rPr>
                <w:sz w:val="11"/>
                <w:szCs w:val="11"/>
                <w:color w:val="auto"/>
              </w:rPr>
            </w:pPr>
          </w:p>
        </w:tc>
        <w:tc>
          <w:tcPr>
            <w:tcW w:w="460" w:type="dxa"/>
            <w:vAlign w:val="bottom"/>
            <w:vMerge w:val="restart"/>
            <w:shd w:val="clear" w:color="auto" w:fill="D9DCE1"/>
          </w:tcPr>
          <w:p>
            <w:pPr>
              <w:ind w:left="24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right w:val="single" w:sz="8" w:color="auto"/>
            </w:tcBorders>
            <w:shd w:val="clear" w:color="auto" w:fill="D9DCE1"/>
          </w:tcPr>
          <w:p>
            <w:pPr>
              <w:spacing w:after="0"/>
              <w:rPr>
                <w:sz w:val="11"/>
                <w:szCs w:val="11"/>
                <w:color w:val="auto"/>
              </w:rPr>
            </w:pPr>
          </w:p>
        </w:tc>
        <w:tc>
          <w:tcPr>
            <w:tcW w:w="60" w:type="dxa"/>
            <w:vAlign w:val="bottom"/>
            <w:shd w:val="clear" w:color="auto" w:fill="D9DCE1"/>
          </w:tcPr>
          <w:p>
            <w:pPr>
              <w:spacing w:after="0"/>
              <w:rPr>
                <w:sz w:val="11"/>
                <w:szCs w:val="11"/>
                <w:color w:val="auto"/>
              </w:rPr>
            </w:pPr>
          </w:p>
        </w:tc>
        <w:tc>
          <w:tcPr>
            <w:tcW w:w="420" w:type="dxa"/>
            <w:vAlign w:val="bottom"/>
            <w:vMerge w:val="restart"/>
            <w:shd w:val="clear" w:color="auto" w:fill="D9DCE1"/>
          </w:tcPr>
          <w:p>
            <w:pPr>
              <w:ind w:left="1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80" w:type="dxa"/>
            <w:vAlign w:val="bottom"/>
            <w:tcBorders>
              <w:right w:val="single" w:sz="8" w:color="424E6A"/>
            </w:tcBorders>
            <w:shd w:val="clear" w:color="auto" w:fill="D9DCE1"/>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424E6A"/>
              <w:bottom w:val="single" w:sz="8" w:color="auto"/>
              <w:right w:val="single" w:sz="8" w:color="auto"/>
            </w:tcBorders>
            <w:shd w:val="clear" w:color="auto" w:fill="D9DCE1"/>
          </w:tcPr>
          <w:p>
            <w:pPr>
              <w:ind w:left="180"/>
              <w:spacing w:after="0"/>
              <w:rPr>
                <w:sz w:val="20"/>
                <w:szCs w:val="20"/>
                <w:color w:val="auto"/>
              </w:rPr>
            </w:pPr>
            <w:r>
              <w:rPr>
                <w:rFonts w:ascii="Arial" w:cs="Arial" w:eastAsia="Arial" w:hAnsi="Arial"/>
                <w:sz w:val="11"/>
                <w:szCs w:val="11"/>
                <w:color w:val="auto"/>
              </w:rPr>
              <w:t>Technical</w:t>
            </w:r>
          </w:p>
        </w:tc>
        <w:tc>
          <w:tcPr>
            <w:tcW w:w="40" w:type="dxa"/>
            <w:vAlign w:val="bottom"/>
            <w:tcBorders>
              <w:bottom w:val="single" w:sz="8" w:color="auto"/>
            </w:tcBorders>
            <w:shd w:val="clear" w:color="auto" w:fill="D9DCE1"/>
          </w:tcPr>
          <w:p>
            <w:pPr>
              <w:spacing w:after="0"/>
              <w:rPr>
                <w:sz w:val="15"/>
                <w:szCs w:val="15"/>
                <w:color w:val="auto"/>
              </w:rPr>
            </w:pPr>
          </w:p>
        </w:tc>
        <w:tc>
          <w:tcPr>
            <w:tcW w:w="600" w:type="dxa"/>
            <w:vAlign w:val="bottom"/>
            <w:tcBorders>
              <w:bottom w:val="single" w:sz="8" w:color="auto"/>
            </w:tcBorders>
            <w:vMerge w:val="continue"/>
            <w:shd w:val="clear" w:color="auto" w:fill="D9DCE1"/>
          </w:tcPr>
          <w:p>
            <w:pPr>
              <w:spacing w:after="0"/>
              <w:rPr>
                <w:sz w:val="15"/>
                <w:szCs w:val="15"/>
                <w:color w:val="auto"/>
              </w:rPr>
            </w:pPr>
          </w:p>
        </w:tc>
        <w:tc>
          <w:tcPr>
            <w:tcW w:w="80" w:type="dxa"/>
            <w:vAlign w:val="bottom"/>
            <w:tcBorders>
              <w:bottom w:val="single" w:sz="8" w:color="auto"/>
              <w:right w:val="single" w:sz="8" w:color="auto"/>
            </w:tcBorders>
            <w:shd w:val="clear" w:color="auto" w:fill="D9DCE1"/>
          </w:tcPr>
          <w:p>
            <w:pPr>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spacing w:after="0"/>
              <w:rPr>
                <w:sz w:val="15"/>
                <w:szCs w:val="15"/>
                <w:color w:val="auto"/>
              </w:rPr>
            </w:pPr>
          </w:p>
        </w:tc>
        <w:tc>
          <w:tcPr>
            <w:tcW w:w="260" w:type="dxa"/>
            <w:vAlign w:val="bottom"/>
            <w:tcBorders>
              <w:bottom w:val="single" w:sz="8" w:color="auto"/>
            </w:tcBorders>
            <w:shd w:val="clear" w:color="auto" w:fill="D9DCE1"/>
          </w:tcPr>
          <w:p>
            <w:pPr>
              <w:ind w:left="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right w:val="single" w:sz="8" w:color="auto"/>
            </w:tcBorders>
            <w:shd w:val="clear" w:color="auto" w:fill="D9DCE1"/>
          </w:tcPr>
          <w:p>
            <w:pPr>
              <w:jc w:val="right"/>
              <w:ind w:right="3"/>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shd w:val="clear" w:color="auto" w:fill="D9DCE1"/>
          </w:tcPr>
          <w:p>
            <w:pPr>
              <w:spacing w:after="0"/>
              <w:rPr>
                <w:sz w:val="15"/>
                <w:szCs w:val="15"/>
                <w:color w:val="auto"/>
              </w:rPr>
            </w:pPr>
          </w:p>
        </w:tc>
        <w:tc>
          <w:tcPr>
            <w:tcW w:w="400" w:type="dxa"/>
            <w:vAlign w:val="bottom"/>
            <w:tcBorders>
              <w:bottom w:val="single" w:sz="8" w:color="auto"/>
            </w:tcBorders>
            <w:vMerge w:val="continue"/>
            <w:shd w:val="clear" w:color="auto" w:fill="D9DCE1"/>
          </w:tcPr>
          <w:p>
            <w:pPr>
              <w:spacing w:after="0"/>
              <w:rPr>
                <w:sz w:val="15"/>
                <w:szCs w:val="15"/>
                <w:color w:val="auto"/>
              </w:rPr>
            </w:pPr>
          </w:p>
        </w:tc>
        <w:tc>
          <w:tcPr>
            <w:tcW w:w="100" w:type="dxa"/>
            <w:vAlign w:val="bottom"/>
            <w:tcBorders>
              <w:bottom w:val="single" w:sz="8" w:color="auto"/>
              <w:right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vMerge w:val="continue"/>
            <w:shd w:val="clear" w:color="auto" w:fill="D9DCE1"/>
          </w:tcPr>
          <w:p>
            <w:pPr>
              <w:spacing w:after="0"/>
              <w:rPr>
                <w:sz w:val="15"/>
                <w:szCs w:val="15"/>
                <w:color w:val="auto"/>
              </w:rPr>
            </w:pPr>
          </w:p>
        </w:tc>
        <w:tc>
          <w:tcPr>
            <w:tcW w:w="220" w:type="dxa"/>
            <w:vAlign w:val="bottom"/>
            <w:tcBorders>
              <w:bottom w:val="single" w:sz="8" w:color="auto"/>
              <w:right w:val="single" w:sz="8" w:color="auto"/>
            </w:tcBorders>
            <w:shd w:val="clear" w:color="auto" w:fill="D9DCE1"/>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shd w:val="clear" w:color="auto" w:fill="D9DCE1"/>
          </w:tcPr>
          <w:p>
            <w:pPr>
              <w:ind w:lef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vMerge w:val="continue"/>
            <w:shd w:val="clear" w:color="auto" w:fill="D9DCE1"/>
          </w:tcPr>
          <w:p>
            <w:pPr>
              <w:spacing w:after="0"/>
              <w:rPr>
                <w:sz w:val="15"/>
                <w:szCs w:val="15"/>
                <w:color w:val="auto"/>
              </w:rPr>
            </w:pPr>
          </w:p>
        </w:tc>
        <w:tc>
          <w:tcPr>
            <w:tcW w:w="160" w:type="dxa"/>
            <w:vAlign w:val="bottom"/>
            <w:tcBorders>
              <w:bottom w:val="single" w:sz="8" w:color="auto"/>
              <w:right w:val="single" w:sz="8" w:color="auto"/>
            </w:tcBorders>
            <w:shd w:val="clear" w:color="auto" w:fill="D9DCE1"/>
          </w:tcPr>
          <w:p>
            <w:pPr>
              <w:ind w:left="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
                <w:szCs w:val="1"/>
                <w:color w:val="auto"/>
                <w:w w:val="4294942296"/>
              </w:rPr>
              <w:t>​</w:t>
            </w:r>
          </w:p>
        </w:tc>
        <w:tc>
          <w:tcPr>
            <w:tcW w:w="400" w:type="dxa"/>
            <w:vAlign w:val="bottom"/>
            <w:tcBorders>
              <w:bottom w:val="single" w:sz="8" w:color="auto"/>
            </w:tcBorders>
            <w:shd w:val="clear" w:color="auto" w:fill="D9DCE1"/>
          </w:tcPr>
          <w:p>
            <w:pPr>
              <w:ind w:left="20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9DCE1"/>
          </w:tcPr>
          <w:p>
            <w:pPr>
              <w:ind w:lef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right w:val="single" w:sz="8" w:color="auto"/>
            </w:tcBorders>
            <w:shd w:val="clear" w:color="auto" w:fill="D9DCE1"/>
          </w:tcPr>
          <w:p>
            <w:pPr>
              <w:ind w:left="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vMerge w:val="continue"/>
            <w:shd w:val="clear" w:color="auto" w:fill="D9DCE1"/>
          </w:tcPr>
          <w:p>
            <w:pPr>
              <w:spacing w:after="0"/>
              <w:rPr>
                <w:sz w:val="15"/>
                <w:szCs w:val="15"/>
                <w:color w:val="auto"/>
              </w:rPr>
            </w:pPr>
          </w:p>
        </w:tc>
        <w:tc>
          <w:tcPr>
            <w:tcW w:w="200" w:type="dxa"/>
            <w:vAlign w:val="bottom"/>
            <w:tcBorders>
              <w:bottom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vMerge w:val="continue"/>
            <w:shd w:val="clear" w:color="auto" w:fill="D9DCE1"/>
          </w:tcPr>
          <w:p>
            <w:pPr>
              <w:spacing w:after="0"/>
              <w:rPr>
                <w:sz w:val="15"/>
                <w:szCs w:val="15"/>
                <w:color w:val="auto"/>
              </w:rPr>
            </w:pPr>
          </w:p>
        </w:tc>
        <w:tc>
          <w:tcPr>
            <w:tcW w:w="200" w:type="dxa"/>
            <w:vAlign w:val="bottom"/>
            <w:tcBorders>
              <w:bottom w:val="single" w:sz="8" w:color="auto"/>
              <w:right w:val="single" w:sz="8" w:color="auto"/>
            </w:tcBorders>
            <w:shd w:val="clear" w:color="auto" w:fill="D9DCE1"/>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vMerge w:val="continue"/>
            <w:shd w:val="clear" w:color="auto" w:fill="D9DCE1"/>
          </w:tcPr>
          <w:p>
            <w:pPr>
              <w:spacing w:after="0"/>
              <w:rPr>
                <w:sz w:val="15"/>
                <w:szCs w:val="15"/>
                <w:color w:val="auto"/>
              </w:rPr>
            </w:pPr>
          </w:p>
        </w:tc>
        <w:tc>
          <w:tcPr>
            <w:tcW w:w="80" w:type="dxa"/>
            <w:vAlign w:val="bottom"/>
            <w:tcBorders>
              <w:bottom w:val="single" w:sz="8" w:color="auto"/>
              <w:right w:val="single" w:sz="8" w:color="424E6A"/>
            </w:tcBorders>
            <w:shd w:val="clear" w:color="auto" w:fill="D9DCE1"/>
          </w:tcPr>
          <w:p>
            <w:pP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9"/>
        </w:trPr>
        <w:tc>
          <w:tcPr>
            <w:tcW w:w="1400" w:type="dxa"/>
            <w:vAlign w:val="bottom"/>
            <w:tcBorders>
              <w:left w:val="single" w:sz="8" w:color="424E6A"/>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Industry Experience</w:t>
            </w:r>
          </w:p>
        </w:tc>
        <w:tc>
          <w:tcPr>
            <w:tcW w:w="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260"/>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gridSpan w:val="2"/>
          </w:tcPr>
          <w:p>
            <w:pPr>
              <w:jc w:val="right"/>
              <w:ind w:right="3"/>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w:t>
            </w:r>
          </w:p>
        </w:tc>
        <w:tc>
          <w:tcPr>
            <w:tcW w:w="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160"/>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ind w:left="220"/>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ind w:left="220"/>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tcPr>
          <w:p>
            <w:pPr>
              <w:ind w:left="160"/>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40"/>
              <w:spacing w:after="0"/>
              <w:rPr>
                <w:sz w:val="20"/>
                <w:szCs w:val="20"/>
                <w:color w:val="auto"/>
              </w:rPr>
            </w:pPr>
            <w:r>
              <w:rPr>
                <w:rFonts w:ascii="Arial" w:cs="Arial" w:eastAsia="Arial" w:hAnsi="Arial"/>
                <w:sz w:val="1"/>
                <w:szCs w:val="1"/>
                <w:color w:val="auto"/>
                <w:w w:val="4294942296"/>
              </w:rPr>
              <w:t>​</w:t>
            </w:r>
          </w:p>
        </w:tc>
        <w:tc>
          <w:tcPr>
            <w:tcW w:w="400" w:type="dxa"/>
            <w:vAlign w:val="bottom"/>
            <w:tcBorders>
              <w:bottom w:val="single" w:sz="8" w:color="auto"/>
            </w:tcBorders>
          </w:tcPr>
          <w:p>
            <w:pPr>
              <w:ind w:left="200"/>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tcPr>
          <w:p>
            <w:pPr>
              <w:ind w:left="140"/>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tcPr>
          <w:p>
            <w:pPr>
              <w:ind w:left="220"/>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tcPr>
          <w:p>
            <w:pPr>
              <w:ind w:left="240"/>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tcPr>
          <w:p>
            <w:pPr>
              <w:ind w:left="160"/>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80" w:type="dxa"/>
            <w:vAlign w:val="bottom"/>
            <w:tcBorders>
              <w:bottom w:val="single" w:sz="8" w:color="auto"/>
              <w:right w:val="single" w:sz="8" w:color="424E6A"/>
            </w:tcBorders>
          </w:tcPr>
          <w:p>
            <w:pP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10"/>
        </w:trPr>
        <w:tc>
          <w:tcPr>
            <w:tcW w:w="1400" w:type="dxa"/>
            <w:vAlign w:val="bottom"/>
            <w:tcBorders>
              <w:left w:val="single" w:sz="8" w:color="424E6A"/>
              <w:bottom w:val="single" w:sz="8" w:color="auto"/>
              <w:right w:val="single" w:sz="8" w:color="auto"/>
            </w:tcBorders>
            <w:shd w:val="clear" w:color="auto" w:fill="D9DCE1"/>
          </w:tcPr>
          <w:p>
            <w:pPr>
              <w:ind w:left="60"/>
              <w:spacing w:after="0"/>
              <w:rPr>
                <w:sz w:val="20"/>
                <w:szCs w:val="20"/>
                <w:color w:val="auto"/>
              </w:rPr>
            </w:pPr>
            <w:r>
              <w:rPr>
                <w:rFonts w:ascii="Arial" w:cs="Arial" w:eastAsia="Arial" w:hAnsi="Arial"/>
                <w:sz w:val="11"/>
                <w:szCs w:val="11"/>
                <w:color w:val="auto"/>
              </w:rPr>
              <w:t>Private Equity</w:t>
            </w:r>
          </w:p>
        </w:tc>
        <w:tc>
          <w:tcPr>
            <w:tcW w:w="40" w:type="dxa"/>
            <w:vAlign w:val="bottom"/>
            <w:tcBorders>
              <w:bottom w:val="single" w:sz="8" w:color="auto"/>
            </w:tcBorders>
            <w:shd w:val="clear" w:color="auto" w:fill="D9DCE1"/>
          </w:tcPr>
          <w:p>
            <w:pPr>
              <w:spacing w:after="0"/>
              <w:rPr>
                <w:sz w:val="18"/>
                <w:szCs w:val="18"/>
                <w:color w:val="auto"/>
              </w:rPr>
            </w:pPr>
          </w:p>
        </w:tc>
        <w:tc>
          <w:tcPr>
            <w:tcW w:w="600" w:type="dxa"/>
            <w:vAlign w:val="bottom"/>
            <w:tcBorders>
              <w:bottom w:val="single" w:sz="8" w:color="auto"/>
            </w:tcBorders>
            <w:shd w:val="clear" w:color="auto" w:fill="D9DCE1"/>
          </w:tcPr>
          <w:p>
            <w:pPr>
              <w:ind w:lef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right w:val="single" w:sz="8" w:color="auto"/>
            </w:tcBorders>
            <w:shd w:val="clear" w:color="auto" w:fill="D9DCE1"/>
          </w:tcPr>
          <w:p>
            <w:pPr>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spacing w:after="0"/>
              <w:rPr>
                <w:sz w:val="18"/>
                <w:szCs w:val="18"/>
                <w:color w:val="auto"/>
              </w:rPr>
            </w:pPr>
          </w:p>
        </w:tc>
        <w:tc>
          <w:tcPr>
            <w:tcW w:w="260" w:type="dxa"/>
            <w:vAlign w:val="bottom"/>
            <w:tcBorders>
              <w:bottom w:val="single" w:sz="8" w:color="auto"/>
            </w:tcBorders>
            <w:shd w:val="clear" w:color="auto" w:fill="D9DCE1"/>
          </w:tcPr>
          <w:p>
            <w:pPr>
              <w:ind w:left="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right w:val="single" w:sz="8" w:color="auto"/>
            </w:tcBorders>
            <w:shd w:val="clear" w:color="auto" w:fill="D9DCE1"/>
          </w:tcPr>
          <w:p>
            <w:pPr>
              <w:jc w:val="right"/>
              <w:ind w:right="3"/>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shd w:val="clear" w:color="auto" w:fill="D9DCE1"/>
          </w:tcPr>
          <w:p>
            <w:pPr>
              <w:spacing w:after="0"/>
              <w:rPr>
                <w:sz w:val="18"/>
                <w:szCs w:val="18"/>
                <w:color w:val="auto"/>
              </w:rPr>
            </w:pPr>
          </w:p>
        </w:tc>
        <w:tc>
          <w:tcPr>
            <w:tcW w:w="400" w:type="dxa"/>
            <w:vAlign w:val="bottom"/>
            <w:tcBorders>
              <w:bottom w:val="single" w:sz="8" w:color="auto"/>
            </w:tcBorders>
            <w:shd w:val="clear" w:color="auto" w:fill="D9DCE1"/>
          </w:tcPr>
          <w:p>
            <w:pPr>
              <w:ind w:lef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right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shd w:val="clear" w:color="auto" w:fill="D9DCE1"/>
          </w:tcPr>
          <w:p>
            <w:pPr>
              <w:ind w:lef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auto"/>
              <w:right w:val="single" w:sz="8" w:color="auto"/>
            </w:tcBorders>
            <w:shd w:val="clear" w:color="auto" w:fill="D9DCE1"/>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shd w:val="clear" w:color="auto" w:fill="D9DCE1"/>
          </w:tcPr>
          <w:p>
            <w:pPr>
              <w:ind w:left="220"/>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bottom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shd w:val="clear" w:color="auto" w:fill="D9DCE1"/>
          </w:tcPr>
          <w:p>
            <w:pPr>
              <w:ind w:lef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right w:val="single" w:sz="8" w:color="auto"/>
            </w:tcBorders>
            <w:shd w:val="clear" w:color="auto" w:fill="D9DCE1"/>
          </w:tcPr>
          <w:p>
            <w:pPr>
              <w:ind w:left="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
                <w:szCs w:val="1"/>
                <w:color w:val="auto"/>
                <w:w w:val="4294942296"/>
              </w:rPr>
              <w:t>​</w:t>
            </w:r>
          </w:p>
        </w:tc>
        <w:tc>
          <w:tcPr>
            <w:tcW w:w="400" w:type="dxa"/>
            <w:vAlign w:val="bottom"/>
            <w:tcBorders>
              <w:bottom w:val="single" w:sz="8" w:color="auto"/>
            </w:tcBorders>
            <w:shd w:val="clear" w:color="auto" w:fill="D9DCE1"/>
          </w:tcPr>
          <w:p>
            <w:pPr>
              <w:ind w:left="200"/>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bottom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9DCE1"/>
          </w:tcPr>
          <w:p>
            <w:pPr>
              <w:ind w:lef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right w:val="single" w:sz="8" w:color="auto"/>
            </w:tcBorders>
            <w:shd w:val="clear" w:color="auto" w:fill="D9DCE1"/>
          </w:tcPr>
          <w:p>
            <w:pPr>
              <w:ind w:left="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shd w:val="clear" w:color="auto" w:fill="D9DCE1"/>
          </w:tcPr>
          <w:p>
            <w:pPr>
              <w:ind w:left="220"/>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bottom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shd w:val="clear" w:color="auto" w:fill="D9DCE1"/>
          </w:tcPr>
          <w:p>
            <w:pPr>
              <w:ind w:lef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right w:val="single" w:sz="8" w:color="auto"/>
            </w:tcBorders>
            <w:shd w:val="clear" w:color="auto" w:fill="D9DCE1"/>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shd w:val="clear" w:color="auto" w:fill="D9DCE1"/>
          </w:tcPr>
          <w:p>
            <w:pPr>
              <w:ind w:lef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right w:val="single" w:sz="8" w:color="424E6A"/>
            </w:tcBorders>
            <w:shd w:val="clear" w:color="auto" w:fill="D9DCE1"/>
          </w:tcPr>
          <w:p>
            <w:pP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10"/>
        </w:trPr>
        <w:tc>
          <w:tcPr>
            <w:tcW w:w="1400" w:type="dxa"/>
            <w:vAlign w:val="bottom"/>
            <w:tcBorders>
              <w:left w:val="single" w:sz="8" w:color="424E6A"/>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International</w:t>
            </w:r>
          </w:p>
        </w:tc>
        <w:tc>
          <w:tcPr>
            <w:tcW w:w="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260"/>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gridSpan w:val="2"/>
          </w:tcPr>
          <w:p>
            <w:pPr>
              <w:jc w:val="right"/>
              <w:ind w:right="3"/>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w:t>
            </w:r>
          </w:p>
        </w:tc>
        <w:tc>
          <w:tcPr>
            <w:tcW w:w="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160"/>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ind w:left="220"/>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ind w:lef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tcPr>
          <w:p>
            <w:pPr>
              <w:ind w:left="160"/>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40"/>
              <w:spacing w:after="0"/>
              <w:rPr>
                <w:sz w:val="20"/>
                <w:szCs w:val="20"/>
                <w:color w:val="auto"/>
              </w:rPr>
            </w:pPr>
            <w:r>
              <w:rPr>
                <w:rFonts w:ascii="Arial" w:cs="Arial" w:eastAsia="Arial" w:hAnsi="Arial"/>
                <w:sz w:val="1"/>
                <w:szCs w:val="1"/>
                <w:color w:val="auto"/>
                <w:w w:val="4294942296"/>
              </w:rPr>
              <w:t>​</w:t>
            </w:r>
          </w:p>
        </w:tc>
        <w:tc>
          <w:tcPr>
            <w:tcW w:w="400" w:type="dxa"/>
            <w:vAlign w:val="bottom"/>
            <w:tcBorders>
              <w:bottom w:val="single" w:sz="8" w:color="auto"/>
            </w:tcBorders>
          </w:tcPr>
          <w:p>
            <w:pPr>
              <w:ind w:left="200"/>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tcPr>
          <w:p>
            <w:pPr>
              <w:ind w:left="140"/>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tcPr>
          <w:p>
            <w:pPr>
              <w:ind w:left="220"/>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tcPr>
          <w:p>
            <w:pPr>
              <w:ind w:left="240"/>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tcPr>
          <w:p>
            <w:pPr>
              <w:ind w:left="160"/>
              <w:spacing w:after="0" w:line="209"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80" w:type="dxa"/>
            <w:vAlign w:val="bottom"/>
            <w:tcBorders>
              <w:bottom w:val="single" w:sz="8" w:color="auto"/>
              <w:right w:val="single" w:sz="8" w:color="424E6A"/>
            </w:tcBorders>
          </w:tcPr>
          <w:p>
            <w:pP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3"/>
        </w:trPr>
        <w:tc>
          <w:tcPr>
            <w:tcW w:w="1400" w:type="dxa"/>
            <w:vAlign w:val="bottom"/>
            <w:tcBorders>
              <w:left w:val="single" w:sz="8" w:color="424E6A"/>
              <w:bottom w:val="single" w:sz="8" w:color="auto"/>
              <w:right w:val="single" w:sz="8" w:color="auto"/>
            </w:tcBorders>
            <w:shd w:val="clear" w:color="auto" w:fill="D9DCE1"/>
          </w:tcPr>
          <w:p>
            <w:pPr>
              <w:ind w:left="60"/>
              <w:spacing w:after="0"/>
              <w:rPr>
                <w:sz w:val="20"/>
                <w:szCs w:val="20"/>
                <w:color w:val="auto"/>
              </w:rPr>
            </w:pPr>
            <w:r>
              <w:rPr>
                <w:rFonts w:ascii="Arial" w:cs="Arial" w:eastAsia="Arial" w:hAnsi="Arial"/>
                <w:sz w:val="11"/>
                <w:szCs w:val="11"/>
                <w:color w:val="auto"/>
              </w:rPr>
              <w:t>Cybersecurity/IT</w:t>
            </w:r>
          </w:p>
        </w:tc>
        <w:tc>
          <w:tcPr>
            <w:tcW w:w="40" w:type="dxa"/>
            <w:vAlign w:val="bottom"/>
            <w:tcBorders>
              <w:bottom w:val="single" w:sz="8" w:color="auto"/>
            </w:tcBorders>
            <w:shd w:val="clear" w:color="auto" w:fill="D9DCE1"/>
          </w:tcPr>
          <w:p>
            <w:pPr>
              <w:spacing w:after="0"/>
              <w:rPr>
                <w:sz w:val="19"/>
                <w:szCs w:val="19"/>
                <w:color w:val="auto"/>
              </w:rPr>
            </w:pPr>
          </w:p>
        </w:tc>
        <w:tc>
          <w:tcPr>
            <w:tcW w:w="600" w:type="dxa"/>
            <w:vAlign w:val="bottom"/>
            <w:tcBorders>
              <w:bottom w:val="single" w:sz="8" w:color="auto"/>
            </w:tcBorders>
            <w:shd w:val="clear" w:color="auto" w:fill="D9DCE1"/>
          </w:tcPr>
          <w:p>
            <w:pPr>
              <w:ind w:lef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right w:val="single" w:sz="8" w:color="auto"/>
            </w:tcBorders>
            <w:shd w:val="clear" w:color="auto" w:fill="D9DCE1"/>
          </w:tcPr>
          <w:p>
            <w:pPr>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spacing w:after="0"/>
              <w:rPr>
                <w:sz w:val="19"/>
                <w:szCs w:val="19"/>
                <w:color w:val="auto"/>
              </w:rPr>
            </w:pPr>
          </w:p>
        </w:tc>
        <w:tc>
          <w:tcPr>
            <w:tcW w:w="260" w:type="dxa"/>
            <w:vAlign w:val="bottom"/>
            <w:tcBorders>
              <w:bottom w:val="single" w:sz="8" w:color="auto"/>
            </w:tcBorders>
            <w:shd w:val="clear" w:color="auto" w:fill="D9DCE1"/>
          </w:tcPr>
          <w:p>
            <w:pPr>
              <w:ind w:left="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right w:val="single" w:sz="8" w:color="auto"/>
            </w:tcBorders>
            <w:shd w:val="clear" w:color="auto" w:fill="D9DCE1"/>
          </w:tcPr>
          <w:p>
            <w:pPr>
              <w:jc w:val="right"/>
              <w:ind w:right="3"/>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shd w:val="clear" w:color="auto" w:fill="D9DCE1"/>
          </w:tcPr>
          <w:p>
            <w:pPr>
              <w:spacing w:after="0"/>
              <w:rPr>
                <w:sz w:val="19"/>
                <w:szCs w:val="19"/>
                <w:color w:val="auto"/>
              </w:rPr>
            </w:pPr>
          </w:p>
        </w:tc>
        <w:tc>
          <w:tcPr>
            <w:tcW w:w="400" w:type="dxa"/>
            <w:vAlign w:val="bottom"/>
            <w:tcBorders>
              <w:bottom w:val="single" w:sz="8" w:color="auto"/>
            </w:tcBorders>
            <w:shd w:val="clear" w:color="auto" w:fill="D9DCE1"/>
          </w:tcPr>
          <w:p>
            <w:pPr>
              <w:ind w:left="160"/>
              <w:spacing w:after="0" w:line="22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00" w:type="dxa"/>
            <w:vAlign w:val="bottom"/>
            <w:tcBorders>
              <w:bottom w:val="single" w:sz="8" w:color="auto"/>
              <w:right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shd w:val="clear" w:color="auto" w:fill="D9DCE1"/>
          </w:tcPr>
          <w:p>
            <w:pPr>
              <w:ind w:lef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auto"/>
              <w:right w:val="single" w:sz="8" w:color="auto"/>
            </w:tcBorders>
            <w:shd w:val="clear" w:color="auto" w:fill="D9DCE1"/>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shd w:val="clear" w:color="auto" w:fill="D9DCE1"/>
          </w:tcPr>
          <w:p>
            <w:pPr>
              <w:ind w:lef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shd w:val="clear" w:color="auto" w:fill="D9DCE1"/>
          </w:tcPr>
          <w:p>
            <w:pPr>
              <w:ind w:lef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right w:val="single" w:sz="8" w:color="auto"/>
            </w:tcBorders>
            <w:shd w:val="clear" w:color="auto" w:fill="D9DCE1"/>
          </w:tcPr>
          <w:p>
            <w:pPr>
              <w:ind w:left="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
                <w:szCs w:val="1"/>
                <w:color w:val="auto"/>
                <w:w w:val="4294942296"/>
              </w:rPr>
              <w:t>​</w:t>
            </w:r>
          </w:p>
        </w:tc>
        <w:tc>
          <w:tcPr>
            <w:tcW w:w="400" w:type="dxa"/>
            <w:vAlign w:val="bottom"/>
            <w:tcBorders>
              <w:bottom w:val="single" w:sz="8" w:color="auto"/>
            </w:tcBorders>
            <w:shd w:val="clear" w:color="auto" w:fill="D9DCE1"/>
          </w:tcPr>
          <w:p>
            <w:pPr>
              <w:ind w:left="20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9DCE1"/>
          </w:tcPr>
          <w:p>
            <w:pPr>
              <w:ind w:lef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right w:val="single" w:sz="8" w:color="auto"/>
            </w:tcBorders>
            <w:shd w:val="clear" w:color="auto" w:fill="D9DCE1"/>
          </w:tcPr>
          <w:p>
            <w:pPr>
              <w:ind w:left="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shd w:val="clear" w:color="auto" w:fill="D9DCE1"/>
          </w:tcPr>
          <w:p>
            <w:pPr>
              <w:ind w:lef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shd w:val="clear" w:color="auto" w:fill="D9DCE1"/>
          </w:tcPr>
          <w:p>
            <w:pPr>
              <w:ind w:lef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right w:val="single" w:sz="8" w:color="auto"/>
            </w:tcBorders>
            <w:shd w:val="clear" w:color="auto" w:fill="D9DCE1"/>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shd w:val="clear" w:color="auto" w:fill="D9DCE1"/>
          </w:tcPr>
          <w:p>
            <w:pPr>
              <w:ind w:lef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right w:val="single" w:sz="8" w:color="424E6A"/>
            </w:tcBorders>
            <w:shd w:val="clear" w:color="auto" w:fill="D9DCE1"/>
          </w:tcPr>
          <w:p>
            <w:pP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Class I Directors Standing for Election at the 2026 PAA and PAGP Annual Meetings</w:t>
      </w:r>
    </w:p>
    <w:p>
      <w:pPr>
        <w:spacing w:after="0" w:line="158" w:lineRule="exact"/>
        <w:rPr>
          <w:sz w:val="20"/>
          <w:szCs w:val="20"/>
          <w:color w:val="auto"/>
        </w:rPr>
      </w:pPr>
    </w:p>
    <w:p>
      <w:pPr>
        <w:ind w:left="1260" w:right="479" w:firstLine="360"/>
        <w:spacing w:after="0" w:line="267" w:lineRule="auto"/>
        <w:rPr>
          <w:sz w:val="20"/>
          <w:szCs w:val="20"/>
          <w:color w:val="auto"/>
        </w:rPr>
      </w:pPr>
      <w:r>
        <w:rPr>
          <w:rFonts w:ascii="Arial" w:cs="Arial" w:eastAsia="Arial" w:hAnsi="Arial"/>
          <w:sz w:val="18"/>
          <w:szCs w:val="18"/>
          <w:color w:val="auto"/>
        </w:rPr>
        <w:t>The Board has nominated Mr. Chiang, Ms. DeSanctis, Ms. Pruner and Mr. Ziemba, current Class I directors, for election at the 2026 PAA and PAGP Annual Meetings. Each nominee has consented to serve if elected and, if elected, will serve until the 2029 annual meeting, subject to their earlier resignation, death or removal. If any of the nominees becomes unavailable to serve as a director prior to the 2026 PAA and PAGP Annual Meetings, the Board may designate a substitute nominee, or the Board may decide to reduce the size of the Board. In the case of a substitute nominee, the persons named as proxies will vote for the substitute nominee designated by the Board.</w:t>
      </w:r>
    </w:p>
    <w:p>
      <w:pPr>
        <w:spacing w:after="0" w:line="142" w:lineRule="exact"/>
        <w:rPr>
          <w:sz w:val="20"/>
          <w:szCs w:val="20"/>
          <w:color w:val="auto"/>
        </w:rPr>
      </w:pPr>
    </w:p>
    <w:tbl>
      <w:tblPr>
        <w:tblLayout w:type="fixed"/>
        <w:tblInd w:w="1270" w:type="dxa"/>
        <w:tblCellMar>
          <w:top w:w="0" w:type="dxa"/>
          <w:left w:w="0" w:type="dxa"/>
          <w:bottom w:w="0" w:type="dxa"/>
          <w:right w:w="0" w:type="dxa"/>
        </w:tblCellMar>
      </w:tblPr>
      <w:tr>
        <w:trPr>
          <w:trHeight w:val="270"/>
        </w:trPr>
        <w:tc>
          <w:tcPr>
            <w:tcW w:w="180" w:type="dxa"/>
            <w:vAlign w:val="bottom"/>
            <w:tcBorders>
              <w:top w:val="single" w:sz="8" w:color="auto"/>
              <w:left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640" w:type="dxa"/>
            <w:vAlign w:val="bottom"/>
            <w:tcBorders>
              <w:top w:val="single" w:sz="8" w:color="auto"/>
              <w:right w:val="single" w:sz="8" w:color="auto"/>
            </w:tcBorders>
            <w:gridSpan w:val="5"/>
          </w:tcPr>
          <w:p>
            <w:pPr>
              <w:jc w:val="center"/>
              <w:ind w:right="260"/>
              <w:spacing w:after="0"/>
              <w:rPr>
                <w:sz w:val="20"/>
                <w:szCs w:val="20"/>
                <w:color w:val="auto"/>
              </w:rPr>
            </w:pPr>
            <w:r>
              <w:rPr>
                <w:rFonts w:ascii="Arial" w:cs="Arial" w:eastAsia="Arial" w:hAnsi="Arial"/>
                <w:sz w:val="16"/>
                <w:szCs w:val="16"/>
                <w:b w:val="1"/>
                <w:bCs w:val="1"/>
                <w:color w:val="auto"/>
              </w:rPr>
              <w:t>WILLIE CHIANG</w:t>
            </w:r>
          </w:p>
        </w:tc>
        <w:tc>
          <w:tcPr>
            <w:tcW w:w="40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rPr>
              <w:t>Willie Chiang, age 65</w:t>
            </w:r>
            <w:r>
              <w:rPr>
                <w:rFonts w:ascii="Arial" w:cs="Arial" w:eastAsia="Arial" w:hAnsi="Arial"/>
                <w:sz w:val="16"/>
                <w:szCs w:val="16"/>
                <w:color w:val="auto"/>
              </w:rPr>
              <w:t>, has served as a director of</w:t>
            </w:r>
          </w:p>
        </w:tc>
        <w:tc>
          <w:tcPr>
            <w:tcW w:w="80" w:type="dxa"/>
            <w:vAlign w:val="bottom"/>
            <w:tcBorders>
              <w:top w:val="single" w:sz="8" w:color="auto"/>
            </w:tcBorders>
          </w:tcPr>
          <w:p>
            <w:pPr>
              <w:spacing w:after="0"/>
              <w:rPr>
                <w:sz w:val="23"/>
                <w:szCs w:val="23"/>
                <w:color w:val="auto"/>
              </w:rPr>
            </w:pPr>
          </w:p>
        </w:tc>
        <w:tc>
          <w:tcPr>
            <w:tcW w:w="212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56"/>
        </w:trPr>
        <w:tc>
          <w:tcPr>
            <w:tcW w:w="180" w:type="dxa"/>
            <w:vAlign w:val="bottom"/>
            <w:tcBorders>
              <w:lef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Borders>
              <w:right w:val="single" w:sz="8" w:color="auto"/>
            </w:tcBorders>
            <w:gridSpan w:val="5"/>
            <w:vMerge w:val="restart"/>
          </w:tcPr>
          <w:p>
            <w:pPr>
              <w:jc w:val="center"/>
              <w:ind w:right="280"/>
              <w:spacing w:after="0"/>
              <w:rPr>
                <w:sz w:val="20"/>
                <w:szCs w:val="20"/>
                <w:color w:val="auto"/>
              </w:rPr>
            </w:pPr>
            <w:r>
              <w:rPr>
                <w:rFonts w:ascii="Arial" w:cs="Arial" w:eastAsia="Arial" w:hAnsi="Arial"/>
                <w:sz w:val="16"/>
                <w:szCs w:val="16"/>
                <w:b w:val="1"/>
                <w:bCs w:val="1"/>
                <w:color w:val="auto"/>
              </w:rPr>
              <w:t>Not Independent</w:t>
            </w:r>
          </w:p>
        </w:tc>
        <w:tc>
          <w:tcPr>
            <w:tcW w:w="408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6"/>
                <w:szCs w:val="16"/>
                <w:color w:val="auto"/>
              </w:rPr>
              <w:t>PAGP GP since February 2017, as Chief Executive</w:t>
            </w:r>
          </w:p>
        </w:tc>
        <w:tc>
          <w:tcPr>
            <w:tcW w:w="80" w:type="dxa"/>
            <w:vAlign w:val="bottom"/>
          </w:tcPr>
          <w:p>
            <w:pPr>
              <w:spacing w:after="0"/>
              <w:rPr>
                <w:sz w:val="13"/>
                <w:szCs w:val="13"/>
                <w:color w:val="auto"/>
              </w:rPr>
            </w:pPr>
          </w:p>
        </w:tc>
        <w:tc>
          <w:tcPr>
            <w:tcW w:w="72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6"/>
                <w:szCs w:val="16"/>
                <w:color w:val="auto"/>
                <w:w w:val="97"/>
              </w:rPr>
              <w:t>Attributes:</w:t>
            </w:r>
          </w:p>
        </w:tc>
        <w:tc>
          <w:tcPr>
            <w:tcW w:w="760" w:type="dxa"/>
            <w:vAlign w:val="bottom"/>
            <w:tcBorders>
              <w:top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80" w:type="dxa"/>
            <w:vAlign w:val="bottom"/>
            <w:tcBorders>
              <w:lef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Borders>
              <w:right w:val="single" w:sz="8" w:color="auto"/>
            </w:tcBorders>
            <w:gridSpan w:val="5"/>
            <w:vMerge w:val="continue"/>
          </w:tcPr>
          <w:p>
            <w:pPr>
              <w:spacing w:after="0"/>
              <w:rPr>
                <w:sz w:val="11"/>
                <w:szCs w:val="11"/>
                <w:color w:val="auto"/>
              </w:rPr>
            </w:pPr>
          </w:p>
        </w:tc>
        <w:tc>
          <w:tcPr>
            <w:tcW w:w="4080" w:type="dxa"/>
            <w:vAlign w:val="bottom"/>
            <w:tcBorders>
              <w:right w:val="single" w:sz="8" w:color="auto"/>
            </w:tcBorders>
            <w:vMerge w:val="restart"/>
          </w:tcPr>
          <w:p>
            <w:pPr>
              <w:ind w:left="80"/>
              <w:spacing w:after="0" w:line="168" w:lineRule="exact"/>
              <w:rPr>
                <w:sz w:val="20"/>
                <w:szCs w:val="20"/>
                <w:color w:val="auto"/>
              </w:rPr>
            </w:pPr>
            <w:r>
              <w:rPr>
                <w:rFonts w:ascii="Arial" w:cs="Arial" w:eastAsia="Arial" w:hAnsi="Arial"/>
                <w:sz w:val="16"/>
                <w:szCs w:val="16"/>
                <w:color w:val="auto"/>
              </w:rPr>
              <w:t>Officer of PAGP GP and GP LLC since October 2018,</w:t>
            </w:r>
          </w:p>
        </w:tc>
        <w:tc>
          <w:tcPr>
            <w:tcW w:w="80" w:type="dxa"/>
            <w:vAlign w:val="bottom"/>
          </w:tcPr>
          <w:p>
            <w:pPr>
              <w:spacing w:after="0"/>
              <w:rPr>
                <w:sz w:val="11"/>
                <w:szCs w:val="11"/>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Public Company</w:t>
            </w:r>
          </w:p>
        </w:tc>
        <w:tc>
          <w:tcPr>
            <w:tcW w:w="0" w:type="dxa"/>
            <w:vAlign w:val="bottom"/>
          </w:tcPr>
          <w:p>
            <w:pPr>
              <w:spacing w:after="0"/>
              <w:rPr>
                <w:sz w:val="1"/>
                <w:szCs w:val="1"/>
                <w:color w:val="auto"/>
              </w:rPr>
            </w:pPr>
          </w:p>
        </w:tc>
      </w:tr>
      <w:tr>
        <w:trPr>
          <w:trHeight w:val="34"/>
        </w:trPr>
        <w:tc>
          <w:tcPr>
            <w:tcW w:w="18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080" w:type="dxa"/>
            <w:vAlign w:val="bottom"/>
            <w:tcBorders>
              <w:right w:val="single" w:sz="8" w:color="auto"/>
            </w:tcBorders>
            <w:vMerge w:val="continu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2000" w:type="dxa"/>
            <w:vAlign w:val="bottom"/>
            <w:tcBorders>
              <w:right w:val="single" w:sz="8" w:color="auto"/>
            </w:tcBorders>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80" w:type="dxa"/>
            <w:vAlign w:val="bottom"/>
            <w:tcBorders>
              <w:left w:val="single" w:sz="8" w:color="auto"/>
            </w:tcBorders>
          </w:tcPr>
          <w:p>
            <w:pPr>
              <w:spacing w:after="0"/>
              <w:rPr>
                <w:sz w:val="10"/>
                <w:szCs w:val="10"/>
                <w:color w:val="auto"/>
              </w:rPr>
            </w:pPr>
          </w:p>
        </w:tc>
        <w:tc>
          <w:tcPr>
            <w:tcW w:w="1760" w:type="dxa"/>
            <w:vAlign w:val="bottom"/>
            <w:tcBorders>
              <w:right w:val="single" w:sz="8" w:color="auto"/>
            </w:tcBorders>
            <w:gridSpan w:val="6"/>
            <w:vMerge w:val="restart"/>
          </w:tcPr>
          <w:p>
            <w:pPr>
              <w:jc w:val="center"/>
              <w:ind w:right="160"/>
              <w:spacing w:after="0"/>
              <w:rPr>
                <w:sz w:val="20"/>
                <w:szCs w:val="20"/>
                <w:color w:val="auto"/>
              </w:rPr>
            </w:pPr>
            <w:r>
              <w:rPr>
                <w:rFonts w:ascii="Arial" w:cs="Arial" w:eastAsia="Arial" w:hAnsi="Arial"/>
                <w:sz w:val="16"/>
                <w:szCs w:val="16"/>
                <w:b w:val="1"/>
                <w:bCs w:val="1"/>
                <w:i w:val="1"/>
                <w:iCs w:val="1"/>
                <w:color w:val="auto"/>
                <w:w w:val="99"/>
              </w:rPr>
              <w:t>PAGP/PAA Director</w:t>
            </w: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as Chairman of the Board since January 2020 and as</w:t>
            </w:r>
          </w:p>
        </w:tc>
        <w:tc>
          <w:tcPr>
            <w:tcW w:w="8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200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80" w:type="dxa"/>
            <w:vAlign w:val="bottom"/>
            <w:tcBorders>
              <w:left w:val="single" w:sz="8" w:color="auto"/>
            </w:tcBorders>
          </w:tcPr>
          <w:p>
            <w:pPr>
              <w:spacing w:after="0"/>
              <w:rPr>
                <w:sz w:val="5"/>
                <w:szCs w:val="5"/>
                <w:color w:val="auto"/>
              </w:rPr>
            </w:pPr>
          </w:p>
        </w:tc>
        <w:tc>
          <w:tcPr>
            <w:tcW w:w="1760" w:type="dxa"/>
            <w:vAlign w:val="bottom"/>
            <w:tcBorders>
              <w:right w:val="single" w:sz="8" w:color="auto"/>
            </w:tcBorders>
            <w:gridSpan w:val="6"/>
            <w:vMerge w:val="continue"/>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46"/>
        </w:trPr>
        <w:tc>
          <w:tcPr>
            <w:tcW w:w="18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Borders>
              <w:right w:val="single" w:sz="8" w:color="auto"/>
            </w:tcBorders>
            <w:gridSpan w:val="4"/>
            <w:vMerge w:val="restart"/>
          </w:tcPr>
          <w:p>
            <w:pPr>
              <w:jc w:val="center"/>
              <w:ind w:right="460"/>
              <w:spacing w:after="0" w:line="178" w:lineRule="exact"/>
              <w:rPr>
                <w:sz w:val="20"/>
                <w:szCs w:val="20"/>
                <w:color w:val="auto"/>
              </w:rPr>
            </w:pPr>
            <w:r>
              <w:rPr>
                <w:rFonts w:ascii="Arial" w:cs="Arial" w:eastAsia="Arial" w:hAnsi="Arial"/>
                <w:sz w:val="16"/>
                <w:szCs w:val="16"/>
                <w:b w:val="1"/>
                <w:bCs w:val="1"/>
                <w:i w:val="1"/>
                <w:iCs w:val="1"/>
                <w:color w:val="auto"/>
              </w:rPr>
              <w:t>since 2017</w:t>
            </w:r>
          </w:p>
        </w:tc>
        <w:tc>
          <w:tcPr>
            <w:tcW w:w="4080" w:type="dxa"/>
            <w:vAlign w:val="bottom"/>
            <w:tcBorders>
              <w:right w:val="single" w:sz="8" w:color="auto"/>
            </w:tcBorders>
            <w:vMerge w:val="restart"/>
          </w:tcPr>
          <w:p>
            <w:pPr>
              <w:ind w:left="80"/>
              <w:spacing w:after="0" w:line="178" w:lineRule="exact"/>
              <w:rPr>
                <w:sz w:val="20"/>
                <w:szCs w:val="20"/>
                <w:color w:val="auto"/>
              </w:rPr>
            </w:pPr>
            <w:r>
              <w:rPr>
                <w:rFonts w:ascii="Arial" w:cs="Arial" w:eastAsia="Arial" w:hAnsi="Arial"/>
                <w:sz w:val="16"/>
                <w:szCs w:val="16"/>
                <w:color w:val="auto"/>
              </w:rPr>
              <w:t>President since Mr. Pefanis’ retirement in June 2025.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Borders>
              <w:right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18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Borders>
              <w:right w:val="single" w:sz="8" w:color="auto"/>
            </w:tcBorders>
            <w:gridSpan w:val="4"/>
            <w:vMerge w:val="continue"/>
          </w:tcPr>
          <w:p>
            <w:pPr>
              <w:spacing w:after="0"/>
              <w:rPr>
                <w:sz w:val="2"/>
                <w:szCs w:val="2"/>
                <w:color w:val="auto"/>
              </w:rPr>
            </w:pPr>
          </w:p>
        </w:tc>
        <w:tc>
          <w:tcPr>
            <w:tcW w:w="4080" w:type="dxa"/>
            <w:vAlign w:val="bottom"/>
            <w:tcBorders>
              <w:right w:val="single" w:sz="8" w:color="auto"/>
            </w:tcBorders>
            <w:vMerge w:val="continu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180" w:type="dxa"/>
            <w:vAlign w:val="bottom"/>
            <w:tcBorders>
              <w:left w:val="single" w:sz="8" w:color="auto"/>
            </w:tcBorders>
          </w:tcPr>
          <w:p>
            <w:pPr>
              <w:spacing w:after="0"/>
              <w:rPr>
                <w:sz w:val="15"/>
                <w:szCs w:val="15"/>
                <w:color w:val="auto"/>
              </w:rPr>
            </w:pPr>
          </w:p>
        </w:tc>
        <w:tc>
          <w:tcPr>
            <w:tcW w:w="1760" w:type="dxa"/>
            <w:vAlign w:val="bottom"/>
            <w:tcBorders>
              <w:right w:val="single" w:sz="8" w:color="auto"/>
            </w:tcBorders>
            <w:gridSpan w:val="6"/>
            <w:vMerge w:val="restart"/>
          </w:tcPr>
          <w:p>
            <w:pPr>
              <w:jc w:val="center"/>
              <w:ind w:right="160"/>
              <w:spacing w:after="0"/>
              <w:rPr>
                <w:sz w:val="20"/>
                <w:szCs w:val="20"/>
                <w:color w:val="auto"/>
              </w:rPr>
            </w:pPr>
            <w:r>
              <w:rPr>
                <w:rFonts w:ascii="Arial" w:cs="Arial" w:eastAsia="Arial" w:hAnsi="Arial"/>
                <w:sz w:val="16"/>
                <w:szCs w:val="16"/>
                <w:b w:val="1"/>
                <w:bCs w:val="1"/>
                <w:i w:val="1"/>
                <w:iCs w:val="1"/>
                <w:color w:val="auto"/>
              </w:rPr>
              <w:t>Chairman, CEO and</w:t>
            </w:r>
          </w:p>
        </w:tc>
        <w:tc>
          <w:tcPr>
            <w:tcW w:w="4080" w:type="dxa"/>
            <w:vAlign w:val="bottom"/>
            <w:tcBorders>
              <w:right w:val="single" w:sz="8" w:color="auto"/>
            </w:tcBorders>
          </w:tcPr>
          <w:p>
            <w:pPr>
              <w:ind w:left="80"/>
              <w:spacing w:after="0" w:line="173" w:lineRule="exact"/>
              <w:rPr>
                <w:sz w:val="20"/>
                <w:szCs w:val="20"/>
                <w:color w:val="auto"/>
              </w:rPr>
            </w:pPr>
            <w:r>
              <w:rPr>
                <w:rFonts w:ascii="Arial" w:cs="Arial" w:eastAsia="Arial" w:hAnsi="Arial"/>
                <w:sz w:val="16"/>
                <w:szCs w:val="16"/>
                <w:color w:val="auto"/>
              </w:rPr>
              <w:t>Mr. Chiang served as Executive Vice President and</w:t>
            </w:r>
          </w:p>
        </w:tc>
        <w:tc>
          <w:tcPr>
            <w:tcW w:w="8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07"/>
        </w:trPr>
        <w:tc>
          <w:tcPr>
            <w:tcW w:w="180" w:type="dxa"/>
            <w:vAlign w:val="bottom"/>
            <w:tcBorders>
              <w:left w:val="single" w:sz="8" w:color="auto"/>
            </w:tcBorders>
          </w:tcPr>
          <w:p>
            <w:pPr>
              <w:spacing w:after="0"/>
              <w:rPr>
                <w:sz w:val="9"/>
                <w:szCs w:val="9"/>
                <w:color w:val="auto"/>
              </w:rPr>
            </w:pPr>
          </w:p>
        </w:tc>
        <w:tc>
          <w:tcPr>
            <w:tcW w:w="1760" w:type="dxa"/>
            <w:vAlign w:val="bottom"/>
            <w:tcBorders>
              <w:right w:val="single" w:sz="8" w:color="auto"/>
            </w:tcBorders>
            <w:gridSpan w:val="6"/>
            <w:vMerge w:val="continue"/>
          </w:tcPr>
          <w:p>
            <w:pPr>
              <w:spacing w:after="0"/>
              <w:rPr>
                <w:sz w:val="9"/>
                <w:szCs w:val="9"/>
                <w:color w:val="auto"/>
              </w:rPr>
            </w:pPr>
          </w:p>
        </w:tc>
        <w:tc>
          <w:tcPr>
            <w:tcW w:w="4080" w:type="dxa"/>
            <w:vAlign w:val="bottom"/>
            <w:tcBorders>
              <w:right w:val="single" w:sz="8" w:color="auto"/>
            </w:tcBorders>
            <w:vMerge w:val="restart"/>
          </w:tcPr>
          <w:p>
            <w:pPr>
              <w:ind w:left="80"/>
              <w:spacing w:after="0" w:line="163" w:lineRule="exact"/>
              <w:rPr>
                <w:sz w:val="20"/>
                <w:szCs w:val="20"/>
                <w:color w:val="auto"/>
              </w:rPr>
            </w:pPr>
            <w:r>
              <w:rPr>
                <w:rFonts w:ascii="Arial" w:cs="Arial" w:eastAsia="Arial" w:hAnsi="Arial"/>
                <w:sz w:val="16"/>
                <w:szCs w:val="16"/>
                <w:color w:val="auto"/>
              </w:rPr>
              <w:t>Chief Operating Officer of PAGP GP and GP LLC from</w:t>
            </w: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200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180" w:type="dxa"/>
            <w:vAlign w:val="bottom"/>
            <w:tcBorders>
              <w:left w:val="single" w:sz="8" w:color="auto"/>
            </w:tcBorders>
          </w:tcPr>
          <w:p>
            <w:pPr>
              <w:spacing w:after="0"/>
              <w:rPr>
                <w:sz w:val="4"/>
                <w:szCs w:val="4"/>
                <w:color w:val="auto"/>
              </w:rPr>
            </w:pPr>
          </w:p>
        </w:tc>
        <w:tc>
          <w:tcPr>
            <w:tcW w:w="1760" w:type="dxa"/>
            <w:vAlign w:val="bottom"/>
            <w:tcBorders>
              <w:right w:val="single" w:sz="8" w:color="auto"/>
            </w:tcBorders>
            <w:gridSpan w:val="6"/>
            <w:vMerge w:val="continue"/>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80" w:type="dxa"/>
            <w:vAlign w:val="bottom"/>
            <w:tcBorders>
              <w:lef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Borders>
              <w:right w:val="single" w:sz="8" w:color="auto"/>
            </w:tcBorders>
            <w:gridSpan w:val="4"/>
          </w:tcPr>
          <w:p>
            <w:pPr>
              <w:jc w:val="center"/>
              <w:ind w:right="460"/>
              <w:spacing w:after="0"/>
              <w:rPr>
                <w:sz w:val="20"/>
                <w:szCs w:val="20"/>
                <w:color w:val="auto"/>
              </w:rPr>
            </w:pPr>
            <w:r>
              <w:rPr>
                <w:rFonts w:ascii="Arial" w:cs="Arial" w:eastAsia="Arial" w:hAnsi="Arial"/>
                <w:sz w:val="16"/>
                <w:szCs w:val="16"/>
                <w:b w:val="1"/>
                <w:bCs w:val="1"/>
                <w:i w:val="1"/>
                <w:iCs w:val="1"/>
                <w:color w:val="auto"/>
              </w:rPr>
              <w:t>President</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January 2018 until October 2018. He also served as</w:t>
            </w:r>
          </w:p>
        </w:tc>
        <w:tc>
          <w:tcPr>
            <w:tcW w:w="8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Borders>
              <w:right w:val="single" w:sz="8" w:color="auto"/>
            </w:tcBorders>
            <w:gridSpan w:val="5"/>
            <w:vMerge w:val="restart"/>
          </w:tcPr>
          <w:p>
            <w:pPr>
              <w:jc w:val="center"/>
              <w:ind w:right="260"/>
              <w:spacing w:after="0"/>
              <w:rPr>
                <w:sz w:val="20"/>
                <w:szCs w:val="20"/>
                <w:color w:val="auto"/>
              </w:rPr>
            </w:pPr>
            <w:r>
              <w:rPr>
                <w:rFonts w:ascii="Arial" w:cs="Arial" w:eastAsia="Arial" w:hAnsi="Arial"/>
                <w:sz w:val="16"/>
                <w:szCs w:val="16"/>
                <w:b w:val="1"/>
                <w:bCs w:val="1"/>
                <w:color w:val="auto"/>
              </w:rPr>
              <w:t>Committees:</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Executive Vice President and Chief Operating Officer</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68"/>
        </w:trPr>
        <w:tc>
          <w:tcPr>
            <w:tcW w:w="18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40" w:type="dxa"/>
            <w:vAlign w:val="bottom"/>
            <w:tcBorders>
              <w:right w:val="single" w:sz="8" w:color="auto"/>
            </w:tcBorders>
            <w:gridSpan w:val="5"/>
            <w:vMerge w:val="continue"/>
          </w:tcPr>
          <w:p>
            <w:pPr>
              <w:spacing w:after="0"/>
              <w:rPr>
                <w:sz w:val="5"/>
                <w:szCs w:val="5"/>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(U.S.) of PAGP GP and GP LLC from August 2015</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8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40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Governance/​Government</w:t>
            </w:r>
          </w:p>
        </w:tc>
        <w:tc>
          <w:tcPr>
            <w:tcW w:w="0" w:type="dxa"/>
            <w:vAlign w:val="bottom"/>
          </w:tcPr>
          <w:p>
            <w:pPr>
              <w:spacing w:after="0"/>
              <w:rPr>
                <w:sz w:val="1"/>
                <w:szCs w:val="1"/>
                <w:color w:val="auto"/>
              </w:rPr>
            </w:pPr>
          </w:p>
        </w:tc>
      </w:tr>
      <w:tr>
        <w:trPr>
          <w:trHeight w:val="122"/>
        </w:trPr>
        <w:tc>
          <w:tcPr>
            <w:tcW w:w="18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tcBorders>
              <w:right w:val="single" w:sz="8" w:color="auto"/>
            </w:tcBorders>
            <w:gridSpan w:val="4"/>
            <w:vMerge w:val="restart"/>
          </w:tcPr>
          <w:p>
            <w:pPr>
              <w:jc w:val="center"/>
              <w:ind w:right="460"/>
              <w:spacing w:after="0" w:line="175" w:lineRule="exact"/>
              <w:rPr>
                <w:sz w:val="20"/>
                <w:szCs w:val="20"/>
                <w:color w:val="auto"/>
              </w:rPr>
            </w:pPr>
            <w:r>
              <w:rPr>
                <w:rFonts w:ascii="Arial" w:cs="Arial" w:eastAsia="Arial" w:hAnsi="Arial"/>
                <w:sz w:val="16"/>
                <w:szCs w:val="16"/>
                <w:color w:val="auto"/>
                <w:w w:val="99"/>
              </w:rPr>
              <w:t>None</w:t>
            </w: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through December 2017. Prior to joining Plains,</w:t>
            </w:r>
          </w:p>
        </w:tc>
        <w:tc>
          <w:tcPr>
            <w:tcW w:w="8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200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80" w:type="dxa"/>
            <w:vAlign w:val="bottom"/>
            <w:tcBorders>
              <w:lef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Borders>
              <w:right w:val="single" w:sz="8" w:color="auto"/>
            </w:tcBorders>
            <w:gridSpan w:val="4"/>
            <w:vMerge w:val="continue"/>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Relations/Legal</w:t>
            </w:r>
          </w:p>
        </w:tc>
        <w:tc>
          <w:tcPr>
            <w:tcW w:w="0" w:type="dxa"/>
            <w:vAlign w:val="bottom"/>
          </w:tcPr>
          <w:p>
            <w:pPr>
              <w:spacing w:after="0"/>
              <w:rPr>
                <w:sz w:val="1"/>
                <w:szCs w:val="1"/>
                <w:color w:val="auto"/>
              </w:rPr>
            </w:pPr>
          </w:p>
        </w:tc>
      </w:tr>
      <w:tr>
        <w:trPr>
          <w:trHeight w:val="176"/>
        </w:trPr>
        <w:tc>
          <w:tcPr>
            <w:tcW w:w="1940" w:type="dxa"/>
            <w:vAlign w:val="bottom"/>
            <w:tcBorders>
              <w:left w:val="single" w:sz="8" w:color="auto"/>
              <w:right w:val="single" w:sz="8" w:color="auto"/>
            </w:tcBorders>
            <w:gridSpan w:val="7"/>
            <w:vMerge w:val="restart"/>
          </w:tcPr>
          <w:p>
            <w:pPr>
              <w:jc w:val="center"/>
              <w:spacing w:after="0"/>
              <w:rPr>
                <w:sz w:val="20"/>
                <w:szCs w:val="20"/>
                <w:color w:val="auto"/>
              </w:rPr>
            </w:pPr>
            <w:r>
              <w:rPr>
                <w:rFonts w:ascii="Arial" w:cs="Arial" w:eastAsia="Arial" w:hAnsi="Arial"/>
                <w:sz w:val="16"/>
                <w:szCs w:val="16"/>
                <w:b w:val="1"/>
                <w:bCs w:val="1"/>
                <w:color w:val="auto"/>
              </w:rPr>
              <w:t>Other Current Public</w:t>
            </w: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Mr. Chiang served as Executive Vice President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1940" w:type="dxa"/>
            <w:vAlign w:val="bottom"/>
            <w:tcBorders>
              <w:left w:val="single" w:sz="8" w:color="auto"/>
              <w:right w:val="single" w:sz="8" w:color="auto"/>
            </w:tcBorders>
            <w:gridSpan w:val="7"/>
            <w:vMerge w:val="continue"/>
          </w:tcPr>
          <w:p>
            <w:pPr>
              <w:spacing w:after="0"/>
              <w:rPr>
                <w:sz w:val="9"/>
                <w:szCs w:val="9"/>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Operations for Occidental Petroleum Corporation from</w:t>
            </w:r>
          </w:p>
        </w:tc>
        <w:tc>
          <w:tcPr>
            <w:tcW w:w="80" w:type="dxa"/>
            <w:vAlign w:val="bottom"/>
          </w:tcPr>
          <w:p>
            <w:pPr>
              <w:spacing w:after="0"/>
              <w:rPr>
                <w:sz w:val="9"/>
                <w:szCs w:val="9"/>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60"/>
        </w:trPr>
        <w:tc>
          <w:tcPr>
            <w:tcW w:w="180" w:type="dxa"/>
            <w:vAlign w:val="bottom"/>
            <w:tcBorders>
              <w:left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500" w:type="dxa"/>
            <w:vAlign w:val="bottom"/>
            <w:tcBorders>
              <w:top w:val="single" w:sz="8" w:color="auto"/>
            </w:tcBorders>
            <w:gridSpan w:val="4"/>
            <w:vMerge w:val="restart"/>
          </w:tcPr>
          <w:p>
            <w:pPr>
              <w:jc w:val="center"/>
              <w:ind w:right="120"/>
              <w:spacing w:after="0" w:line="142" w:lineRule="exact"/>
              <w:rPr>
                <w:sz w:val="20"/>
                <w:szCs w:val="20"/>
                <w:color w:val="auto"/>
              </w:rPr>
            </w:pPr>
            <w:r>
              <w:rPr>
                <w:rFonts w:ascii="Arial" w:cs="Arial" w:eastAsia="Arial" w:hAnsi="Arial"/>
                <w:sz w:val="16"/>
                <w:szCs w:val="16"/>
                <w:b w:val="1"/>
                <w:bCs w:val="1"/>
                <w:color w:val="auto"/>
              </w:rPr>
              <w:t>Company Boards:</w:t>
            </w:r>
          </w:p>
        </w:tc>
        <w:tc>
          <w:tcPr>
            <w:tcW w:w="140" w:type="dxa"/>
            <w:vAlign w:val="bottom"/>
            <w:tcBorders>
              <w:right w:val="single" w:sz="8" w:color="auto"/>
            </w:tcBorders>
            <w:vMerge w:val="restart"/>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00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18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gridSpan w:val="4"/>
            <w:vMerge w:val="continue"/>
          </w:tcPr>
          <w:p>
            <w:pPr>
              <w:spacing w:after="0"/>
              <w:rPr>
                <w:sz w:val="7"/>
                <w:szCs w:val="7"/>
                <w:color w:val="auto"/>
              </w:rPr>
            </w:pPr>
          </w:p>
        </w:tc>
        <w:tc>
          <w:tcPr>
            <w:tcW w:w="140" w:type="dxa"/>
            <w:vAlign w:val="bottom"/>
            <w:tcBorders>
              <w:right w:val="single" w:sz="8" w:color="auto"/>
            </w:tcBorders>
            <w:vMerge w:val="continue"/>
          </w:tcPr>
          <w:p>
            <w:pPr>
              <w:spacing w:after="0"/>
              <w:rPr>
                <w:sz w:val="7"/>
                <w:szCs w:val="7"/>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2012 until 2015. From 1996 until 2012, he served in</w:t>
            </w:r>
          </w:p>
        </w:tc>
        <w:tc>
          <w:tcPr>
            <w:tcW w:w="8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200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18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Construction/​Technical</w:t>
            </w:r>
          </w:p>
        </w:tc>
        <w:tc>
          <w:tcPr>
            <w:tcW w:w="0" w:type="dxa"/>
            <w:vAlign w:val="bottom"/>
          </w:tcPr>
          <w:p>
            <w:pPr>
              <w:spacing w:after="0"/>
              <w:rPr>
                <w:sz w:val="1"/>
                <w:szCs w:val="1"/>
                <w:color w:val="auto"/>
              </w:rPr>
            </w:pPr>
          </w:p>
        </w:tc>
      </w:tr>
      <w:tr>
        <w:trPr>
          <w:trHeight w:val="121"/>
        </w:trPr>
        <w:tc>
          <w:tcPr>
            <w:tcW w:w="18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tcBorders>
              <w:right w:val="single" w:sz="8" w:color="auto"/>
            </w:tcBorders>
            <w:gridSpan w:val="4"/>
            <w:vMerge w:val="restart"/>
          </w:tcPr>
          <w:p>
            <w:pPr>
              <w:jc w:val="center"/>
              <w:ind w:right="460"/>
              <w:spacing w:after="0"/>
              <w:rPr>
                <w:sz w:val="20"/>
                <w:szCs w:val="20"/>
                <w:color w:val="auto"/>
              </w:rPr>
            </w:pPr>
            <w:r>
              <w:rPr>
                <w:rFonts w:ascii="Arial" w:cs="Arial" w:eastAsia="Arial" w:hAnsi="Arial"/>
                <w:sz w:val="16"/>
                <w:szCs w:val="16"/>
                <w:color w:val="auto"/>
                <w:w w:val="99"/>
              </w:rPr>
              <w:t>Delta Airlines</w:t>
            </w: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various positions at ConocoPhillips, including most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8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40" w:type="dxa"/>
            <w:vAlign w:val="bottom"/>
            <w:tcBorders>
              <w:right w:val="single" w:sz="8" w:color="auto"/>
            </w:tcBorders>
            <w:gridSpan w:val="4"/>
            <w:vMerge w:val="continue"/>
          </w:tcPr>
          <w:p>
            <w:pPr>
              <w:spacing w:after="0"/>
              <w:rPr>
                <w:sz w:val="7"/>
                <w:szCs w:val="7"/>
                <w:color w:val="auto"/>
              </w:rPr>
            </w:pPr>
          </w:p>
        </w:tc>
        <w:tc>
          <w:tcPr>
            <w:tcW w:w="40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62"/>
        </w:trPr>
        <w:tc>
          <w:tcPr>
            <w:tcW w:w="18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6"/>
                <w:szCs w:val="16"/>
                <w:color w:val="auto"/>
              </w:rPr>
              <w:t>recently as Senior Vice President — Refining,</w:t>
            </w:r>
          </w:p>
        </w:tc>
        <w:tc>
          <w:tcPr>
            <w:tcW w:w="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2000" w:type="dxa"/>
            <w:vAlign w:val="bottom"/>
            <w:tcBorders>
              <w:right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8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Marketing, Transportation and Commercial. He</w:t>
            </w:r>
          </w:p>
        </w:tc>
        <w:tc>
          <w:tcPr>
            <w:tcW w:w="8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76"/>
        </w:trPr>
        <w:tc>
          <w:tcPr>
            <w:tcW w:w="18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currently serves on the board of Delta Airlines and</w:t>
            </w: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200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previously served on the boards of DCP Midstream</w:t>
            </w:r>
          </w:p>
        </w:tc>
        <w:tc>
          <w:tcPr>
            <w:tcW w:w="80" w:type="dxa"/>
            <w:vAlign w:val="bottom"/>
          </w:tcPr>
          <w:p>
            <w:pPr>
              <w:spacing w:after="0"/>
              <w:rPr>
                <w:sz w:val="16"/>
                <w:szCs w:val="16"/>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Cybersecurity/IT</w:t>
            </w:r>
          </w:p>
        </w:tc>
        <w:tc>
          <w:tcPr>
            <w:tcW w:w="0" w:type="dxa"/>
            <w:vAlign w:val="bottom"/>
          </w:tcPr>
          <w:p>
            <w:pPr>
              <w:spacing w:after="0"/>
              <w:rPr>
                <w:sz w:val="1"/>
                <w:szCs w:val="1"/>
                <w:color w:val="auto"/>
              </w:rPr>
            </w:pPr>
          </w:p>
        </w:tc>
      </w:tr>
      <w:tr>
        <w:trPr>
          <w:trHeight w:val="93"/>
        </w:trPr>
        <w:tc>
          <w:tcPr>
            <w:tcW w:w="180" w:type="dxa"/>
            <w:vAlign w:val="bottom"/>
            <w:tcBorders>
              <w:lef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and Chevron Phillips Chemical. He also serves on the</w:t>
            </w:r>
          </w:p>
        </w:tc>
        <w:tc>
          <w:tcPr>
            <w:tcW w:w="8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200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8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40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18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board of Performing Arts Houston. Mr. Chiang serves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as a director of the Federal Reserve Bank of Dallas,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Houston Branch, and is a member of the Energy</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8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Advisory Council. He serves as chair of the American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Fuel &amp; Petrochemical Manufacturers (AFPM) trade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association and is also involved in a number of other</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industry organizations including the American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Petroleum Institute (API) and National Petroleum</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Council. He received a BS in Mechanical Engineering</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from South Dakota School of Mines and Technology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and completed the Advanced Management Program</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at the University of Pennsylvania. Mr. Chiang’s role as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CEO and President and his broad experience in the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energy industry, together with his leadership</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capabilities and strategic focus, make him highly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qualified to serve on the Board.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408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gridSpan w:val="2"/>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8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Borders>
              <w:right w:val="single" w:sz="8" w:color="auto"/>
            </w:tcBorders>
            <w:gridSpan w:val="4"/>
          </w:tcPr>
          <w:p>
            <w:pPr>
              <w:jc w:val="center"/>
              <w:ind w:right="480"/>
              <w:spacing w:after="0" w:line="169" w:lineRule="exact"/>
              <w:rPr>
                <w:sz w:val="20"/>
                <w:szCs w:val="20"/>
                <w:color w:val="auto"/>
              </w:rPr>
            </w:pPr>
            <w:r>
              <w:rPr>
                <w:rFonts w:ascii="Arial" w:cs="Arial" w:eastAsia="Arial" w:hAnsi="Arial"/>
                <w:sz w:val="16"/>
                <w:szCs w:val="16"/>
                <w:b w:val="1"/>
                <w:bCs w:val="1"/>
                <w:color w:val="auto"/>
                <w:w w:val="98"/>
              </w:rPr>
              <w:t>ELLEN R.</w:t>
            </w:r>
          </w:p>
        </w:tc>
        <w:tc>
          <w:tcPr>
            <w:tcW w:w="408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6"/>
                <w:szCs w:val="16"/>
                <w:i w:val="1"/>
                <w:iCs w:val="1"/>
                <w:color w:val="auto"/>
              </w:rPr>
              <w:t>Ellen R. DeSanctis, age 69</w:t>
            </w:r>
            <w:r>
              <w:rPr>
                <w:rFonts w:ascii="Arial" w:cs="Arial" w:eastAsia="Arial" w:hAnsi="Arial"/>
                <w:sz w:val="16"/>
                <w:szCs w:val="16"/>
                <w:color w:val="auto"/>
              </w:rPr>
              <w:t>, has served as a director</w:t>
            </w:r>
          </w:p>
        </w:tc>
        <w:tc>
          <w:tcPr>
            <w:tcW w:w="80" w:type="dxa"/>
            <w:vAlign w:val="bottom"/>
          </w:tcPr>
          <w:p>
            <w:pPr>
              <w:spacing w:after="0"/>
              <w:rPr>
                <w:sz w:val="14"/>
                <w:szCs w:val="14"/>
                <w:color w:val="auto"/>
              </w:rPr>
            </w:pPr>
          </w:p>
        </w:tc>
        <w:tc>
          <w:tcPr>
            <w:tcW w:w="2120" w:type="dxa"/>
            <w:vAlign w:val="bottom"/>
            <w:tcBorders>
              <w:right w:val="single" w:sz="8" w:color="auto"/>
            </w:tcBorders>
            <w:gridSpan w:val="4"/>
          </w:tcPr>
          <w:p>
            <w:pPr>
              <w:spacing w:after="0" w:line="169" w:lineRule="exact"/>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55"/>
        </w:trPr>
        <w:tc>
          <w:tcPr>
            <w:tcW w:w="180" w:type="dxa"/>
            <w:vAlign w:val="bottom"/>
            <w:tcBorders>
              <w:lef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Borders>
              <w:right w:val="single" w:sz="8" w:color="auto"/>
            </w:tcBorders>
            <w:gridSpan w:val="4"/>
          </w:tcPr>
          <w:p>
            <w:pPr>
              <w:jc w:val="center"/>
              <w:ind w:right="480"/>
              <w:spacing w:after="0" w:line="155" w:lineRule="exact"/>
              <w:rPr>
                <w:sz w:val="20"/>
                <w:szCs w:val="20"/>
                <w:color w:val="auto"/>
              </w:rPr>
            </w:pPr>
            <w:r>
              <w:rPr>
                <w:rFonts w:ascii="Arial" w:cs="Arial" w:eastAsia="Arial" w:hAnsi="Arial"/>
                <w:sz w:val="16"/>
                <w:szCs w:val="16"/>
                <w:b w:val="1"/>
                <w:bCs w:val="1"/>
                <w:color w:val="auto"/>
                <w:w w:val="99"/>
              </w:rPr>
              <w:t>DESANCTIS</w:t>
            </w:r>
          </w:p>
        </w:tc>
        <w:tc>
          <w:tcPr>
            <w:tcW w:w="408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6"/>
                <w:szCs w:val="16"/>
                <w:color w:val="auto"/>
              </w:rPr>
              <w:t>of PAGP GP since August 2022. She has served as a</w:t>
            </w:r>
          </w:p>
        </w:tc>
        <w:tc>
          <w:tcPr>
            <w:tcW w:w="80" w:type="dxa"/>
            <w:vAlign w:val="bottom"/>
          </w:tcPr>
          <w:p>
            <w:pPr>
              <w:spacing w:after="0"/>
              <w:rPr>
                <w:sz w:val="13"/>
                <w:szCs w:val="13"/>
                <w:color w:val="auto"/>
              </w:rPr>
            </w:pPr>
          </w:p>
        </w:tc>
        <w:tc>
          <w:tcPr>
            <w:tcW w:w="72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6"/>
                <w:szCs w:val="16"/>
                <w:color w:val="auto"/>
                <w:w w:val="97"/>
              </w:rPr>
              <w:t>Attributes:</w:t>
            </w:r>
          </w:p>
        </w:tc>
        <w:tc>
          <w:tcPr>
            <w:tcW w:w="760" w:type="dxa"/>
            <w:vAlign w:val="bottom"/>
            <w:tcBorders>
              <w:top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8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Borders>
              <w:right w:val="single" w:sz="8" w:color="auto"/>
            </w:tcBorders>
            <w:gridSpan w:val="4"/>
            <w:vMerge w:val="restart"/>
          </w:tcPr>
          <w:p>
            <w:pPr>
              <w:jc w:val="center"/>
              <w:ind w:right="480"/>
              <w:spacing w:after="0"/>
              <w:rPr>
                <w:sz w:val="20"/>
                <w:szCs w:val="20"/>
                <w:color w:val="auto"/>
              </w:rPr>
            </w:pPr>
            <w:r>
              <w:rPr>
                <w:rFonts w:ascii="Arial" w:cs="Arial" w:eastAsia="Arial" w:hAnsi="Arial"/>
                <w:sz w:val="16"/>
                <w:szCs w:val="16"/>
                <w:b w:val="1"/>
                <w:bCs w:val="1"/>
                <w:color w:val="auto"/>
              </w:rPr>
              <w:t>Independent</w:t>
            </w:r>
          </w:p>
        </w:tc>
        <w:tc>
          <w:tcPr>
            <w:tcW w:w="408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6"/>
                <w:szCs w:val="16"/>
                <w:color w:val="auto"/>
              </w:rPr>
              <w:t>Senior Counselor at H/Advisors Abernathy since</w:t>
            </w:r>
          </w:p>
        </w:tc>
        <w:tc>
          <w:tcPr>
            <w:tcW w:w="8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Public Company</w:t>
            </w:r>
          </w:p>
        </w:tc>
        <w:tc>
          <w:tcPr>
            <w:tcW w:w="0" w:type="dxa"/>
            <w:vAlign w:val="bottom"/>
          </w:tcPr>
          <w:p>
            <w:pPr>
              <w:spacing w:after="0"/>
              <w:rPr>
                <w:sz w:val="1"/>
                <w:szCs w:val="1"/>
                <w:color w:val="auto"/>
              </w:rPr>
            </w:pPr>
          </w:p>
        </w:tc>
      </w:tr>
      <w:tr>
        <w:trPr>
          <w:trHeight w:val="121"/>
        </w:trPr>
        <w:tc>
          <w:tcPr>
            <w:tcW w:w="18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tcBorders>
              <w:right w:val="single" w:sz="8" w:color="auto"/>
            </w:tcBorders>
            <w:gridSpan w:val="4"/>
            <w:vMerge w:val="continue"/>
          </w:tcPr>
          <w:p>
            <w:pPr>
              <w:spacing w:after="0"/>
              <w:rPr>
                <w:sz w:val="10"/>
                <w:szCs w:val="10"/>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September 2024. She previously served as Senior</w:t>
            </w:r>
          </w:p>
        </w:tc>
        <w:tc>
          <w:tcPr>
            <w:tcW w:w="8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200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80" w:type="dxa"/>
            <w:vAlign w:val="bottom"/>
            <w:tcBorders>
              <w:lef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61"/>
        </w:trPr>
        <w:tc>
          <w:tcPr>
            <w:tcW w:w="180" w:type="dxa"/>
            <w:vAlign w:val="bottom"/>
            <w:tcBorders>
              <w:left w:val="single" w:sz="8" w:color="auto"/>
            </w:tcBorders>
          </w:tcPr>
          <w:p>
            <w:pPr>
              <w:spacing w:after="0"/>
              <w:rPr>
                <w:sz w:val="13"/>
                <w:szCs w:val="13"/>
                <w:color w:val="auto"/>
              </w:rPr>
            </w:pPr>
          </w:p>
        </w:tc>
        <w:tc>
          <w:tcPr>
            <w:tcW w:w="1760" w:type="dxa"/>
            <w:vAlign w:val="bottom"/>
            <w:tcBorders>
              <w:right w:val="single" w:sz="8" w:color="auto"/>
            </w:tcBorders>
            <w:gridSpan w:val="6"/>
            <w:vMerge w:val="restart"/>
          </w:tcPr>
          <w:p>
            <w:pPr>
              <w:jc w:val="center"/>
              <w:ind w:right="160"/>
              <w:spacing w:after="0"/>
              <w:rPr>
                <w:sz w:val="20"/>
                <w:szCs w:val="20"/>
                <w:color w:val="auto"/>
              </w:rPr>
            </w:pPr>
            <w:r>
              <w:rPr>
                <w:rFonts w:ascii="Arial" w:cs="Arial" w:eastAsia="Arial" w:hAnsi="Arial"/>
                <w:sz w:val="16"/>
                <w:szCs w:val="16"/>
                <w:b w:val="1"/>
                <w:bCs w:val="1"/>
                <w:i w:val="1"/>
                <w:iCs w:val="1"/>
                <w:color w:val="auto"/>
                <w:w w:val="99"/>
              </w:rPr>
              <w:t>PAGP/PAA Director</w:t>
            </w: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Vice President of Corporate Relations for</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0" w:type="dxa"/>
            <w:vAlign w:val="bottom"/>
            <w:tcBorders>
              <w:right w:val="single" w:sz="8" w:color="auto"/>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180" w:type="dxa"/>
            <w:vAlign w:val="bottom"/>
            <w:tcBorders>
              <w:left w:val="single" w:sz="8" w:color="auto"/>
            </w:tcBorders>
          </w:tcPr>
          <w:p>
            <w:pPr>
              <w:spacing w:after="0"/>
              <w:rPr>
                <w:sz w:val="3"/>
                <w:szCs w:val="3"/>
                <w:color w:val="auto"/>
              </w:rPr>
            </w:pPr>
          </w:p>
        </w:tc>
        <w:tc>
          <w:tcPr>
            <w:tcW w:w="1760" w:type="dxa"/>
            <w:vAlign w:val="bottom"/>
            <w:tcBorders>
              <w:right w:val="single" w:sz="8" w:color="auto"/>
            </w:tcBorders>
            <w:gridSpan w:val="6"/>
            <w:vMerge w:val="continue"/>
          </w:tcPr>
          <w:p>
            <w:pPr>
              <w:spacing w:after="0"/>
              <w:rPr>
                <w:sz w:val="3"/>
                <w:szCs w:val="3"/>
                <w:color w:val="auto"/>
              </w:rPr>
            </w:pPr>
          </w:p>
        </w:tc>
        <w:tc>
          <w:tcPr>
            <w:tcW w:w="4080" w:type="dxa"/>
            <w:vAlign w:val="bottom"/>
            <w:tcBorders>
              <w:right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Borders>
              <w:right w:val="single" w:sz="8" w:color="auto"/>
            </w:tcBorders>
            <w:gridSpan w:val="4"/>
          </w:tcPr>
          <w:p>
            <w:pPr>
              <w:jc w:val="center"/>
              <w:ind w:right="460"/>
              <w:spacing w:after="0"/>
              <w:rPr>
                <w:sz w:val="20"/>
                <w:szCs w:val="20"/>
                <w:color w:val="auto"/>
              </w:rPr>
            </w:pPr>
            <w:r>
              <w:rPr>
                <w:rFonts w:ascii="Arial" w:cs="Arial" w:eastAsia="Arial" w:hAnsi="Arial"/>
                <w:sz w:val="16"/>
                <w:szCs w:val="16"/>
                <w:b w:val="1"/>
                <w:bCs w:val="1"/>
                <w:i w:val="1"/>
                <w:iCs w:val="1"/>
                <w:color w:val="auto"/>
              </w:rPr>
              <w:t>since 2022</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ConocoPhillips, where she worked from 2012 until her</w:t>
            </w: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21"/>
        </w:trPr>
        <w:tc>
          <w:tcPr>
            <w:tcW w:w="18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Committees</w:t>
            </w:r>
          </w:p>
        </w:tc>
        <w:tc>
          <w:tcPr>
            <w:tcW w:w="520" w:type="dxa"/>
            <w:vAlign w:val="bottom"/>
            <w:tcBorders>
              <w:right w:val="single" w:sz="8" w:color="auto"/>
            </w:tcBorders>
            <w:gridSpan w:val="3"/>
            <w:vMerge w:val="restart"/>
          </w:tcPr>
          <w:p>
            <w:pPr>
              <w:jc w:val="right"/>
              <w:ind w:right="460"/>
              <w:spacing w:after="0"/>
              <w:rPr>
                <w:sz w:val="20"/>
                <w:szCs w:val="20"/>
                <w:color w:val="auto"/>
              </w:rPr>
            </w:pPr>
            <w:r>
              <w:rPr>
                <w:rFonts w:ascii="Arial" w:cs="Arial" w:eastAsia="Arial" w:hAnsi="Arial"/>
                <w:sz w:val="16"/>
                <w:szCs w:val="16"/>
                <w:b w:val="1"/>
                <w:bCs w:val="1"/>
                <w:color w:val="auto"/>
                <w:w w:val="74"/>
              </w:rPr>
              <w:t>:</w:t>
            </w:r>
          </w:p>
        </w:tc>
        <w:tc>
          <w:tcPr>
            <w:tcW w:w="4080" w:type="dxa"/>
            <w:vAlign w:val="bottom"/>
            <w:tcBorders>
              <w:right w:val="single" w:sz="8" w:color="auto"/>
            </w:tcBorders>
          </w:tcPr>
          <w:p>
            <w:pPr>
              <w:ind w:left="80"/>
              <w:spacing w:after="0" w:line="121" w:lineRule="exact"/>
              <w:rPr>
                <w:sz w:val="20"/>
                <w:szCs w:val="20"/>
                <w:color w:val="auto"/>
              </w:rPr>
            </w:pPr>
            <w:r>
              <w:rPr>
                <w:rFonts w:ascii="Arial" w:cs="Arial" w:eastAsia="Arial" w:hAnsi="Arial"/>
                <w:sz w:val="14"/>
                <w:szCs w:val="14"/>
                <w:color w:val="auto"/>
              </w:rPr>
              <w:t>retirement in 2022. In that capacity, she was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80" w:type="dxa"/>
            <w:vAlign w:val="bottom"/>
            <w:tcBorders>
              <w:lef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520" w:type="dxa"/>
            <w:vAlign w:val="bottom"/>
            <w:tcBorders>
              <w:right w:val="single" w:sz="8" w:color="auto"/>
            </w:tcBorders>
            <w:gridSpan w:val="3"/>
            <w:vMerge w:val="continue"/>
          </w:tcPr>
          <w:p>
            <w:pPr>
              <w:spacing w:after="0"/>
              <w:rPr>
                <w:sz w:val="13"/>
                <w:szCs w:val="13"/>
                <w:color w:val="auto"/>
              </w:rPr>
            </w:pPr>
          </w:p>
        </w:tc>
        <w:tc>
          <w:tcPr>
            <w:tcW w:w="408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6"/>
                <w:szCs w:val="16"/>
                <w:color w:val="auto"/>
              </w:rPr>
              <w:t>responsible for investor relations, corporate</w:t>
            </w:r>
          </w:p>
        </w:tc>
        <w:tc>
          <w:tcPr>
            <w:tcW w:w="8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40"/>
              <w:spacing w:after="0" w:line="155" w:lineRule="exact"/>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Borders>
              <w:right w:val="single" w:sz="8" w:color="auto"/>
            </w:tcBorders>
            <w:gridSpan w:val="4"/>
            <w:vMerge w:val="restart"/>
          </w:tcPr>
          <w:p>
            <w:pPr>
              <w:jc w:val="center"/>
              <w:ind w:right="480"/>
              <w:spacing w:after="0"/>
              <w:rPr>
                <w:sz w:val="20"/>
                <w:szCs w:val="20"/>
                <w:color w:val="auto"/>
              </w:rPr>
            </w:pPr>
            <w:r>
              <w:rPr>
                <w:rFonts w:ascii="Arial" w:cs="Arial" w:eastAsia="Arial" w:hAnsi="Arial"/>
                <w:sz w:val="16"/>
                <w:szCs w:val="16"/>
                <w:color w:val="auto"/>
                <w:w w:val="98"/>
              </w:rPr>
              <w:t>Audit</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communications and charitable programs. Prior to</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07"/>
        </w:trPr>
        <w:tc>
          <w:tcPr>
            <w:tcW w:w="180" w:type="dxa"/>
            <w:vAlign w:val="bottom"/>
            <w:tcBorders>
              <w:lef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40" w:type="dxa"/>
            <w:vAlign w:val="bottom"/>
            <w:tcBorders>
              <w:right w:val="single" w:sz="8" w:color="auto"/>
            </w:tcBorders>
            <w:gridSpan w:val="4"/>
            <w:vMerge w:val="continue"/>
          </w:tcPr>
          <w:p>
            <w:pPr>
              <w:spacing w:after="0"/>
              <w:rPr>
                <w:sz w:val="9"/>
                <w:szCs w:val="9"/>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ConocoPhillips, Ms. DeSanctis had responsibility for</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18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Governance/​Government</w:t>
            </w:r>
          </w:p>
        </w:tc>
        <w:tc>
          <w:tcPr>
            <w:tcW w:w="0" w:type="dxa"/>
            <w:vAlign w:val="bottom"/>
          </w:tcPr>
          <w:p>
            <w:pPr>
              <w:spacing w:after="0"/>
              <w:rPr>
                <w:sz w:val="1"/>
                <w:szCs w:val="1"/>
                <w:color w:val="auto"/>
              </w:rPr>
            </w:pPr>
          </w:p>
        </w:tc>
      </w:tr>
      <w:tr>
        <w:trPr>
          <w:trHeight w:val="121"/>
        </w:trPr>
        <w:tc>
          <w:tcPr>
            <w:tcW w:w="18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tcBorders>
              <w:right w:val="single" w:sz="8" w:color="auto"/>
            </w:tcBorders>
            <w:gridSpan w:val="4"/>
            <w:vMerge w:val="restart"/>
          </w:tcPr>
          <w:p>
            <w:pPr>
              <w:jc w:val="center"/>
              <w:ind w:right="480"/>
              <w:spacing w:after="0" w:line="175" w:lineRule="exact"/>
              <w:rPr>
                <w:sz w:val="20"/>
                <w:szCs w:val="20"/>
                <w:color w:val="auto"/>
              </w:rPr>
            </w:pPr>
            <w:r>
              <w:rPr>
                <w:rFonts w:ascii="Arial" w:cs="Arial" w:eastAsia="Arial" w:hAnsi="Arial"/>
                <w:sz w:val="16"/>
                <w:szCs w:val="16"/>
                <w:color w:val="auto"/>
              </w:rPr>
              <w:t>HSES</w:t>
            </w: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similar functions, as well as strategic planning roles,</w:t>
            </w:r>
          </w:p>
        </w:tc>
        <w:tc>
          <w:tcPr>
            <w:tcW w:w="8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200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80" w:type="dxa"/>
            <w:vAlign w:val="bottom"/>
            <w:tcBorders>
              <w:lef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Borders>
              <w:right w:val="single" w:sz="8" w:color="auto"/>
            </w:tcBorders>
            <w:gridSpan w:val="4"/>
            <w:vMerge w:val="continue"/>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Relations/Legal</w:t>
            </w:r>
          </w:p>
        </w:tc>
        <w:tc>
          <w:tcPr>
            <w:tcW w:w="0" w:type="dxa"/>
            <w:vAlign w:val="bottom"/>
          </w:tcPr>
          <w:p>
            <w:pPr>
              <w:spacing w:after="0"/>
              <w:rPr>
                <w:sz w:val="1"/>
                <w:szCs w:val="1"/>
                <w:color w:val="auto"/>
              </w:rPr>
            </w:pPr>
          </w:p>
        </w:tc>
      </w:tr>
      <w:tr>
        <w:trPr>
          <w:trHeight w:val="175"/>
        </w:trPr>
        <w:tc>
          <w:tcPr>
            <w:tcW w:w="18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for a number of upstream energy companies, including</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Petrohawk Energy Corporation, Rosetta Resources,</w:t>
            </w:r>
          </w:p>
        </w:tc>
        <w:tc>
          <w:tcPr>
            <w:tcW w:w="80" w:type="dxa"/>
            <w:vAlign w:val="bottom"/>
          </w:tcPr>
          <w:p>
            <w:pPr>
              <w:spacing w:after="0"/>
              <w:rPr>
                <w:sz w:val="16"/>
                <w:szCs w:val="16"/>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68"/>
        </w:trPr>
        <w:tc>
          <w:tcPr>
            <w:tcW w:w="18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Burlington Resources, Vastar Resources and ARCO.</w:t>
            </w:r>
          </w:p>
        </w:tc>
        <w:tc>
          <w:tcPr>
            <w:tcW w:w="8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00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80" w:type="dxa"/>
            <w:vAlign w:val="bottom"/>
            <w:tcBorders>
              <w:lef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408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107"/>
        </w:trPr>
        <w:tc>
          <w:tcPr>
            <w:tcW w:w="180" w:type="dxa"/>
            <w:vAlign w:val="bottom"/>
            <w:tcBorders>
              <w:lef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Ms. DeSanctis spent her early career as an engineer</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18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for Shell Oil Company. Ms. DeSanctis served on the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board of SilverBow Resources, Inc. from</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November 2023 until August 2024.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18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408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7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70" w:type="dxa"/>
        <w:tblCellMar>
          <w:top w:w="0" w:type="dxa"/>
          <w:left w:w="0" w:type="dxa"/>
          <w:bottom w:w="0" w:type="dxa"/>
          <w:right w:w="0" w:type="dxa"/>
        </w:tblCellMar>
      </w:tblPr>
      <w:tr>
        <w:trPr>
          <w:trHeight w:val="283"/>
        </w:trPr>
        <w:tc>
          <w:tcPr>
            <w:tcW w:w="140" w:type="dxa"/>
            <w:vAlign w:val="bottom"/>
            <w:tcBorders>
              <w:top w:val="single" w:sz="8" w:color="auto"/>
              <w:left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right w:val="single" w:sz="8" w:color="auto"/>
            </w:tcBorders>
          </w:tcPr>
          <w:p>
            <w:pPr>
              <w:spacing w:after="0"/>
              <w:rPr>
                <w:sz w:val="24"/>
                <w:szCs w:val="24"/>
                <w:color w:val="auto"/>
              </w:rPr>
            </w:pPr>
          </w:p>
        </w:tc>
        <w:tc>
          <w:tcPr>
            <w:tcW w:w="40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She also served as past chair of the Girl Scouts of San</w:t>
            </w: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0" w:type="dxa"/>
            <w:vAlign w:val="bottom"/>
            <w:tcBorders>
              <w:top w:val="single" w:sz="8" w:color="auto"/>
              <w:right w:val="single" w:sz="8" w:color="auto"/>
            </w:tcBorders>
            <w:gridSpan w:val="3"/>
          </w:tcPr>
          <w:p>
            <w:pPr>
              <w:ind w:left="40"/>
              <w:spacing w:after="0"/>
              <w:rPr>
                <w:sz w:val="20"/>
                <w:szCs w:val="20"/>
                <w:color w:val="auto"/>
              </w:rPr>
            </w:pPr>
            <w:r>
              <w:rPr>
                <w:rFonts w:ascii="Arial" w:cs="Arial" w:eastAsia="Arial" w:hAnsi="Arial"/>
                <w:sz w:val="16"/>
                <w:szCs w:val="16"/>
                <w:color w:val="auto"/>
              </w:rPr>
              <w:t>Technical</w:t>
            </w:r>
          </w:p>
        </w:tc>
        <w:tc>
          <w:tcPr>
            <w:tcW w:w="0" w:type="dxa"/>
            <w:vAlign w:val="bottom"/>
          </w:tcPr>
          <w:p>
            <w:pPr>
              <w:spacing w:after="0"/>
              <w:rPr>
                <w:sz w:val="1"/>
                <w:szCs w:val="1"/>
                <w:color w:val="auto"/>
              </w:rPr>
            </w:pPr>
          </w:p>
        </w:tc>
      </w:tr>
      <w:tr>
        <w:trPr>
          <w:trHeight w:val="176"/>
        </w:trPr>
        <w:tc>
          <w:tcPr>
            <w:tcW w:w="1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Jacinto Council. Ms. DeSanctis holds a BA in</w:t>
            </w:r>
          </w:p>
        </w:tc>
        <w:tc>
          <w:tcPr>
            <w:tcW w:w="8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75"/>
        </w:trPr>
        <w:tc>
          <w:tcPr>
            <w:tcW w:w="1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Geological and Geophysical Sciences from Princeton</w:t>
            </w: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200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0" w:type="dxa"/>
            <w:vAlign w:val="bottom"/>
            <w:tcBorders>
              <w:lef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University and an MBA from UCLA. Ms. DeSanctis’s</w:t>
            </w:r>
          </w:p>
        </w:tc>
        <w:tc>
          <w:tcPr>
            <w:tcW w:w="80" w:type="dxa"/>
            <w:vAlign w:val="bottom"/>
          </w:tcPr>
          <w:p>
            <w:pPr>
              <w:spacing w:after="0"/>
              <w:rPr>
                <w:sz w:val="16"/>
                <w:szCs w:val="16"/>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80"/>
        </w:trPr>
        <w:tc>
          <w:tcPr>
            <w:tcW w:w="140" w:type="dxa"/>
            <w:vAlign w:val="bottom"/>
            <w:tcBorders>
              <w:lef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diverse, strategic and stakeholder-focused background</w:t>
            </w:r>
          </w:p>
        </w:tc>
        <w:tc>
          <w:tcPr>
            <w:tcW w:w="8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2000" w:type="dxa"/>
            <w:vAlign w:val="bottom"/>
            <w:tcBorders>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140" w:type="dxa"/>
            <w:vAlign w:val="bottom"/>
            <w:tcBorders>
              <w:lef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408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14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brings a valuable perspective to the Board.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140" w:type="dxa"/>
            <w:vAlign w:val="bottom"/>
            <w:tcBorders>
              <w:left w:val="single" w:sz="8" w:color="auto"/>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408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4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Borders>
              <w:right w:val="single" w:sz="8" w:color="auto"/>
            </w:tcBorders>
            <w:gridSpan w:val="5"/>
          </w:tcPr>
          <w:p>
            <w:pPr>
              <w:jc w:val="center"/>
              <w:ind w:right="280"/>
              <w:spacing w:after="0" w:line="169" w:lineRule="exact"/>
              <w:rPr>
                <w:sz w:val="20"/>
                <w:szCs w:val="20"/>
                <w:color w:val="auto"/>
              </w:rPr>
            </w:pPr>
            <w:r>
              <w:rPr>
                <w:rFonts w:ascii="Arial" w:cs="Arial" w:eastAsia="Arial" w:hAnsi="Arial"/>
                <w:sz w:val="16"/>
                <w:szCs w:val="16"/>
                <w:b w:val="1"/>
                <w:bCs w:val="1"/>
                <w:color w:val="auto"/>
                <w:w w:val="99"/>
              </w:rPr>
              <w:t>ALEXANDRA D.</w:t>
            </w:r>
          </w:p>
        </w:tc>
        <w:tc>
          <w:tcPr>
            <w:tcW w:w="408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6"/>
                <w:szCs w:val="16"/>
                <w:i w:val="1"/>
                <w:iCs w:val="1"/>
                <w:color w:val="auto"/>
              </w:rPr>
              <w:t>Alexandra D. Pruner, age 64</w:t>
            </w:r>
            <w:r>
              <w:rPr>
                <w:rFonts w:ascii="Arial" w:cs="Arial" w:eastAsia="Arial" w:hAnsi="Arial"/>
                <w:sz w:val="16"/>
                <w:szCs w:val="16"/>
                <w:color w:val="auto"/>
              </w:rPr>
              <w:t>, has served as a director</w:t>
            </w:r>
          </w:p>
        </w:tc>
        <w:tc>
          <w:tcPr>
            <w:tcW w:w="80" w:type="dxa"/>
            <w:vAlign w:val="bottom"/>
          </w:tcPr>
          <w:p>
            <w:pPr>
              <w:spacing w:after="0"/>
              <w:rPr>
                <w:sz w:val="14"/>
                <w:szCs w:val="14"/>
                <w:color w:val="auto"/>
              </w:rPr>
            </w:pPr>
          </w:p>
        </w:tc>
        <w:tc>
          <w:tcPr>
            <w:tcW w:w="2120" w:type="dxa"/>
            <w:vAlign w:val="bottom"/>
            <w:tcBorders>
              <w:right w:val="single" w:sz="8" w:color="auto"/>
            </w:tcBorders>
            <w:gridSpan w:val="4"/>
          </w:tcPr>
          <w:p>
            <w:pPr>
              <w:spacing w:after="0" w:line="169" w:lineRule="exact"/>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69"/>
        </w:trPr>
        <w:tc>
          <w:tcPr>
            <w:tcW w:w="14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Borders>
              <w:right w:val="single" w:sz="8" w:color="auto"/>
            </w:tcBorders>
            <w:gridSpan w:val="4"/>
          </w:tcPr>
          <w:p>
            <w:pPr>
              <w:jc w:val="center"/>
              <w:ind w:right="480"/>
              <w:spacing w:after="0" w:line="169" w:lineRule="exact"/>
              <w:rPr>
                <w:sz w:val="20"/>
                <w:szCs w:val="20"/>
                <w:color w:val="auto"/>
              </w:rPr>
            </w:pPr>
            <w:r>
              <w:rPr>
                <w:rFonts w:ascii="Arial" w:cs="Arial" w:eastAsia="Arial" w:hAnsi="Arial"/>
                <w:sz w:val="16"/>
                <w:szCs w:val="16"/>
                <w:b w:val="1"/>
                <w:bCs w:val="1"/>
                <w:color w:val="auto"/>
              </w:rPr>
              <w:t>PRUNER</w:t>
            </w:r>
          </w:p>
        </w:tc>
        <w:tc>
          <w:tcPr>
            <w:tcW w:w="408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6"/>
                <w:szCs w:val="16"/>
                <w:color w:val="auto"/>
              </w:rPr>
              <w:t>of PAGP GP since December 2018. Ms. Pruner has</w:t>
            </w:r>
          </w:p>
        </w:tc>
        <w:tc>
          <w:tcPr>
            <w:tcW w:w="80" w:type="dxa"/>
            <w:vAlign w:val="bottom"/>
          </w:tcPr>
          <w:p>
            <w:pPr>
              <w:spacing w:after="0"/>
              <w:rPr>
                <w:sz w:val="14"/>
                <w:szCs w:val="14"/>
                <w:color w:val="auto"/>
              </w:rPr>
            </w:pPr>
          </w:p>
        </w:tc>
        <w:tc>
          <w:tcPr>
            <w:tcW w:w="720" w:type="dxa"/>
            <w:vAlign w:val="bottom"/>
            <w:tcBorders>
              <w:top w:val="single" w:sz="8" w:color="auto"/>
              <w:bottom w:val="single" w:sz="8" w:color="auto"/>
            </w:tcBorders>
            <w:gridSpan w:val="2"/>
          </w:tcPr>
          <w:p>
            <w:pPr>
              <w:spacing w:after="0" w:line="169" w:lineRule="exact"/>
              <w:rPr>
                <w:sz w:val="20"/>
                <w:szCs w:val="20"/>
                <w:color w:val="auto"/>
              </w:rPr>
            </w:pPr>
            <w:r>
              <w:rPr>
                <w:rFonts w:ascii="Arial" w:cs="Arial" w:eastAsia="Arial" w:hAnsi="Arial"/>
                <w:sz w:val="16"/>
                <w:szCs w:val="16"/>
                <w:color w:val="auto"/>
                <w:w w:val="97"/>
              </w:rPr>
              <w:t>Attributes:</w:t>
            </w:r>
          </w:p>
        </w:tc>
        <w:tc>
          <w:tcPr>
            <w:tcW w:w="760" w:type="dxa"/>
            <w:vAlign w:val="bottom"/>
            <w:tcBorders>
              <w:top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0" w:type="dxa"/>
            <w:vAlign w:val="bottom"/>
            <w:tcBorders>
              <w:lef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Borders>
              <w:right w:val="single" w:sz="8" w:color="auto"/>
            </w:tcBorders>
            <w:gridSpan w:val="4"/>
            <w:vMerge w:val="restart"/>
          </w:tcPr>
          <w:p>
            <w:pPr>
              <w:jc w:val="center"/>
              <w:ind w:right="480"/>
              <w:spacing w:after="0"/>
              <w:rPr>
                <w:sz w:val="20"/>
                <w:szCs w:val="20"/>
                <w:color w:val="auto"/>
              </w:rPr>
            </w:pPr>
            <w:r>
              <w:rPr>
                <w:rFonts w:ascii="Arial" w:cs="Arial" w:eastAsia="Arial" w:hAnsi="Arial"/>
                <w:sz w:val="16"/>
                <w:szCs w:val="16"/>
                <w:b w:val="1"/>
                <w:bCs w:val="1"/>
                <w:color w:val="auto"/>
              </w:rPr>
              <w:t>Independent</w:t>
            </w:r>
          </w:p>
        </w:tc>
        <w:tc>
          <w:tcPr>
            <w:tcW w:w="408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6"/>
                <w:szCs w:val="16"/>
                <w:color w:val="auto"/>
              </w:rPr>
              <w:t>served as a Senior Advisor of Perella Weinberg</w:t>
            </w:r>
          </w:p>
        </w:tc>
        <w:tc>
          <w:tcPr>
            <w:tcW w:w="80" w:type="dxa"/>
            <w:vAlign w:val="bottom"/>
          </w:tcPr>
          <w:p>
            <w:pPr>
              <w:spacing w:after="0"/>
              <w:rPr>
                <w:sz w:val="13"/>
                <w:szCs w:val="13"/>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Public Company</w:t>
            </w:r>
          </w:p>
        </w:tc>
        <w:tc>
          <w:tcPr>
            <w:tcW w:w="0" w:type="dxa"/>
            <w:vAlign w:val="bottom"/>
          </w:tcPr>
          <w:p>
            <w:pPr>
              <w:spacing w:after="0"/>
              <w:rPr>
                <w:sz w:val="1"/>
                <w:szCs w:val="1"/>
                <w:color w:val="auto"/>
              </w:rPr>
            </w:pPr>
          </w:p>
        </w:tc>
      </w:tr>
      <w:tr>
        <w:trPr>
          <w:trHeight w:val="135"/>
        </w:trPr>
        <w:tc>
          <w:tcPr>
            <w:tcW w:w="140" w:type="dxa"/>
            <w:vAlign w:val="bottom"/>
            <w:tcBorders>
              <w:lef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tcBorders>
              <w:right w:val="single" w:sz="8" w:color="auto"/>
            </w:tcBorders>
            <w:gridSpan w:val="4"/>
            <w:vMerge w:val="continue"/>
          </w:tcPr>
          <w:p>
            <w:pPr>
              <w:spacing w:after="0"/>
              <w:rPr>
                <w:sz w:val="11"/>
                <w:szCs w:val="11"/>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Partners (“PWP”), a global independent advisory firm</w:t>
            </w:r>
          </w:p>
        </w:tc>
        <w:tc>
          <w:tcPr>
            <w:tcW w:w="8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200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40" w:type="dxa"/>
            <w:vAlign w:val="bottom"/>
            <w:tcBorders>
              <w:lef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Borders>
              <w:right w:val="single" w:sz="8" w:color="auto"/>
            </w:tcBorders>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61"/>
        </w:trPr>
        <w:tc>
          <w:tcPr>
            <w:tcW w:w="140" w:type="dxa"/>
            <w:vAlign w:val="bottom"/>
            <w:tcBorders>
              <w:left w:val="single" w:sz="8" w:color="auto"/>
            </w:tcBorders>
          </w:tcPr>
          <w:p>
            <w:pPr>
              <w:spacing w:after="0"/>
              <w:rPr>
                <w:sz w:val="13"/>
                <w:szCs w:val="13"/>
                <w:color w:val="auto"/>
              </w:rPr>
            </w:pPr>
          </w:p>
        </w:tc>
        <w:tc>
          <w:tcPr>
            <w:tcW w:w="1800" w:type="dxa"/>
            <w:vAlign w:val="bottom"/>
            <w:tcBorders>
              <w:right w:val="single" w:sz="8" w:color="auto"/>
            </w:tcBorders>
            <w:gridSpan w:val="6"/>
            <w:vMerge w:val="restart"/>
          </w:tcPr>
          <w:p>
            <w:pPr>
              <w:jc w:val="center"/>
              <w:ind w:right="120"/>
              <w:spacing w:after="0"/>
              <w:rPr>
                <w:sz w:val="20"/>
                <w:szCs w:val="20"/>
                <w:color w:val="auto"/>
              </w:rPr>
            </w:pPr>
            <w:r>
              <w:rPr>
                <w:rFonts w:ascii="Arial" w:cs="Arial" w:eastAsia="Arial" w:hAnsi="Arial"/>
                <w:sz w:val="16"/>
                <w:szCs w:val="16"/>
                <w:b w:val="1"/>
                <w:bCs w:val="1"/>
                <w:i w:val="1"/>
                <w:iCs w:val="1"/>
                <w:color w:val="auto"/>
                <w:w w:val="99"/>
              </w:rPr>
              <w:t>PAGP/PAA Director</w:t>
            </w: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providing strategic and financial advice and asset-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0" w:type="dxa"/>
            <w:vAlign w:val="bottom"/>
            <w:tcBorders>
              <w:right w:val="single" w:sz="8" w:color="auto"/>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40" w:type="dxa"/>
            <w:vAlign w:val="bottom"/>
            <w:tcBorders>
              <w:left w:val="single" w:sz="8" w:color="auto"/>
            </w:tcBorders>
          </w:tcPr>
          <w:p>
            <w:pPr>
              <w:spacing w:after="0"/>
              <w:rPr>
                <w:sz w:val="2"/>
                <w:szCs w:val="2"/>
                <w:color w:val="auto"/>
              </w:rPr>
            </w:pPr>
          </w:p>
        </w:tc>
        <w:tc>
          <w:tcPr>
            <w:tcW w:w="1800" w:type="dxa"/>
            <w:vAlign w:val="bottom"/>
            <w:tcBorders>
              <w:right w:val="single" w:sz="8" w:color="auto"/>
            </w:tcBorders>
            <w:gridSpan w:val="6"/>
            <w:vMerge w:val="continue"/>
          </w:tcPr>
          <w:p>
            <w:pPr>
              <w:spacing w:after="0"/>
              <w:rPr>
                <w:sz w:val="2"/>
                <w:szCs w:val="2"/>
                <w:color w:val="auto"/>
              </w:rPr>
            </w:pPr>
          </w:p>
        </w:tc>
        <w:tc>
          <w:tcPr>
            <w:tcW w:w="4080" w:type="dxa"/>
            <w:vAlign w:val="bottom"/>
            <w:tcBorders>
              <w:right w:val="single" w:sz="8" w:color="auto"/>
            </w:tcBorders>
            <w:vMerge w:val="continu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Borders>
              <w:right w:val="single" w:sz="8" w:color="auto"/>
            </w:tcBorders>
            <w:gridSpan w:val="4"/>
          </w:tcPr>
          <w:p>
            <w:pPr>
              <w:jc w:val="center"/>
              <w:ind w:right="460"/>
              <w:spacing w:after="0"/>
              <w:rPr>
                <w:sz w:val="20"/>
                <w:szCs w:val="20"/>
                <w:color w:val="auto"/>
              </w:rPr>
            </w:pPr>
            <w:r>
              <w:rPr>
                <w:rFonts w:ascii="Arial" w:cs="Arial" w:eastAsia="Arial" w:hAnsi="Arial"/>
                <w:sz w:val="16"/>
                <w:szCs w:val="16"/>
                <w:b w:val="1"/>
                <w:bCs w:val="1"/>
                <w:i w:val="1"/>
                <w:iCs w:val="1"/>
                <w:color w:val="auto"/>
              </w:rPr>
              <w:t>since 2018</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management services, and its energy division, Tudor,</w:t>
            </w: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21"/>
        </w:trPr>
        <w:tc>
          <w:tcPr>
            <w:tcW w:w="140" w:type="dxa"/>
            <w:vAlign w:val="bottom"/>
            <w:tcBorders>
              <w:lef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Committees</w:t>
            </w:r>
          </w:p>
        </w:tc>
        <w:tc>
          <w:tcPr>
            <w:tcW w:w="2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4080" w:type="dxa"/>
            <w:vAlign w:val="bottom"/>
            <w:tcBorders>
              <w:right w:val="single" w:sz="8" w:color="auto"/>
            </w:tcBorders>
          </w:tcPr>
          <w:p>
            <w:pPr>
              <w:ind w:left="80"/>
              <w:spacing w:after="0" w:line="121" w:lineRule="exact"/>
              <w:rPr>
                <w:sz w:val="20"/>
                <w:szCs w:val="20"/>
                <w:color w:val="auto"/>
              </w:rPr>
            </w:pPr>
            <w:r>
              <w:rPr>
                <w:rFonts w:ascii="Arial" w:cs="Arial" w:eastAsia="Arial" w:hAnsi="Arial"/>
                <w:sz w:val="14"/>
                <w:szCs w:val="14"/>
                <w:color w:val="auto"/>
              </w:rPr>
              <w:t>Pickering, Holt &amp; Co., since December 2018. She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4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6"/>
                <w:szCs w:val="16"/>
                <w:color w:val="auto"/>
              </w:rPr>
              <w:t>previously served as Partner and Chief Financial</w:t>
            </w:r>
          </w:p>
        </w:tc>
        <w:tc>
          <w:tcPr>
            <w:tcW w:w="80" w:type="dxa"/>
            <w:vAlign w:val="bottom"/>
          </w:tcPr>
          <w:p>
            <w:pPr>
              <w:spacing w:after="0"/>
              <w:rPr>
                <w:sz w:val="14"/>
                <w:szCs w:val="14"/>
                <w:color w:val="auto"/>
              </w:rPr>
            </w:pPr>
          </w:p>
        </w:tc>
        <w:tc>
          <w:tcPr>
            <w:tcW w:w="12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40"/>
              <w:spacing w:after="0" w:line="169" w:lineRule="exact"/>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75"/>
        </w:trPr>
        <w:tc>
          <w:tcPr>
            <w:tcW w:w="1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Borders>
              <w:right w:val="single" w:sz="8" w:color="auto"/>
            </w:tcBorders>
            <w:gridSpan w:val="4"/>
            <w:vMerge w:val="restart"/>
          </w:tcPr>
          <w:p>
            <w:pPr>
              <w:jc w:val="center"/>
              <w:ind w:right="460"/>
              <w:spacing w:after="0"/>
              <w:rPr>
                <w:sz w:val="20"/>
                <w:szCs w:val="20"/>
                <w:color w:val="auto"/>
              </w:rPr>
            </w:pPr>
            <w:r>
              <w:rPr>
                <w:rFonts w:ascii="Arial" w:cs="Arial" w:eastAsia="Arial" w:hAnsi="Arial"/>
                <w:sz w:val="16"/>
                <w:szCs w:val="16"/>
                <w:color w:val="auto"/>
              </w:rPr>
              <w:t>Audit (Chair)</w:t>
            </w: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Officer of PWP from December 2016 through</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Borders>
              <w:right w:val="single" w:sz="8" w:color="auto"/>
            </w:tcBorders>
            <w:gridSpan w:val="3"/>
          </w:tcPr>
          <w:p>
            <w:pPr>
              <w:ind w:left="40"/>
              <w:spacing w:after="0" w:line="175" w:lineRule="exact"/>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07"/>
        </w:trPr>
        <w:tc>
          <w:tcPr>
            <w:tcW w:w="140" w:type="dxa"/>
            <w:vAlign w:val="bottom"/>
            <w:tcBorders>
              <w:lef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40" w:type="dxa"/>
            <w:vAlign w:val="bottom"/>
            <w:tcBorders>
              <w:right w:val="single" w:sz="8" w:color="auto"/>
            </w:tcBorders>
            <w:gridSpan w:val="4"/>
            <w:vMerge w:val="continue"/>
          </w:tcPr>
          <w:p>
            <w:pPr>
              <w:spacing w:after="0"/>
              <w:rPr>
                <w:sz w:val="9"/>
                <w:szCs w:val="9"/>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November 2018. She served as CFO and a member</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140" w:type="dxa"/>
            <w:vAlign w:val="bottom"/>
            <w:tcBorders>
              <w:lef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Governance/​Government</w:t>
            </w:r>
          </w:p>
        </w:tc>
        <w:tc>
          <w:tcPr>
            <w:tcW w:w="0" w:type="dxa"/>
            <w:vAlign w:val="bottom"/>
          </w:tcPr>
          <w:p>
            <w:pPr>
              <w:spacing w:after="0"/>
              <w:rPr>
                <w:sz w:val="1"/>
                <w:szCs w:val="1"/>
                <w:color w:val="auto"/>
              </w:rPr>
            </w:pPr>
          </w:p>
        </w:tc>
      </w:tr>
      <w:tr>
        <w:trPr>
          <w:trHeight w:val="135"/>
        </w:trPr>
        <w:tc>
          <w:tcPr>
            <w:tcW w:w="140" w:type="dxa"/>
            <w:vAlign w:val="bottom"/>
            <w:tcBorders>
              <w:left w:val="single" w:sz="8" w:color="auto"/>
            </w:tcBorders>
          </w:tcPr>
          <w:p>
            <w:pPr>
              <w:spacing w:after="0"/>
              <w:rPr>
                <w:sz w:val="11"/>
                <w:szCs w:val="11"/>
                <w:color w:val="auto"/>
              </w:rPr>
            </w:pPr>
          </w:p>
        </w:tc>
        <w:tc>
          <w:tcPr>
            <w:tcW w:w="1800" w:type="dxa"/>
            <w:vAlign w:val="bottom"/>
            <w:tcBorders>
              <w:right w:val="single" w:sz="8" w:color="auto"/>
            </w:tcBorders>
            <w:gridSpan w:val="6"/>
            <w:vMerge w:val="restart"/>
          </w:tcPr>
          <w:p>
            <w:pPr>
              <w:jc w:val="center"/>
              <w:ind w:right="200"/>
              <w:spacing w:after="0" w:line="176" w:lineRule="exact"/>
              <w:rPr>
                <w:sz w:val="20"/>
                <w:szCs w:val="20"/>
                <w:color w:val="auto"/>
              </w:rPr>
            </w:pPr>
            <w:r>
              <w:rPr>
                <w:rFonts w:ascii="Arial" w:cs="Arial" w:eastAsia="Arial" w:hAnsi="Arial"/>
                <w:sz w:val="16"/>
                <w:szCs w:val="16"/>
                <w:b w:val="1"/>
                <w:bCs w:val="1"/>
                <w:color w:val="auto"/>
              </w:rPr>
              <w:t>Other Current Public</w:t>
            </w:r>
          </w:p>
        </w:tc>
        <w:tc>
          <w:tcPr>
            <w:tcW w:w="4080" w:type="dxa"/>
            <w:vAlign w:val="bottom"/>
            <w:tcBorders>
              <w:right w:val="single" w:sz="8" w:color="auto"/>
            </w:tcBorders>
            <w:vMerge w:val="restart"/>
          </w:tcPr>
          <w:p>
            <w:pPr>
              <w:ind w:left="80"/>
              <w:spacing w:after="0" w:line="176" w:lineRule="exact"/>
              <w:rPr>
                <w:sz w:val="20"/>
                <w:szCs w:val="20"/>
                <w:color w:val="auto"/>
              </w:rPr>
            </w:pPr>
            <w:r>
              <w:rPr>
                <w:rFonts w:ascii="Arial" w:cs="Arial" w:eastAsia="Arial" w:hAnsi="Arial"/>
                <w:sz w:val="16"/>
                <w:szCs w:val="16"/>
                <w:color w:val="auto"/>
              </w:rPr>
              <w:t>of the Management Committee at Tudor, Pickering,</w:t>
            </w:r>
          </w:p>
        </w:tc>
        <w:tc>
          <w:tcPr>
            <w:tcW w:w="8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200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140" w:type="dxa"/>
            <w:vAlign w:val="bottom"/>
            <w:tcBorders>
              <w:left w:val="single" w:sz="8" w:color="auto"/>
            </w:tcBorders>
          </w:tcPr>
          <w:p>
            <w:pPr>
              <w:spacing w:after="0"/>
              <w:rPr>
                <w:sz w:val="3"/>
                <w:szCs w:val="3"/>
                <w:color w:val="auto"/>
              </w:rPr>
            </w:pPr>
          </w:p>
        </w:tc>
        <w:tc>
          <w:tcPr>
            <w:tcW w:w="1800" w:type="dxa"/>
            <w:vAlign w:val="bottom"/>
            <w:tcBorders>
              <w:right w:val="single" w:sz="8" w:color="auto"/>
            </w:tcBorders>
            <w:gridSpan w:val="6"/>
            <w:vMerge w:val="continue"/>
          </w:tcPr>
          <w:p>
            <w:pPr>
              <w:spacing w:after="0"/>
              <w:rPr>
                <w:sz w:val="3"/>
                <w:szCs w:val="3"/>
                <w:color w:val="auto"/>
              </w:rPr>
            </w:pPr>
          </w:p>
        </w:tc>
        <w:tc>
          <w:tcPr>
            <w:tcW w:w="4080" w:type="dxa"/>
            <w:vAlign w:val="bottom"/>
            <w:tcBorders>
              <w:right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Relations/Legal</w:t>
            </w:r>
          </w:p>
        </w:tc>
        <w:tc>
          <w:tcPr>
            <w:tcW w:w="0" w:type="dxa"/>
            <w:vAlign w:val="bottom"/>
          </w:tcPr>
          <w:p>
            <w:pPr>
              <w:spacing w:after="0"/>
              <w:rPr>
                <w:sz w:val="1"/>
                <w:szCs w:val="1"/>
                <w:color w:val="auto"/>
              </w:rPr>
            </w:pPr>
          </w:p>
        </w:tc>
      </w:tr>
      <w:tr>
        <w:trPr>
          <w:trHeight w:val="169"/>
        </w:trPr>
        <w:tc>
          <w:tcPr>
            <w:tcW w:w="140" w:type="dxa"/>
            <w:vAlign w:val="bottom"/>
            <w:tcBorders>
              <w:left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4"/>
          </w:tcPr>
          <w:p>
            <w:pPr>
              <w:jc w:val="center"/>
              <w:ind w:right="100"/>
              <w:spacing w:after="0" w:line="169" w:lineRule="exact"/>
              <w:rPr>
                <w:sz w:val="20"/>
                <w:szCs w:val="20"/>
                <w:color w:val="auto"/>
              </w:rPr>
            </w:pPr>
            <w:r>
              <w:rPr>
                <w:rFonts w:ascii="Arial" w:cs="Arial" w:eastAsia="Arial" w:hAnsi="Arial"/>
                <w:sz w:val="16"/>
                <w:szCs w:val="16"/>
                <w:b w:val="1"/>
                <w:bCs w:val="1"/>
                <w:color w:val="auto"/>
              </w:rPr>
              <w:t>Company Boards:</w:t>
            </w:r>
          </w:p>
        </w:tc>
        <w:tc>
          <w:tcPr>
            <w:tcW w:w="16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6"/>
                <w:szCs w:val="16"/>
                <w:color w:val="auto"/>
              </w:rPr>
              <w:t>Holt &amp; Co. from the firm’s founding in 2007 until its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Borders>
              <w:right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0" w:type="dxa"/>
            <w:vAlign w:val="bottom"/>
            <w:tcBorders>
              <w:lef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Borders>
              <w:top w:val="single" w:sz="8" w:color="auto"/>
            </w:tcBorders>
            <w:gridSpan w:val="3"/>
            <w:vMerge w:val="restart"/>
          </w:tcPr>
          <w:p>
            <w:pPr>
              <w:jc w:val="center"/>
              <w:spacing w:after="0"/>
              <w:rPr>
                <w:sz w:val="20"/>
                <w:szCs w:val="20"/>
                <w:color w:val="auto"/>
              </w:rPr>
            </w:pPr>
            <w:r>
              <w:rPr>
                <w:rFonts w:ascii="Arial" w:cs="Arial" w:eastAsia="Arial" w:hAnsi="Arial"/>
                <w:sz w:val="16"/>
                <w:szCs w:val="16"/>
                <w:color w:val="auto"/>
                <w:w w:val="98"/>
              </w:rPr>
              <w:t>NRG Energy, Inc.</w:t>
            </w:r>
          </w:p>
        </w:tc>
        <w:tc>
          <w:tcPr>
            <w:tcW w:w="320" w:type="dxa"/>
            <w:vAlign w:val="bottom"/>
            <w:tcBorders>
              <w:right w:val="single" w:sz="8" w:color="auto"/>
            </w:tcBorders>
            <w:gridSpan w:val="2"/>
            <w:vMerge w:val="restart"/>
          </w:tcPr>
          <w:p>
            <w:pPr>
              <w:spacing w:after="0"/>
              <w:rPr>
                <w:sz w:val="13"/>
                <w:szCs w:val="13"/>
                <w:color w:val="auto"/>
              </w:rPr>
            </w:pPr>
          </w:p>
        </w:tc>
        <w:tc>
          <w:tcPr>
            <w:tcW w:w="408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6"/>
                <w:szCs w:val="16"/>
                <w:color w:val="auto"/>
              </w:rPr>
              <w:t>combination with PWP in 2016. Ms. Pruner served as</w:t>
            </w:r>
          </w:p>
        </w:tc>
        <w:tc>
          <w:tcPr>
            <w:tcW w:w="80" w:type="dxa"/>
            <w:vAlign w:val="bottom"/>
          </w:tcPr>
          <w:p>
            <w:pPr>
              <w:spacing w:after="0"/>
              <w:rPr>
                <w:sz w:val="13"/>
                <w:szCs w:val="13"/>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75"/>
        </w:trPr>
        <w:tc>
          <w:tcPr>
            <w:tcW w:w="1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320" w:type="dxa"/>
            <w:vAlign w:val="bottom"/>
            <w:tcBorders>
              <w:right w:val="single" w:sz="8" w:color="auto"/>
            </w:tcBorders>
            <w:gridSpan w:val="2"/>
            <w:vMerge w:val="continue"/>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 director and member of the audit committee of</w:t>
            </w: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200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0" w:type="dxa"/>
            <w:vAlign w:val="bottom"/>
            <w:tcBorders>
              <w:lef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Anadarko Petroleum Corporation from</w:t>
            </w:r>
          </w:p>
        </w:tc>
        <w:tc>
          <w:tcPr>
            <w:tcW w:w="8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76"/>
        </w:trPr>
        <w:tc>
          <w:tcPr>
            <w:tcW w:w="1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November 2018 until its sale in August 2019. She has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also served as a director of NRG Energy, Inc. since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0" w:type="dxa"/>
            <w:vAlign w:val="bottom"/>
            <w:tcBorders>
              <w:lef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October 2019 and as chair of NRG’s audit committee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since August 2024. She also served as chair of the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board of Malta Inc. from April 2022 through December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0" w:type="dxa"/>
            <w:vAlign w:val="bottom"/>
            <w:tcBorders>
              <w:lef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2025, and as a director of Encino Acquisition Partners,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LLC from November 2019 and as chair of the Encino</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board from December 2021 until the company’s sale to</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EOG Resources in August 2025. She is the founder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0" w:type="dxa"/>
            <w:vAlign w:val="bottom"/>
            <w:tcBorders>
              <w:lef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an advisory board member of the Women’s Global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Leadership Conference in Energy and she also serves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as chair of the Texas Medical Center Board, among</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0" w:type="dxa"/>
            <w:vAlign w:val="bottom"/>
            <w:tcBorders>
              <w:lef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other volunteer efforts. Ms. Pruner holds a BA in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Economics from Brown University. Ms. Pruner’s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extensive experience in the energy industry from a</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0" w:type="dxa"/>
            <w:vAlign w:val="bottom"/>
            <w:tcBorders>
              <w:lef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variety of perspectives, along with her strong finance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and investment banking background, make her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4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uniquely qualified to serve on the Board.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140" w:type="dxa"/>
            <w:vAlign w:val="bottom"/>
            <w:tcBorders>
              <w:left w:val="single" w:sz="8" w:color="auto"/>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408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4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Borders>
              <w:right w:val="single" w:sz="8" w:color="auto"/>
            </w:tcBorders>
            <w:gridSpan w:val="5"/>
          </w:tcPr>
          <w:p>
            <w:pPr>
              <w:jc w:val="center"/>
              <w:ind w:right="260"/>
              <w:spacing w:after="0" w:line="169" w:lineRule="exact"/>
              <w:rPr>
                <w:sz w:val="20"/>
                <w:szCs w:val="20"/>
                <w:color w:val="auto"/>
              </w:rPr>
            </w:pPr>
            <w:r>
              <w:rPr>
                <w:rFonts w:ascii="Arial" w:cs="Arial" w:eastAsia="Arial" w:hAnsi="Arial"/>
                <w:sz w:val="16"/>
                <w:szCs w:val="16"/>
                <w:b w:val="1"/>
                <w:bCs w:val="1"/>
                <w:color w:val="auto"/>
                <w:w w:val="99"/>
              </w:rPr>
              <w:t>LAWRENCE M.</w:t>
            </w:r>
          </w:p>
        </w:tc>
        <w:tc>
          <w:tcPr>
            <w:tcW w:w="408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6"/>
                <w:szCs w:val="16"/>
                <w:i w:val="1"/>
                <w:iCs w:val="1"/>
                <w:color w:val="auto"/>
              </w:rPr>
              <w:t>Lawrence M. Ziemba, age 70</w:t>
            </w:r>
            <w:r>
              <w:rPr>
                <w:rFonts w:ascii="Arial" w:cs="Arial" w:eastAsia="Arial" w:hAnsi="Arial"/>
                <w:sz w:val="16"/>
                <w:szCs w:val="16"/>
                <w:color w:val="auto"/>
              </w:rPr>
              <w:t>, has served as a</w:t>
            </w:r>
          </w:p>
        </w:tc>
        <w:tc>
          <w:tcPr>
            <w:tcW w:w="80" w:type="dxa"/>
            <w:vAlign w:val="bottom"/>
          </w:tcPr>
          <w:p>
            <w:pPr>
              <w:spacing w:after="0"/>
              <w:rPr>
                <w:sz w:val="14"/>
                <w:szCs w:val="14"/>
                <w:color w:val="auto"/>
              </w:rPr>
            </w:pPr>
          </w:p>
        </w:tc>
        <w:tc>
          <w:tcPr>
            <w:tcW w:w="2120" w:type="dxa"/>
            <w:vAlign w:val="bottom"/>
            <w:tcBorders>
              <w:right w:val="single" w:sz="8" w:color="auto"/>
            </w:tcBorders>
            <w:gridSpan w:val="4"/>
          </w:tcPr>
          <w:p>
            <w:pPr>
              <w:spacing w:after="0" w:line="169" w:lineRule="exact"/>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69"/>
        </w:trPr>
        <w:tc>
          <w:tcPr>
            <w:tcW w:w="14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Borders>
              <w:right w:val="single" w:sz="8" w:color="auto"/>
            </w:tcBorders>
            <w:gridSpan w:val="4"/>
          </w:tcPr>
          <w:p>
            <w:pPr>
              <w:jc w:val="center"/>
              <w:ind w:right="460"/>
              <w:spacing w:after="0" w:line="169" w:lineRule="exact"/>
              <w:rPr>
                <w:sz w:val="20"/>
                <w:szCs w:val="20"/>
                <w:color w:val="auto"/>
              </w:rPr>
            </w:pPr>
            <w:r>
              <w:rPr>
                <w:rFonts w:ascii="Arial" w:cs="Arial" w:eastAsia="Arial" w:hAnsi="Arial"/>
                <w:sz w:val="16"/>
                <w:szCs w:val="16"/>
                <w:b w:val="1"/>
                <w:bCs w:val="1"/>
                <w:color w:val="auto"/>
              </w:rPr>
              <w:t>ZIEMBA</w:t>
            </w:r>
          </w:p>
        </w:tc>
        <w:tc>
          <w:tcPr>
            <w:tcW w:w="408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6"/>
                <w:szCs w:val="16"/>
                <w:color w:val="auto"/>
              </w:rPr>
              <w:t>director of PAGP GP since January 2020. Mr. Ziemba</w:t>
            </w:r>
          </w:p>
        </w:tc>
        <w:tc>
          <w:tcPr>
            <w:tcW w:w="80" w:type="dxa"/>
            <w:vAlign w:val="bottom"/>
          </w:tcPr>
          <w:p>
            <w:pPr>
              <w:spacing w:after="0"/>
              <w:rPr>
                <w:sz w:val="14"/>
                <w:szCs w:val="14"/>
                <w:color w:val="auto"/>
              </w:rPr>
            </w:pPr>
          </w:p>
        </w:tc>
        <w:tc>
          <w:tcPr>
            <w:tcW w:w="720" w:type="dxa"/>
            <w:vAlign w:val="bottom"/>
            <w:tcBorders>
              <w:top w:val="single" w:sz="8" w:color="auto"/>
              <w:bottom w:val="single" w:sz="8" w:color="auto"/>
            </w:tcBorders>
            <w:gridSpan w:val="2"/>
          </w:tcPr>
          <w:p>
            <w:pPr>
              <w:spacing w:after="0" w:line="169" w:lineRule="exact"/>
              <w:rPr>
                <w:sz w:val="20"/>
                <w:szCs w:val="20"/>
                <w:color w:val="auto"/>
              </w:rPr>
            </w:pPr>
            <w:r>
              <w:rPr>
                <w:rFonts w:ascii="Arial" w:cs="Arial" w:eastAsia="Arial" w:hAnsi="Arial"/>
                <w:sz w:val="16"/>
                <w:szCs w:val="16"/>
                <w:color w:val="auto"/>
                <w:w w:val="97"/>
              </w:rPr>
              <w:t>Attributes:</w:t>
            </w:r>
          </w:p>
        </w:tc>
        <w:tc>
          <w:tcPr>
            <w:tcW w:w="760" w:type="dxa"/>
            <w:vAlign w:val="bottom"/>
            <w:tcBorders>
              <w:top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0" w:type="dxa"/>
            <w:vAlign w:val="bottom"/>
            <w:tcBorders>
              <w:lef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Borders>
              <w:right w:val="single" w:sz="8" w:color="auto"/>
            </w:tcBorders>
            <w:gridSpan w:val="4"/>
            <w:vMerge w:val="restart"/>
          </w:tcPr>
          <w:p>
            <w:pPr>
              <w:jc w:val="center"/>
              <w:ind w:right="480"/>
              <w:spacing w:after="0"/>
              <w:rPr>
                <w:sz w:val="20"/>
                <w:szCs w:val="20"/>
                <w:color w:val="auto"/>
              </w:rPr>
            </w:pPr>
            <w:r>
              <w:rPr>
                <w:rFonts w:ascii="Arial" w:cs="Arial" w:eastAsia="Arial" w:hAnsi="Arial"/>
                <w:sz w:val="16"/>
                <w:szCs w:val="16"/>
                <w:b w:val="1"/>
                <w:bCs w:val="1"/>
                <w:color w:val="auto"/>
              </w:rPr>
              <w:t>Independent</w:t>
            </w:r>
          </w:p>
        </w:tc>
        <w:tc>
          <w:tcPr>
            <w:tcW w:w="408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6"/>
                <w:szCs w:val="16"/>
                <w:color w:val="auto"/>
              </w:rPr>
              <w:t>served as Executive Vice President, Refining, and on</w:t>
            </w:r>
          </w:p>
        </w:tc>
        <w:tc>
          <w:tcPr>
            <w:tcW w:w="80" w:type="dxa"/>
            <w:vAlign w:val="bottom"/>
          </w:tcPr>
          <w:p>
            <w:pPr>
              <w:spacing w:after="0"/>
              <w:rPr>
                <w:sz w:val="13"/>
                <w:szCs w:val="13"/>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Public Company</w:t>
            </w:r>
          </w:p>
        </w:tc>
        <w:tc>
          <w:tcPr>
            <w:tcW w:w="0" w:type="dxa"/>
            <w:vAlign w:val="bottom"/>
          </w:tcPr>
          <w:p>
            <w:pPr>
              <w:spacing w:after="0"/>
              <w:rPr>
                <w:sz w:val="1"/>
                <w:szCs w:val="1"/>
                <w:color w:val="auto"/>
              </w:rPr>
            </w:pPr>
          </w:p>
        </w:tc>
      </w:tr>
      <w:tr>
        <w:trPr>
          <w:trHeight w:val="135"/>
        </w:trPr>
        <w:tc>
          <w:tcPr>
            <w:tcW w:w="140" w:type="dxa"/>
            <w:vAlign w:val="bottom"/>
            <w:tcBorders>
              <w:lef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tcBorders>
              <w:right w:val="single" w:sz="8" w:color="auto"/>
            </w:tcBorders>
            <w:gridSpan w:val="4"/>
            <w:vMerge w:val="continue"/>
          </w:tcPr>
          <w:p>
            <w:pPr>
              <w:spacing w:after="0"/>
              <w:rPr>
                <w:sz w:val="11"/>
                <w:szCs w:val="11"/>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the executive committee of Phillips 66 from May 2012</w:t>
            </w:r>
          </w:p>
        </w:tc>
        <w:tc>
          <w:tcPr>
            <w:tcW w:w="8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200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40" w:type="dxa"/>
            <w:vAlign w:val="bottom"/>
            <w:tcBorders>
              <w:lef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Borders>
              <w:right w:val="single" w:sz="8" w:color="auto"/>
            </w:tcBorders>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61"/>
        </w:trPr>
        <w:tc>
          <w:tcPr>
            <w:tcW w:w="140" w:type="dxa"/>
            <w:vAlign w:val="bottom"/>
            <w:tcBorders>
              <w:left w:val="single" w:sz="8" w:color="auto"/>
            </w:tcBorders>
          </w:tcPr>
          <w:p>
            <w:pPr>
              <w:spacing w:after="0"/>
              <w:rPr>
                <w:sz w:val="13"/>
                <w:szCs w:val="13"/>
                <w:color w:val="auto"/>
              </w:rPr>
            </w:pPr>
          </w:p>
        </w:tc>
        <w:tc>
          <w:tcPr>
            <w:tcW w:w="1800" w:type="dxa"/>
            <w:vAlign w:val="bottom"/>
            <w:tcBorders>
              <w:right w:val="single" w:sz="8" w:color="auto"/>
            </w:tcBorders>
            <w:gridSpan w:val="6"/>
            <w:vMerge w:val="restart"/>
          </w:tcPr>
          <w:p>
            <w:pPr>
              <w:jc w:val="center"/>
              <w:ind w:right="120"/>
              <w:spacing w:after="0"/>
              <w:rPr>
                <w:sz w:val="20"/>
                <w:szCs w:val="20"/>
                <w:color w:val="auto"/>
              </w:rPr>
            </w:pPr>
            <w:r>
              <w:rPr>
                <w:rFonts w:ascii="Arial" w:cs="Arial" w:eastAsia="Arial" w:hAnsi="Arial"/>
                <w:sz w:val="16"/>
                <w:szCs w:val="16"/>
                <w:b w:val="1"/>
                <w:bCs w:val="1"/>
                <w:i w:val="1"/>
                <w:iCs w:val="1"/>
                <w:color w:val="auto"/>
                <w:w w:val="99"/>
              </w:rPr>
              <w:t>PAGP/PAA Director</w:t>
            </w: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until his retirement in December 2017. From 2001 to</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0" w:type="dxa"/>
            <w:vAlign w:val="bottom"/>
            <w:tcBorders>
              <w:right w:val="single" w:sz="8" w:color="auto"/>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40" w:type="dxa"/>
            <w:vAlign w:val="bottom"/>
            <w:tcBorders>
              <w:left w:val="single" w:sz="8" w:color="auto"/>
            </w:tcBorders>
          </w:tcPr>
          <w:p>
            <w:pPr>
              <w:spacing w:after="0"/>
              <w:rPr>
                <w:sz w:val="2"/>
                <w:szCs w:val="2"/>
                <w:color w:val="auto"/>
              </w:rPr>
            </w:pPr>
          </w:p>
        </w:tc>
        <w:tc>
          <w:tcPr>
            <w:tcW w:w="1800" w:type="dxa"/>
            <w:vAlign w:val="bottom"/>
            <w:tcBorders>
              <w:right w:val="single" w:sz="8" w:color="auto"/>
            </w:tcBorders>
            <w:gridSpan w:val="6"/>
            <w:vMerge w:val="continue"/>
          </w:tcPr>
          <w:p>
            <w:pPr>
              <w:spacing w:after="0"/>
              <w:rPr>
                <w:sz w:val="2"/>
                <w:szCs w:val="2"/>
                <w:color w:val="auto"/>
              </w:rPr>
            </w:pPr>
          </w:p>
        </w:tc>
        <w:tc>
          <w:tcPr>
            <w:tcW w:w="4080" w:type="dxa"/>
            <w:vAlign w:val="bottom"/>
            <w:tcBorders>
              <w:right w:val="single" w:sz="8" w:color="auto"/>
            </w:tcBorders>
            <w:vMerge w:val="continu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Borders>
              <w:right w:val="single" w:sz="8" w:color="auto"/>
            </w:tcBorders>
            <w:gridSpan w:val="4"/>
          </w:tcPr>
          <w:p>
            <w:pPr>
              <w:jc w:val="center"/>
              <w:ind w:right="460"/>
              <w:spacing w:after="0"/>
              <w:rPr>
                <w:sz w:val="20"/>
                <w:szCs w:val="20"/>
                <w:color w:val="auto"/>
              </w:rPr>
            </w:pPr>
            <w:r>
              <w:rPr>
                <w:rFonts w:ascii="Arial" w:cs="Arial" w:eastAsia="Arial" w:hAnsi="Arial"/>
                <w:sz w:val="16"/>
                <w:szCs w:val="16"/>
                <w:b w:val="1"/>
                <w:bCs w:val="1"/>
                <w:i w:val="1"/>
                <w:iCs w:val="1"/>
                <w:color w:val="auto"/>
              </w:rPr>
              <w:t>since 2020</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May 2012, he served in various downstream positions</w:t>
            </w: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21"/>
        </w:trPr>
        <w:tc>
          <w:tcPr>
            <w:tcW w:w="140" w:type="dxa"/>
            <w:vAlign w:val="bottom"/>
            <w:tcBorders>
              <w:lef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Committees</w:t>
            </w:r>
          </w:p>
        </w:tc>
        <w:tc>
          <w:tcPr>
            <w:tcW w:w="520" w:type="dxa"/>
            <w:vAlign w:val="bottom"/>
            <w:tcBorders>
              <w:right w:val="single" w:sz="8" w:color="auto"/>
            </w:tcBorders>
            <w:gridSpan w:val="3"/>
            <w:vMerge w:val="restart"/>
          </w:tcPr>
          <w:p>
            <w:pPr>
              <w:jc w:val="right"/>
              <w:ind w:right="460"/>
              <w:spacing w:after="0"/>
              <w:rPr>
                <w:sz w:val="20"/>
                <w:szCs w:val="20"/>
                <w:color w:val="auto"/>
              </w:rPr>
            </w:pPr>
            <w:r>
              <w:rPr>
                <w:rFonts w:ascii="Arial" w:cs="Arial" w:eastAsia="Arial" w:hAnsi="Arial"/>
                <w:sz w:val="16"/>
                <w:szCs w:val="16"/>
                <w:b w:val="1"/>
                <w:bCs w:val="1"/>
                <w:color w:val="auto"/>
                <w:w w:val="74"/>
              </w:rPr>
              <w:t>:</w:t>
            </w:r>
          </w:p>
        </w:tc>
        <w:tc>
          <w:tcPr>
            <w:tcW w:w="4080" w:type="dxa"/>
            <w:vAlign w:val="bottom"/>
            <w:tcBorders>
              <w:right w:val="single" w:sz="8" w:color="auto"/>
            </w:tcBorders>
          </w:tcPr>
          <w:p>
            <w:pPr>
              <w:ind w:left="80"/>
              <w:spacing w:after="0" w:line="121" w:lineRule="exact"/>
              <w:rPr>
                <w:sz w:val="20"/>
                <w:szCs w:val="20"/>
                <w:color w:val="auto"/>
              </w:rPr>
            </w:pPr>
            <w:r>
              <w:rPr>
                <w:rFonts w:ascii="Arial" w:cs="Arial" w:eastAsia="Arial" w:hAnsi="Arial"/>
                <w:sz w:val="14"/>
                <w:szCs w:val="14"/>
                <w:color w:val="auto"/>
              </w:rPr>
              <w:t>with ConocoPhillips, including President, Global</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4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520" w:type="dxa"/>
            <w:vAlign w:val="bottom"/>
            <w:tcBorders>
              <w:right w:val="single" w:sz="8" w:color="auto"/>
            </w:tcBorders>
            <w:gridSpan w:val="3"/>
            <w:vMerge w:val="continue"/>
          </w:tcPr>
          <w:p>
            <w:pPr>
              <w:spacing w:after="0"/>
              <w:rPr>
                <w:sz w:val="14"/>
                <w:szCs w:val="14"/>
                <w:color w:val="auto"/>
              </w:rPr>
            </w:pPr>
          </w:p>
        </w:tc>
        <w:tc>
          <w:tcPr>
            <w:tcW w:w="408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6"/>
                <w:szCs w:val="16"/>
                <w:color w:val="auto"/>
              </w:rPr>
              <w:t>Refining, and chairman of WRB LLC, a downstream</w:t>
            </w:r>
          </w:p>
        </w:tc>
        <w:tc>
          <w:tcPr>
            <w:tcW w:w="80" w:type="dxa"/>
            <w:vAlign w:val="bottom"/>
          </w:tcPr>
          <w:p>
            <w:pPr>
              <w:spacing w:after="0"/>
              <w:rPr>
                <w:sz w:val="14"/>
                <w:szCs w:val="14"/>
                <w:color w:val="auto"/>
              </w:rPr>
            </w:pPr>
          </w:p>
        </w:tc>
        <w:tc>
          <w:tcPr>
            <w:tcW w:w="12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40"/>
              <w:spacing w:after="0" w:line="169" w:lineRule="exact"/>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75"/>
        </w:trPr>
        <w:tc>
          <w:tcPr>
            <w:tcW w:w="1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Borders>
              <w:right w:val="single" w:sz="8" w:color="auto"/>
            </w:tcBorders>
            <w:gridSpan w:val="4"/>
            <w:vMerge w:val="restart"/>
          </w:tcPr>
          <w:p>
            <w:pPr>
              <w:jc w:val="center"/>
              <w:ind w:right="480"/>
              <w:spacing w:after="0"/>
              <w:rPr>
                <w:sz w:val="20"/>
                <w:szCs w:val="20"/>
                <w:color w:val="auto"/>
              </w:rPr>
            </w:pPr>
            <w:r>
              <w:rPr>
                <w:rFonts w:ascii="Arial" w:cs="Arial" w:eastAsia="Arial" w:hAnsi="Arial"/>
                <w:sz w:val="16"/>
                <w:szCs w:val="16"/>
                <w:color w:val="auto"/>
                <w:w w:val="98"/>
              </w:rPr>
              <w:t>Audit</w:t>
            </w: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joint venture with Cenovus, a Canadian oil producer.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Borders>
              <w:right w:val="single" w:sz="8" w:color="auto"/>
            </w:tcBorders>
            <w:gridSpan w:val="3"/>
          </w:tcPr>
          <w:p>
            <w:pPr>
              <w:ind w:left="40"/>
              <w:spacing w:after="0" w:line="175" w:lineRule="exact"/>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07"/>
        </w:trPr>
        <w:tc>
          <w:tcPr>
            <w:tcW w:w="140" w:type="dxa"/>
            <w:vAlign w:val="bottom"/>
            <w:tcBorders>
              <w:lef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40" w:type="dxa"/>
            <w:vAlign w:val="bottom"/>
            <w:tcBorders>
              <w:right w:val="single" w:sz="8" w:color="auto"/>
            </w:tcBorders>
            <w:gridSpan w:val="4"/>
            <w:vMerge w:val="continue"/>
          </w:tcPr>
          <w:p>
            <w:pPr>
              <w:spacing w:after="0"/>
              <w:rPr>
                <w:sz w:val="9"/>
                <w:szCs w:val="9"/>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He also held various positions of increasing</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140" w:type="dxa"/>
            <w:vAlign w:val="bottom"/>
            <w:tcBorders>
              <w:lef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Governance/​Government</w:t>
            </w:r>
          </w:p>
        </w:tc>
        <w:tc>
          <w:tcPr>
            <w:tcW w:w="0" w:type="dxa"/>
            <w:vAlign w:val="bottom"/>
          </w:tcPr>
          <w:p>
            <w:pPr>
              <w:spacing w:after="0"/>
              <w:rPr>
                <w:sz w:val="1"/>
                <w:szCs w:val="1"/>
                <w:color w:val="auto"/>
              </w:rPr>
            </w:pPr>
          </w:p>
        </w:tc>
      </w:tr>
      <w:tr>
        <w:trPr>
          <w:trHeight w:val="135"/>
        </w:trPr>
        <w:tc>
          <w:tcPr>
            <w:tcW w:w="140" w:type="dxa"/>
            <w:vAlign w:val="bottom"/>
            <w:tcBorders>
              <w:lef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tcBorders>
              <w:right w:val="single" w:sz="8" w:color="auto"/>
            </w:tcBorders>
            <w:gridSpan w:val="4"/>
            <w:vMerge w:val="restart"/>
          </w:tcPr>
          <w:p>
            <w:pPr>
              <w:jc w:val="center"/>
              <w:ind w:right="460"/>
              <w:spacing w:after="0"/>
              <w:rPr>
                <w:sz w:val="20"/>
                <w:szCs w:val="20"/>
                <w:color w:val="auto"/>
              </w:rPr>
            </w:pPr>
            <w:r>
              <w:rPr>
                <w:rFonts w:ascii="Arial" w:cs="Arial" w:eastAsia="Arial" w:hAnsi="Arial"/>
                <w:sz w:val="16"/>
                <w:szCs w:val="16"/>
                <w:color w:val="auto"/>
              </w:rPr>
              <w:t>HSES (chair)</w:t>
            </w: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responsibility with Tosco/Unocal from 1977 to 2001.</w:t>
            </w:r>
          </w:p>
        </w:tc>
        <w:tc>
          <w:tcPr>
            <w:tcW w:w="8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200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40" w:type="dxa"/>
            <w:vAlign w:val="bottom"/>
            <w:tcBorders>
              <w:lef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Borders>
              <w:right w:val="single" w:sz="8" w:color="auto"/>
            </w:tcBorders>
            <w:gridSpan w:val="4"/>
            <w:vMerge w:val="continue"/>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Relations/Legal</w:t>
            </w:r>
          </w:p>
        </w:tc>
        <w:tc>
          <w:tcPr>
            <w:tcW w:w="0" w:type="dxa"/>
            <w:vAlign w:val="bottom"/>
          </w:tcPr>
          <w:p>
            <w:pPr>
              <w:spacing w:after="0"/>
              <w:rPr>
                <w:sz w:val="1"/>
                <w:szCs w:val="1"/>
                <w:color w:val="auto"/>
              </w:rPr>
            </w:pPr>
          </w:p>
        </w:tc>
      </w:tr>
      <w:tr>
        <w:trPr>
          <w:trHeight w:val="175"/>
        </w:trPr>
        <w:tc>
          <w:tcPr>
            <w:tcW w:w="140" w:type="dxa"/>
            <w:vAlign w:val="bottom"/>
            <w:tcBorders>
              <w:left w:val="single" w:sz="8" w:color="auto"/>
            </w:tcBorders>
          </w:tcPr>
          <w:p>
            <w:pPr>
              <w:spacing w:after="0"/>
              <w:rPr>
                <w:sz w:val="15"/>
                <w:szCs w:val="15"/>
                <w:color w:val="auto"/>
              </w:rPr>
            </w:pPr>
          </w:p>
        </w:tc>
        <w:tc>
          <w:tcPr>
            <w:tcW w:w="1640" w:type="dxa"/>
            <w:vAlign w:val="bottom"/>
            <w:gridSpan w:val="5"/>
            <w:vMerge w:val="restart"/>
          </w:tcPr>
          <w:p>
            <w:pPr>
              <w:jc w:val="center"/>
              <w:ind w:right="40"/>
              <w:spacing w:after="0"/>
              <w:rPr>
                <w:sz w:val="20"/>
                <w:szCs w:val="20"/>
                <w:color w:val="auto"/>
              </w:rPr>
            </w:pPr>
            <w:r>
              <w:rPr>
                <w:rFonts w:ascii="Arial" w:cs="Arial" w:eastAsia="Arial" w:hAnsi="Arial"/>
                <w:sz w:val="16"/>
                <w:szCs w:val="16"/>
                <w:b w:val="1"/>
                <w:bCs w:val="1"/>
                <w:color w:val="auto"/>
              </w:rPr>
              <w:t>Other Current Public</w:t>
            </w:r>
          </w:p>
        </w:tc>
        <w:tc>
          <w:tcPr>
            <w:tcW w:w="160" w:type="dxa"/>
            <w:vAlign w:val="bottom"/>
            <w:tcBorders>
              <w:right w:val="single" w:sz="8" w:color="auto"/>
            </w:tcBorders>
            <w:vMerge w:val="restart"/>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He has held a number of industry leadership positions,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140" w:type="dxa"/>
            <w:vAlign w:val="bottom"/>
            <w:tcBorders>
              <w:left w:val="single" w:sz="8" w:color="auto"/>
            </w:tcBorders>
          </w:tcPr>
          <w:p>
            <w:pPr>
              <w:spacing w:after="0"/>
              <w:rPr>
                <w:sz w:val="9"/>
                <w:szCs w:val="9"/>
                <w:color w:val="auto"/>
              </w:rPr>
            </w:pPr>
          </w:p>
        </w:tc>
        <w:tc>
          <w:tcPr>
            <w:tcW w:w="1640" w:type="dxa"/>
            <w:vAlign w:val="bottom"/>
            <w:tcBorders>
              <w:bottom w:val="single" w:sz="8" w:color="auto"/>
            </w:tcBorders>
            <w:gridSpan w:val="5"/>
            <w:vMerge w:val="continue"/>
          </w:tcPr>
          <w:p>
            <w:pPr>
              <w:spacing w:after="0"/>
              <w:rPr>
                <w:sz w:val="9"/>
                <w:szCs w:val="9"/>
                <w:color w:val="auto"/>
              </w:rPr>
            </w:pPr>
          </w:p>
        </w:tc>
        <w:tc>
          <w:tcPr>
            <w:tcW w:w="160" w:type="dxa"/>
            <w:vAlign w:val="bottom"/>
            <w:tcBorders>
              <w:right w:val="single" w:sz="8" w:color="auto"/>
            </w:tcBorders>
            <w:vMerge w:val="continue"/>
          </w:tcPr>
          <w:p>
            <w:pPr>
              <w:spacing w:after="0"/>
              <w:rPr>
                <w:sz w:val="9"/>
                <w:szCs w:val="9"/>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including with API and AFPM. Mr. Ziemba has served</w:t>
            </w:r>
          </w:p>
        </w:tc>
        <w:tc>
          <w:tcPr>
            <w:tcW w:w="80" w:type="dxa"/>
            <w:vAlign w:val="bottom"/>
          </w:tcPr>
          <w:p>
            <w:pPr>
              <w:spacing w:after="0"/>
              <w:rPr>
                <w:sz w:val="9"/>
                <w:szCs w:val="9"/>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47"/>
        </w:trPr>
        <w:tc>
          <w:tcPr>
            <w:tcW w:w="140" w:type="dxa"/>
            <w:vAlign w:val="bottom"/>
            <w:tcBorders>
              <w:lef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640" w:type="dxa"/>
            <w:vAlign w:val="bottom"/>
            <w:tcBorders>
              <w:right w:val="single" w:sz="8" w:color="auto"/>
            </w:tcBorders>
            <w:gridSpan w:val="5"/>
            <w:vMerge w:val="restart"/>
          </w:tcPr>
          <w:p>
            <w:pPr>
              <w:jc w:val="center"/>
              <w:ind w:right="260"/>
              <w:spacing w:after="0" w:line="142" w:lineRule="exact"/>
              <w:rPr>
                <w:sz w:val="20"/>
                <w:szCs w:val="20"/>
                <w:color w:val="auto"/>
              </w:rPr>
            </w:pPr>
            <w:r>
              <w:rPr>
                <w:rFonts w:ascii="Arial" w:cs="Arial" w:eastAsia="Arial" w:hAnsi="Arial"/>
                <w:sz w:val="16"/>
                <w:szCs w:val="16"/>
                <w:b w:val="1"/>
                <w:bCs w:val="1"/>
                <w:color w:val="auto"/>
              </w:rPr>
              <w:t>Company Boards:</w:t>
            </w:r>
          </w:p>
        </w:tc>
        <w:tc>
          <w:tcPr>
            <w:tcW w:w="40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2000" w:type="dxa"/>
            <w:vAlign w:val="bottom"/>
            <w:tcBorders>
              <w:right w:val="single" w:sz="8" w:color="auto"/>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140" w:type="dxa"/>
            <w:vAlign w:val="bottom"/>
            <w:tcBorders>
              <w:lef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40" w:type="dxa"/>
            <w:vAlign w:val="bottom"/>
            <w:tcBorders>
              <w:right w:val="single" w:sz="8" w:color="auto"/>
            </w:tcBorders>
            <w:gridSpan w:val="5"/>
            <w:vMerge w:val="continue"/>
          </w:tcPr>
          <w:p>
            <w:pPr>
              <w:spacing w:after="0"/>
              <w:rPr>
                <w:sz w:val="8"/>
                <w:szCs w:val="8"/>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on the board of directors of PBF Energy since 2023.</w:t>
            </w:r>
          </w:p>
        </w:tc>
        <w:tc>
          <w:tcPr>
            <w:tcW w:w="8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200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140" w:type="dxa"/>
            <w:vAlign w:val="bottom"/>
            <w:tcBorders>
              <w:lef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Borders>
              <w:right w:val="single" w:sz="8" w:color="auto"/>
            </w:tcBorders>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Construction/​Technical</w:t>
            </w:r>
          </w:p>
        </w:tc>
        <w:tc>
          <w:tcPr>
            <w:tcW w:w="0" w:type="dxa"/>
            <w:vAlign w:val="bottom"/>
          </w:tcPr>
          <w:p>
            <w:pPr>
              <w:spacing w:after="0"/>
              <w:rPr>
                <w:sz w:val="1"/>
                <w:szCs w:val="1"/>
                <w:color w:val="auto"/>
              </w:rPr>
            </w:pPr>
          </w:p>
        </w:tc>
      </w:tr>
      <w:tr>
        <w:trPr>
          <w:trHeight w:val="134"/>
        </w:trPr>
        <w:tc>
          <w:tcPr>
            <w:tcW w:w="140" w:type="dxa"/>
            <w:vAlign w:val="bottom"/>
            <w:tcBorders>
              <w:lef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tcBorders>
              <w:right w:val="single" w:sz="8" w:color="auto"/>
            </w:tcBorders>
            <w:gridSpan w:val="4"/>
            <w:vMerge w:val="restart"/>
          </w:tcPr>
          <w:p>
            <w:pPr>
              <w:jc w:val="center"/>
              <w:ind w:right="460"/>
              <w:spacing w:after="0"/>
              <w:rPr>
                <w:sz w:val="20"/>
                <w:szCs w:val="20"/>
                <w:color w:val="auto"/>
              </w:rPr>
            </w:pPr>
            <w:r>
              <w:rPr>
                <w:rFonts w:ascii="Arial" w:cs="Arial" w:eastAsia="Arial" w:hAnsi="Arial"/>
                <w:sz w:val="16"/>
                <w:szCs w:val="16"/>
                <w:color w:val="auto"/>
                <w:w w:val="99"/>
              </w:rPr>
              <w:t>PBF Energy</w:t>
            </w: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From 2020 through 2022 he served as a director 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140" w:type="dxa"/>
            <w:vAlign w:val="bottom"/>
            <w:tcBorders>
              <w:lef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40" w:type="dxa"/>
            <w:vAlign w:val="bottom"/>
            <w:tcBorders>
              <w:right w:val="single" w:sz="8" w:color="auto"/>
            </w:tcBorders>
            <w:gridSpan w:val="4"/>
            <w:vMerge w:val="continue"/>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62"/>
        </w:trPr>
        <w:tc>
          <w:tcPr>
            <w:tcW w:w="14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6"/>
                <w:szCs w:val="16"/>
                <w:color w:val="auto"/>
              </w:rPr>
              <w:t>PBF Logistics GP LLC. He also serves as chair of the</w:t>
            </w:r>
          </w:p>
        </w:tc>
        <w:tc>
          <w:tcPr>
            <w:tcW w:w="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2000" w:type="dxa"/>
            <w:vAlign w:val="bottom"/>
            <w:tcBorders>
              <w:right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board of trustees of Duchesne Academy in Houston.</w:t>
            </w:r>
          </w:p>
        </w:tc>
        <w:tc>
          <w:tcPr>
            <w:tcW w:w="8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89"/>
        </w:trPr>
        <w:tc>
          <w:tcPr>
            <w:tcW w:w="140" w:type="dxa"/>
            <w:vAlign w:val="bottom"/>
            <w:tcBorders>
              <w:lef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Ziemba received a BS in mechanical engineering</w:t>
            </w: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2000" w:type="dxa"/>
            <w:vAlign w:val="bottom"/>
            <w:tcBorders>
              <w:right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from the University of Illinois — Champaign and an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MBA from the University of Chicago. We believe that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0" w:type="dxa"/>
            <w:vAlign w:val="bottom"/>
            <w:tcBorders>
              <w:lef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his operations, technical and project management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expertise, coupled with his business sense and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understanding of strategic positioning in the energy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space, adds a diverse operating and downstream</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4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perspective to the Board.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140" w:type="dxa"/>
            <w:vAlign w:val="bottom"/>
            <w:tcBorders>
              <w:left w:val="single" w:sz="8" w:color="auto"/>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408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8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Directors (Directors with terms expiring after the 2026 PAA and PAGP Annual Meetings)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Class II Directors (terms expire in 2028):</w:t>
      </w:r>
    </w:p>
    <w:p>
      <w:pPr>
        <w:spacing w:after="0" w:line="183" w:lineRule="exact"/>
        <w:rPr>
          <w:sz w:val="20"/>
          <w:szCs w:val="20"/>
          <w:color w:val="auto"/>
        </w:rPr>
      </w:pPr>
    </w:p>
    <w:tbl>
      <w:tblPr>
        <w:tblLayout w:type="fixed"/>
        <w:tblInd w:w="1270" w:type="dxa"/>
        <w:tblCellMar>
          <w:top w:w="0" w:type="dxa"/>
          <w:left w:w="0" w:type="dxa"/>
          <w:bottom w:w="0" w:type="dxa"/>
          <w:right w:w="0" w:type="dxa"/>
        </w:tblCellMar>
      </w:tblPr>
      <w:tr>
        <w:trPr>
          <w:trHeight w:val="270"/>
        </w:trPr>
        <w:tc>
          <w:tcPr>
            <w:tcW w:w="140" w:type="dxa"/>
            <w:vAlign w:val="bottom"/>
            <w:tcBorders>
              <w:top w:val="single" w:sz="8" w:color="auto"/>
              <w:left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640" w:type="dxa"/>
            <w:vAlign w:val="bottom"/>
            <w:tcBorders>
              <w:top w:val="single" w:sz="8" w:color="auto"/>
              <w:right w:val="single" w:sz="8" w:color="auto"/>
            </w:tcBorders>
            <w:gridSpan w:val="5"/>
          </w:tcPr>
          <w:p>
            <w:pPr>
              <w:jc w:val="center"/>
              <w:ind w:right="260"/>
              <w:spacing w:after="0"/>
              <w:rPr>
                <w:sz w:val="20"/>
                <w:szCs w:val="20"/>
                <w:color w:val="auto"/>
              </w:rPr>
            </w:pPr>
            <w:r>
              <w:rPr>
                <w:rFonts w:ascii="Arial" w:cs="Arial" w:eastAsia="Arial" w:hAnsi="Arial"/>
                <w:sz w:val="16"/>
                <w:szCs w:val="16"/>
                <w:b w:val="1"/>
                <w:bCs w:val="1"/>
                <w:color w:val="auto"/>
                <w:w w:val="98"/>
              </w:rPr>
              <w:t>VICTOR BURK</w:t>
            </w:r>
          </w:p>
        </w:tc>
        <w:tc>
          <w:tcPr>
            <w:tcW w:w="40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rPr>
              <w:t>Victor Burk, age 76</w:t>
            </w:r>
            <w:r>
              <w:rPr>
                <w:rFonts w:ascii="Arial" w:cs="Arial" w:eastAsia="Arial" w:hAnsi="Arial"/>
                <w:sz w:val="16"/>
                <w:szCs w:val="16"/>
                <w:color w:val="auto"/>
              </w:rPr>
              <w:t>, has served as a director of PAGP</w:t>
            </w:r>
          </w:p>
        </w:tc>
        <w:tc>
          <w:tcPr>
            <w:tcW w:w="80" w:type="dxa"/>
            <w:vAlign w:val="bottom"/>
            <w:tcBorders>
              <w:top w:val="single" w:sz="8" w:color="auto"/>
            </w:tcBorders>
          </w:tcPr>
          <w:p>
            <w:pPr>
              <w:spacing w:after="0"/>
              <w:rPr>
                <w:sz w:val="23"/>
                <w:szCs w:val="23"/>
                <w:color w:val="auto"/>
              </w:rPr>
            </w:pPr>
          </w:p>
        </w:tc>
        <w:tc>
          <w:tcPr>
            <w:tcW w:w="212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56"/>
        </w:trPr>
        <w:tc>
          <w:tcPr>
            <w:tcW w:w="140" w:type="dxa"/>
            <w:vAlign w:val="bottom"/>
            <w:tcBorders>
              <w:lef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Borders>
              <w:right w:val="single" w:sz="8" w:color="auto"/>
            </w:tcBorders>
            <w:gridSpan w:val="4"/>
            <w:vMerge w:val="restart"/>
          </w:tcPr>
          <w:p>
            <w:pPr>
              <w:jc w:val="center"/>
              <w:ind w:right="480"/>
              <w:spacing w:after="0"/>
              <w:rPr>
                <w:sz w:val="20"/>
                <w:szCs w:val="20"/>
                <w:color w:val="auto"/>
              </w:rPr>
            </w:pPr>
            <w:r>
              <w:rPr>
                <w:rFonts w:ascii="Arial" w:cs="Arial" w:eastAsia="Arial" w:hAnsi="Arial"/>
                <w:sz w:val="16"/>
                <w:szCs w:val="16"/>
                <w:b w:val="1"/>
                <w:bCs w:val="1"/>
                <w:color w:val="auto"/>
              </w:rPr>
              <w:t>Independent</w:t>
            </w:r>
          </w:p>
        </w:tc>
        <w:tc>
          <w:tcPr>
            <w:tcW w:w="408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6"/>
                <w:szCs w:val="16"/>
                <w:color w:val="auto"/>
              </w:rPr>
              <w:t>GP since January 2014. He served as a Senior</w:t>
            </w:r>
          </w:p>
        </w:tc>
        <w:tc>
          <w:tcPr>
            <w:tcW w:w="80" w:type="dxa"/>
            <w:vAlign w:val="bottom"/>
          </w:tcPr>
          <w:p>
            <w:pPr>
              <w:spacing w:after="0"/>
              <w:rPr>
                <w:sz w:val="13"/>
                <w:szCs w:val="13"/>
                <w:color w:val="auto"/>
              </w:rPr>
            </w:pPr>
          </w:p>
        </w:tc>
        <w:tc>
          <w:tcPr>
            <w:tcW w:w="72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6"/>
                <w:szCs w:val="16"/>
                <w:color w:val="auto"/>
                <w:w w:val="97"/>
              </w:rPr>
              <w:t>Attributes:</w:t>
            </w:r>
          </w:p>
        </w:tc>
        <w:tc>
          <w:tcPr>
            <w:tcW w:w="760" w:type="dxa"/>
            <w:vAlign w:val="bottom"/>
            <w:tcBorders>
              <w:top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4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Borders>
              <w:right w:val="single" w:sz="8" w:color="auto"/>
            </w:tcBorders>
            <w:gridSpan w:val="4"/>
            <w:vMerge w:val="continue"/>
          </w:tcPr>
          <w:p>
            <w:pPr>
              <w:spacing w:after="0"/>
              <w:rPr>
                <w:sz w:val="12"/>
                <w:szCs w:val="12"/>
                <w:color w:val="auto"/>
              </w:rPr>
            </w:pPr>
          </w:p>
        </w:tc>
        <w:tc>
          <w:tcPr>
            <w:tcW w:w="4080" w:type="dxa"/>
            <w:vAlign w:val="bottom"/>
            <w:tcBorders>
              <w:right w:val="single" w:sz="8" w:color="auto"/>
            </w:tcBorders>
          </w:tcPr>
          <w:p>
            <w:pPr>
              <w:ind w:left="80"/>
              <w:spacing w:after="0" w:line="142" w:lineRule="exact"/>
              <w:rPr>
                <w:sz w:val="20"/>
                <w:szCs w:val="20"/>
                <w:color w:val="auto"/>
              </w:rPr>
            </w:pPr>
            <w:r>
              <w:rPr>
                <w:rFonts w:ascii="Arial" w:cs="Arial" w:eastAsia="Arial" w:hAnsi="Arial"/>
                <w:sz w:val="16"/>
                <w:szCs w:val="16"/>
                <w:color w:val="auto"/>
              </w:rPr>
              <w:t>Advisor for Alvarez and Marsal, a privately owned</w:t>
            </w:r>
          </w:p>
        </w:tc>
        <w:tc>
          <w:tcPr>
            <w:tcW w:w="80" w:type="dxa"/>
            <w:vAlign w:val="bottom"/>
          </w:tcPr>
          <w:p>
            <w:pPr>
              <w:spacing w:after="0"/>
              <w:rPr>
                <w:sz w:val="12"/>
                <w:szCs w:val="12"/>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Public Company</w:t>
            </w:r>
          </w:p>
        </w:tc>
        <w:tc>
          <w:tcPr>
            <w:tcW w:w="0" w:type="dxa"/>
            <w:vAlign w:val="bottom"/>
          </w:tcPr>
          <w:p>
            <w:pPr>
              <w:spacing w:after="0"/>
              <w:rPr>
                <w:sz w:val="1"/>
                <w:szCs w:val="1"/>
                <w:color w:val="auto"/>
              </w:rPr>
            </w:pPr>
          </w:p>
        </w:tc>
      </w:tr>
      <w:tr>
        <w:trPr>
          <w:trHeight w:val="121"/>
        </w:trPr>
        <w:tc>
          <w:tcPr>
            <w:tcW w:w="140" w:type="dxa"/>
            <w:vAlign w:val="bottom"/>
            <w:tcBorders>
              <w:left w:val="single" w:sz="8" w:color="auto"/>
            </w:tcBorders>
          </w:tcPr>
          <w:p>
            <w:pPr>
              <w:spacing w:after="0"/>
              <w:rPr>
                <w:sz w:val="10"/>
                <w:szCs w:val="10"/>
                <w:color w:val="auto"/>
              </w:rPr>
            </w:pPr>
          </w:p>
        </w:tc>
        <w:tc>
          <w:tcPr>
            <w:tcW w:w="1800" w:type="dxa"/>
            <w:vAlign w:val="bottom"/>
            <w:tcBorders>
              <w:right w:val="single" w:sz="8" w:color="auto"/>
            </w:tcBorders>
            <w:gridSpan w:val="6"/>
            <w:vMerge w:val="restart"/>
          </w:tcPr>
          <w:p>
            <w:pPr>
              <w:jc w:val="center"/>
              <w:ind w:right="120"/>
              <w:spacing w:after="0"/>
              <w:rPr>
                <w:sz w:val="20"/>
                <w:szCs w:val="20"/>
                <w:color w:val="auto"/>
              </w:rPr>
            </w:pPr>
            <w:r>
              <w:rPr>
                <w:rFonts w:ascii="Arial" w:cs="Arial" w:eastAsia="Arial" w:hAnsi="Arial"/>
                <w:sz w:val="16"/>
                <w:szCs w:val="16"/>
                <w:b w:val="1"/>
                <w:bCs w:val="1"/>
                <w:i w:val="1"/>
                <w:iCs w:val="1"/>
                <w:color w:val="auto"/>
                <w:w w:val="99"/>
              </w:rPr>
              <w:t>PAGP/PAA Director</w:t>
            </w: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professional services firm, from January 2023 until his</w:t>
            </w:r>
          </w:p>
        </w:tc>
        <w:tc>
          <w:tcPr>
            <w:tcW w:w="8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200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40" w:type="dxa"/>
            <w:vAlign w:val="bottom"/>
            <w:tcBorders>
              <w:left w:val="single" w:sz="8" w:color="auto"/>
            </w:tcBorders>
          </w:tcPr>
          <w:p>
            <w:pPr>
              <w:spacing w:after="0"/>
              <w:rPr>
                <w:sz w:val="4"/>
                <w:szCs w:val="4"/>
                <w:color w:val="auto"/>
              </w:rPr>
            </w:pPr>
          </w:p>
        </w:tc>
        <w:tc>
          <w:tcPr>
            <w:tcW w:w="1800" w:type="dxa"/>
            <w:vAlign w:val="bottom"/>
            <w:tcBorders>
              <w:right w:val="single" w:sz="8" w:color="auto"/>
            </w:tcBorders>
            <w:gridSpan w:val="6"/>
            <w:vMerge w:val="continue"/>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43"/>
        </w:trPr>
        <w:tc>
          <w:tcPr>
            <w:tcW w:w="140" w:type="dxa"/>
            <w:vAlign w:val="bottom"/>
            <w:tcBorders>
              <w:left w:val="single" w:sz="8" w:color="auto"/>
            </w:tcBorders>
          </w:tcPr>
          <w:p>
            <w:pPr>
              <w:spacing w:after="0"/>
              <w:rPr>
                <w:sz w:val="3"/>
                <w:szCs w:val="3"/>
                <w:color w:val="auto"/>
              </w:rPr>
            </w:pPr>
          </w:p>
        </w:tc>
        <w:tc>
          <w:tcPr>
            <w:tcW w:w="1800" w:type="dxa"/>
            <w:vAlign w:val="bottom"/>
            <w:tcBorders>
              <w:right w:val="single" w:sz="8" w:color="auto"/>
            </w:tcBorders>
            <w:gridSpan w:val="6"/>
            <w:vMerge w:val="continue"/>
          </w:tcPr>
          <w:p>
            <w:pPr>
              <w:spacing w:after="0"/>
              <w:rPr>
                <w:sz w:val="3"/>
                <w:szCs w:val="3"/>
                <w:color w:val="auto"/>
              </w:rPr>
            </w:pPr>
          </w:p>
        </w:tc>
        <w:tc>
          <w:tcPr>
            <w:tcW w:w="4080" w:type="dxa"/>
            <w:vAlign w:val="bottom"/>
            <w:tcBorders>
              <w:right w:val="single" w:sz="8" w:color="auto"/>
            </w:tcBorders>
            <w:vMerge w:val="restart"/>
          </w:tcPr>
          <w:p>
            <w:pPr>
              <w:ind w:left="80"/>
              <w:spacing w:after="0" w:line="178" w:lineRule="exact"/>
              <w:rPr>
                <w:sz w:val="20"/>
                <w:szCs w:val="20"/>
                <w:color w:val="auto"/>
              </w:rPr>
            </w:pPr>
            <w:r>
              <w:rPr>
                <w:rFonts w:ascii="Arial" w:cs="Arial" w:eastAsia="Arial" w:hAnsi="Arial"/>
                <w:sz w:val="16"/>
                <w:szCs w:val="16"/>
                <w:color w:val="auto"/>
              </w:rPr>
              <w:t>retirement in October 2024. He also served as</w:t>
            </w: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0" w:type="dxa"/>
            <w:vAlign w:val="bottom"/>
            <w:tcBorders>
              <w:right w:val="single" w:sz="8" w:color="auto"/>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140" w:type="dxa"/>
            <w:vAlign w:val="bottom"/>
            <w:tcBorders>
              <w:lef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tcBorders>
              <w:right w:val="single" w:sz="8" w:color="auto"/>
            </w:tcBorders>
            <w:gridSpan w:val="4"/>
          </w:tcPr>
          <w:p>
            <w:pPr>
              <w:jc w:val="center"/>
              <w:ind w:right="460"/>
              <w:spacing w:after="0" w:line="136" w:lineRule="exact"/>
              <w:rPr>
                <w:sz w:val="20"/>
                <w:szCs w:val="20"/>
                <w:color w:val="auto"/>
              </w:rPr>
            </w:pPr>
            <w:r>
              <w:rPr>
                <w:rFonts w:ascii="Arial" w:cs="Arial" w:eastAsia="Arial" w:hAnsi="Arial"/>
                <w:sz w:val="15"/>
                <w:szCs w:val="15"/>
                <w:b w:val="1"/>
                <w:bCs w:val="1"/>
                <w:i w:val="1"/>
                <w:iCs w:val="1"/>
                <w:color w:val="auto"/>
              </w:rPr>
              <w:t>since 2010</w:t>
            </w:r>
          </w:p>
        </w:tc>
        <w:tc>
          <w:tcPr>
            <w:tcW w:w="408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40" w:type="dxa"/>
            <w:vAlign w:val="bottom"/>
            <w:tcBorders>
              <w:lef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Borders>
              <w:right w:val="single" w:sz="8" w:color="auto"/>
            </w:tcBorders>
            <w:gridSpan w:val="5"/>
            <w:vMerge w:val="restart"/>
          </w:tcPr>
          <w:p>
            <w:pPr>
              <w:jc w:val="center"/>
              <w:ind w:right="260"/>
              <w:spacing w:after="0"/>
              <w:rPr>
                <w:sz w:val="20"/>
                <w:szCs w:val="20"/>
                <w:color w:val="auto"/>
              </w:rPr>
            </w:pPr>
            <w:r>
              <w:rPr>
                <w:rFonts w:ascii="Arial" w:cs="Arial" w:eastAsia="Arial" w:hAnsi="Arial"/>
                <w:sz w:val="16"/>
                <w:szCs w:val="16"/>
                <w:b w:val="1"/>
                <w:bCs w:val="1"/>
                <w:color w:val="auto"/>
              </w:rPr>
              <w:t>Committees:</w:t>
            </w:r>
          </w:p>
        </w:tc>
        <w:tc>
          <w:tcPr>
            <w:tcW w:w="408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6"/>
                <w:szCs w:val="16"/>
                <w:color w:val="auto"/>
              </w:rPr>
              <w:t>Managing Director of Alvarez and Marsal from</w:t>
            </w:r>
          </w:p>
        </w:tc>
        <w:tc>
          <w:tcPr>
            <w:tcW w:w="80" w:type="dxa"/>
            <w:vAlign w:val="bottom"/>
          </w:tcPr>
          <w:p>
            <w:pPr>
              <w:spacing w:after="0"/>
              <w:rPr>
                <w:sz w:val="13"/>
                <w:szCs w:val="13"/>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07"/>
        </w:trPr>
        <w:tc>
          <w:tcPr>
            <w:tcW w:w="140" w:type="dxa"/>
            <w:vAlign w:val="bottom"/>
            <w:tcBorders>
              <w:lef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640" w:type="dxa"/>
            <w:vAlign w:val="bottom"/>
            <w:tcBorders>
              <w:right w:val="single" w:sz="8" w:color="auto"/>
            </w:tcBorders>
            <w:gridSpan w:val="5"/>
            <w:vMerge w:val="continue"/>
          </w:tcPr>
          <w:p>
            <w:pPr>
              <w:spacing w:after="0"/>
              <w:rPr>
                <w:sz w:val="9"/>
                <w:szCs w:val="9"/>
                <w:color w:val="auto"/>
              </w:rPr>
            </w:pPr>
          </w:p>
        </w:tc>
        <w:tc>
          <w:tcPr>
            <w:tcW w:w="4080" w:type="dxa"/>
            <w:vAlign w:val="bottom"/>
            <w:tcBorders>
              <w:right w:val="single" w:sz="8" w:color="auto"/>
            </w:tcBorders>
            <w:vMerge w:val="restart"/>
          </w:tcPr>
          <w:p>
            <w:pPr>
              <w:ind w:left="80"/>
              <w:spacing w:after="0" w:line="143" w:lineRule="exact"/>
              <w:rPr>
                <w:sz w:val="20"/>
                <w:szCs w:val="20"/>
                <w:color w:val="auto"/>
              </w:rPr>
            </w:pPr>
            <w:r>
              <w:rPr>
                <w:rFonts w:ascii="Arial" w:cs="Arial" w:eastAsia="Arial" w:hAnsi="Arial"/>
                <w:sz w:val="16"/>
                <w:szCs w:val="16"/>
                <w:color w:val="auto"/>
              </w:rPr>
              <w:t>April 2009 through December 2022. From 2005 to</w:t>
            </w: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200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140" w:type="dxa"/>
            <w:vAlign w:val="bottom"/>
            <w:tcBorders>
              <w:lef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640" w:type="dxa"/>
            <w:vAlign w:val="bottom"/>
            <w:tcBorders>
              <w:right w:val="single" w:sz="8" w:color="auto"/>
            </w:tcBorders>
            <w:gridSpan w:val="5"/>
            <w:vMerge w:val="continue"/>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40" w:type="dxa"/>
            <w:vAlign w:val="bottom"/>
            <w:tcBorders>
              <w:lef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Audit</w:t>
            </w:r>
          </w:p>
        </w:tc>
        <w:tc>
          <w:tcPr>
            <w:tcW w:w="520" w:type="dxa"/>
            <w:vAlign w:val="bottom"/>
            <w:tcBorders>
              <w:right w:val="single" w:sz="8" w:color="auto"/>
            </w:tcBorders>
            <w:gridSpan w:val="3"/>
            <w:vMerge w:val="restart"/>
          </w:tcPr>
          <w:p>
            <w:pPr>
              <w:spacing w:after="0"/>
              <w:rPr>
                <w:sz w:val="13"/>
                <w:szCs w:val="13"/>
                <w:color w:val="auto"/>
              </w:rPr>
            </w:pPr>
          </w:p>
        </w:tc>
        <w:tc>
          <w:tcPr>
            <w:tcW w:w="408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6"/>
                <w:szCs w:val="16"/>
                <w:color w:val="auto"/>
              </w:rPr>
              <w:t>2009, Mr. Burk was the global energy practice leader</w:t>
            </w:r>
          </w:p>
        </w:tc>
        <w:tc>
          <w:tcPr>
            <w:tcW w:w="8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40"/>
              <w:spacing w:after="0" w:line="155" w:lineRule="exact"/>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33"/>
        </w:trPr>
        <w:tc>
          <w:tcPr>
            <w:tcW w:w="140" w:type="dxa"/>
            <w:vAlign w:val="bottom"/>
            <w:tcBorders>
              <w:lef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520" w:type="dxa"/>
            <w:vAlign w:val="bottom"/>
            <w:tcBorders>
              <w:right w:val="single" w:sz="8" w:color="auto"/>
            </w:tcBorders>
            <w:gridSpan w:val="3"/>
            <w:vMerge w:val="continue"/>
          </w:tcPr>
          <w:p>
            <w:pPr>
              <w:spacing w:after="0"/>
              <w:rPr>
                <w:sz w:val="11"/>
                <w:szCs w:val="11"/>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for Spencer Stuart, a privately owned executive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0" w:type="dxa"/>
            <w:vAlign w:val="bottom"/>
            <w:tcBorders>
              <w:right w:val="single" w:sz="8" w:color="auto"/>
            </w:tcBorders>
            <w:gridSpan w:val="3"/>
            <w:vMerge w:val="restart"/>
          </w:tcPr>
          <w:p>
            <w:pPr>
              <w:ind w:left="40"/>
              <w:spacing w:after="0" w:line="175" w:lineRule="exact"/>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42"/>
        </w:trPr>
        <w:tc>
          <w:tcPr>
            <w:tcW w:w="140" w:type="dxa"/>
            <w:vAlign w:val="bottom"/>
            <w:tcBorders>
              <w:left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4080" w:type="dxa"/>
            <w:vAlign w:val="bottom"/>
            <w:tcBorders>
              <w:right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0" w:type="dxa"/>
            <w:vAlign w:val="bottom"/>
            <w:tcBorders>
              <w:right w:val="single" w:sz="8" w:color="auto"/>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40" w:type="dxa"/>
            <w:vAlign w:val="bottom"/>
            <w:tcBorders>
              <w:lef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Borders>
              <w:right w:val="single" w:sz="8" w:color="auto"/>
            </w:tcBorders>
            <w:gridSpan w:val="5"/>
          </w:tcPr>
          <w:p>
            <w:pPr>
              <w:jc w:val="center"/>
              <w:ind w:right="260"/>
              <w:spacing w:after="0"/>
              <w:rPr>
                <w:sz w:val="20"/>
                <w:szCs w:val="20"/>
                <w:color w:val="auto"/>
              </w:rPr>
            </w:pPr>
            <w:r>
              <w:rPr>
                <w:rFonts w:ascii="Arial" w:cs="Arial" w:eastAsia="Arial" w:hAnsi="Arial"/>
                <w:sz w:val="16"/>
                <w:szCs w:val="16"/>
                <w:color w:val="auto"/>
                <w:w w:val="98"/>
              </w:rPr>
              <w:t>Compensation</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recruiting firm. Prior to joining Spencer Stuart, Mr. Burk</w:t>
            </w:r>
          </w:p>
        </w:tc>
        <w:tc>
          <w:tcPr>
            <w:tcW w:w="80" w:type="dxa"/>
            <w:vAlign w:val="bottom"/>
          </w:tcPr>
          <w:p>
            <w:pPr>
              <w:spacing w:after="0"/>
              <w:rPr>
                <w:sz w:val="16"/>
                <w:szCs w:val="16"/>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Governance/​Government</w:t>
            </w:r>
          </w:p>
        </w:tc>
        <w:tc>
          <w:tcPr>
            <w:tcW w:w="0" w:type="dxa"/>
            <w:vAlign w:val="bottom"/>
          </w:tcPr>
          <w:p>
            <w:pPr>
              <w:spacing w:after="0"/>
              <w:rPr>
                <w:sz w:val="1"/>
                <w:szCs w:val="1"/>
                <w:color w:val="auto"/>
              </w:rPr>
            </w:pPr>
          </w:p>
        </w:tc>
      </w:tr>
      <w:tr>
        <w:trPr>
          <w:trHeight w:val="95"/>
        </w:trPr>
        <w:tc>
          <w:tcPr>
            <w:tcW w:w="140" w:type="dxa"/>
            <w:vAlign w:val="bottom"/>
            <w:tcBorders>
              <w:lef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4080" w:type="dxa"/>
            <w:vAlign w:val="bottom"/>
            <w:tcBorders>
              <w:right w:val="single" w:sz="8" w:color="auto"/>
            </w:tcBorders>
            <w:vMerge w:val="restart"/>
          </w:tcPr>
          <w:p>
            <w:pPr>
              <w:ind w:left="80"/>
              <w:spacing w:after="0" w:line="148" w:lineRule="exact"/>
              <w:rPr>
                <w:sz w:val="20"/>
                <w:szCs w:val="20"/>
                <w:color w:val="auto"/>
              </w:rPr>
            </w:pPr>
            <w:r>
              <w:rPr>
                <w:rFonts w:ascii="Arial" w:cs="Arial" w:eastAsia="Arial" w:hAnsi="Arial"/>
                <w:sz w:val="16"/>
                <w:szCs w:val="16"/>
                <w:color w:val="auto"/>
              </w:rPr>
              <w:t>served as managing partner of Deloitte &amp; Touche’s</w:t>
            </w:r>
          </w:p>
        </w:tc>
        <w:tc>
          <w:tcPr>
            <w:tcW w:w="8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200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40" w:type="dxa"/>
            <w:vAlign w:val="bottom"/>
            <w:tcBorders>
              <w:lef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Borders>
              <w:right w:val="single" w:sz="8" w:color="auto"/>
            </w:tcBorders>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Relations/Legal</w:t>
            </w:r>
          </w:p>
        </w:tc>
        <w:tc>
          <w:tcPr>
            <w:tcW w:w="0" w:type="dxa"/>
            <w:vAlign w:val="bottom"/>
          </w:tcPr>
          <w:p>
            <w:pPr>
              <w:spacing w:after="0"/>
              <w:rPr>
                <w:sz w:val="1"/>
                <w:szCs w:val="1"/>
                <w:color w:val="auto"/>
              </w:rPr>
            </w:pPr>
          </w:p>
        </w:tc>
      </w:tr>
      <w:tr>
        <w:trPr>
          <w:trHeight w:val="175"/>
        </w:trPr>
        <w:tc>
          <w:tcPr>
            <w:tcW w:w="1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global oil and natural gas group from 2002 to 2005. He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4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began his professional career in 1972 with Arthur</w:t>
            </w:r>
          </w:p>
        </w:tc>
        <w:tc>
          <w:tcPr>
            <w:tcW w:w="8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19"/>
        </w:trPr>
        <w:tc>
          <w:tcPr>
            <w:tcW w:w="140" w:type="dxa"/>
            <w:vAlign w:val="bottom"/>
            <w:tcBorders>
              <w:lef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Andersen and served as managing partner of Arthur</w:t>
            </w:r>
          </w:p>
        </w:tc>
        <w:tc>
          <w:tcPr>
            <w:tcW w:w="8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200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40" w:type="dxa"/>
            <w:vAlign w:val="bottom"/>
            <w:tcBorders>
              <w:lef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Borders>
              <w:right w:val="single" w:sz="8" w:color="auto"/>
            </w:tcBorders>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Andersen’s global oil and natural gas group from 1989</w:t>
            </w:r>
          </w:p>
        </w:tc>
        <w:tc>
          <w:tcPr>
            <w:tcW w:w="80" w:type="dxa"/>
            <w:vAlign w:val="bottom"/>
          </w:tcPr>
          <w:p>
            <w:pPr>
              <w:spacing w:after="0"/>
              <w:rPr>
                <w:sz w:val="15"/>
                <w:szCs w:val="15"/>
                <w:color w:val="auto"/>
              </w:rPr>
            </w:pPr>
          </w:p>
        </w:tc>
        <w:tc>
          <w:tcPr>
            <w:tcW w:w="12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40"/>
              <w:spacing w:after="0" w:line="175" w:lineRule="exact"/>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63"/>
        </w:trPr>
        <w:tc>
          <w:tcPr>
            <w:tcW w:w="14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until 2002. Mr. Burk served on the board of directors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and audit committee of EV Energy Partners, L.P. from</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September 2006 until June 2018. Mr. Burk served as a</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4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director and as chair of the audit committee of PNGS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GP LLC, the general partner of PAA Natural Gas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4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Storage, L.P., from April 2010 through</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December 2013. Mr. Burk also serves as a board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member of the Sam Houston Area Council of the Boy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4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Scouts of America. He received a BBA in Accounting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from Stephen F. Austin State University, graduating</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with highest honors. We believe that Mr. Burk’s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4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background, spanning over 30 years of extensive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public accounting and consulting experience in the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4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energy industry, coupled with his demonstrated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leadership abilities, bring valuable experience and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4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insight to the Board.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40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40" w:type="dxa"/>
            <w:vAlign w:val="bottom"/>
            <w:tcBorders>
              <w:left w:val="single" w:sz="8" w:color="auto"/>
            </w:tcBorders>
          </w:tcPr>
          <w:p>
            <w:pPr>
              <w:spacing w:after="0"/>
              <w:rPr>
                <w:sz w:val="14"/>
                <w:szCs w:val="14"/>
                <w:color w:val="auto"/>
              </w:rPr>
            </w:pPr>
          </w:p>
        </w:tc>
        <w:tc>
          <w:tcPr>
            <w:tcW w:w="1800" w:type="dxa"/>
            <w:vAlign w:val="bottom"/>
            <w:tcBorders>
              <w:right w:val="single" w:sz="8" w:color="auto"/>
            </w:tcBorders>
            <w:gridSpan w:val="6"/>
          </w:tcPr>
          <w:p>
            <w:pPr>
              <w:jc w:val="center"/>
              <w:ind w:right="100"/>
              <w:spacing w:after="0" w:line="169" w:lineRule="exact"/>
              <w:rPr>
                <w:sz w:val="20"/>
                <w:szCs w:val="20"/>
                <w:color w:val="auto"/>
              </w:rPr>
            </w:pPr>
            <w:r>
              <w:rPr>
                <w:rFonts w:ascii="Arial" w:cs="Arial" w:eastAsia="Arial" w:hAnsi="Arial"/>
                <w:sz w:val="16"/>
                <w:szCs w:val="16"/>
                <w:b w:val="1"/>
                <w:bCs w:val="1"/>
                <w:color w:val="auto"/>
                <w:w w:val="98"/>
              </w:rPr>
              <w:t>KEVIN S. MCCARTHY</w:t>
            </w:r>
          </w:p>
        </w:tc>
        <w:tc>
          <w:tcPr>
            <w:tcW w:w="408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6"/>
                <w:szCs w:val="16"/>
                <w:i w:val="1"/>
                <w:iCs w:val="1"/>
                <w:color w:val="auto"/>
              </w:rPr>
              <w:t>Kevin S. McCarthy, age 66</w:t>
            </w:r>
            <w:r>
              <w:rPr>
                <w:rFonts w:ascii="Arial" w:cs="Arial" w:eastAsia="Arial" w:hAnsi="Arial"/>
                <w:sz w:val="16"/>
                <w:szCs w:val="16"/>
                <w:color w:val="auto"/>
              </w:rPr>
              <w:t>, has served as a director</w:t>
            </w:r>
          </w:p>
        </w:tc>
        <w:tc>
          <w:tcPr>
            <w:tcW w:w="80" w:type="dxa"/>
            <w:vAlign w:val="bottom"/>
          </w:tcPr>
          <w:p>
            <w:pPr>
              <w:spacing w:after="0"/>
              <w:rPr>
                <w:sz w:val="14"/>
                <w:szCs w:val="14"/>
                <w:color w:val="auto"/>
              </w:rPr>
            </w:pPr>
          </w:p>
        </w:tc>
        <w:tc>
          <w:tcPr>
            <w:tcW w:w="2120" w:type="dxa"/>
            <w:vAlign w:val="bottom"/>
            <w:tcBorders>
              <w:right w:val="single" w:sz="8" w:color="auto"/>
            </w:tcBorders>
            <w:gridSpan w:val="4"/>
          </w:tcPr>
          <w:p>
            <w:pPr>
              <w:spacing w:after="0" w:line="169" w:lineRule="exact"/>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55"/>
        </w:trPr>
        <w:tc>
          <w:tcPr>
            <w:tcW w:w="140" w:type="dxa"/>
            <w:vAlign w:val="bottom"/>
            <w:tcBorders>
              <w:lef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Borders>
              <w:right w:val="single" w:sz="8" w:color="auto"/>
            </w:tcBorders>
            <w:gridSpan w:val="4"/>
            <w:vMerge w:val="restart"/>
          </w:tcPr>
          <w:p>
            <w:pPr>
              <w:jc w:val="center"/>
              <w:ind w:right="480"/>
              <w:spacing w:after="0"/>
              <w:rPr>
                <w:sz w:val="20"/>
                <w:szCs w:val="20"/>
                <w:color w:val="auto"/>
              </w:rPr>
            </w:pPr>
            <w:r>
              <w:rPr>
                <w:rFonts w:ascii="Arial" w:cs="Arial" w:eastAsia="Arial" w:hAnsi="Arial"/>
                <w:sz w:val="16"/>
                <w:szCs w:val="16"/>
                <w:b w:val="1"/>
                <w:bCs w:val="1"/>
                <w:color w:val="auto"/>
              </w:rPr>
              <w:t>Independent</w:t>
            </w:r>
          </w:p>
        </w:tc>
        <w:tc>
          <w:tcPr>
            <w:tcW w:w="408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6"/>
                <w:szCs w:val="16"/>
                <w:color w:val="auto"/>
              </w:rPr>
              <w:t>of PAGP GP since October 2020. He served as Vice</w:t>
            </w:r>
          </w:p>
        </w:tc>
        <w:tc>
          <w:tcPr>
            <w:tcW w:w="80" w:type="dxa"/>
            <w:vAlign w:val="bottom"/>
          </w:tcPr>
          <w:p>
            <w:pPr>
              <w:spacing w:after="0"/>
              <w:rPr>
                <w:sz w:val="13"/>
                <w:szCs w:val="13"/>
                <w:color w:val="auto"/>
              </w:rPr>
            </w:pPr>
          </w:p>
        </w:tc>
        <w:tc>
          <w:tcPr>
            <w:tcW w:w="72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6"/>
                <w:szCs w:val="16"/>
                <w:color w:val="auto"/>
                <w:w w:val="97"/>
              </w:rPr>
              <w:t>Attributes:</w:t>
            </w:r>
          </w:p>
        </w:tc>
        <w:tc>
          <w:tcPr>
            <w:tcW w:w="760" w:type="dxa"/>
            <w:vAlign w:val="bottom"/>
            <w:tcBorders>
              <w:top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4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Borders>
              <w:right w:val="single" w:sz="8" w:color="auto"/>
            </w:tcBorders>
            <w:gridSpan w:val="4"/>
            <w:vMerge w:val="continue"/>
          </w:tcPr>
          <w:p>
            <w:pPr>
              <w:spacing w:after="0"/>
              <w:rPr>
                <w:sz w:val="12"/>
                <w:szCs w:val="12"/>
                <w:color w:val="auto"/>
              </w:rPr>
            </w:pPr>
          </w:p>
        </w:tc>
        <w:tc>
          <w:tcPr>
            <w:tcW w:w="4080" w:type="dxa"/>
            <w:vAlign w:val="bottom"/>
            <w:tcBorders>
              <w:right w:val="single" w:sz="8" w:color="auto"/>
            </w:tcBorders>
          </w:tcPr>
          <w:p>
            <w:pPr>
              <w:ind w:left="80"/>
              <w:spacing w:after="0" w:line="142" w:lineRule="exact"/>
              <w:rPr>
                <w:sz w:val="20"/>
                <w:szCs w:val="20"/>
                <w:color w:val="auto"/>
              </w:rPr>
            </w:pPr>
            <w:r>
              <w:rPr>
                <w:rFonts w:ascii="Arial" w:cs="Arial" w:eastAsia="Arial" w:hAnsi="Arial"/>
                <w:sz w:val="16"/>
                <w:szCs w:val="16"/>
                <w:color w:val="auto"/>
              </w:rPr>
              <w:t>Chairman at Kayne Anderson from 2019 to 2023.</w:t>
            </w:r>
          </w:p>
        </w:tc>
        <w:tc>
          <w:tcPr>
            <w:tcW w:w="80" w:type="dxa"/>
            <w:vAlign w:val="bottom"/>
          </w:tcPr>
          <w:p>
            <w:pPr>
              <w:spacing w:after="0"/>
              <w:rPr>
                <w:sz w:val="12"/>
                <w:szCs w:val="12"/>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Public Company</w:t>
            </w:r>
          </w:p>
        </w:tc>
        <w:tc>
          <w:tcPr>
            <w:tcW w:w="0" w:type="dxa"/>
            <w:vAlign w:val="bottom"/>
          </w:tcPr>
          <w:p>
            <w:pPr>
              <w:spacing w:after="0"/>
              <w:rPr>
                <w:sz w:val="1"/>
                <w:szCs w:val="1"/>
                <w:color w:val="auto"/>
              </w:rPr>
            </w:pPr>
          </w:p>
        </w:tc>
      </w:tr>
      <w:tr>
        <w:trPr>
          <w:trHeight w:val="121"/>
        </w:trPr>
        <w:tc>
          <w:tcPr>
            <w:tcW w:w="140" w:type="dxa"/>
            <w:vAlign w:val="bottom"/>
            <w:tcBorders>
              <w:left w:val="single" w:sz="8" w:color="auto"/>
            </w:tcBorders>
          </w:tcPr>
          <w:p>
            <w:pPr>
              <w:spacing w:after="0"/>
              <w:rPr>
                <w:sz w:val="10"/>
                <w:szCs w:val="10"/>
                <w:color w:val="auto"/>
              </w:rPr>
            </w:pPr>
          </w:p>
        </w:tc>
        <w:tc>
          <w:tcPr>
            <w:tcW w:w="1800" w:type="dxa"/>
            <w:vAlign w:val="bottom"/>
            <w:tcBorders>
              <w:right w:val="single" w:sz="8" w:color="auto"/>
            </w:tcBorders>
            <w:gridSpan w:val="6"/>
            <w:vMerge w:val="restart"/>
          </w:tcPr>
          <w:p>
            <w:pPr>
              <w:jc w:val="center"/>
              <w:ind w:right="120"/>
              <w:spacing w:after="0"/>
              <w:rPr>
                <w:sz w:val="20"/>
                <w:szCs w:val="20"/>
                <w:color w:val="auto"/>
              </w:rPr>
            </w:pPr>
            <w:r>
              <w:rPr>
                <w:rFonts w:ascii="Arial" w:cs="Arial" w:eastAsia="Arial" w:hAnsi="Arial"/>
                <w:sz w:val="16"/>
                <w:szCs w:val="16"/>
                <w:b w:val="1"/>
                <w:bCs w:val="1"/>
                <w:i w:val="1"/>
                <w:iCs w:val="1"/>
                <w:color w:val="auto"/>
                <w:w w:val="99"/>
              </w:rPr>
              <w:t>PAGP/PAA Director</w:t>
            </w: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During his 19-year tenure at Kayne Anderson, he co-</w:t>
            </w:r>
          </w:p>
        </w:tc>
        <w:tc>
          <w:tcPr>
            <w:tcW w:w="8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200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40" w:type="dxa"/>
            <w:vAlign w:val="bottom"/>
            <w:tcBorders>
              <w:left w:val="single" w:sz="8" w:color="auto"/>
            </w:tcBorders>
          </w:tcPr>
          <w:p>
            <w:pPr>
              <w:spacing w:after="0"/>
              <w:rPr>
                <w:sz w:val="4"/>
                <w:szCs w:val="4"/>
                <w:color w:val="auto"/>
              </w:rPr>
            </w:pPr>
          </w:p>
        </w:tc>
        <w:tc>
          <w:tcPr>
            <w:tcW w:w="1800" w:type="dxa"/>
            <w:vAlign w:val="bottom"/>
            <w:tcBorders>
              <w:right w:val="single" w:sz="8" w:color="auto"/>
            </w:tcBorders>
            <w:gridSpan w:val="6"/>
            <w:vMerge w:val="continue"/>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42"/>
        </w:trPr>
        <w:tc>
          <w:tcPr>
            <w:tcW w:w="140" w:type="dxa"/>
            <w:vAlign w:val="bottom"/>
            <w:tcBorders>
              <w:left w:val="single" w:sz="8" w:color="auto"/>
            </w:tcBorders>
          </w:tcPr>
          <w:p>
            <w:pPr>
              <w:spacing w:after="0"/>
              <w:rPr>
                <w:sz w:val="3"/>
                <w:szCs w:val="3"/>
                <w:color w:val="auto"/>
              </w:rPr>
            </w:pPr>
          </w:p>
        </w:tc>
        <w:tc>
          <w:tcPr>
            <w:tcW w:w="1800" w:type="dxa"/>
            <w:vAlign w:val="bottom"/>
            <w:tcBorders>
              <w:right w:val="single" w:sz="8" w:color="auto"/>
            </w:tcBorders>
            <w:gridSpan w:val="6"/>
            <w:vMerge w:val="continue"/>
          </w:tcPr>
          <w:p>
            <w:pPr>
              <w:spacing w:after="0"/>
              <w:rPr>
                <w:sz w:val="3"/>
                <w:szCs w:val="3"/>
                <w:color w:val="auto"/>
              </w:rPr>
            </w:pPr>
          </w:p>
        </w:tc>
        <w:tc>
          <w:tcPr>
            <w:tcW w:w="4080" w:type="dxa"/>
            <w:vAlign w:val="bottom"/>
            <w:tcBorders>
              <w:right w:val="single" w:sz="8" w:color="auto"/>
            </w:tcBorders>
            <w:vMerge w:val="restart"/>
          </w:tcPr>
          <w:p>
            <w:pPr>
              <w:ind w:left="80"/>
              <w:spacing w:after="0" w:line="178" w:lineRule="exact"/>
              <w:rPr>
                <w:sz w:val="20"/>
                <w:szCs w:val="20"/>
                <w:color w:val="auto"/>
              </w:rPr>
            </w:pPr>
            <w:r>
              <w:rPr>
                <w:rFonts w:ascii="Arial" w:cs="Arial" w:eastAsia="Arial" w:hAnsi="Arial"/>
                <w:sz w:val="16"/>
                <w:szCs w:val="16"/>
                <w:color w:val="auto"/>
              </w:rPr>
              <w:t>founded the firm’s energy infrastructure securities</w:t>
            </w: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0" w:type="dxa"/>
            <w:vAlign w:val="bottom"/>
            <w:tcBorders>
              <w:right w:val="single" w:sz="8" w:color="auto"/>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140" w:type="dxa"/>
            <w:vAlign w:val="bottom"/>
            <w:tcBorders>
              <w:lef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tcBorders>
              <w:right w:val="single" w:sz="8" w:color="auto"/>
            </w:tcBorders>
            <w:gridSpan w:val="4"/>
          </w:tcPr>
          <w:p>
            <w:pPr>
              <w:jc w:val="center"/>
              <w:ind w:right="460"/>
              <w:spacing w:after="0" w:line="136" w:lineRule="exact"/>
              <w:rPr>
                <w:sz w:val="20"/>
                <w:szCs w:val="20"/>
                <w:color w:val="auto"/>
              </w:rPr>
            </w:pPr>
            <w:r>
              <w:rPr>
                <w:rFonts w:ascii="Arial" w:cs="Arial" w:eastAsia="Arial" w:hAnsi="Arial"/>
                <w:sz w:val="15"/>
                <w:szCs w:val="15"/>
                <w:b w:val="1"/>
                <w:bCs w:val="1"/>
                <w:i w:val="1"/>
                <w:iCs w:val="1"/>
                <w:color w:val="auto"/>
              </w:rPr>
              <w:t>since 2020</w:t>
            </w:r>
          </w:p>
        </w:tc>
        <w:tc>
          <w:tcPr>
            <w:tcW w:w="408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40" w:type="dxa"/>
            <w:vAlign w:val="bottom"/>
            <w:tcBorders>
              <w:lef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Borders>
              <w:right w:val="single" w:sz="8" w:color="auto"/>
            </w:tcBorders>
            <w:gridSpan w:val="5"/>
            <w:vMerge w:val="restart"/>
          </w:tcPr>
          <w:p>
            <w:pPr>
              <w:jc w:val="center"/>
              <w:ind w:right="260"/>
              <w:spacing w:after="0"/>
              <w:rPr>
                <w:sz w:val="20"/>
                <w:szCs w:val="20"/>
                <w:color w:val="auto"/>
              </w:rPr>
            </w:pPr>
            <w:r>
              <w:rPr>
                <w:rFonts w:ascii="Arial" w:cs="Arial" w:eastAsia="Arial" w:hAnsi="Arial"/>
                <w:sz w:val="16"/>
                <w:szCs w:val="16"/>
                <w:b w:val="1"/>
                <w:bCs w:val="1"/>
                <w:color w:val="auto"/>
              </w:rPr>
              <w:t>Committees:</w:t>
            </w:r>
          </w:p>
        </w:tc>
        <w:tc>
          <w:tcPr>
            <w:tcW w:w="408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6"/>
                <w:szCs w:val="16"/>
                <w:color w:val="auto"/>
              </w:rPr>
              <w:t>activities, and served as CEO and Chairman of the</w:t>
            </w:r>
          </w:p>
        </w:tc>
        <w:tc>
          <w:tcPr>
            <w:tcW w:w="80" w:type="dxa"/>
            <w:vAlign w:val="bottom"/>
          </w:tcPr>
          <w:p>
            <w:pPr>
              <w:spacing w:after="0"/>
              <w:rPr>
                <w:sz w:val="13"/>
                <w:szCs w:val="13"/>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07"/>
        </w:trPr>
        <w:tc>
          <w:tcPr>
            <w:tcW w:w="140" w:type="dxa"/>
            <w:vAlign w:val="bottom"/>
            <w:tcBorders>
              <w:lef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640" w:type="dxa"/>
            <w:vAlign w:val="bottom"/>
            <w:tcBorders>
              <w:right w:val="single" w:sz="8" w:color="auto"/>
            </w:tcBorders>
            <w:gridSpan w:val="5"/>
            <w:vMerge w:val="continue"/>
          </w:tcPr>
          <w:p>
            <w:pPr>
              <w:spacing w:after="0"/>
              <w:rPr>
                <w:sz w:val="9"/>
                <w:szCs w:val="9"/>
                <w:color w:val="auto"/>
              </w:rPr>
            </w:pPr>
          </w:p>
        </w:tc>
        <w:tc>
          <w:tcPr>
            <w:tcW w:w="4080" w:type="dxa"/>
            <w:vAlign w:val="bottom"/>
            <w:tcBorders>
              <w:right w:val="single" w:sz="8" w:color="auto"/>
            </w:tcBorders>
            <w:vMerge w:val="restart"/>
          </w:tcPr>
          <w:p>
            <w:pPr>
              <w:ind w:left="80"/>
              <w:spacing w:after="0" w:line="143" w:lineRule="exact"/>
              <w:rPr>
                <w:sz w:val="20"/>
                <w:szCs w:val="20"/>
                <w:color w:val="auto"/>
              </w:rPr>
            </w:pPr>
            <w:r>
              <w:rPr>
                <w:rFonts w:ascii="Arial" w:cs="Arial" w:eastAsia="Arial" w:hAnsi="Arial"/>
                <w:sz w:val="16"/>
                <w:szCs w:val="16"/>
                <w:color w:val="auto"/>
              </w:rPr>
              <w:t>Board of Directors for Kayne Anderson’s closed-end</w:t>
            </w: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200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140" w:type="dxa"/>
            <w:vAlign w:val="bottom"/>
            <w:tcBorders>
              <w:lef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640" w:type="dxa"/>
            <w:vAlign w:val="bottom"/>
            <w:tcBorders>
              <w:right w:val="single" w:sz="8" w:color="auto"/>
            </w:tcBorders>
            <w:gridSpan w:val="5"/>
            <w:vMerge w:val="continue"/>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4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funds. Prior to joining Kayne Anderson in 2004,</w:t>
            </w:r>
          </w:p>
        </w:tc>
        <w:tc>
          <w:tcPr>
            <w:tcW w:w="80" w:type="dxa"/>
            <w:vAlign w:val="bottom"/>
          </w:tcPr>
          <w:p>
            <w:pPr>
              <w:spacing w:after="0" w:line="20" w:lineRule="exact"/>
              <w:rPr>
                <w:sz w:val="1"/>
                <w:szCs w:val="1"/>
                <w:color w:val="auto"/>
              </w:rPr>
            </w:pPr>
          </w:p>
        </w:tc>
        <w:tc>
          <w:tcPr>
            <w:tcW w:w="120" w:type="dxa"/>
            <w:vAlign w:val="bottom"/>
            <w:vMerge w:val="restart"/>
          </w:tcPr>
          <w:p>
            <w:pPr>
              <w:spacing w:after="0" w:line="175" w:lineRule="exact"/>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line="175" w:lineRule="exact"/>
              <w:rPr>
                <w:sz w:val="20"/>
                <w:szCs w:val="20"/>
                <w:color w:val="auto"/>
              </w:rPr>
            </w:pPr>
            <w:r>
              <w:rPr>
                <w:rFonts w:ascii="Arial" w:cs="Arial" w:eastAsia="Arial" w:hAnsi="Arial"/>
                <w:sz w:val="16"/>
                <w:szCs w:val="16"/>
                <w:color w:val="auto"/>
              </w:rPr>
              <w:t>Business Development/</w:t>
            </w:r>
          </w:p>
        </w:tc>
        <w:tc>
          <w:tcPr>
            <w:tcW w:w="0" w:type="dxa"/>
            <w:vAlign w:val="bottom"/>
          </w:tcPr>
          <w:p>
            <w:pPr>
              <w:spacing w:after="0" w:line="20" w:lineRule="exact"/>
              <w:rPr>
                <w:sz w:val="1"/>
                <w:szCs w:val="1"/>
                <w:color w:val="auto"/>
              </w:rPr>
            </w:pPr>
          </w:p>
        </w:tc>
      </w:tr>
      <w:tr>
        <w:trPr>
          <w:trHeight w:val="155"/>
        </w:trPr>
        <w:tc>
          <w:tcPr>
            <w:tcW w:w="140" w:type="dxa"/>
            <w:vAlign w:val="bottom"/>
            <w:tcBorders>
              <w:lef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Borders>
              <w:right w:val="single" w:sz="8" w:color="auto"/>
            </w:tcBorders>
            <w:gridSpan w:val="4"/>
            <w:vMerge w:val="restart"/>
          </w:tcPr>
          <w:p>
            <w:pPr>
              <w:jc w:val="center"/>
              <w:ind w:right="460"/>
              <w:spacing w:after="0"/>
              <w:rPr>
                <w:sz w:val="20"/>
                <w:szCs w:val="20"/>
                <w:color w:val="auto"/>
              </w:rPr>
            </w:pPr>
            <w:r>
              <w:rPr>
                <w:rFonts w:ascii="Arial" w:cs="Arial" w:eastAsia="Arial" w:hAnsi="Arial"/>
                <w:sz w:val="16"/>
                <w:szCs w:val="16"/>
                <w:color w:val="auto"/>
                <w:w w:val="98"/>
              </w:rPr>
              <w:t>Governance</w:t>
            </w:r>
          </w:p>
        </w:tc>
        <w:tc>
          <w:tcPr>
            <w:tcW w:w="408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2000" w:type="dxa"/>
            <w:vAlign w:val="bottom"/>
            <w:tcBorders>
              <w:right w:val="single" w:sz="8" w:color="auto"/>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40" w:type="dxa"/>
            <w:vAlign w:val="bottom"/>
            <w:tcBorders>
              <w:lef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tcBorders>
              <w:right w:val="single" w:sz="8" w:color="auto"/>
            </w:tcBorders>
            <w:gridSpan w:val="4"/>
            <w:vMerge w:val="continue"/>
          </w:tcPr>
          <w:p>
            <w:pPr>
              <w:spacing w:after="0"/>
              <w:rPr>
                <w:sz w:val="11"/>
                <w:szCs w:val="11"/>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Mr. McCarthy was global head of energy investment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0" w:type="dxa"/>
            <w:vAlign w:val="bottom"/>
            <w:tcBorders>
              <w:right w:val="single" w:sz="8" w:color="auto"/>
            </w:tcBorders>
            <w:gridSpan w:val="3"/>
            <w:vMerge w:val="restart"/>
          </w:tcPr>
          <w:p>
            <w:pPr>
              <w:ind w:left="40"/>
              <w:spacing w:after="0" w:line="175" w:lineRule="exact"/>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42"/>
        </w:trPr>
        <w:tc>
          <w:tcPr>
            <w:tcW w:w="140" w:type="dxa"/>
            <w:vAlign w:val="bottom"/>
            <w:tcBorders>
              <w:left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4080" w:type="dxa"/>
            <w:vAlign w:val="bottom"/>
            <w:tcBorders>
              <w:right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0" w:type="dxa"/>
            <w:vAlign w:val="bottom"/>
            <w:tcBorders>
              <w:right w:val="single" w:sz="8" w:color="auto"/>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1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Borders>
              <w:right w:val="single" w:sz="8" w:color="auto"/>
            </w:tcBorders>
            <w:gridSpan w:val="4"/>
          </w:tcPr>
          <w:p>
            <w:pPr>
              <w:jc w:val="center"/>
              <w:ind w:right="480"/>
              <w:spacing w:after="0" w:line="175" w:lineRule="exact"/>
              <w:rPr>
                <w:sz w:val="20"/>
                <w:szCs w:val="20"/>
                <w:color w:val="auto"/>
              </w:rPr>
            </w:pPr>
            <w:r>
              <w:rPr>
                <w:rFonts w:ascii="Arial" w:cs="Arial" w:eastAsia="Arial" w:hAnsi="Arial"/>
                <w:sz w:val="16"/>
                <w:szCs w:val="16"/>
                <w:color w:val="auto"/>
              </w:rPr>
              <w:t>HSES</w:t>
            </w: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banking at UBS Securities LLC and held similar</w:t>
            </w:r>
          </w:p>
        </w:tc>
        <w:tc>
          <w:tcPr>
            <w:tcW w:w="8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Governance/​Government</w:t>
            </w:r>
          </w:p>
        </w:tc>
        <w:tc>
          <w:tcPr>
            <w:tcW w:w="0" w:type="dxa"/>
            <w:vAlign w:val="bottom"/>
          </w:tcPr>
          <w:p>
            <w:pPr>
              <w:spacing w:after="0"/>
              <w:rPr>
                <w:sz w:val="1"/>
                <w:szCs w:val="1"/>
                <w:color w:val="auto"/>
              </w:rPr>
            </w:pPr>
          </w:p>
        </w:tc>
      </w:tr>
      <w:tr>
        <w:trPr>
          <w:trHeight w:val="109"/>
        </w:trPr>
        <w:tc>
          <w:tcPr>
            <w:tcW w:w="140" w:type="dxa"/>
            <w:vAlign w:val="bottom"/>
            <w:tcBorders>
              <w:lef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4080" w:type="dxa"/>
            <w:vAlign w:val="bottom"/>
            <w:tcBorders>
              <w:right w:val="single" w:sz="8" w:color="auto"/>
            </w:tcBorders>
            <w:vMerge w:val="restart"/>
          </w:tcPr>
          <w:p>
            <w:pPr>
              <w:ind w:left="80"/>
              <w:spacing w:after="0" w:line="163" w:lineRule="exact"/>
              <w:rPr>
                <w:sz w:val="20"/>
                <w:szCs w:val="20"/>
                <w:color w:val="auto"/>
              </w:rPr>
            </w:pPr>
            <w:r>
              <w:rPr>
                <w:rFonts w:ascii="Arial" w:cs="Arial" w:eastAsia="Arial" w:hAnsi="Arial"/>
                <w:sz w:val="16"/>
                <w:szCs w:val="16"/>
                <w:color w:val="auto"/>
              </w:rPr>
              <w:t>positions at PaineWebber Incorporated and Dean</w:t>
            </w: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200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40" w:type="dxa"/>
            <w:vAlign w:val="bottom"/>
            <w:tcBorders>
              <w:left w:val="single" w:sz="8" w:color="auto"/>
            </w:tcBorders>
          </w:tcPr>
          <w:p>
            <w:pPr>
              <w:spacing w:after="0"/>
              <w:rPr>
                <w:sz w:val="4"/>
                <w:szCs w:val="4"/>
                <w:color w:val="auto"/>
              </w:rPr>
            </w:pPr>
          </w:p>
        </w:tc>
        <w:tc>
          <w:tcPr>
            <w:tcW w:w="1640" w:type="dxa"/>
            <w:vAlign w:val="bottom"/>
            <w:gridSpan w:val="5"/>
            <w:vMerge w:val="restart"/>
          </w:tcPr>
          <w:p>
            <w:pPr>
              <w:jc w:val="center"/>
              <w:spacing w:after="0" w:line="183" w:lineRule="exact"/>
              <w:rPr>
                <w:sz w:val="20"/>
                <w:szCs w:val="20"/>
                <w:color w:val="auto"/>
              </w:rPr>
            </w:pPr>
            <w:r>
              <w:rPr>
                <w:rFonts w:ascii="Arial" w:cs="Arial" w:eastAsia="Arial" w:hAnsi="Arial"/>
                <w:sz w:val="16"/>
                <w:szCs w:val="16"/>
                <w:b w:val="1"/>
                <w:bCs w:val="1"/>
                <w:color w:val="auto"/>
              </w:rPr>
              <w:t>Other Current Public</w:t>
            </w:r>
          </w:p>
        </w:tc>
        <w:tc>
          <w:tcPr>
            <w:tcW w:w="160" w:type="dxa"/>
            <w:vAlign w:val="bottom"/>
            <w:tcBorders>
              <w:right w:val="single" w:sz="8" w:color="auto"/>
            </w:tcBorders>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Relations/Legal</w:t>
            </w:r>
          </w:p>
        </w:tc>
        <w:tc>
          <w:tcPr>
            <w:tcW w:w="0" w:type="dxa"/>
            <w:vAlign w:val="bottom"/>
          </w:tcPr>
          <w:p>
            <w:pPr>
              <w:spacing w:after="0"/>
              <w:rPr>
                <w:sz w:val="1"/>
                <w:szCs w:val="1"/>
                <w:color w:val="auto"/>
              </w:rPr>
            </w:pPr>
          </w:p>
        </w:tc>
      </w:tr>
      <w:tr>
        <w:trPr>
          <w:trHeight w:val="154"/>
        </w:trPr>
        <w:tc>
          <w:tcPr>
            <w:tcW w:w="140" w:type="dxa"/>
            <w:vAlign w:val="bottom"/>
            <w:tcBorders>
              <w:left w:val="single" w:sz="8" w:color="auto"/>
            </w:tcBorders>
          </w:tcPr>
          <w:p>
            <w:pPr>
              <w:spacing w:after="0"/>
              <w:rPr>
                <w:sz w:val="12"/>
                <w:szCs w:val="12"/>
                <w:color w:val="auto"/>
              </w:rPr>
            </w:pPr>
          </w:p>
        </w:tc>
        <w:tc>
          <w:tcPr>
            <w:tcW w:w="1640" w:type="dxa"/>
            <w:vAlign w:val="bottom"/>
            <w:tcBorders>
              <w:bottom w:val="single" w:sz="8" w:color="auto"/>
            </w:tcBorders>
            <w:gridSpan w:val="5"/>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080" w:type="dxa"/>
            <w:vAlign w:val="bottom"/>
            <w:tcBorders>
              <w:right w:val="single" w:sz="8" w:color="auto"/>
            </w:tcBorders>
          </w:tcPr>
          <w:p>
            <w:pPr>
              <w:ind w:left="80"/>
              <w:spacing w:after="0" w:line="142" w:lineRule="exact"/>
              <w:rPr>
                <w:sz w:val="20"/>
                <w:szCs w:val="20"/>
                <w:color w:val="auto"/>
              </w:rPr>
            </w:pPr>
            <w:r>
              <w:rPr>
                <w:rFonts w:ascii="Arial" w:cs="Arial" w:eastAsia="Arial" w:hAnsi="Arial"/>
                <w:sz w:val="16"/>
                <w:szCs w:val="16"/>
                <w:color w:val="auto"/>
              </w:rPr>
              <w:t>Witter Reynolds. Mr. McCarthy serves as a director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Borders>
              <w:right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Borders>
              <w:bottom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rPr>
              <w:t>Company Boards</w:t>
            </w:r>
          </w:p>
        </w:tc>
        <w:tc>
          <w:tcPr>
            <w:tcW w:w="320" w:type="dxa"/>
            <w:vAlign w:val="bottom"/>
            <w:tcBorders>
              <w:right w:val="single" w:sz="8" w:color="auto"/>
            </w:tcBorders>
            <w:gridSpan w:val="2"/>
          </w:tcPr>
          <w:p>
            <w:pPr>
              <w:jc w:val="right"/>
              <w:ind w:right="260"/>
              <w:spacing w:after="0" w:line="149" w:lineRule="exact"/>
              <w:rPr>
                <w:sz w:val="20"/>
                <w:szCs w:val="20"/>
                <w:color w:val="auto"/>
              </w:rPr>
            </w:pPr>
            <w:r>
              <w:rPr>
                <w:rFonts w:ascii="Arial" w:cs="Arial" w:eastAsia="Arial" w:hAnsi="Arial"/>
                <w:sz w:val="16"/>
                <w:szCs w:val="16"/>
                <w:b w:val="1"/>
                <w:bCs w:val="1"/>
                <w:color w:val="auto"/>
                <w:w w:val="74"/>
              </w:rPr>
              <w:t>:</w:t>
            </w:r>
          </w:p>
        </w:tc>
        <w:tc>
          <w:tcPr>
            <w:tcW w:w="408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6"/>
                <w:szCs w:val="16"/>
                <w:color w:val="auto"/>
              </w:rPr>
              <w:t>Kinetik Holdings Inc. and Chord Energy Corporation,</w:t>
            </w:r>
          </w:p>
        </w:tc>
        <w:tc>
          <w:tcPr>
            <w:tcW w:w="80" w:type="dxa"/>
            <w:vAlign w:val="bottom"/>
          </w:tcPr>
          <w:p>
            <w:pPr>
              <w:spacing w:after="0"/>
              <w:rPr>
                <w:sz w:val="12"/>
                <w:szCs w:val="12"/>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20"/>
        </w:trPr>
        <w:tc>
          <w:tcPr>
            <w:tcW w:w="140" w:type="dxa"/>
            <w:vAlign w:val="bottom"/>
            <w:tcBorders>
              <w:left w:val="single" w:sz="8" w:color="auto"/>
            </w:tcBorders>
          </w:tcPr>
          <w:p>
            <w:pPr>
              <w:spacing w:after="0"/>
              <w:rPr>
                <w:sz w:val="10"/>
                <w:szCs w:val="10"/>
                <w:color w:val="auto"/>
              </w:rPr>
            </w:pPr>
          </w:p>
        </w:tc>
        <w:tc>
          <w:tcPr>
            <w:tcW w:w="1800" w:type="dxa"/>
            <w:vAlign w:val="bottom"/>
            <w:tcBorders>
              <w:right w:val="single" w:sz="8" w:color="auto"/>
            </w:tcBorders>
            <w:gridSpan w:val="6"/>
            <w:vMerge w:val="restart"/>
          </w:tcPr>
          <w:p>
            <w:pPr>
              <w:jc w:val="center"/>
              <w:ind w:right="120"/>
              <w:spacing w:after="0"/>
              <w:rPr>
                <w:sz w:val="20"/>
                <w:szCs w:val="20"/>
                <w:color w:val="auto"/>
              </w:rPr>
            </w:pPr>
            <w:r>
              <w:rPr>
                <w:rFonts w:ascii="Arial" w:cs="Arial" w:eastAsia="Arial" w:hAnsi="Arial"/>
                <w:sz w:val="16"/>
                <w:szCs w:val="16"/>
                <w:color w:val="auto"/>
                <w:w w:val="99"/>
              </w:rPr>
              <w:t>Kinetik Holdings Inc.</w:t>
            </w: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and previously served as a director of Whiting</w:t>
            </w:r>
          </w:p>
        </w:tc>
        <w:tc>
          <w:tcPr>
            <w:tcW w:w="8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200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40" w:type="dxa"/>
            <w:vAlign w:val="bottom"/>
            <w:tcBorders>
              <w:left w:val="single" w:sz="8" w:color="auto"/>
            </w:tcBorders>
          </w:tcPr>
          <w:p>
            <w:pPr>
              <w:spacing w:after="0"/>
              <w:rPr>
                <w:sz w:val="4"/>
                <w:szCs w:val="4"/>
                <w:color w:val="auto"/>
              </w:rPr>
            </w:pPr>
          </w:p>
        </w:tc>
        <w:tc>
          <w:tcPr>
            <w:tcW w:w="1800" w:type="dxa"/>
            <w:vAlign w:val="bottom"/>
            <w:tcBorders>
              <w:right w:val="single" w:sz="8" w:color="auto"/>
            </w:tcBorders>
            <w:gridSpan w:val="6"/>
            <w:vMerge w:val="continue"/>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140" w:type="dxa"/>
            <w:vAlign w:val="bottom"/>
            <w:tcBorders>
              <w:left w:val="single" w:sz="8" w:color="auto"/>
            </w:tcBorders>
          </w:tcPr>
          <w:p>
            <w:pPr>
              <w:spacing w:after="0"/>
              <w:rPr>
                <w:sz w:val="7"/>
                <w:szCs w:val="7"/>
                <w:color w:val="auto"/>
              </w:rPr>
            </w:pPr>
          </w:p>
        </w:tc>
        <w:tc>
          <w:tcPr>
            <w:tcW w:w="1800" w:type="dxa"/>
            <w:vAlign w:val="bottom"/>
            <w:tcBorders>
              <w:right w:val="single" w:sz="8" w:color="auto"/>
            </w:tcBorders>
            <w:gridSpan w:val="6"/>
            <w:vMerge w:val="continue"/>
          </w:tcPr>
          <w:p>
            <w:pPr>
              <w:spacing w:after="0"/>
              <w:rPr>
                <w:sz w:val="7"/>
                <w:szCs w:val="7"/>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Petroleum Corporation (Chairman), Altus Midstream</w:t>
            </w:r>
          </w:p>
        </w:tc>
        <w:tc>
          <w:tcPr>
            <w:tcW w:w="80" w:type="dxa"/>
            <w:vAlign w:val="bottom"/>
          </w:tcPr>
          <w:p>
            <w:pPr>
              <w:spacing w:after="0"/>
              <w:rPr>
                <w:sz w:val="7"/>
                <w:szCs w:val="7"/>
                <w:color w:val="auto"/>
              </w:rPr>
            </w:pPr>
          </w:p>
        </w:tc>
        <w:tc>
          <w:tcPr>
            <w:tcW w:w="120" w:type="dxa"/>
            <w:vAlign w:val="bottom"/>
            <w:vMerge w:val="restart"/>
          </w:tcPr>
          <w:p>
            <w:pPr>
              <w:spacing w:after="0" w:line="175" w:lineRule="exact"/>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line="175" w:lineRule="exact"/>
              <w:rPr>
                <w:sz w:val="20"/>
                <w:szCs w:val="20"/>
                <w:color w:val="auto"/>
              </w:rPr>
            </w:pPr>
            <w:r>
              <w:rPr>
                <w:rFonts w:ascii="Arial" w:cs="Arial" w:eastAsia="Arial" w:hAnsi="Arial"/>
                <w:sz w:val="16"/>
                <w:szCs w:val="16"/>
                <w:color w:val="auto"/>
              </w:rPr>
              <w:t>Private Equity</w:t>
            </w:r>
          </w:p>
        </w:tc>
        <w:tc>
          <w:tcPr>
            <w:tcW w:w="0" w:type="dxa"/>
            <w:vAlign w:val="bottom"/>
          </w:tcPr>
          <w:p>
            <w:pPr>
              <w:spacing w:after="0"/>
              <w:rPr>
                <w:sz w:val="1"/>
                <w:szCs w:val="1"/>
                <w:color w:val="auto"/>
              </w:rPr>
            </w:pPr>
          </w:p>
        </w:tc>
      </w:tr>
      <w:tr>
        <w:trPr>
          <w:trHeight w:val="94"/>
        </w:trPr>
        <w:tc>
          <w:tcPr>
            <w:tcW w:w="140" w:type="dxa"/>
            <w:vAlign w:val="bottom"/>
            <w:tcBorders>
              <w:lef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40" w:type="dxa"/>
            <w:vAlign w:val="bottom"/>
            <w:tcBorders>
              <w:right w:val="single" w:sz="8" w:color="auto"/>
            </w:tcBorders>
            <w:gridSpan w:val="5"/>
            <w:vMerge w:val="restart"/>
          </w:tcPr>
          <w:p>
            <w:pPr>
              <w:jc w:val="center"/>
              <w:ind w:right="260"/>
              <w:spacing w:after="0" w:line="163" w:lineRule="exact"/>
              <w:rPr>
                <w:sz w:val="20"/>
                <w:szCs w:val="20"/>
                <w:color w:val="auto"/>
              </w:rPr>
            </w:pPr>
            <w:r>
              <w:rPr>
                <w:rFonts w:ascii="Arial" w:cs="Arial" w:eastAsia="Arial" w:hAnsi="Arial"/>
                <w:sz w:val="16"/>
                <w:szCs w:val="16"/>
                <w:color w:val="auto"/>
                <w:w w:val="99"/>
              </w:rPr>
              <w:t>Chord Energy</w:t>
            </w:r>
          </w:p>
        </w:tc>
        <w:tc>
          <w:tcPr>
            <w:tcW w:w="408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200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40" w:type="dxa"/>
            <w:vAlign w:val="bottom"/>
            <w:tcBorders>
              <w:lef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640" w:type="dxa"/>
            <w:vAlign w:val="bottom"/>
            <w:tcBorders>
              <w:right w:val="single" w:sz="8" w:color="auto"/>
            </w:tcBorders>
            <w:gridSpan w:val="5"/>
            <w:vMerge w:val="continue"/>
          </w:tcPr>
          <w:p>
            <w:pPr>
              <w:spacing w:after="0"/>
              <w:rPr>
                <w:sz w:val="5"/>
                <w:szCs w:val="5"/>
                <w:color w:val="auto"/>
              </w:rPr>
            </w:pPr>
          </w:p>
        </w:tc>
        <w:tc>
          <w:tcPr>
            <w:tcW w:w="4080" w:type="dxa"/>
            <w:vAlign w:val="bottom"/>
            <w:tcBorders>
              <w:right w:val="single" w:sz="8" w:color="auto"/>
            </w:tcBorders>
            <w:vMerge w:val="restart"/>
          </w:tcPr>
          <w:p>
            <w:pPr>
              <w:ind w:left="80"/>
              <w:spacing w:after="0" w:line="163" w:lineRule="exact"/>
              <w:rPr>
                <w:sz w:val="20"/>
                <w:szCs w:val="20"/>
                <w:color w:val="auto"/>
              </w:rPr>
            </w:pPr>
            <w:r>
              <w:rPr>
                <w:rFonts w:ascii="Arial" w:cs="Arial" w:eastAsia="Arial" w:hAnsi="Arial"/>
                <w:sz w:val="16"/>
                <w:szCs w:val="16"/>
                <w:color w:val="auto"/>
              </w:rPr>
              <w:t>Company, Range Resources Corporation, ONEOK,</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40" w:type="dxa"/>
            <w:vAlign w:val="bottom"/>
            <w:tcBorders>
              <w:lef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40" w:type="dxa"/>
            <w:vAlign w:val="bottom"/>
            <w:tcBorders>
              <w:right w:val="single" w:sz="8" w:color="auto"/>
            </w:tcBorders>
            <w:gridSpan w:val="4"/>
            <w:vMerge w:val="restart"/>
          </w:tcPr>
          <w:p>
            <w:pPr>
              <w:jc w:val="center"/>
              <w:ind w:right="480"/>
              <w:spacing w:after="0"/>
              <w:rPr>
                <w:sz w:val="20"/>
                <w:szCs w:val="20"/>
                <w:color w:val="auto"/>
              </w:rPr>
            </w:pPr>
            <w:r>
              <w:rPr>
                <w:rFonts w:ascii="Arial" w:cs="Arial" w:eastAsia="Arial" w:hAnsi="Arial"/>
                <w:sz w:val="16"/>
                <w:szCs w:val="16"/>
                <w:color w:val="auto"/>
              </w:rPr>
              <w:t>Corporation</w:t>
            </w:r>
          </w:p>
        </w:tc>
        <w:tc>
          <w:tcPr>
            <w:tcW w:w="408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40" w:type="dxa"/>
            <w:vAlign w:val="bottom"/>
            <w:tcBorders>
              <w:lef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tcBorders>
              <w:right w:val="single" w:sz="8" w:color="auto"/>
            </w:tcBorders>
            <w:gridSpan w:val="4"/>
            <w:vMerge w:val="continue"/>
          </w:tcPr>
          <w:p>
            <w:pPr>
              <w:spacing w:after="0"/>
              <w:rPr>
                <w:sz w:val="10"/>
                <w:szCs w:val="10"/>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Inc., Emerge Energy Services LP and K-Sea</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40" w:type="dxa"/>
            <w:vAlign w:val="bottom"/>
            <w:tcBorders>
              <w:lef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Borders>
              <w:right w:val="single" w:sz="8" w:color="auto"/>
            </w:tcBorders>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Transportation Partners L.P. He also sits on the board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4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of directors of the Gladney Fund, a Fort Worth based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adoption agency. Mr. McCarthy earned a BA in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4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economics and geology from Amherst College and an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MBA in Finance from the Wharton School at the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University of Pennsylvania. Mr. McCarthy’s extensive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4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investment management background and involvement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in the energy sector, along with the breadth and depth</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of his market and industry knowledge, brings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4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substantial experience, insight and skill to the Board.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40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70" w:type="dxa"/>
        <w:tblCellMar>
          <w:top w:w="0" w:type="dxa"/>
          <w:left w:w="0" w:type="dxa"/>
          <w:bottom w:w="0" w:type="dxa"/>
          <w:right w:w="0" w:type="dxa"/>
        </w:tblCellMar>
      </w:tblPr>
      <w:tr>
        <w:trPr>
          <w:trHeight w:val="270"/>
        </w:trPr>
        <w:tc>
          <w:tcPr>
            <w:tcW w:w="194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7"/>
              </w:rPr>
              <w:t>HARRY N. PEFANIS</w:t>
            </w:r>
          </w:p>
        </w:tc>
        <w:tc>
          <w:tcPr>
            <w:tcW w:w="40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rPr>
              <w:t>Harry N. Pefanis, age 68</w:t>
            </w:r>
            <w:r>
              <w:rPr>
                <w:rFonts w:ascii="Arial" w:cs="Arial" w:eastAsia="Arial" w:hAnsi="Arial"/>
                <w:sz w:val="16"/>
                <w:szCs w:val="16"/>
                <w:color w:val="auto"/>
              </w:rPr>
              <w:t>, has served as a director of</w:t>
            </w:r>
          </w:p>
        </w:tc>
        <w:tc>
          <w:tcPr>
            <w:tcW w:w="80" w:type="dxa"/>
            <w:vAlign w:val="bottom"/>
            <w:tcBorders>
              <w:top w:val="single" w:sz="8" w:color="auto"/>
            </w:tcBorders>
          </w:tcPr>
          <w:p>
            <w:pPr>
              <w:spacing w:after="0"/>
              <w:rPr>
                <w:sz w:val="23"/>
                <w:szCs w:val="23"/>
                <w:color w:val="auto"/>
              </w:rPr>
            </w:pPr>
          </w:p>
        </w:tc>
        <w:tc>
          <w:tcPr>
            <w:tcW w:w="212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56"/>
        </w:trPr>
        <w:tc>
          <w:tcPr>
            <w:tcW w:w="19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color w:val="auto"/>
              </w:rPr>
              <w:t>Not Independent</w:t>
            </w:r>
          </w:p>
        </w:tc>
        <w:tc>
          <w:tcPr>
            <w:tcW w:w="408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6"/>
                <w:szCs w:val="16"/>
                <w:color w:val="auto"/>
              </w:rPr>
              <w:t>PAGP GP since February 2017 and served as</w:t>
            </w:r>
          </w:p>
        </w:tc>
        <w:tc>
          <w:tcPr>
            <w:tcW w:w="80" w:type="dxa"/>
            <w:vAlign w:val="bottom"/>
          </w:tcPr>
          <w:p>
            <w:pPr>
              <w:spacing w:after="0"/>
              <w:rPr>
                <w:sz w:val="13"/>
                <w:szCs w:val="13"/>
                <w:color w:val="auto"/>
              </w:rPr>
            </w:pPr>
          </w:p>
        </w:tc>
        <w:tc>
          <w:tcPr>
            <w:tcW w:w="72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6"/>
                <w:szCs w:val="16"/>
                <w:color w:val="auto"/>
                <w:w w:val="97"/>
              </w:rPr>
              <w:t>Attributes:</w:t>
            </w:r>
          </w:p>
        </w:tc>
        <w:tc>
          <w:tcPr>
            <w:tcW w:w="760" w:type="dxa"/>
            <w:vAlign w:val="bottom"/>
            <w:tcBorders>
              <w:top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940" w:type="dxa"/>
            <w:vAlign w:val="bottom"/>
            <w:tcBorders>
              <w:left w:val="single" w:sz="8" w:color="auto"/>
              <w:right w:val="single" w:sz="8" w:color="auto"/>
            </w:tcBorders>
            <w:gridSpan w:val="3"/>
            <w:vMerge w:val="continue"/>
          </w:tcPr>
          <w:p>
            <w:pPr>
              <w:spacing w:after="0"/>
              <w:rPr>
                <w:sz w:val="12"/>
                <w:szCs w:val="12"/>
                <w:color w:val="auto"/>
              </w:rPr>
            </w:pPr>
          </w:p>
        </w:tc>
        <w:tc>
          <w:tcPr>
            <w:tcW w:w="4080" w:type="dxa"/>
            <w:vAlign w:val="bottom"/>
            <w:tcBorders>
              <w:right w:val="single" w:sz="8" w:color="auto"/>
            </w:tcBorders>
          </w:tcPr>
          <w:p>
            <w:pPr>
              <w:ind w:left="80"/>
              <w:spacing w:after="0" w:line="142" w:lineRule="exact"/>
              <w:rPr>
                <w:sz w:val="20"/>
                <w:szCs w:val="20"/>
                <w:color w:val="auto"/>
              </w:rPr>
            </w:pPr>
            <w:r>
              <w:rPr>
                <w:rFonts w:ascii="Arial" w:cs="Arial" w:eastAsia="Arial" w:hAnsi="Arial"/>
                <w:sz w:val="16"/>
                <w:szCs w:val="16"/>
                <w:color w:val="auto"/>
              </w:rPr>
              <w:t>President of PAGP GP and GP LLC from March 2021</w:t>
            </w:r>
          </w:p>
        </w:tc>
        <w:tc>
          <w:tcPr>
            <w:tcW w:w="80" w:type="dxa"/>
            <w:vAlign w:val="bottom"/>
          </w:tcPr>
          <w:p>
            <w:pPr>
              <w:spacing w:after="0"/>
              <w:rPr>
                <w:sz w:val="12"/>
                <w:szCs w:val="12"/>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Public Company</w:t>
            </w:r>
          </w:p>
        </w:tc>
        <w:tc>
          <w:tcPr>
            <w:tcW w:w="0" w:type="dxa"/>
            <w:vAlign w:val="bottom"/>
          </w:tcPr>
          <w:p>
            <w:pPr>
              <w:spacing w:after="0"/>
              <w:rPr>
                <w:sz w:val="1"/>
                <w:szCs w:val="1"/>
                <w:color w:val="auto"/>
              </w:rPr>
            </w:pPr>
          </w:p>
        </w:tc>
      </w:tr>
      <w:tr>
        <w:trPr>
          <w:trHeight w:val="121"/>
        </w:trPr>
        <w:tc>
          <w:tcPr>
            <w:tcW w:w="19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w w:val="99"/>
              </w:rPr>
              <w:t>PAGP/PAA Director</w:t>
            </w: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until his retirement effective June 1, 2025. He currently</w:t>
            </w:r>
          </w:p>
        </w:tc>
        <w:tc>
          <w:tcPr>
            <w:tcW w:w="8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200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940" w:type="dxa"/>
            <w:vAlign w:val="bottom"/>
            <w:tcBorders>
              <w:left w:val="single" w:sz="8" w:color="auto"/>
              <w:right w:val="single" w:sz="8" w:color="auto"/>
            </w:tcBorders>
            <w:gridSpan w:val="3"/>
            <w:vMerge w:val="continue"/>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43"/>
        </w:trPr>
        <w:tc>
          <w:tcPr>
            <w:tcW w:w="1940" w:type="dxa"/>
            <w:vAlign w:val="bottom"/>
            <w:tcBorders>
              <w:left w:val="single" w:sz="8" w:color="auto"/>
              <w:right w:val="single" w:sz="8" w:color="auto"/>
            </w:tcBorders>
            <w:gridSpan w:val="3"/>
            <w:vMerge w:val="continue"/>
          </w:tcPr>
          <w:p>
            <w:pPr>
              <w:spacing w:after="0"/>
              <w:rPr>
                <w:sz w:val="3"/>
                <w:szCs w:val="3"/>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serves as a Senior Advisor to the CEO. He previously</w:t>
            </w: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0" w:type="dxa"/>
            <w:vAlign w:val="bottom"/>
            <w:tcBorders>
              <w:right w:val="single" w:sz="8" w:color="auto"/>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8"/>
        </w:trPr>
        <w:tc>
          <w:tcPr>
            <w:tcW w:w="500" w:type="dxa"/>
            <w:vAlign w:val="bottom"/>
            <w:tcBorders>
              <w:left w:val="single" w:sz="8" w:color="auto"/>
            </w:tcBorders>
          </w:tcPr>
          <w:p>
            <w:pPr>
              <w:spacing w:after="0"/>
              <w:rPr>
                <w:sz w:val="10"/>
                <w:szCs w:val="10"/>
                <w:color w:val="auto"/>
              </w:rPr>
            </w:pPr>
          </w:p>
        </w:tc>
        <w:tc>
          <w:tcPr>
            <w:tcW w:w="1440" w:type="dxa"/>
            <w:vAlign w:val="bottom"/>
            <w:tcBorders>
              <w:right w:val="single" w:sz="8" w:color="auto"/>
            </w:tcBorders>
            <w:gridSpan w:val="2"/>
            <w:vMerge w:val="restart"/>
          </w:tcPr>
          <w:p>
            <w:pPr>
              <w:jc w:val="center"/>
              <w:ind w:right="460"/>
              <w:spacing w:after="0" w:line="161" w:lineRule="exact"/>
              <w:rPr>
                <w:sz w:val="20"/>
                <w:szCs w:val="20"/>
                <w:color w:val="auto"/>
              </w:rPr>
            </w:pPr>
            <w:r>
              <w:rPr>
                <w:rFonts w:ascii="Arial" w:cs="Arial" w:eastAsia="Arial" w:hAnsi="Arial"/>
                <w:sz w:val="16"/>
                <w:szCs w:val="16"/>
                <w:b w:val="1"/>
                <w:bCs w:val="1"/>
                <w:i w:val="1"/>
                <w:iCs w:val="1"/>
                <w:color w:val="auto"/>
              </w:rPr>
              <w:t>since 2017</w:t>
            </w:r>
          </w:p>
        </w:tc>
        <w:tc>
          <w:tcPr>
            <w:tcW w:w="408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500" w:type="dxa"/>
            <w:vAlign w:val="bottom"/>
            <w:tcBorders>
              <w:left w:val="single" w:sz="8" w:color="auto"/>
            </w:tcBorders>
          </w:tcPr>
          <w:p>
            <w:pPr>
              <w:spacing w:after="0"/>
              <w:rPr>
                <w:sz w:val="3"/>
                <w:szCs w:val="3"/>
                <w:color w:val="auto"/>
              </w:rPr>
            </w:pPr>
          </w:p>
        </w:tc>
        <w:tc>
          <w:tcPr>
            <w:tcW w:w="1440" w:type="dxa"/>
            <w:vAlign w:val="bottom"/>
            <w:tcBorders>
              <w:right w:val="single" w:sz="8" w:color="auto"/>
            </w:tcBorders>
            <w:gridSpan w:val="2"/>
            <w:vMerge w:val="continue"/>
          </w:tcPr>
          <w:p>
            <w:pPr>
              <w:spacing w:after="0"/>
              <w:rPr>
                <w:sz w:val="3"/>
                <w:szCs w:val="3"/>
                <w:color w:val="auto"/>
              </w:rPr>
            </w:pPr>
          </w:p>
        </w:tc>
        <w:tc>
          <w:tcPr>
            <w:tcW w:w="4080" w:type="dxa"/>
            <w:vAlign w:val="bottom"/>
            <w:tcBorders>
              <w:right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19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rPr>
              <w:t>Former President</w:t>
            </w:r>
          </w:p>
        </w:tc>
        <w:tc>
          <w:tcPr>
            <w:tcW w:w="4080" w:type="dxa"/>
            <w:vAlign w:val="bottom"/>
            <w:tcBorders>
              <w:right w:val="single" w:sz="8" w:color="auto"/>
            </w:tcBorders>
          </w:tcPr>
          <w:p>
            <w:pPr>
              <w:ind w:left="80"/>
              <w:spacing w:after="0" w:line="134" w:lineRule="exact"/>
              <w:rPr>
                <w:sz w:val="20"/>
                <w:szCs w:val="20"/>
                <w:color w:val="auto"/>
              </w:rPr>
            </w:pPr>
            <w:r>
              <w:rPr>
                <w:rFonts w:ascii="Arial" w:cs="Arial" w:eastAsia="Arial" w:hAnsi="Arial"/>
                <w:sz w:val="15"/>
                <w:szCs w:val="15"/>
                <w:color w:val="auto"/>
              </w:rPr>
              <w:t>served as President and Chief Commercial Officer of</w:t>
            </w:r>
          </w:p>
        </w:tc>
        <w:tc>
          <w:tcPr>
            <w:tcW w:w="80" w:type="dxa"/>
            <w:vAlign w:val="bottom"/>
          </w:tcPr>
          <w:p>
            <w:pPr>
              <w:spacing w:after="0"/>
              <w:rPr>
                <w:sz w:val="11"/>
                <w:szCs w:val="11"/>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07"/>
        </w:trPr>
        <w:tc>
          <w:tcPr>
            <w:tcW w:w="1940" w:type="dxa"/>
            <w:vAlign w:val="bottom"/>
            <w:tcBorders>
              <w:left w:val="single" w:sz="8" w:color="auto"/>
              <w:right w:val="single" w:sz="8" w:color="auto"/>
            </w:tcBorders>
            <w:gridSpan w:val="3"/>
            <w:vMerge w:val="continue"/>
          </w:tcPr>
          <w:p>
            <w:pPr>
              <w:spacing w:after="0"/>
              <w:rPr>
                <w:sz w:val="9"/>
                <w:szCs w:val="9"/>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PAGP GP and GP LLC from January 2018 until</w:t>
            </w: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200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1940" w:type="dxa"/>
            <w:vAlign w:val="bottom"/>
            <w:tcBorders>
              <w:left w:val="single" w:sz="8" w:color="auto"/>
              <w:right w:val="single" w:sz="8" w:color="auto"/>
            </w:tcBorders>
            <w:gridSpan w:val="3"/>
            <w:vMerge w:val="continue"/>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9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color w:val="auto"/>
              </w:rPr>
              <w:t>Committees:</w:t>
            </w: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March 2021. He served as President and Chief</w:t>
            </w:r>
          </w:p>
        </w:tc>
        <w:tc>
          <w:tcPr>
            <w:tcW w:w="80" w:type="dxa"/>
            <w:vAlign w:val="bottom"/>
          </w:tcPr>
          <w:p>
            <w:pPr>
              <w:spacing w:after="0"/>
              <w:rPr>
                <w:sz w:val="14"/>
                <w:szCs w:val="14"/>
                <w:color w:val="auto"/>
              </w:rPr>
            </w:pPr>
          </w:p>
        </w:tc>
        <w:tc>
          <w:tcPr>
            <w:tcW w:w="120" w:type="dxa"/>
            <w:vAlign w:val="bottom"/>
          </w:tcPr>
          <w:p>
            <w:pPr>
              <w:spacing w:after="0" w:line="163" w:lineRule="exact"/>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40"/>
              <w:spacing w:after="0" w:line="163" w:lineRule="exact"/>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94"/>
        </w:trPr>
        <w:tc>
          <w:tcPr>
            <w:tcW w:w="1940" w:type="dxa"/>
            <w:vAlign w:val="bottom"/>
            <w:tcBorders>
              <w:left w:val="single" w:sz="8" w:color="auto"/>
              <w:right w:val="single" w:sz="8" w:color="auto"/>
            </w:tcBorders>
            <w:gridSpan w:val="3"/>
            <w:vMerge w:val="continue"/>
          </w:tcPr>
          <w:p>
            <w:pPr>
              <w:spacing w:after="0"/>
              <w:rPr>
                <w:sz w:val="8"/>
                <w:szCs w:val="8"/>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Operating Officer of GP LLC from PAA’s formation in</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0" w:type="dxa"/>
            <w:vAlign w:val="bottom"/>
            <w:tcBorders>
              <w:right w:val="single" w:sz="8" w:color="auto"/>
            </w:tcBorders>
            <w:gridSpan w:val="3"/>
            <w:vMerge w:val="restart"/>
          </w:tcPr>
          <w:p>
            <w:pPr>
              <w:ind w:left="40"/>
              <w:spacing w:after="0" w:line="175" w:lineRule="exact"/>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60"/>
        </w:trPr>
        <w:tc>
          <w:tcPr>
            <w:tcW w:w="500" w:type="dxa"/>
            <w:vAlign w:val="bottom"/>
            <w:tcBorders>
              <w:left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1440" w:type="dxa"/>
            <w:vAlign w:val="bottom"/>
            <w:tcBorders>
              <w:right w:val="single" w:sz="8" w:color="auto"/>
            </w:tcBorders>
            <w:gridSpan w:val="2"/>
          </w:tcPr>
          <w:p>
            <w:pPr>
              <w:jc w:val="center"/>
              <w:ind w:right="460"/>
              <w:spacing w:after="0" w:line="175" w:lineRule="exact"/>
              <w:rPr>
                <w:sz w:val="20"/>
                <w:szCs w:val="20"/>
                <w:color w:val="auto"/>
              </w:rPr>
            </w:pPr>
            <w:r>
              <w:rPr>
                <w:rFonts w:ascii="Arial" w:cs="Arial" w:eastAsia="Arial" w:hAnsi="Arial"/>
                <w:sz w:val="16"/>
                <w:szCs w:val="16"/>
                <w:color w:val="auto"/>
                <w:w w:val="99"/>
              </w:rPr>
              <w:t>None</w:t>
            </w: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1998 through December 2017, and as President and</w:t>
            </w:r>
          </w:p>
        </w:tc>
        <w:tc>
          <w:tcPr>
            <w:tcW w:w="8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Governance/​Government</w:t>
            </w:r>
          </w:p>
        </w:tc>
        <w:tc>
          <w:tcPr>
            <w:tcW w:w="0" w:type="dxa"/>
            <w:vAlign w:val="bottom"/>
          </w:tcPr>
          <w:p>
            <w:pPr>
              <w:spacing w:after="0"/>
              <w:rPr>
                <w:sz w:val="1"/>
                <w:szCs w:val="1"/>
                <w:color w:val="auto"/>
              </w:rPr>
            </w:pPr>
          </w:p>
        </w:tc>
      </w:tr>
      <w:tr>
        <w:trPr>
          <w:trHeight w:val="109"/>
        </w:trPr>
        <w:tc>
          <w:tcPr>
            <w:tcW w:w="500" w:type="dxa"/>
            <w:vAlign w:val="bottom"/>
            <w:tcBorders>
              <w:lef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4080" w:type="dxa"/>
            <w:vAlign w:val="bottom"/>
            <w:tcBorders>
              <w:right w:val="single" w:sz="8" w:color="auto"/>
            </w:tcBorders>
            <w:vMerge w:val="restart"/>
          </w:tcPr>
          <w:p>
            <w:pPr>
              <w:ind w:left="80"/>
              <w:spacing w:after="0" w:line="163" w:lineRule="exact"/>
              <w:rPr>
                <w:sz w:val="20"/>
                <w:szCs w:val="20"/>
                <w:color w:val="auto"/>
              </w:rPr>
            </w:pPr>
            <w:r>
              <w:rPr>
                <w:rFonts w:ascii="Arial" w:cs="Arial" w:eastAsia="Arial" w:hAnsi="Arial"/>
                <w:sz w:val="16"/>
                <w:szCs w:val="16"/>
                <w:color w:val="auto"/>
              </w:rPr>
              <w:t>Chief Operating Officer of PAGP GP from July 2013</w:t>
            </w: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200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Relations/Legal</w:t>
            </w: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through December 2017. He was also a director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PAA’s former general partner. In addition, he was</w:t>
            </w:r>
          </w:p>
        </w:tc>
        <w:tc>
          <w:tcPr>
            <w:tcW w:w="8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68"/>
        </w:trPr>
        <w:tc>
          <w:tcPr>
            <w:tcW w:w="50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Executive Vice President — Midstream of Plains</w:t>
            </w:r>
          </w:p>
        </w:tc>
        <w:tc>
          <w:tcPr>
            <w:tcW w:w="8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00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500" w:type="dxa"/>
            <w:vAlign w:val="bottom"/>
            <w:tcBorders>
              <w:lef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408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Construction/​Technical</w:t>
            </w:r>
          </w:p>
        </w:tc>
        <w:tc>
          <w:tcPr>
            <w:tcW w:w="0" w:type="dxa"/>
            <w:vAlign w:val="bottom"/>
          </w:tcPr>
          <w:p>
            <w:pPr>
              <w:spacing w:after="0"/>
              <w:rPr>
                <w:sz w:val="1"/>
                <w:szCs w:val="1"/>
                <w:color w:val="auto"/>
              </w:rPr>
            </w:pPr>
          </w:p>
        </w:tc>
      </w:tr>
      <w:tr>
        <w:trPr>
          <w:trHeight w:val="107"/>
        </w:trPr>
        <w:tc>
          <w:tcPr>
            <w:tcW w:w="500" w:type="dxa"/>
            <w:vAlign w:val="bottom"/>
            <w:tcBorders>
              <w:lef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Resources from May 1998 to May 2001, and he</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50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6" w:lineRule="exact"/>
              <w:rPr>
                <w:sz w:val="20"/>
                <w:szCs w:val="20"/>
                <w:color w:val="auto"/>
              </w:rPr>
            </w:pPr>
            <w:r>
              <w:rPr>
                <w:rFonts w:ascii="Arial" w:cs="Arial" w:eastAsia="Arial" w:hAnsi="Arial"/>
                <w:sz w:val="16"/>
                <w:szCs w:val="16"/>
                <w:color w:val="auto"/>
              </w:rPr>
              <w:t>previously served in various roles of increasing</w:t>
            </w:r>
          </w:p>
        </w:tc>
        <w:tc>
          <w:tcPr>
            <w:tcW w:w="80" w:type="dxa"/>
            <w:vAlign w:val="bottom"/>
          </w:tcPr>
          <w:p>
            <w:pPr>
              <w:spacing w:after="0"/>
              <w:rPr>
                <w:sz w:val="15"/>
                <w:szCs w:val="15"/>
                <w:color w:val="auto"/>
              </w:rPr>
            </w:pPr>
          </w:p>
        </w:tc>
        <w:tc>
          <w:tcPr>
            <w:tcW w:w="120" w:type="dxa"/>
            <w:vAlign w:val="bottom"/>
          </w:tcPr>
          <w:p>
            <w:pPr>
              <w:spacing w:after="0" w:line="176" w:lineRule="exact"/>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40"/>
              <w:spacing w:after="0" w:line="176" w:lineRule="exact"/>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61"/>
        </w:trPr>
        <w:tc>
          <w:tcPr>
            <w:tcW w:w="50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1" w:lineRule="exact"/>
              <w:rPr>
                <w:sz w:val="20"/>
                <w:szCs w:val="20"/>
                <w:color w:val="auto"/>
              </w:rPr>
            </w:pPr>
            <w:r>
              <w:rPr>
                <w:rFonts w:ascii="Arial" w:cs="Arial" w:eastAsia="Arial" w:hAnsi="Arial"/>
                <w:sz w:val="16"/>
                <w:szCs w:val="16"/>
                <w:color w:val="auto"/>
              </w:rPr>
              <w:t>responsibility from 1983 to 1998. Mr. Pefanis served</w:t>
            </w:r>
          </w:p>
        </w:tc>
        <w:tc>
          <w:tcPr>
            <w:tcW w:w="8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as a director of Oasis Midstream Partners, L.P. from</w:t>
            </w: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200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July 2018 until February 2022. Mr. Pefanis currently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serves as a director of the Memorial Hermann Health</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System. He is also a director of the Memorial Hermann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Foundation and a trustee of the University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Oklahoma Foundation. Mr. Pefanis’s involvement with</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PAA since its formation and his considerable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operational, commercial, accounting and financial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experience brings important and valuable skills to the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Board.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500" w:type="dxa"/>
            <w:vAlign w:val="bottom"/>
            <w:tcBorders>
              <w:left w:val="single" w:sz="8" w:color="auto"/>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40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40" w:type="dxa"/>
            <w:vAlign w:val="bottom"/>
            <w:tcBorders>
              <w:left w:val="single" w:sz="8" w:color="auto"/>
              <w:right w:val="single" w:sz="8" w:color="auto"/>
            </w:tcBorders>
            <w:gridSpan w:val="3"/>
          </w:tcPr>
          <w:p>
            <w:pPr>
              <w:jc w:val="center"/>
              <w:spacing w:after="0" w:line="169" w:lineRule="exact"/>
              <w:rPr>
                <w:sz w:val="20"/>
                <w:szCs w:val="20"/>
                <w:color w:val="auto"/>
              </w:rPr>
            </w:pPr>
            <w:r>
              <w:rPr>
                <w:rFonts w:ascii="Arial" w:cs="Arial" w:eastAsia="Arial" w:hAnsi="Arial"/>
                <w:sz w:val="16"/>
                <w:szCs w:val="16"/>
                <w:b w:val="1"/>
                <w:bCs w:val="1"/>
                <w:color w:val="auto"/>
                <w:w w:val="99"/>
              </w:rPr>
              <w:t>GARY R. PETERSEN</w:t>
            </w:r>
          </w:p>
        </w:tc>
        <w:tc>
          <w:tcPr>
            <w:tcW w:w="408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6"/>
                <w:szCs w:val="16"/>
                <w:i w:val="1"/>
                <w:iCs w:val="1"/>
                <w:color w:val="auto"/>
              </w:rPr>
              <w:t>Gary R. Petersen, age 79</w:t>
            </w:r>
            <w:r>
              <w:rPr>
                <w:rFonts w:ascii="Arial" w:cs="Arial" w:eastAsia="Arial" w:hAnsi="Arial"/>
                <w:sz w:val="16"/>
                <w:szCs w:val="16"/>
                <w:color w:val="auto"/>
              </w:rPr>
              <w:t>, has served as a director of</w:t>
            </w:r>
          </w:p>
        </w:tc>
        <w:tc>
          <w:tcPr>
            <w:tcW w:w="80" w:type="dxa"/>
            <w:vAlign w:val="bottom"/>
          </w:tcPr>
          <w:p>
            <w:pPr>
              <w:spacing w:after="0"/>
              <w:rPr>
                <w:sz w:val="14"/>
                <w:szCs w:val="14"/>
                <w:color w:val="auto"/>
              </w:rPr>
            </w:pPr>
          </w:p>
        </w:tc>
        <w:tc>
          <w:tcPr>
            <w:tcW w:w="2120" w:type="dxa"/>
            <w:vAlign w:val="bottom"/>
            <w:tcBorders>
              <w:right w:val="single" w:sz="8" w:color="auto"/>
            </w:tcBorders>
            <w:gridSpan w:val="4"/>
          </w:tcPr>
          <w:p>
            <w:pPr>
              <w:spacing w:after="0" w:line="169" w:lineRule="exact"/>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55"/>
        </w:trPr>
        <w:tc>
          <w:tcPr>
            <w:tcW w:w="500" w:type="dxa"/>
            <w:vAlign w:val="bottom"/>
            <w:tcBorders>
              <w:left w:val="single" w:sz="8" w:color="auto"/>
            </w:tcBorders>
          </w:tcPr>
          <w:p>
            <w:pPr>
              <w:spacing w:after="0"/>
              <w:rPr>
                <w:sz w:val="13"/>
                <w:szCs w:val="13"/>
                <w:color w:val="auto"/>
              </w:rPr>
            </w:pPr>
          </w:p>
        </w:tc>
        <w:tc>
          <w:tcPr>
            <w:tcW w:w="1440" w:type="dxa"/>
            <w:vAlign w:val="bottom"/>
            <w:tcBorders>
              <w:right w:val="single" w:sz="8" w:color="auto"/>
            </w:tcBorders>
            <w:gridSpan w:val="2"/>
            <w:vMerge w:val="restart"/>
          </w:tcPr>
          <w:p>
            <w:pPr>
              <w:jc w:val="center"/>
              <w:ind w:right="480"/>
              <w:spacing w:after="0"/>
              <w:rPr>
                <w:sz w:val="20"/>
                <w:szCs w:val="20"/>
                <w:color w:val="auto"/>
              </w:rPr>
            </w:pPr>
            <w:r>
              <w:rPr>
                <w:rFonts w:ascii="Arial" w:cs="Arial" w:eastAsia="Arial" w:hAnsi="Arial"/>
                <w:sz w:val="16"/>
                <w:szCs w:val="16"/>
                <w:b w:val="1"/>
                <w:bCs w:val="1"/>
                <w:color w:val="auto"/>
              </w:rPr>
              <w:t>Independent</w:t>
            </w:r>
          </w:p>
        </w:tc>
        <w:tc>
          <w:tcPr>
            <w:tcW w:w="408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6"/>
                <w:szCs w:val="16"/>
                <w:color w:val="auto"/>
              </w:rPr>
              <w:t>PAGP GP since November 2016. He served as a</w:t>
            </w:r>
          </w:p>
        </w:tc>
        <w:tc>
          <w:tcPr>
            <w:tcW w:w="80" w:type="dxa"/>
            <w:vAlign w:val="bottom"/>
          </w:tcPr>
          <w:p>
            <w:pPr>
              <w:spacing w:after="0"/>
              <w:rPr>
                <w:sz w:val="13"/>
                <w:szCs w:val="13"/>
                <w:color w:val="auto"/>
              </w:rPr>
            </w:pPr>
          </w:p>
        </w:tc>
        <w:tc>
          <w:tcPr>
            <w:tcW w:w="72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6"/>
                <w:szCs w:val="16"/>
                <w:color w:val="auto"/>
                <w:w w:val="97"/>
              </w:rPr>
              <w:t>Attributes:</w:t>
            </w:r>
          </w:p>
        </w:tc>
        <w:tc>
          <w:tcPr>
            <w:tcW w:w="760" w:type="dxa"/>
            <w:vAlign w:val="bottom"/>
            <w:tcBorders>
              <w:top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00" w:type="dxa"/>
            <w:vAlign w:val="bottom"/>
            <w:tcBorders>
              <w:left w:val="single" w:sz="8" w:color="auto"/>
            </w:tcBorders>
          </w:tcPr>
          <w:p>
            <w:pPr>
              <w:spacing w:after="0"/>
              <w:rPr>
                <w:sz w:val="12"/>
                <w:szCs w:val="12"/>
                <w:color w:val="auto"/>
              </w:rPr>
            </w:pPr>
          </w:p>
        </w:tc>
        <w:tc>
          <w:tcPr>
            <w:tcW w:w="1440" w:type="dxa"/>
            <w:vAlign w:val="bottom"/>
            <w:tcBorders>
              <w:right w:val="single" w:sz="8" w:color="auto"/>
            </w:tcBorders>
            <w:gridSpan w:val="2"/>
            <w:vMerge w:val="continue"/>
          </w:tcPr>
          <w:p>
            <w:pPr>
              <w:spacing w:after="0"/>
              <w:rPr>
                <w:sz w:val="12"/>
                <w:szCs w:val="12"/>
                <w:color w:val="auto"/>
              </w:rPr>
            </w:pPr>
          </w:p>
        </w:tc>
        <w:tc>
          <w:tcPr>
            <w:tcW w:w="4080" w:type="dxa"/>
            <w:vAlign w:val="bottom"/>
            <w:tcBorders>
              <w:right w:val="single" w:sz="8" w:color="auto"/>
            </w:tcBorders>
          </w:tcPr>
          <w:p>
            <w:pPr>
              <w:ind w:left="80"/>
              <w:spacing w:after="0" w:line="142" w:lineRule="exact"/>
              <w:rPr>
                <w:sz w:val="20"/>
                <w:szCs w:val="20"/>
                <w:color w:val="auto"/>
              </w:rPr>
            </w:pPr>
            <w:r>
              <w:rPr>
                <w:rFonts w:ascii="Arial" w:cs="Arial" w:eastAsia="Arial" w:hAnsi="Arial"/>
                <w:sz w:val="16"/>
                <w:szCs w:val="16"/>
                <w:color w:val="auto"/>
              </w:rPr>
              <w:t>director of PAA’s general partner from June 2001 until</w:t>
            </w:r>
          </w:p>
        </w:tc>
        <w:tc>
          <w:tcPr>
            <w:tcW w:w="80" w:type="dxa"/>
            <w:vAlign w:val="bottom"/>
          </w:tcPr>
          <w:p>
            <w:pPr>
              <w:spacing w:after="0"/>
              <w:rPr>
                <w:sz w:val="12"/>
                <w:szCs w:val="12"/>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Public Company</w:t>
            </w:r>
          </w:p>
        </w:tc>
        <w:tc>
          <w:tcPr>
            <w:tcW w:w="0" w:type="dxa"/>
            <w:vAlign w:val="bottom"/>
          </w:tcPr>
          <w:p>
            <w:pPr>
              <w:spacing w:after="0"/>
              <w:rPr>
                <w:sz w:val="1"/>
                <w:szCs w:val="1"/>
                <w:color w:val="auto"/>
              </w:rPr>
            </w:pPr>
          </w:p>
        </w:tc>
      </w:tr>
      <w:tr>
        <w:trPr>
          <w:trHeight w:val="121"/>
        </w:trPr>
        <w:tc>
          <w:tcPr>
            <w:tcW w:w="19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w w:val="99"/>
              </w:rPr>
              <w:t>PAGP/PAA Director</w:t>
            </w: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November 2016. Mr. Petersen is a Managing Partner</w:t>
            </w:r>
          </w:p>
        </w:tc>
        <w:tc>
          <w:tcPr>
            <w:tcW w:w="8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200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940" w:type="dxa"/>
            <w:vAlign w:val="bottom"/>
            <w:tcBorders>
              <w:left w:val="single" w:sz="8" w:color="auto"/>
              <w:right w:val="single" w:sz="8" w:color="auto"/>
            </w:tcBorders>
            <w:gridSpan w:val="3"/>
            <w:vMerge w:val="continue"/>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42"/>
        </w:trPr>
        <w:tc>
          <w:tcPr>
            <w:tcW w:w="1940" w:type="dxa"/>
            <w:vAlign w:val="bottom"/>
            <w:tcBorders>
              <w:left w:val="single" w:sz="8" w:color="auto"/>
              <w:right w:val="single" w:sz="8" w:color="auto"/>
            </w:tcBorders>
            <w:gridSpan w:val="3"/>
            <w:vMerge w:val="continue"/>
          </w:tcPr>
          <w:p>
            <w:pPr>
              <w:spacing w:after="0"/>
              <w:rPr>
                <w:sz w:val="3"/>
                <w:szCs w:val="3"/>
                <w:color w:val="auto"/>
              </w:rPr>
            </w:pPr>
          </w:p>
        </w:tc>
        <w:tc>
          <w:tcPr>
            <w:tcW w:w="4080" w:type="dxa"/>
            <w:vAlign w:val="bottom"/>
            <w:tcBorders>
              <w:right w:val="single" w:sz="8" w:color="auto"/>
            </w:tcBorders>
            <w:vMerge w:val="restart"/>
          </w:tcPr>
          <w:p>
            <w:pPr>
              <w:ind w:left="80"/>
              <w:spacing w:after="0" w:line="178" w:lineRule="exact"/>
              <w:rPr>
                <w:sz w:val="20"/>
                <w:szCs w:val="20"/>
                <w:color w:val="auto"/>
              </w:rPr>
            </w:pPr>
            <w:r>
              <w:rPr>
                <w:rFonts w:ascii="Arial" w:cs="Arial" w:eastAsia="Arial" w:hAnsi="Arial"/>
                <w:sz w:val="16"/>
                <w:szCs w:val="16"/>
                <w:color w:val="auto"/>
              </w:rPr>
              <w:t>of EnCap, an investment management firm which he</w:t>
            </w: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0" w:type="dxa"/>
            <w:vAlign w:val="bottom"/>
            <w:tcBorders>
              <w:right w:val="single" w:sz="8" w:color="auto"/>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500" w:type="dxa"/>
            <w:vAlign w:val="bottom"/>
            <w:tcBorders>
              <w:left w:val="single" w:sz="8" w:color="auto"/>
            </w:tcBorders>
          </w:tcPr>
          <w:p>
            <w:pPr>
              <w:spacing w:after="0"/>
              <w:rPr>
                <w:sz w:val="11"/>
                <w:szCs w:val="11"/>
                <w:color w:val="auto"/>
              </w:rPr>
            </w:pPr>
          </w:p>
        </w:tc>
        <w:tc>
          <w:tcPr>
            <w:tcW w:w="1440" w:type="dxa"/>
            <w:vAlign w:val="bottom"/>
            <w:tcBorders>
              <w:right w:val="single" w:sz="8" w:color="auto"/>
            </w:tcBorders>
            <w:gridSpan w:val="2"/>
          </w:tcPr>
          <w:p>
            <w:pPr>
              <w:jc w:val="center"/>
              <w:ind w:right="460"/>
              <w:spacing w:after="0" w:line="136" w:lineRule="exact"/>
              <w:rPr>
                <w:sz w:val="20"/>
                <w:szCs w:val="20"/>
                <w:color w:val="auto"/>
              </w:rPr>
            </w:pPr>
            <w:r>
              <w:rPr>
                <w:rFonts w:ascii="Arial" w:cs="Arial" w:eastAsia="Arial" w:hAnsi="Arial"/>
                <w:sz w:val="15"/>
                <w:szCs w:val="15"/>
                <w:b w:val="1"/>
                <w:bCs w:val="1"/>
                <w:i w:val="1"/>
                <w:iCs w:val="1"/>
                <w:color w:val="auto"/>
              </w:rPr>
              <w:t>since 2001</w:t>
            </w:r>
          </w:p>
        </w:tc>
        <w:tc>
          <w:tcPr>
            <w:tcW w:w="408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9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color w:val="auto"/>
              </w:rPr>
              <w:t>Committees:</w:t>
            </w:r>
          </w:p>
        </w:tc>
        <w:tc>
          <w:tcPr>
            <w:tcW w:w="408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6"/>
                <w:szCs w:val="16"/>
                <w:color w:val="auto"/>
              </w:rPr>
              <w:t>co-founded in 1988. He also served as a director of EV</w:t>
            </w:r>
          </w:p>
        </w:tc>
        <w:tc>
          <w:tcPr>
            <w:tcW w:w="80" w:type="dxa"/>
            <w:vAlign w:val="bottom"/>
          </w:tcPr>
          <w:p>
            <w:pPr>
              <w:spacing w:after="0"/>
              <w:rPr>
                <w:sz w:val="13"/>
                <w:szCs w:val="13"/>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07"/>
        </w:trPr>
        <w:tc>
          <w:tcPr>
            <w:tcW w:w="1940" w:type="dxa"/>
            <w:vAlign w:val="bottom"/>
            <w:tcBorders>
              <w:left w:val="single" w:sz="8" w:color="auto"/>
              <w:right w:val="single" w:sz="8" w:color="auto"/>
            </w:tcBorders>
            <w:gridSpan w:val="3"/>
            <w:vMerge w:val="continue"/>
          </w:tcPr>
          <w:p>
            <w:pPr>
              <w:spacing w:after="0"/>
              <w:rPr>
                <w:sz w:val="9"/>
                <w:szCs w:val="9"/>
                <w:color w:val="auto"/>
              </w:rPr>
            </w:pPr>
          </w:p>
        </w:tc>
        <w:tc>
          <w:tcPr>
            <w:tcW w:w="4080" w:type="dxa"/>
            <w:vAlign w:val="bottom"/>
            <w:tcBorders>
              <w:right w:val="single" w:sz="8" w:color="auto"/>
            </w:tcBorders>
            <w:vMerge w:val="restart"/>
          </w:tcPr>
          <w:p>
            <w:pPr>
              <w:ind w:left="80"/>
              <w:spacing w:after="0" w:line="143" w:lineRule="exact"/>
              <w:rPr>
                <w:sz w:val="20"/>
                <w:szCs w:val="20"/>
                <w:color w:val="auto"/>
              </w:rPr>
            </w:pPr>
            <w:r>
              <w:rPr>
                <w:rFonts w:ascii="Arial" w:cs="Arial" w:eastAsia="Arial" w:hAnsi="Arial"/>
                <w:sz w:val="16"/>
                <w:szCs w:val="16"/>
                <w:color w:val="auto"/>
              </w:rPr>
              <w:t>Energy Partners, L.P. from September 2006 until</w:t>
            </w: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200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1940" w:type="dxa"/>
            <w:vAlign w:val="bottom"/>
            <w:tcBorders>
              <w:left w:val="single" w:sz="8" w:color="auto"/>
              <w:right w:val="single" w:sz="8" w:color="auto"/>
            </w:tcBorders>
            <w:gridSpan w:val="3"/>
            <w:vMerge w:val="continue"/>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00" w:type="dxa"/>
            <w:vAlign w:val="bottom"/>
            <w:tcBorders>
              <w:lef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June 2018. He had previously served as Senior Vice</w:t>
            </w:r>
          </w:p>
        </w:tc>
        <w:tc>
          <w:tcPr>
            <w:tcW w:w="80" w:type="dxa"/>
            <w:vAlign w:val="bottom"/>
          </w:tcPr>
          <w:p>
            <w:pPr>
              <w:spacing w:after="0" w:line="20" w:lineRule="exact"/>
              <w:rPr>
                <w:sz w:val="1"/>
                <w:szCs w:val="1"/>
                <w:color w:val="auto"/>
              </w:rPr>
            </w:pPr>
          </w:p>
        </w:tc>
        <w:tc>
          <w:tcPr>
            <w:tcW w:w="120" w:type="dxa"/>
            <w:vAlign w:val="bottom"/>
            <w:vMerge w:val="restart"/>
          </w:tcPr>
          <w:p>
            <w:pPr>
              <w:spacing w:after="0" w:line="175" w:lineRule="exact"/>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line="175" w:lineRule="exact"/>
              <w:rPr>
                <w:sz w:val="20"/>
                <w:szCs w:val="20"/>
                <w:color w:val="auto"/>
              </w:rPr>
            </w:pPr>
            <w:r>
              <w:rPr>
                <w:rFonts w:ascii="Arial" w:cs="Arial" w:eastAsia="Arial" w:hAnsi="Arial"/>
                <w:sz w:val="16"/>
                <w:szCs w:val="16"/>
                <w:color w:val="auto"/>
              </w:rPr>
              <w:t>Business Development/</w:t>
            </w:r>
          </w:p>
        </w:tc>
        <w:tc>
          <w:tcPr>
            <w:tcW w:w="0" w:type="dxa"/>
            <w:vAlign w:val="bottom"/>
          </w:tcPr>
          <w:p>
            <w:pPr>
              <w:spacing w:after="0" w:line="20" w:lineRule="exact"/>
              <w:rPr>
                <w:sz w:val="1"/>
                <w:szCs w:val="1"/>
                <w:color w:val="auto"/>
              </w:rPr>
            </w:pPr>
          </w:p>
        </w:tc>
      </w:tr>
      <w:tr>
        <w:trPr>
          <w:trHeight w:val="155"/>
        </w:trPr>
        <w:tc>
          <w:tcPr>
            <w:tcW w:w="19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color w:val="auto"/>
                <w:w w:val="98"/>
              </w:rPr>
              <w:t>Compensation</w:t>
            </w:r>
          </w:p>
        </w:tc>
        <w:tc>
          <w:tcPr>
            <w:tcW w:w="408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2000" w:type="dxa"/>
            <w:vAlign w:val="bottom"/>
            <w:tcBorders>
              <w:right w:val="single" w:sz="8" w:color="auto"/>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940" w:type="dxa"/>
            <w:vAlign w:val="bottom"/>
            <w:tcBorders>
              <w:left w:val="single" w:sz="8" w:color="auto"/>
              <w:right w:val="single" w:sz="8" w:color="auto"/>
            </w:tcBorders>
            <w:gridSpan w:val="3"/>
            <w:vMerge w:val="continue"/>
          </w:tcPr>
          <w:p>
            <w:pPr>
              <w:spacing w:after="0"/>
              <w:rPr>
                <w:sz w:val="11"/>
                <w:szCs w:val="11"/>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President and Manager of the Corporate Finance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0" w:type="dxa"/>
            <w:vAlign w:val="bottom"/>
            <w:tcBorders>
              <w:right w:val="single" w:sz="8" w:color="auto"/>
            </w:tcBorders>
            <w:gridSpan w:val="3"/>
            <w:vMerge w:val="restart"/>
          </w:tcPr>
          <w:p>
            <w:pPr>
              <w:ind w:left="40"/>
              <w:spacing w:after="0" w:line="175" w:lineRule="exact"/>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42"/>
        </w:trPr>
        <w:tc>
          <w:tcPr>
            <w:tcW w:w="500" w:type="dxa"/>
            <w:vAlign w:val="bottom"/>
            <w:tcBorders>
              <w:left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520" w:type="dxa"/>
            <w:vAlign w:val="bottom"/>
            <w:tcBorders>
              <w:right w:val="single" w:sz="8" w:color="auto"/>
            </w:tcBorders>
          </w:tcPr>
          <w:p>
            <w:pPr>
              <w:spacing w:after="0"/>
              <w:rPr>
                <w:sz w:val="3"/>
                <w:szCs w:val="3"/>
                <w:color w:val="auto"/>
              </w:rPr>
            </w:pPr>
          </w:p>
        </w:tc>
        <w:tc>
          <w:tcPr>
            <w:tcW w:w="4080" w:type="dxa"/>
            <w:vAlign w:val="bottom"/>
            <w:tcBorders>
              <w:right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0" w:type="dxa"/>
            <w:vAlign w:val="bottom"/>
            <w:tcBorders>
              <w:right w:val="single" w:sz="8" w:color="auto"/>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500" w:type="dxa"/>
            <w:vAlign w:val="bottom"/>
            <w:tcBorders>
              <w:left w:val="single" w:sz="8" w:color="auto"/>
            </w:tcBorders>
          </w:tcPr>
          <w:p>
            <w:pPr>
              <w:spacing w:after="0"/>
              <w:rPr>
                <w:sz w:val="16"/>
                <w:szCs w:val="16"/>
                <w:color w:val="auto"/>
              </w:rPr>
            </w:pPr>
          </w:p>
        </w:tc>
        <w:tc>
          <w:tcPr>
            <w:tcW w:w="1440" w:type="dxa"/>
            <w:vAlign w:val="bottom"/>
            <w:tcBorders>
              <w:right w:val="single" w:sz="8" w:color="auto"/>
            </w:tcBorders>
            <w:gridSpan w:val="2"/>
          </w:tcPr>
          <w:p>
            <w:pPr>
              <w:jc w:val="center"/>
              <w:ind w:right="460"/>
              <w:spacing w:after="0"/>
              <w:rPr>
                <w:sz w:val="20"/>
                <w:szCs w:val="20"/>
                <w:color w:val="auto"/>
              </w:rPr>
            </w:pPr>
            <w:r>
              <w:rPr>
                <w:rFonts w:ascii="Arial" w:cs="Arial" w:eastAsia="Arial" w:hAnsi="Arial"/>
                <w:sz w:val="16"/>
                <w:szCs w:val="16"/>
                <w:color w:val="auto"/>
                <w:w w:val="98"/>
              </w:rPr>
              <w:t>Governance</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Division of the Energy Banking Group for</w:t>
            </w:r>
          </w:p>
        </w:tc>
        <w:tc>
          <w:tcPr>
            <w:tcW w:w="80" w:type="dxa"/>
            <w:vAlign w:val="bottom"/>
          </w:tcPr>
          <w:p>
            <w:pPr>
              <w:spacing w:after="0"/>
              <w:rPr>
                <w:sz w:val="16"/>
                <w:szCs w:val="16"/>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Governance/​Government</w:t>
            </w:r>
          </w:p>
        </w:tc>
        <w:tc>
          <w:tcPr>
            <w:tcW w:w="0" w:type="dxa"/>
            <w:vAlign w:val="bottom"/>
          </w:tcPr>
          <w:p>
            <w:pPr>
              <w:spacing w:after="0"/>
              <w:rPr>
                <w:sz w:val="1"/>
                <w:szCs w:val="1"/>
                <w:color w:val="auto"/>
              </w:rPr>
            </w:pPr>
          </w:p>
        </w:tc>
      </w:tr>
      <w:tr>
        <w:trPr>
          <w:trHeight w:val="95"/>
        </w:trPr>
        <w:tc>
          <w:tcPr>
            <w:tcW w:w="500" w:type="dxa"/>
            <w:vAlign w:val="bottom"/>
            <w:tcBorders>
              <w:left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4080" w:type="dxa"/>
            <w:vAlign w:val="bottom"/>
            <w:tcBorders>
              <w:right w:val="single" w:sz="8" w:color="auto"/>
            </w:tcBorders>
            <w:vMerge w:val="restart"/>
          </w:tcPr>
          <w:p>
            <w:pPr>
              <w:ind w:left="80"/>
              <w:spacing w:after="0" w:line="148" w:lineRule="exact"/>
              <w:rPr>
                <w:sz w:val="20"/>
                <w:szCs w:val="20"/>
                <w:color w:val="auto"/>
              </w:rPr>
            </w:pPr>
            <w:r>
              <w:rPr>
                <w:rFonts w:ascii="Arial" w:cs="Arial" w:eastAsia="Arial" w:hAnsi="Arial"/>
                <w:sz w:val="16"/>
                <w:szCs w:val="16"/>
                <w:color w:val="auto"/>
              </w:rPr>
              <w:t>RepublicBank Corporation. Prior to his position at</w:t>
            </w:r>
          </w:p>
        </w:tc>
        <w:tc>
          <w:tcPr>
            <w:tcW w:w="8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200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Relations/Legal</w:t>
            </w: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RepublicBank, he was Executive Vice President and a</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member of the Board of Directors of Nicklos Oil &amp; Gas</w:t>
            </w:r>
          </w:p>
        </w:tc>
        <w:tc>
          <w:tcPr>
            <w:tcW w:w="8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20"/>
        </w:trPr>
        <w:tc>
          <w:tcPr>
            <w:tcW w:w="500" w:type="dxa"/>
            <w:vAlign w:val="bottom"/>
            <w:tcBorders>
              <w:lef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Company from 1979 to 1984. He served from 1970 to</w:t>
            </w:r>
          </w:p>
        </w:tc>
        <w:tc>
          <w:tcPr>
            <w:tcW w:w="8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200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50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1971 in the U.S. Army as a First Lieutenant in the</w:t>
            </w:r>
          </w:p>
        </w:tc>
        <w:tc>
          <w:tcPr>
            <w:tcW w:w="80" w:type="dxa"/>
            <w:vAlign w:val="bottom"/>
          </w:tcPr>
          <w:p>
            <w:pPr>
              <w:spacing w:after="0"/>
              <w:rPr>
                <w:sz w:val="15"/>
                <w:szCs w:val="15"/>
                <w:color w:val="auto"/>
              </w:rPr>
            </w:pPr>
          </w:p>
        </w:tc>
        <w:tc>
          <w:tcPr>
            <w:tcW w:w="12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40"/>
              <w:spacing w:after="0" w:line="175" w:lineRule="exact"/>
              <w:rPr>
                <w:sz w:val="20"/>
                <w:szCs w:val="20"/>
                <w:color w:val="auto"/>
              </w:rPr>
            </w:pPr>
            <w:r>
              <w:rPr>
                <w:rFonts w:ascii="Arial" w:cs="Arial" w:eastAsia="Arial" w:hAnsi="Arial"/>
                <w:sz w:val="16"/>
                <w:szCs w:val="16"/>
                <w:color w:val="auto"/>
              </w:rPr>
              <w:t>Private Equity</w:t>
            </w: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Finance Corps and as an Army Officer in the Army</w:t>
            </w:r>
          </w:p>
        </w:tc>
        <w:tc>
          <w:tcPr>
            <w:tcW w:w="8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Security Agency. He is a member of the Independent</w:t>
            </w: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200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Petroleum Association of America, the Houston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Producers Forum and the Petroleum Club of Houston.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Mr. Petersen is a director of the Memorial Hermann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Health System and the Houston Museum of Natural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Science. He also sits on the board of trustees of The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Council on Recovery. Mr. Petersen holds BBA and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MBA degrees in finance from Texas Tech University.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Mr. Petersen has been involved in the energy sector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for over 35 years, garnering extensive knowledge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the energy sectors’ various cycles, as well as the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current market and industry knowledge that comes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with management of billions of dollars of energy-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related investments. In tandem with the leadership</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qualities evidenced by his executive background, we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believe that Mr. Petersen brings numerous valuable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attributes to the Board.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500" w:type="dxa"/>
            <w:vAlign w:val="bottom"/>
            <w:tcBorders>
              <w:left w:val="single" w:sz="8" w:color="auto"/>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408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Class III Directors (terms expire in 2027):</w:t>
      </w:r>
    </w:p>
    <w:p>
      <w:pPr>
        <w:spacing w:after="0" w:line="197" w:lineRule="exact"/>
        <w:rPr>
          <w:sz w:val="20"/>
          <w:szCs w:val="20"/>
          <w:color w:val="auto"/>
        </w:rPr>
      </w:pPr>
    </w:p>
    <w:tbl>
      <w:tblPr>
        <w:tblLayout w:type="fixed"/>
        <w:tblInd w:w="1270" w:type="dxa"/>
        <w:tblCellMar>
          <w:top w:w="0" w:type="dxa"/>
          <w:left w:w="0" w:type="dxa"/>
          <w:bottom w:w="0" w:type="dxa"/>
          <w:right w:w="0" w:type="dxa"/>
        </w:tblCellMar>
      </w:tblPr>
      <w:tr>
        <w:trPr>
          <w:trHeight w:val="270"/>
        </w:trPr>
        <w:tc>
          <w:tcPr>
            <w:tcW w:w="160" w:type="dxa"/>
            <w:vAlign w:val="bottom"/>
            <w:tcBorders>
              <w:top w:val="single" w:sz="8" w:color="auto"/>
              <w:left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460" w:type="dxa"/>
            <w:vAlign w:val="bottom"/>
            <w:tcBorders>
              <w:top w:val="single" w:sz="8" w:color="auto"/>
              <w:right w:val="single" w:sz="8" w:color="auto"/>
            </w:tcBorders>
            <w:gridSpan w:val="6"/>
          </w:tcPr>
          <w:p>
            <w:pPr>
              <w:jc w:val="center"/>
              <w:ind w:right="480"/>
              <w:spacing w:after="0"/>
              <w:rPr>
                <w:sz w:val="20"/>
                <w:szCs w:val="20"/>
                <w:color w:val="auto"/>
              </w:rPr>
            </w:pPr>
            <w:r>
              <w:rPr>
                <w:rFonts w:ascii="Arial" w:cs="Arial" w:eastAsia="Arial" w:hAnsi="Arial"/>
                <w:sz w:val="16"/>
                <w:szCs w:val="16"/>
                <w:b w:val="1"/>
                <w:bCs w:val="1"/>
                <w:color w:val="auto"/>
              </w:rPr>
              <w:t>GREG L.</w:t>
            </w:r>
          </w:p>
        </w:tc>
        <w:tc>
          <w:tcPr>
            <w:tcW w:w="40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rPr>
              <w:t>Greg L. Armstrong, age 67</w:t>
            </w:r>
            <w:r>
              <w:rPr>
                <w:rFonts w:ascii="Arial" w:cs="Arial" w:eastAsia="Arial" w:hAnsi="Arial"/>
                <w:sz w:val="16"/>
                <w:szCs w:val="16"/>
                <w:color w:val="auto"/>
              </w:rPr>
              <w:t>, has served as a director</w:t>
            </w:r>
          </w:p>
        </w:tc>
        <w:tc>
          <w:tcPr>
            <w:tcW w:w="80" w:type="dxa"/>
            <w:vAlign w:val="bottom"/>
            <w:tcBorders>
              <w:top w:val="single" w:sz="8" w:color="auto"/>
            </w:tcBorders>
          </w:tcPr>
          <w:p>
            <w:pPr>
              <w:spacing w:after="0"/>
              <w:rPr>
                <w:sz w:val="23"/>
                <w:szCs w:val="23"/>
                <w:color w:val="auto"/>
              </w:rPr>
            </w:pPr>
          </w:p>
        </w:tc>
        <w:tc>
          <w:tcPr>
            <w:tcW w:w="212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42"/>
        </w:trPr>
        <w:tc>
          <w:tcPr>
            <w:tcW w:w="160" w:type="dxa"/>
            <w:vAlign w:val="bottom"/>
            <w:tcBorders>
              <w:lef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Borders>
              <w:right w:val="single" w:sz="8" w:color="auto"/>
            </w:tcBorders>
            <w:gridSpan w:val="7"/>
          </w:tcPr>
          <w:p>
            <w:pPr>
              <w:jc w:val="center"/>
              <w:ind w:right="440"/>
              <w:spacing w:after="0" w:line="142" w:lineRule="exact"/>
              <w:rPr>
                <w:sz w:val="20"/>
                <w:szCs w:val="20"/>
                <w:color w:val="auto"/>
              </w:rPr>
            </w:pPr>
            <w:r>
              <w:rPr>
                <w:rFonts w:ascii="Arial" w:cs="Arial" w:eastAsia="Arial" w:hAnsi="Arial"/>
                <w:sz w:val="16"/>
                <w:szCs w:val="16"/>
                <w:b w:val="1"/>
                <w:bCs w:val="1"/>
                <w:color w:val="auto"/>
                <w:w w:val="99"/>
              </w:rPr>
              <w:t>ARMSTRONG</w:t>
            </w:r>
          </w:p>
        </w:tc>
        <w:tc>
          <w:tcPr>
            <w:tcW w:w="4060" w:type="dxa"/>
            <w:vAlign w:val="bottom"/>
            <w:tcBorders>
              <w:right w:val="single" w:sz="8" w:color="auto"/>
            </w:tcBorders>
          </w:tcPr>
          <w:p>
            <w:pPr>
              <w:ind w:left="80"/>
              <w:spacing w:after="0" w:line="142" w:lineRule="exact"/>
              <w:rPr>
                <w:sz w:val="20"/>
                <w:szCs w:val="20"/>
                <w:color w:val="auto"/>
              </w:rPr>
            </w:pPr>
            <w:r>
              <w:rPr>
                <w:rFonts w:ascii="Arial" w:cs="Arial" w:eastAsia="Arial" w:hAnsi="Arial"/>
                <w:sz w:val="16"/>
                <w:szCs w:val="16"/>
                <w:color w:val="auto"/>
              </w:rPr>
              <w:t>of PAGP GP since 2013. He has also served as a</w:t>
            </w:r>
          </w:p>
        </w:tc>
        <w:tc>
          <w:tcPr>
            <w:tcW w:w="80" w:type="dxa"/>
            <w:vAlign w:val="bottom"/>
          </w:tcPr>
          <w:p>
            <w:pPr>
              <w:spacing w:after="0"/>
              <w:rPr>
                <w:sz w:val="12"/>
                <w:szCs w:val="12"/>
                <w:color w:val="auto"/>
              </w:rPr>
            </w:pPr>
          </w:p>
        </w:tc>
        <w:tc>
          <w:tcPr>
            <w:tcW w:w="7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6"/>
                <w:szCs w:val="16"/>
                <w:color w:val="auto"/>
                <w:w w:val="97"/>
              </w:rPr>
              <w:t>Attributes:</w:t>
            </w:r>
          </w:p>
        </w:tc>
        <w:tc>
          <w:tcPr>
            <w:tcW w:w="760" w:type="dxa"/>
            <w:vAlign w:val="bottom"/>
            <w:tcBorders>
              <w:top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60" w:type="dxa"/>
            <w:vAlign w:val="bottom"/>
            <w:tcBorders>
              <w:lef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tcBorders>
              <w:right w:val="single" w:sz="8" w:color="auto"/>
            </w:tcBorders>
            <w:gridSpan w:val="8"/>
            <w:vMerge w:val="restart"/>
          </w:tcPr>
          <w:p>
            <w:pPr>
              <w:jc w:val="center"/>
              <w:ind w:right="280"/>
              <w:spacing w:after="0"/>
              <w:rPr>
                <w:sz w:val="20"/>
                <w:szCs w:val="20"/>
                <w:color w:val="auto"/>
              </w:rPr>
            </w:pPr>
            <w:r>
              <w:rPr>
                <w:rFonts w:ascii="Arial" w:cs="Arial" w:eastAsia="Arial" w:hAnsi="Arial"/>
                <w:sz w:val="16"/>
                <w:szCs w:val="16"/>
                <w:b w:val="1"/>
                <w:bCs w:val="1"/>
                <w:color w:val="auto"/>
                <w:w w:val="99"/>
              </w:rPr>
              <w:t>Not Independent</w:t>
            </w:r>
          </w:p>
        </w:tc>
        <w:tc>
          <w:tcPr>
            <w:tcW w:w="406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6"/>
                <w:szCs w:val="16"/>
                <w:color w:val="auto"/>
              </w:rPr>
              <w:t>Senior Advisor to the CEO since January 1, 2020.</w:t>
            </w:r>
          </w:p>
        </w:tc>
        <w:tc>
          <w:tcPr>
            <w:tcW w:w="80" w:type="dxa"/>
            <w:vAlign w:val="bottom"/>
          </w:tcPr>
          <w:p>
            <w:pPr>
              <w:spacing w:after="0"/>
              <w:rPr>
                <w:sz w:val="13"/>
                <w:szCs w:val="13"/>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Public Company</w:t>
            </w:r>
          </w:p>
        </w:tc>
        <w:tc>
          <w:tcPr>
            <w:tcW w:w="0" w:type="dxa"/>
            <w:vAlign w:val="bottom"/>
          </w:tcPr>
          <w:p>
            <w:pPr>
              <w:spacing w:after="0"/>
              <w:rPr>
                <w:sz w:val="1"/>
                <w:szCs w:val="1"/>
                <w:color w:val="auto"/>
              </w:rPr>
            </w:pPr>
          </w:p>
        </w:tc>
      </w:tr>
      <w:tr>
        <w:trPr>
          <w:trHeight w:val="109"/>
        </w:trPr>
        <w:tc>
          <w:tcPr>
            <w:tcW w:w="16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60" w:type="dxa"/>
            <w:vAlign w:val="bottom"/>
            <w:tcBorders>
              <w:right w:val="single" w:sz="8" w:color="auto"/>
            </w:tcBorders>
            <w:gridSpan w:val="8"/>
            <w:vMerge w:val="continue"/>
          </w:tcPr>
          <w:p>
            <w:pPr>
              <w:spacing w:after="0"/>
              <w:rPr>
                <w:sz w:val="9"/>
                <w:szCs w:val="9"/>
                <w:color w:val="auto"/>
              </w:rPr>
            </w:pPr>
          </w:p>
        </w:tc>
        <w:tc>
          <w:tcPr>
            <w:tcW w:w="4060" w:type="dxa"/>
            <w:vAlign w:val="bottom"/>
            <w:tcBorders>
              <w:right w:val="single" w:sz="8" w:color="auto"/>
            </w:tcBorders>
            <w:vMerge w:val="restart"/>
          </w:tcPr>
          <w:p>
            <w:pPr>
              <w:ind w:left="80"/>
              <w:spacing w:after="0" w:line="163" w:lineRule="exact"/>
              <w:rPr>
                <w:sz w:val="20"/>
                <w:szCs w:val="20"/>
                <w:color w:val="auto"/>
              </w:rPr>
            </w:pPr>
            <w:r>
              <w:rPr>
                <w:rFonts w:ascii="Arial" w:cs="Arial" w:eastAsia="Arial" w:hAnsi="Arial"/>
                <w:sz w:val="16"/>
                <w:szCs w:val="16"/>
                <w:color w:val="auto"/>
              </w:rPr>
              <w:t>Mr. Armstrong served as Chairman of the Board of</w:t>
            </w: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200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60" w:type="dxa"/>
            <w:vAlign w:val="bottom"/>
            <w:tcBorders>
              <w:lef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406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75"/>
        </w:trPr>
        <w:tc>
          <w:tcPr>
            <w:tcW w:w="160" w:type="dxa"/>
            <w:vAlign w:val="bottom"/>
            <w:tcBorders>
              <w:left w:val="single" w:sz="8" w:color="auto"/>
            </w:tcBorders>
          </w:tcPr>
          <w:p>
            <w:pPr>
              <w:spacing w:after="0"/>
              <w:rPr>
                <w:sz w:val="15"/>
                <w:szCs w:val="15"/>
                <w:color w:val="auto"/>
              </w:rPr>
            </w:pPr>
          </w:p>
        </w:tc>
        <w:tc>
          <w:tcPr>
            <w:tcW w:w="1800" w:type="dxa"/>
            <w:vAlign w:val="bottom"/>
            <w:tcBorders>
              <w:right w:val="single" w:sz="8" w:color="auto"/>
            </w:tcBorders>
            <w:gridSpan w:val="9"/>
            <w:vMerge w:val="restart"/>
          </w:tcPr>
          <w:p>
            <w:pPr>
              <w:jc w:val="center"/>
              <w:ind w:right="140"/>
              <w:spacing w:after="0"/>
              <w:rPr>
                <w:sz w:val="20"/>
                <w:szCs w:val="20"/>
                <w:color w:val="auto"/>
              </w:rPr>
            </w:pPr>
            <w:r>
              <w:rPr>
                <w:rFonts w:ascii="Arial" w:cs="Arial" w:eastAsia="Arial" w:hAnsi="Arial"/>
                <w:sz w:val="16"/>
                <w:szCs w:val="16"/>
                <w:b w:val="1"/>
                <w:bCs w:val="1"/>
                <w:i w:val="1"/>
                <w:iCs w:val="1"/>
                <w:color w:val="auto"/>
              </w:rPr>
              <w:t>PAGP/PAA Director</w:t>
            </w:r>
          </w:p>
        </w:tc>
        <w:tc>
          <w:tcPr>
            <w:tcW w:w="406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PAGP GP from July 2013 through December 31, 2019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160" w:type="dxa"/>
            <w:vAlign w:val="bottom"/>
            <w:tcBorders>
              <w:left w:val="single" w:sz="8" w:color="auto"/>
            </w:tcBorders>
          </w:tcPr>
          <w:p>
            <w:pPr>
              <w:spacing w:after="0"/>
              <w:rPr>
                <w:sz w:val="3"/>
                <w:szCs w:val="3"/>
                <w:color w:val="auto"/>
              </w:rPr>
            </w:pPr>
          </w:p>
        </w:tc>
        <w:tc>
          <w:tcPr>
            <w:tcW w:w="1800" w:type="dxa"/>
            <w:vAlign w:val="bottom"/>
            <w:tcBorders>
              <w:right w:val="single" w:sz="8" w:color="auto"/>
            </w:tcBorders>
            <w:gridSpan w:val="9"/>
            <w:vMerge w:val="continue"/>
          </w:tcPr>
          <w:p>
            <w:pPr>
              <w:spacing w:after="0"/>
              <w:rPr>
                <w:sz w:val="3"/>
                <w:szCs w:val="3"/>
                <w:color w:val="auto"/>
              </w:rPr>
            </w:pPr>
          </w:p>
        </w:tc>
        <w:tc>
          <w:tcPr>
            <w:tcW w:w="406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and as Chief Executive Officer of PAGP GP from</w:t>
            </w: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1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Borders>
              <w:right w:val="single" w:sz="8" w:color="auto"/>
            </w:tcBorders>
            <w:gridSpan w:val="6"/>
          </w:tcPr>
          <w:p>
            <w:pPr>
              <w:jc w:val="center"/>
              <w:ind w:right="480"/>
              <w:spacing w:after="0" w:line="175" w:lineRule="exact"/>
              <w:rPr>
                <w:sz w:val="20"/>
                <w:szCs w:val="20"/>
                <w:color w:val="auto"/>
              </w:rPr>
            </w:pPr>
            <w:r>
              <w:rPr>
                <w:rFonts w:ascii="Arial" w:cs="Arial" w:eastAsia="Arial" w:hAnsi="Arial"/>
                <w:sz w:val="16"/>
                <w:szCs w:val="16"/>
                <w:b w:val="1"/>
                <w:bCs w:val="1"/>
                <w:i w:val="1"/>
                <w:iCs w:val="1"/>
                <w:color w:val="auto"/>
              </w:rPr>
              <w:t>since 1998</w:t>
            </w:r>
          </w:p>
        </w:tc>
        <w:tc>
          <w:tcPr>
            <w:tcW w:w="406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40"/>
              <w:spacing w:after="0" w:line="175" w:lineRule="exact"/>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21"/>
        </w:trPr>
        <w:tc>
          <w:tcPr>
            <w:tcW w:w="1960" w:type="dxa"/>
            <w:vAlign w:val="bottom"/>
            <w:tcBorders>
              <w:left w:val="single" w:sz="8" w:color="auto"/>
              <w:right w:val="single" w:sz="8" w:color="auto"/>
            </w:tcBorders>
            <w:gridSpan w:val="10"/>
            <w:vMerge w:val="restart"/>
          </w:tcPr>
          <w:p>
            <w:pPr>
              <w:jc w:val="center"/>
              <w:spacing w:after="0"/>
              <w:rPr>
                <w:sz w:val="20"/>
                <w:szCs w:val="20"/>
                <w:color w:val="auto"/>
              </w:rPr>
            </w:pPr>
            <w:r>
              <w:rPr>
                <w:rFonts w:ascii="Arial" w:cs="Arial" w:eastAsia="Arial" w:hAnsi="Arial"/>
                <w:sz w:val="16"/>
                <w:szCs w:val="16"/>
                <w:b w:val="1"/>
                <w:bCs w:val="1"/>
                <w:i w:val="1"/>
                <w:iCs w:val="1"/>
                <w:color w:val="auto"/>
              </w:rPr>
              <w:t>Former Chairman and</w:t>
            </w:r>
          </w:p>
        </w:tc>
        <w:tc>
          <w:tcPr>
            <w:tcW w:w="4060" w:type="dxa"/>
            <w:vAlign w:val="bottom"/>
            <w:tcBorders>
              <w:right w:val="single" w:sz="8" w:color="auto"/>
            </w:tcBorders>
          </w:tcPr>
          <w:p>
            <w:pPr>
              <w:ind w:left="80"/>
              <w:spacing w:after="0" w:line="121" w:lineRule="exact"/>
              <w:rPr>
                <w:sz w:val="20"/>
                <w:szCs w:val="20"/>
                <w:color w:val="auto"/>
              </w:rPr>
            </w:pPr>
            <w:r>
              <w:rPr>
                <w:rFonts w:ascii="Arial" w:cs="Arial" w:eastAsia="Arial" w:hAnsi="Arial"/>
                <w:sz w:val="14"/>
                <w:szCs w:val="14"/>
                <w:color w:val="auto"/>
              </w:rPr>
              <w:t>July 2013 until his retirement from such position in</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960" w:type="dxa"/>
            <w:vAlign w:val="bottom"/>
            <w:tcBorders>
              <w:left w:val="single" w:sz="8" w:color="auto"/>
              <w:right w:val="single" w:sz="8" w:color="auto"/>
            </w:tcBorders>
            <w:gridSpan w:val="10"/>
            <w:vMerge w:val="continue"/>
          </w:tcPr>
          <w:p>
            <w:pPr>
              <w:spacing w:after="0"/>
              <w:rPr>
                <w:sz w:val="14"/>
                <w:szCs w:val="14"/>
                <w:color w:val="auto"/>
              </w:rPr>
            </w:pPr>
          </w:p>
        </w:tc>
        <w:tc>
          <w:tcPr>
            <w:tcW w:w="406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October 2018. He also served as Chief Executive</w:t>
            </w:r>
          </w:p>
        </w:tc>
        <w:tc>
          <w:tcPr>
            <w:tcW w:w="80" w:type="dxa"/>
            <w:vAlign w:val="bottom"/>
          </w:tcPr>
          <w:p>
            <w:pPr>
              <w:spacing w:after="0"/>
              <w:rPr>
                <w:sz w:val="14"/>
                <w:szCs w:val="14"/>
                <w:color w:val="auto"/>
              </w:rPr>
            </w:pPr>
          </w:p>
        </w:tc>
        <w:tc>
          <w:tcPr>
            <w:tcW w:w="120" w:type="dxa"/>
            <w:vAlign w:val="bottom"/>
          </w:tcPr>
          <w:p>
            <w:pPr>
              <w:spacing w:after="0" w:line="163" w:lineRule="exact"/>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40"/>
              <w:spacing w:after="0" w:line="163" w:lineRule="exact"/>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75"/>
        </w:trPr>
        <w:tc>
          <w:tcPr>
            <w:tcW w:w="1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Borders>
              <w:right w:val="single" w:sz="8" w:color="auto"/>
            </w:tcBorders>
            <w:gridSpan w:val="6"/>
          </w:tcPr>
          <w:p>
            <w:pPr>
              <w:jc w:val="center"/>
              <w:ind w:right="480"/>
              <w:spacing w:after="0" w:line="175" w:lineRule="exact"/>
              <w:rPr>
                <w:sz w:val="20"/>
                <w:szCs w:val="20"/>
                <w:color w:val="auto"/>
              </w:rPr>
            </w:pPr>
            <w:r>
              <w:rPr>
                <w:rFonts w:ascii="Arial" w:cs="Arial" w:eastAsia="Arial" w:hAnsi="Arial"/>
                <w:sz w:val="16"/>
                <w:szCs w:val="16"/>
                <w:b w:val="1"/>
                <w:bCs w:val="1"/>
                <w:i w:val="1"/>
                <w:iCs w:val="1"/>
                <w:color w:val="auto"/>
                <w:w w:val="97"/>
              </w:rPr>
              <w:t>CEO</w:t>
            </w:r>
          </w:p>
        </w:tc>
        <w:tc>
          <w:tcPr>
            <w:tcW w:w="406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Officer of GP LLC from PAA’s formation in 1998 until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Borders>
              <w:right w:val="single" w:sz="8" w:color="auto"/>
            </w:tcBorders>
            <w:gridSpan w:val="3"/>
          </w:tcPr>
          <w:p>
            <w:pPr>
              <w:ind w:left="40"/>
              <w:spacing w:after="0" w:line="175" w:lineRule="exact"/>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75"/>
        </w:trPr>
        <w:tc>
          <w:tcPr>
            <w:tcW w:w="1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Committees</w:t>
            </w:r>
          </w:p>
        </w:tc>
        <w:tc>
          <w:tcPr>
            <w:tcW w:w="100" w:type="dxa"/>
            <w:vAlign w:val="bottom"/>
            <w:gridSpan w:val="2"/>
            <w:vMerge w:val="restart"/>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his retirement from that position in October 2018. He</w:t>
            </w:r>
          </w:p>
        </w:tc>
        <w:tc>
          <w:tcPr>
            <w:tcW w:w="8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Governance/​Government</w:t>
            </w:r>
          </w:p>
        </w:tc>
        <w:tc>
          <w:tcPr>
            <w:tcW w:w="0" w:type="dxa"/>
            <w:vAlign w:val="bottom"/>
          </w:tcPr>
          <w:p>
            <w:pPr>
              <w:spacing w:after="0"/>
              <w:rPr>
                <w:sz w:val="1"/>
                <w:szCs w:val="1"/>
                <w:color w:val="auto"/>
              </w:rPr>
            </w:pPr>
          </w:p>
        </w:tc>
      </w:tr>
      <w:tr>
        <w:trPr>
          <w:trHeight w:val="100"/>
        </w:trPr>
        <w:tc>
          <w:tcPr>
            <w:tcW w:w="160" w:type="dxa"/>
            <w:vAlign w:val="bottom"/>
            <w:tcBorders>
              <w:lef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auto"/>
            </w:tcBorders>
            <w:vMerge w:val="continue"/>
          </w:tcPr>
          <w:p>
            <w:pPr>
              <w:spacing w:after="0"/>
              <w:rPr>
                <w:sz w:val="8"/>
                <w:szCs w:val="8"/>
                <w:color w:val="auto"/>
              </w:rPr>
            </w:pPr>
          </w:p>
        </w:tc>
        <w:tc>
          <w:tcPr>
            <w:tcW w:w="1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406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served as a director of PAA’s general partner or former</w:t>
            </w:r>
          </w:p>
        </w:tc>
        <w:tc>
          <w:tcPr>
            <w:tcW w:w="8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200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60" w:type="dxa"/>
            <w:vAlign w:val="bottom"/>
            <w:tcBorders>
              <w:lef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406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Relations/Legal</w:t>
            </w:r>
          </w:p>
        </w:tc>
        <w:tc>
          <w:tcPr>
            <w:tcW w:w="0" w:type="dxa"/>
            <w:vAlign w:val="bottom"/>
          </w:tcPr>
          <w:p>
            <w:pPr>
              <w:spacing w:after="0"/>
              <w:rPr>
                <w:sz w:val="1"/>
                <w:szCs w:val="1"/>
                <w:color w:val="auto"/>
              </w:rPr>
            </w:pPr>
          </w:p>
        </w:tc>
      </w:tr>
      <w:tr>
        <w:trPr>
          <w:trHeight w:val="178"/>
        </w:trPr>
        <w:tc>
          <w:tcPr>
            <w:tcW w:w="1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Borders>
              <w:right w:val="single" w:sz="8" w:color="auto"/>
            </w:tcBorders>
            <w:gridSpan w:val="6"/>
          </w:tcPr>
          <w:p>
            <w:pPr>
              <w:jc w:val="center"/>
              <w:ind w:right="480"/>
              <w:spacing w:after="0" w:line="178" w:lineRule="exact"/>
              <w:rPr>
                <w:sz w:val="20"/>
                <w:szCs w:val="20"/>
                <w:color w:val="auto"/>
              </w:rPr>
            </w:pPr>
            <w:r>
              <w:rPr>
                <w:rFonts w:ascii="Arial" w:cs="Arial" w:eastAsia="Arial" w:hAnsi="Arial"/>
                <w:sz w:val="16"/>
                <w:szCs w:val="16"/>
                <w:color w:val="auto"/>
                <w:w w:val="99"/>
              </w:rPr>
              <w:t>None</w:t>
            </w:r>
          </w:p>
        </w:tc>
        <w:tc>
          <w:tcPr>
            <w:tcW w:w="4060" w:type="dxa"/>
            <w:vAlign w:val="bottom"/>
            <w:tcBorders>
              <w:right w:val="single" w:sz="8" w:color="auto"/>
            </w:tcBorders>
          </w:tcPr>
          <w:p>
            <w:pPr>
              <w:ind w:left="80"/>
              <w:spacing w:after="0" w:line="178" w:lineRule="exact"/>
              <w:rPr>
                <w:sz w:val="20"/>
                <w:szCs w:val="20"/>
                <w:color w:val="auto"/>
              </w:rPr>
            </w:pPr>
            <w:r>
              <w:rPr>
                <w:rFonts w:ascii="Arial" w:cs="Arial" w:eastAsia="Arial" w:hAnsi="Arial"/>
                <w:sz w:val="16"/>
                <w:szCs w:val="16"/>
                <w:color w:val="auto"/>
              </w:rPr>
              <w:t>general partner from PAA’s formation until November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60" w:type="dxa"/>
            <w:vAlign w:val="bottom"/>
            <w:tcBorders>
              <w:lef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406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6"/>
                <w:szCs w:val="16"/>
                <w:color w:val="auto"/>
              </w:rPr>
              <w:t>2016 when the Board of PAGP GP assumed</w:t>
            </w:r>
          </w:p>
        </w:tc>
        <w:tc>
          <w:tcPr>
            <w:tcW w:w="80" w:type="dxa"/>
            <w:vAlign w:val="bottom"/>
          </w:tcPr>
          <w:p>
            <w:pPr>
              <w:spacing w:after="0"/>
              <w:rPr>
                <w:sz w:val="13"/>
                <w:szCs w:val="13"/>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68"/>
        </w:trPr>
        <w:tc>
          <w:tcPr>
            <w:tcW w:w="160" w:type="dxa"/>
            <w:vAlign w:val="bottom"/>
            <w:tcBorders>
              <w:lef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4060" w:type="dxa"/>
            <w:vAlign w:val="bottom"/>
            <w:tcBorders>
              <w:right w:val="single" w:sz="8" w:color="auto"/>
            </w:tcBorders>
            <w:vMerge w:val="restart"/>
          </w:tcPr>
          <w:p>
            <w:pPr>
              <w:ind w:left="80"/>
              <w:spacing w:after="0" w:line="163" w:lineRule="exact"/>
              <w:rPr>
                <w:sz w:val="20"/>
                <w:szCs w:val="20"/>
                <w:color w:val="auto"/>
              </w:rPr>
            </w:pPr>
            <w:r>
              <w:rPr>
                <w:rFonts w:ascii="Arial" w:cs="Arial" w:eastAsia="Arial" w:hAnsi="Arial"/>
                <w:sz w:val="16"/>
                <w:szCs w:val="16"/>
                <w:color w:val="auto"/>
              </w:rPr>
              <w:t>responsibility for PAA in addition to PAGP and Plains</w:t>
            </w:r>
          </w:p>
        </w:tc>
        <w:tc>
          <w:tcPr>
            <w:tcW w:w="8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00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60" w:type="dxa"/>
            <w:vAlign w:val="bottom"/>
            <w:tcBorders>
              <w:lef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406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Construction/​Technical</w:t>
            </w:r>
          </w:p>
        </w:tc>
        <w:tc>
          <w:tcPr>
            <w:tcW w:w="0" w:type="dxa"/>
            <w:vAlign w:val="bottom"/>
          </w:tcPr>
          <w:p>
            <w:pPr>
              <w:spacing w:after="0"/>
              <w:rPr>
                <w:sz w:val="1"/>
                <w:szCs w:val="1"/>
                <w:color w:val="auto"/>
              </w:rPr>
            </w:pPr>
          </w:p>
        </w:tc>
      </w:tr>
      <w:tr>
        <w:trPr>
          <w:trHeight w:val="119"/>
        </w:trPr>
        <w:tc>
          <w:tcPr>
            <w:tcW w:w="160" w:type="dxa"/>
            <w:vAlign w:val="bottom"/>
            <w:tcBorders>
              <w:lef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406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AAP. In addition, he was President, Chief Executive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60" w:type="dxa"/>
            <w:vAlign w:val="bottom"/>
            <w:tcBorders>
              <w:lef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406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80"/>
              <w:spacing w:after="0" w:line="176" w:lineRule="exact"/>
              <w:rPr>
                <w:sz w:val="20"/>
                <w:szCs w:val="20"/>
                <w:color w:val="auto"/>
              </w:rPr>
            </w:pPr>
            <w:r>
              <w:rPr>
                <w:rFonts w:ascii="Arial" w:cs="Arial" w:eastAsia="Arial" w:hAnsi="Arial"/>
                <w:sz w:val="16"/>
                <w:szCs w:val="16"/>
                <w:color w:val="auto"/>
              </w:rPr>
              <w:t>Officer and director of Plains Resources Inc. from</w:t>
            </w:r>
          </w:p>
        </w:tc>
        <w:tc>
          <w:tcPr>
            <w:tcW w:w="80" w:type="dxa"/>
            <w:vAlign w:val="bottom"/>
          </w:tcPr>
          <w:p>
            <w:pPr>
              <w:spacing w:after="0"/>
              <w:rPr>
                <w:sz w:val="15"/>
                <w:szCs w:val="15"/>
                <w:color w:val="auto"/>
              </w:rPr>
            </w:pPr>
          </w:p>
        </w:tc>
        <w:tc>
          <w:tcPr>
            <w:tcW w:w="120" w:type="dxa"/>
            <w:vAlign w:val="bottom"/>
          </w:tcPr>
          <w:p>
            <w:pPr>
              <w:spacing w:after="0" w:line="176" w:lineRule="exact"/>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40"/>
              <w:spacing w:after="0" w:line="176" w:lineRule="exact"/>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62"/>
        </w:trPr>
        <w:tc>
          <w:tcPr>
            <w:tcW w:w="16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406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6"/>
                <w:szCs w:val="16"/>
                <w:color w:val="auto"/>
              </w:rPr>
              <w:t>1992 to May 2001 and served in various roles of</w:t>
            </w:r>
          </w:p>
        </w:tc>
        <w:tc>
          <w:tcPr>
            <w:tcW w:w="8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75"/>
        </w:trPr>
        <w:tc>
          <w:tcPr>
            <w:tcW w:w="1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increasing responsibility from 1981 to 1992.</w:t>
            </w: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200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Mr. Armstrong served as a director of the Federal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6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406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Reserve Bank of Dallas from 2015 to 2021, retiring as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Chair at the end of 2021. Mr. Armstrong also served as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6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406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a director of NOV, Inc. and its predecessors from 2004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to May 2025, including serving as lead director from</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May 2023 until May 2025. Mr. Armstrong currently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6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406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serves as chair of the board of the Memorial Hermann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Health System. Mr. Armstrong also serves on the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board of the Houston Zoo and is a member of the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6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406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advisory board of the Maguire Energy Institute at the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Cox School of Business at Southern Methodist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6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406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University, the Baker Institute and Veriten, and is a</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past Chairman of the National Petroleum Council.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Mr. Armstrong’s experience with PAA since its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6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406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formation, including as former Chairman and CEO,</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and his long-time involvement in the energy industry,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provide the Board with invaluable insight and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40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perspective.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160" w:type="dxa"/>
            <w:vAlign w:val="bottom"/>
            <w:tcBorders>
              <w:left w:val="single" w:sz="8" w:color="auto"/>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406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60" w:type="dxa"/>
            <w:vAlign w:val="bottom"/>
            <w:tcBorders>
              <w:left w:val="single" w:sz="8" w:color="auto"/>
            </w:tcBorders>
          </w:tcPr>
          <w:p>
            <w:pPr>
              <w:spacing w:after="0"/>
              <w:rPr>
                <w:sz w:val="14"/>
                <w:szCs w:val="14"/>
                <w:color w:val="auto"/>
              </w:rPr>
            </w:pPr>
          </w:p>
        </w:tc>
        <w:tc>
          <w:tcPr>
            <w:tcW w:w="1800" w:type="dxa"/>
            <w:vAlign w:val="bottom"/>
            <w:tcBorders>
              <w:right w:val="single" w:sz="8" w:color="auto"/>
            </w:tcBorders>
            <w:gridSpan w:val="9"/>
          </w:tcPr>
          <w:p>
            <w:pPr>
              <w:jc w:val="center"/>
              <w:ind w:right="140"/>
              <w:spacing w:after="0" w:line="169" w:lineRule="exact"/>
              <w:rPr>
                <w:sz w:val="20"/>
                <w:szCs w:val="20"/>
                <w:color w:val="auto"/>
              </w:rPr>
            </w:pPr>
            <w:r>
              <w:rPr>
                <w:rFonts w:ascii="Arial" w:cs="Arial" w:eastAsia="Arial" w:hAnsi="Arial"/>
                <w:sz w:val="16"/>
                <w:szCs w:val="16"/>
                <w:b w:val="1"/>
                <w:bCs w:val="1"/>
                <w:color w:val="auto"/>
                <w:w w:val="97"/>
              </w:rPr>
              <w:t>JOHN T. RAYMOND</w:t>
            </w:r>
          </w:p>
        </w:tc>
        <w:tc>
          <w:tcPr>
            <w:tcW w:w="406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6"/>
                <w:szCs w:val="16"/>
                <w:i w:val="1"/>
                <w:iCs w:val="1"/>
                <w:color w:val="auto"/>
              </w:rPr>
              <w:t>John T. Raymond, age 55</w:t>
            </w:r>
            <w:r>
              <w:rPr>
                <w:rFonts w:ascii="Arial" w:cs="Arial" w:eastAsia="Arial" w:hAnsi="Arial"/>
                <w:sz w:val="16"/>
                <w:szCs w:val="16"/>
                <w:color w:val="auto"/>
              </w:rPr>
              <w:t>, has served as a director of</w:t>
            </w:r>
          </w:p>
        </w:tc>
        <w:tc>
          <w:tcPr>
            <w:tcW w:w="80" w:type="dxa"/>
            <w:vAlign w:val="bottom"/>
          </w:tcPr>
          <w:p>
            <w:pPr>
              <w:spacing w:after="0"/>
              <w:rPr>
                <w:sz w:val="14"/>
                <w:szCs w:val="14"/>
                <w:color w:val="auto"/>
              </w:rPr>
            </w:pPr>
          </w:p>
        </w:tc>
        <w:tc>
          <w:tcPr>
            <w:tcW w:w="2120" w:type="dxa"/>
            <w:vAlign w:val="bottom"/>
            <w:tcBorders>
              <w:right w:val="single" w:sz="8" w:color="auto"/>
            </w:tcBorders>
            <w:gridSpan w:val="4"/>
          </w:tcPr>
          <w:p>
            <w:pPr>
              <w:spacing w:after="0" w:line="169" w:lineRule="exact"/>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42"/>
        </w:trPr>
        <w:tc>
          <w:tcPr>
            <w:tcW w:w="160" w:type="dxa"/>
            <w:vAlign w:val="bottom"/>
            <w:tcBorders>
              <w:lef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Borders>
              <w:right w:val="single" w:sz="8" w:color="auto"/>
            </w:tcBorders>
            <w:gridSpan w:val="7"/>
            <w:vMerge w:val="restart"/>
          </w:tcPr>
          <w:p>
            <w:pPr>
              <w:jc w:val="center"/>
              <w:ind w:right="440"/>
              <w:spacing w:after="0"/>
              <w:rPr>
                <w:sz w:val="20"/>
                <w:szCs w:val="20"/>
                <w:color w:val="auto"/>
              </w:rPr>
            </w:pPr>
            <w:r>
              <w:rPr>
                <w:rFonts w:ascii="Arial" w:cs="Arial" w:eastAsia="Arial" w:hAnsi="Arial"/>
                <w:sz w:val="16"/>
                <w:szCs w:val="16"/>
                <w:b w:val="1"/>
                <w:bCs w:val="1"/>
                <w:i w:val="1"/>
                <w:iCs w:val="1"/>
                <w:color w:val="auto"/>
              </w:rPr>
              <w:t>Lead Director</w:t>
            </w:r>
          </w:p>
        </w:tc>
        <w:tc>
          <w:tcPr>
            <w:tcW w:w="4060" w:type="dxa"/>
            <w:vAlign w:val="bottom"/>
            <w:tcBorders>
              <w:right w:val="single" w:sz="8" w:color="auto"/>
            </w:tcBorders>
          </w:tcPr>
          <w:p>
            <w:pPr>
              <w:ind w:left="80"/>
              <w:spacing w:after="0" w:line="142" w:lineRule="exact"/>
              <w:rPr>
                <w:sz w:val="20"/>
                <w:szCs w:val="20"/>
                <w:color w:val="auto"/>
              </w:rPr>
            </w:pPr>
            <w:r>
              <w:rPr>
                <w:rFonts w:ascii="Arial" w:cs="Arial" w:eastAsia="Arial" w:hAnsi="Arial"/>
                <w:sz w:val="16"/>
                <w:szCs w:val="16"/>
                <w:color w:val="auto"/>
              </w:rPr>
              <w:t>PAGP GP since October 2013 and as Lead Director</w:t>
            </w:r>
          </w:p>
        </w:tc>
        <w:tc>
          <w:tcPr>
            <w:tcW w:w="80" w:type="dxa"/>
            <w:vAlign w:val="bottom"/>
          </w:tcPr>
          <w:p>
            <w:pPr>
              <w:spacing w:after="0"/>
              <w:rPr>
                <w:sz w:val="12"/>
                <w:szCs w:val="12"/>
                <w:color w:val="auto"/>
              </w:rPr>
            </w:pPr>
          </w:p>
        </w:tc>
        <w:tc>
          <w:tcPr>
            <w:tcW w:w="7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6"/>
                <w:szCs w:val="16"/>
                <w:color w:val="auto"/>
                <w:w w:val="97"/>
              </w:rPr>
              <w:t>Attributes:</w:t>
            </w:r>
          </w:p>
        </w:tc>
        <w:tc>
          <w:tcPr>
            <w:tcW w:w="760" w:type="dxa"/>
            <w:vAlign w:val="bottom"/>
            <w:tcBorders>
              <w:top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60" w:type="dxa"/>
            <w:vAlign w:val="bottom"/>
            <w:tcBorders>
              <w:lef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80" w:type="dxa"/>
            <w:vAlign w:val="bottom"/>
            <w:tcBorders>
              <w:right w:val="single" w:sz="8" w:color="auto"/>
            </w:tcBorders>
            <w:gridSpan w:val="7"/>
            <w:vMerge w:val="continue"/>
          </w:tcPr>
          <w:p>
            <w:pPr>
              <w:spacing w:after="0"/>
              <w:rPr>
                <w:sz w:val="7"/>
                <w:szCs w:val="7"/>
                <w:color w:val="auto"/>
              </w:rPr>
            </w:pPr>
          </w:p>
        </w:tc>
        <w:tc>
          <w:tcPr>
            <w:tcW w:w="4060" w:type="dxa"/>
            <w:vAlign w:val="bottom"/>
            <w:tcBorders>
              <w:right w:val="single" w:sz="8" w:color="auto"/>
            </w:tcBorders>
            <w:vMerge w:val="restart"/>
          </w:tcPr>
          <w:p>
            <w:pPr>
              <w:ind w:left="80"/>
              <w:spacing w:after="0" w:line="155" w:lineRule="exact"/>
              <w:rPr>
                <w:sz w:val="20"/>
                <w:szCs w:val="20"/>
                <w:color w:val="auto"/>
              </w:rPr>
            </w:pPr>
            <w:r>
              <w:rPr>
                <w:rFonts w:ascii="Arial" w:cs="Arial" w:eastAsia="Arial" w:hAnsi="Arial"/>
                <w:sz w:val="16"/>
                <w:szCs w:val="16"/>
                <w:color w:val="auto"/>
              </w:rPr>
              <w:t>since June 2025. He served as a director of PAA’s</w:t>
            </w:r>
          </w:p>
        </w:tc>
        <w:tc>
          <w:tcPr>
            <w:tcW w:w="80" w:type="dxa"/>
            <w:vAlign w:val="bottom"/>
          </w:tcPr>
          <w:p>
            <w:pPr>
              <w:spacing w:after="0"/>
              <w:rPr>
                <w:sz w:val="7"/>
                <w:szCs w:val="7"/>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Public Company</w:t>
            </w:r>
          </w:p>
        </w:tc>
        <w:tc>
          <w:tcPr>
            <w:tcW w:w="0" w:type="dxa"/>
            <w:vAlign w:val="bottom"/>
          </w:tcPr>
          <w:p>
            <w:pPr>
              <w:spacing w:after="0"/>
              <w:rPr>
                <w:sz w:val="1"/>
                <w:szCs w:val="1"/>
                <w:color w:val="auto"/>
              </w:rPr>
            </w:pPr>
          </w:p>
        </w:tc>
      </w:tr>
      <w:tr>
        <w:trPr>
          <w:trHeight w:val="47"/>
        </w:trPr>
        <w:tc>
          <w:tcPr>
            <w:tcW w:w="160" w:type="dxa"/>
            <w:vAlign w:val="bottom"/>
            <w:tcBorders>
              <w:lef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406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2000" w:type="dxa"/>
            <w:vAlign w:val="bottom"/>
            <w:tcBorders>
              <w:right w:val="single" w:sz="8" w:color="auto"/>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16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60" w:type="dxa"/>
            <w:vAlign w:val="bottom"/>
            <w:tcBorders>
              <w:right w:val="single" w:sz="8" w:color="auto"/>
            </w:tcBorders>
            <w:gridSpan w:val="6"/>
            <w:vMerge w:val="restart"/>
          </w:tcPr>
          <w:p>
            <w:pPr>
              <w:jc w:val="center"/>
              <w:ind w:right="460"/>
              <w:spacing w:after="0"/>
              <w:rPr>
                <w:sz w:val="20"/>
                <w:szCs w:val="20"/>
                <w:color w:val="auto"/>
              </w:rPr>
            </w:pPr>
            <w:r>
              <w:rPr>
                <w:rFonts w:ascii="Arial" w:cs="Arial" w:eastAsia="Arial" w:hAnsi="Arial"/>
                <w:sz w:val="16"/>
                <w:szCs w:val="16"/>
                <w:b w:val="1"/>
                <w:bCs w:val="1"/>
                <w:color w:val="auto"/>
              </w:rPr>
              <w:t>Independent</w:t>
            </w:r>
          </w:p>
        </w:tc>
        <w:tc>
          <w:tcPr>
            <w:tcW w:w="406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general partner from December 2010 until November</w:t>
            </w: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200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60" w:type="dxa"/>
            <w:vAlign w:val="bottom"/>
            <w:tcBorders>
              <w:lef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60" w:type="dxa"/>
            <w:vAlign w:val="bottom"/>
            <w:tcBorders>
              <w:right w:val="single" w:sz="8" w:color="auto"/>
            </w:tcBorders>
            <w:gridSpan w:val="6"/>
            <w:vMerge w:val="continue"/>
          </w:tcPr>
          <w:p>
            <w:pPr>
              <w:spacing w:after="0"/>
              <w:rPr>
                <w:sz w:val="8"/>
                <w:szCs w:val="8"/>
                <w:color w:val="auto"/>
              </w:rPr>
            </w:pPr>
          </w:p>
        </w:tc>
        <w:tc>
          <w:tcPr>
            <w:tcW w:w="406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34"/>
        </w:trPr>
        <w:tc>
          <w:tcPr>
            <w:tcW w:w="160" w:type="dxa"/>
            <w:vAlign w:val="bottom"/>
            <w:tcBorders>
              <w:left w:val="single" w:sz="8" w:color="auto"/>
            </w:tcBorders>
          </w:tcPr>
          <w:p>
            <w:pPr>
              <w:spacing w:after="0"/>
              <w:rPr>
                <w:sz w:val="11"/>
                <w:szCs w:val="11"/>
                <w:color w:val="auto"/>
              </w:rPr>
            </w:pPr>
          </w:p>
        </w:tc>
        <w:tc>
          <w:tcPr>
            <w:tcW w:w="1800" w:type="dxa"/>
            <w:vAlign w:val="bottom"/>
            <w:tcBorders>
              <w:right w:val="single" w:sz="8" w:color="auto"/>
            </w:tcBorders>
            <w:gridSpan w:val="9"/>
            <w:vMerge w:val="restart"/>
          </w:tcPr>
          <w:p>
            <w:pPr>
              <w:jc w:val="center"/>
              <w:ind w:right="140"/>
              <w:spacing w:after="0"/>
              <w:rPr>
                <w:sz w:val="20"/>
                <w:szCs w:val="20"/>
                <w:color w:val="auto"/>
              </w:rPr>
            </w:pPr>
            <w:r>
              <w:rPr>
                <w:rFonts w:ascii="Arial" w:cs="Arial" w:eastAsia="Arial" w:hAnsi="Arial"/>
                <w:sz w:val="16"/>
                <w:szCs w:val="16"/>
                <w:b w:val="1"/>
                <w:bCs w:val="1"/>
                <w:i w:val="1"/>
                <w:iCs w:val="1"/>
                <w:color w:val="auto"/>
              </w:rPr>
              <w:t>PAGP/PAA Director</w:t>
            </w:r>
          </w:p>
        </w:tc>
        <w:tc>
          <w:tcPr>
            <w:tcW w:w="4060" w:type="dxa"/>
            <w:vAlign w:val="bottom"/>
            <w:tcBorders>
              <w:right w:val="single" w:sz="8" w:color="auto"/>
            </w:tcBorders>
          </w:tcPr>
          <w:p>
            <w:pPr>
              <w:ind w:left="80"/>
              <w:spacing w:after="0" w:line="134" w:lineRule="exact"/>
              <w:rPr>
                <w:sz w:val="20"/>
                <w:szCs w:val="20"/>
                <w:color w:val="auto"/>
              </w:rPr>
            </w:pPr>
            <w:r>
              <w:rPr>
                <w:rFonts w:ascii="Arial" w:cs="Arial" w:eastAsia="Arial" w:hAnsi="Arial"/>
                <w:sz w:val="15"/>
                <w:szCs w:val="15"/>
                <w:color w:val="auto"/>
              </w:rPr>
              <w:t>2016. Mr. Raymond is the founder and majority owner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60" w:type="dxa"/>
            <w:vAlign w:val="bottom"/>
            <w:tcBorders>
              <w:left w:val="single" w:sz="8" w:color="auto"/>
            </w:tcBorders>
          </w:tcPr>
          <w:p>
            <w:pPr>
              <w:spacing w:after="0"/>
              <w:rPr>
                <w:sz w:val="14"/>
                <w:szCs w:val="14"/>
                <w:color w:val="auto"/>
              </w:rPr>
            </w:pPr>
          </w:p>
        </w:tc>
        <w:tc>
          <w:tcPr>
            <w:tcW w:w="1800" w:type="dxa"/>
            <w:vAlign w:val="bottom"/>
            <w:tcBorders>
              <w:right w:val="single" w:sz="8" w:color="auto"/>
            </w:tcBorders>
            <w:gridSpan w:val="9"/>
            <w:vMerge w:val="continue"/>
          </w:tcPr>
          <w:p>
            <w:pPr>
              <w:spacing w:after="0"/>
              <w:rPr>
                <w:sz w:val="14"/>
                <w:szCs w:val="14"/>
                <w:color w:val="auto"/>
              </w:rPr>
            </w:pPr>
          </w:p>
        </w:tc>
        <w:tc>
          <w:tcPr>
            <w:tcW w:w="406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of EMG, which is the management company for a</w:t>
            </w:r>
          </w:p>
        </w:tc>
        <w:tc>
          <w:tcPr>
            <w:tcW w:w="8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06"/>
        </w:trPr>
        <w:tc>
          <w:tcPr>
            <w:tcW w:w="16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60" w:type="dxa"/>
            <w:vAlign w:val="bottom"/>
            <w:tcBorders>
              <w:right w:val="single" w:sz="8" w:color="auto"/>
            </w:tcBorders>
            <w:gridSpan w:val="6"/>
            <w:vMerge w:val="restart"/>
          </w:tcPr>
          <w:p>
            <w:pPr>
              <w:jc w:val="center"/>
              <w:ind w:right="480"/>
              <w:spacing w:after="0" w:line="175" w:lineRule="exact"/>
              <w:rPr>
                <w:sz w:val="20"/>
                <w:szCs w:val="20"/>
                <w:color w:val="auto"/>
              </w:rPr>
            </w:pPr>
            <w:r>
              <w:rPr>
                <w:rFonts w:ascii="Arial" w:cs="Arial" w:eastAsia="Arial" w:hAnsi="Arial"/>
                <w:sz w:val="16"/>
                <w:szCs w:val="16"/>
                <w:b w:val="1"/>
                <w:bCs w:val="1"/>
                <w:i w:val="1"/>
                <w:iCs w:val="1"/>
                <w:color w:val="auto"/>
              </w:rPr>
              <w:t>since 2010</w:t>
            </w:r>
          </w:p>
        </w:tc>
        <w:tc>
          <w:tcPr>
            <w:tcW w:w="406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series of specialized private equity funds. EMG was</w:t>
            </w: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200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160" w:type="dxa"/>
            <w:vAlign w:val="bottom"/>
            <w:tcBorders>
              <w:lef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60" w:type="dxa"/>
            <w:vAlign w:val="bottom"/>
            <w:tcBorders>
              <w:right w:val="single" w:sz="8" w:color="auto"/>
            </w:tcBorders>
            <w:gridSpan w:val="6"/>
            <w:vMerge w:val="continue"/>
          </w:tcPr>
          <w:p>
            <w:pPr>
              <w:spacing w:after="0"/>
              <w:rPr>
                <w:sz w:val="5"/>
                <w:szCs w:val="5"/>
                <w:color w:val="auto"/>
              </w:rPr>
            </w:pPr>
          </w:p>
        </w:tc>
        <w:tc>
          <w:tcPr>
            <w:tcW w:w="406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Committees: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founded in 2006 and focuses on investing across</w:t>
            </w:r>
          </w:p>
        </w:tc>
        <w:tc>
          <w:tcPr>
            <w:tcW w:w="80" w:type="dxa"/>
            <w:vAlign w:val="bottom"/>
          </w:tcPr>
          <w:p>
            <w:pPr>
              <w:spacing w:after="0"/>
              <w:rPr>
                <w:sz w:val="15"/>
                <w:szCs w:val="15"/>
                <w:color w:val="auto"/>
              </w:rPr>
            </w:pPr>
          </w:p>
        </w:tc>
        <w:tc>
          <w:tcPr>
            <w:tcW w:w="12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40"/>
              <w:spacing w:after="0" w:line="175" w:lineRule="exact"/>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00"/>
        </w:trPr>
        <w:tc>
          <w:tcPr>
            <w:tcW w:w="160" w:type="dxa"/>
            <w:vAlign w:val="bottom"/>
            <w:tcBorders>
              <w:lef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bottom w:val="single" w:sz="8" w:color="auto"/>
            </w:tcBorders>
            <w:gridSpan w:val="2"/>
            <w:vMerge w:val="continue"/>
          </w:tcPr>
          <w:p>
            <w:pPr>
              <w:spacing w:after="0"/>
              <w:rPr>
                <w:sz w:val="8"/>
                <w:szCs w:val="8"/>
                <w:color w:val="auto"/>
              </w:rPr>
            </w:pPr>
          </w:p>
        </w:tc>
        <w:tc>
          <w:tcPr>
            <w:tcW w:w="160" w:type="dxa"/>
            <w:vAlign w:val="bottom"/>
            <w:gridSpan w:val="2"/>
            <w:vMerge w:val="restart"/>
          </w:tcPr>
          <w:p>
            <w:pPr>
              <w:spacing w:after="0"/>
              <w:rPr>
                <w:sz w:val="8"/>
                <w:szCs w:val="8"/>
                <w:color w:val="auto"/>
              </w:rPr>
            </w:pPr>
          </w:p>
        </w:tc>
        <w:tc>
          <w:tcPr>
            <w:tcW w:w="140" w:type="dxa"/>
            <w:vAlign w:val="bottom"/>
            <w:vMerge w:val="restart"/>
          </w:tcPr>
          <w:p>
            <w:pPr>
              <w:spacing w:after="0"/>
              <w:rPr>
                <w:sz w:val="8"/>
                <w:szCs w:val="8"/>
                <w:color w:val="auto"/>
              </w:rPr>
            </w:pPr>
          </w:p>
        </w:tc>
        <w:tc>
          <w:tcPr>
            <w:tcW w:w="180" w:type="dxa"/>
            <w:vAlign w:val="bottom"/>
            <w:tcBorders>
              <w:right w:val="single" w:sz="8" w:color="auto"/>
            </w:tcBorders>
            <w:vMerge w:val="restart"/>
          </w:tcPr>
          <w:p>
            <w:pPr>
              <w:spacing w:after="0"/>
              <w:rPr>
                <w:sz w:val="8"/>
                <w:szCs w:val="8"/>
                <w:color w:val="auto"/>
              </w:rPr>
            </w:pPr>
          </w:p>
        </w:tc>
        <w:tc>
          <w:tcPr>
            <w:tcW w:w="4060" w:type="dxa"/>
            <w:vAlign w:val="bottom"/>
            <w:tcBorders>
              <w:right w:val="single" w:sz="8" w:color="auto"/>
            </w:tcBorders>
            <w:vMerge w:val="restart"/>
          </w:tcPr>
          <w:p>
            <w:pPr>
              <w:ind w:left="80"/>
              <w:spacing w:after="0" w:line="163" w:lineRule="exact"/>
              <w:rPr>
                <w:sz w:val="20"/>
                <w:szCs w:val="20"/>
                <w:color w:val="auto"/>
              </w:rPr>
            </w:pPr>
            <w:r>
              <w:rPr>
                <w:rFonts w:ascii="Arial" w:cs="Arial" w:eastAsia="Arial" w:hAnsi="Arial"/>
                <w:sz w:val="16"/>
                <w:szCs w:val="16"/>
                <w:color w:val="auto"/>
              </w:rPr>
              <w:t>various facets of the global natural resource industry</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0" w:type="dxa"/>
            <w:vAlign w:val="bottom"/>
            <w:tcBorders>
              <w:right w:val="single" w:sz="8" w:color="auto"/>
            </w:tcBorders>
            <w:gridSpan w:val="3"/>
            <w:vMerge w:val="restart"/>
          </w:tcPr>
          <w:p>
            <w:pPr>
              <w:ind w:left="40"/>
              <w:spacing w:after="0" w:line="163" w:lineRule="exact"/>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48"/>
        </w:trPr>
        <w:tc>
          <w:tcPr>
            <w:tcW w:w="160" w:type="dxa"/>
            <w:vAlign w:val="bottom"/>
            <w:tcBorders>
              <w:lef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80" w:type="dxa"/>
            <w:vAlign w:val="bottom"/>
            <w:tcBorders>
              <w:right w:val="single" w:sz="8" w:color="auto"/>
            </w:tcBorders>
            <w:vMerge w:val="continue"/>
          </w:tcPr>
          <w:p>
            <w:pPr>
              <w:spacing w:after="0"/>
              <w:rPr>
                <w:sz w:val="4"/>
                <w:szCs w:val="4"/>
                <w:color w:val="auto"/>
              </w:rPr>
            </w:pPr>
          </w:p>
        </w:tc>
        <w:tc>
          <w:tcPr>
            <w:tcW w:w="406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tcBorders>
              <w:right w:val="single" w:sz="8" w:color="auto"/>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6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Borders>
              <w:right w:val="single" w:sz="8" w:color="auto"/>
            </w:tcBorders>
            <w:gridSpan w:val="7"/>
          </w:tcPr>
          <w:p>
            <w:pPr>
              <w:jc w:val="center"/>
              <w:ind w:right="460"/>
              <w:spacing w:after="0"/>
              <w:rPr>
                <w:sz w:val="20"/>
                <w:szCs w:val="20"/>
                <w:color w:val="auto"/>
              </w:rPr>
            </w:pPr>
            <w:r>
              <w:rPr>
                <w:rFonts w:ascii="Arial" w:cs="Arial" w:eastAsia="Arial" w:hAnsi="Arial"/>
                <w:sz w:val="16"/>
                <w:szCs w:val="16"/>
                <w:color w:val="auto"/>
                <w:w w:val="98"/>
              </w:rPr>
              <w:t>Compensation</w:t>
            </w:r>
          </w:p>
        </w:tc>
        <w:tc>
          <w:tcPr>
            <w:tcW w:w="40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including the upstream and midstream segments of</w:t>
            </w:r>
          </w:p>
        </w:tc>
        <w:tc>
          <w:tcPr>
            <w:tcW w:w="80" w:type="dxa"/>
            <w:vAlign w:val="bottom"/>
          </w:tcPr>
          <w:p>
            <w:pPr>
              <w:spacing w:after="0"/>
              <w:rPr>
                <w:sz w:val="16"/>
                <w:szCs w:val="16"/>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Governance/​Government</w:t>
            </w:r>
          </w:p>
        </w:tc>
        <w:tc>
          <w:tcPr>
            <w:tcW w:w="0" w:type="dxa"/>
            <w:vAlign w:val="bottom"/>
          </w:tcPr>
          <w:p>
            <w:pPr>
              <w:spacing w:after="0"/>
              <w:rPr>
                <w:sz w:val="1"/>
                <w:szCs w:val="1"/>
                <w:color w:val="auto"/>
              </w:rPr>
            </w:pPr>
          </w:p>
        </w:tc>
      </w:tr>
      <w:tr>
        <w:trPr>
          <w:trHeight w:val="107"/>
        </w:trPr>
        <w:tc>
          <w:tcPr>
            <w:tcW w:w="16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4060" w:type="dxa"/>
            <w:vAlign w:val="bottom"/>
            <w:tcBorders>
              <w:right w:val="single" w:sz="8" w:color="auto"/>
            </w:tcBorders>
            <w:vMerge w:val="restart"/>
          </w:tcPr>
          <w:p>
            <w:pPr>
              <w:ind w:left="80"/>
              <w:spacing w:after="0" w:line="161" w:lineRule="exact"/>
              <w:rPr>
                <w:sz w:val="20"/>
                <w:szCs w:val="20"/>
                <w:color w:val="auto"/>
              </w:rPr>
            </w:pPr>
            <w:r>
              <w:rPr>
                <w:rFonts w:ascii="Arial" w:cs="Arial" w:eastAsia="Arial" w:hAnsi="Arial"/>
                <w:sz w:val="16"/>
                <w:szCs w:val="16"/>
                <w:color w:val="auto"/>
              </w:rPr>
              <w:t>the energy complex. As of September 30, 2025, EMG</w:t>
            </w: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200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60" w:type="dxa"/>
            <w:vAlign w:val="bottom"/>
            <w:tcBorders>
              <w:lef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660" w:type="dxa"/>
            <w:vAlign w:val="bottom"/>
            <w:tcBorders>
              <w:right w:val="single" w:sz="8" w:color="auto"/>
            </w:tcBorders>
            <w:gridSpan w:val="8"/>
            <w:vMerge w:val="restart"/>
          </w:tcPr>
          <w:p>
            <w:pPr>
              <w:jc w:val="center"/>
              <w:ind w:right="260"/>
              <w:spacing w:after="0"/>
              <w:rPr>
                <w:sz w:val="20"/>
                <w:szCs w:val="20"/>
                <w:color w:val="auto"/>
              </w:rPr>
            </w:pPr>
            <w:r>
              <w:rPr>
                <w:rFonts w:ascii="Arial" w:cs="Arial" w:eastAsia="Arial" w:hAnsi="Arial"/>
                <w:sz w:val="16"/>
                <w:szCs w:val="16"/>
                <w:color w:val="auto"/>
                <w:w w:val="99"/>
              </w:rPr>
              <w:t>Governance (chair)</w:t>
            </w:r>
          </w:p>
        </w:tc>
        <w:tc>
          <w:tcPr>
            <w:tcW w:w="406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Relations/Legal</w:t>
            </w:r>
          </w:p>
        </w:tc>
        <w:tc>
          <w:tcPr>
            <w:tcW w:w="0" w:type="dxa"/>
            <w:vAlign w:val="bottom"/>
          </w:tcPr>
          <w:p>
            <w:pPr>
              <w:spacing w:after="0"/>
              <w:rPr>
                <w:sz w:val="1"/>
                <w:szCs w:val="1"/>
                <w:color w:val="auto"/>
              </w:rPr>
            </w:pPr>
          </w:p>
        </w:tc>
      </w:tr>
      <w:tr>
        <w:trPr>
          <w:trHeight w:val="163"/>
        </w:trPr>
        <w:tc>
          <w:tcPr>
            <w:tcW w:w="16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Borders>
              <w:right w:val="single" w:sz="8" w:color="auto"/>
            </w:tcBorders>
            <w:gridSpan w:val="8"/>
            <w:vMerge w:val="continue"/>
          </w:tcPr>
          <w:p>
            <w:pPr>
              <w:spacing w:after="0"/>
              <w:rPr>
                <w:sz w:val="14"/>
                <w:szCs w:val="14"/>
                <w:color w:val="auto"/>
              </w:rPr>
            </w:pPr>
          </w:p>
        </w:tc>
        <w:tc>
          <w:tcPr>
            <w:tcW w:w="406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had approximately $12 billion of assets under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Borders>
              <w:right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960" w:type="dxa"/>
            <w:vAlign w:val="bottom"/>
            <w:tcBorders>
              <w:left w:val="single" w:sz="8" w:color="auto"/>
              <w:right w:val="single" w:sz="8" w:color="auto"/>
            </w:tcBorders>
            <w:gridSpan w:val="10"/>
            <w:vMerge w:val="restart"/>
          </w:tcPr>
          <w:p>
            <w:pPr>
              <w:jc w:val="center"/>
              <w:ind w:right="60"/>
              <w:spacing w:after="0"/>
              <w:rPr>
                <w:sz w:val="20"/>
                <w:szCs w:val="20"/>
                <w:color w:val="auto"/>
              </w:rPr>
            </w:pPr>
            <w:r>
              <w:rPr>
                <w:rFonts w:ascii="Arial" w:cs="Arial" w:eastAsia="Arial" w:hAnsi="Arial"/>
                <w:sz w:val="16"/>
                <w:szCs w:val="16"/>
                <w:b w:val="1"/>
                <w:bCs w:val="1"/>
                <w:color w:val="auto"/>
              </w:rPr>
              <w:t>Other Current Public</w:t>
            </w:r>
          </w:p>
        </w:tc>
        <w:tc>
          <w:tcPr>
            <w:tcW w:w="406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management. From 1998 until founding EMG,</w:t>
            </w:r>
          </w:p>
        </w:tc>
        <w:tc>
          <w:tcPr>
            <w:tcW w:w="8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82"/>
        </w:trPr>
        <w:tc>
          <w:tcPr>
            <w:tcW w:w="1960" w:type="dxa"/>
            <w:vAlign w:val="bottom"/>
            <w:tcBorders>
              <w:left w:val="single" w:sz="8" w:color="auto"/>
              <w:right w:val="single" w:sz="8" w:color="auto"/>
            </w:tcBorders>
            <w:gridSpan w:val="10"/>
            <w:vMerge w:val="continue"/>
          </w:tcPr>
          <w:p>
            <w:pPr>
              <w:spacing w:after="0"/>
              <w:rPr>
                <w:sz w:val="7"/>
                <w:szCs w:val="7"/>
                <w:color w:val="auto"/>
              </w:rPr>
            </w:pPr>
          </w:p>
        </w:tc>
        <w:tc>
          <w:tcPr>
            <w:tcW w:w="4060" w:type="dxa"/>
            <w:vAlign w:val="bottom"/>
            <w:tcBorders>
              <w:right w:val="single" w:sz="8" w:color="auto"/>
            </w:tcBorders>
            <w:vMerge w:val="restart"/>
          </w:tcPr>
          <w:p>
            <w:pPr>
              <w:ind w:left="80"/>
              <w:spacing w:after="0" w:line="163" w:lineRule="exact"/>
              <w:rPr>
                <w:sz w:val="20"/>
                <w:szCs w:val="20"/>
                <w:color w:val="auto"/>
              </w:rPr>
            </w:pPr>
            <w:r>
              <w:rPr>
                <w:rFonts w:ascii="Arial" w:cs="Arial" w:eastAsia="Arial" w:hAnsi="Arial"/>
                <w:sz w:val="16"/>
                <w:szCs w:val="16"/>
                <w:color w:val="auto"/>
              </w:rPr>
              <w:t>Mr. Raymond held various executive leadership</w:t>
            </w:r>
          </w:p>
        </w:tc>
        <w:tc>
          <w:tcPr>
            <w:tcW w:w="8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200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60" w:type="dxa"/>
            <w:vAlign w:val="bottom"/>
            <w:tcBorders>
              <w:left w:val="single" w:sz="8" w:color="auto"/>
            </w:tcBorders>
          </w:tcPr>
          <w:p>
            <w:pPr>
              <w:spacing w:after="0"/>
              <w:rPr>
                <w:sz w:val="5"/>
                <w:szCs w:val="5"/>
                <w:color w:val="auto"/>
              </w:rPr>
            </w:pPr>
          </w:p>
        </w:tc>
        <w:tc>
          <w:tcPr>
            <w:tcW w:w="1620" w:type="dxa"/>
            <w:vAlign w:val="bottom"/>
            <w:tcBorders>
              <w:top w:val="single" w:sz="8" w:color="auto"/>
            </w:tcBorders>
            <w:gridSpan w:val="8"/>
            <w:vMerge w:val="restart"/>
          </w:tcPr>
          <w:p>
            <w:pPr>
              <w:jc w:val="center"/>
              <w:spacing w:after="0" w:line="142" w:lineRule="exact"/>
              <w:rPr>
                <w:sz w:val="20"/>
                <w:szCs w:val="20"/>
                <w:color w:val="auto"/>
              </w:rPr>
            </w:pPr>
            <w:r>
              <w:rPr>
                <w:rFonts w:ascii="Arial" w:cs="Arial" w:eastAsia="Arial" w:hAnsi="Arial"/>
                <w:sz w:val="16"/>
                <w:szCs w:val="16"/>
                <w:b w:val="1"/>
                <w:bCs w:val="1"/>
                <w:color w:val="auto"/>
              </w:rPr>
              <w:t>Company Boards:</w:t>
            </w:r>
          </w:p>
        </w:tc>
        <w:tc>
          <w:tcPr>
            <w:tcW w:w="180" w:type="dxa"/>
            <w:vAlign w:val="bottom"/>
            <w:tcBorders>
              <w:right w:val="single" w:sz="8" w:color="auto"/>
            </w:tcBorders>
            <w:vMerge w:val="restart"/>
          </w:tcPr>
          <w:p>
            <w:pPr>
              <w:spacing w:after="0"/>
              <w:rPr>
                <w:sz w:val="5"/>
                <w:szCs w:val="5"/>
                <w:color w:val="auto"/>
              </w:rPr>
            </w:pPr>
          </w:p>
        </w:tc>
        <w:tc>
          <w:tcPr>
            <w:tcW w:w="406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0" w:type="dxa"/>
            <w:vAlign w:val="bottom"/>
            <w:tcBorders>
              <w:right w:val="single" w:sz="8" w:color="auto"/>
            </w:tcBorders>
            <w:gridSpan w:val="3"/>
            <w:vMerge w:val="restart"/>
          </w:tcPr>
          <w:p>
            <w:pPr>
              <w:ind w:left="40"/>
              <w:spacing w:after="0" w:line="142" w:lineRule="exact"/>
              <w:rPr>
                <w:sz w:val="20"/>
                <w:szCs w:val="20"/>
                <w:color w:val="auto"/>
              </w:rPr>
            </w:pPr>
            <w:r>
              <w:rPr>
                <w:rFonts w:ascii="Arial" w:cs="Arial" w:eastAsia="Arial" w:hAnsi="Arial"/>
                <w:sz w:val="16"/>
                <w:szCs w:val="16"/>
                <w:color w:val="auto"/>
              </w:rPr>
              <w:t>Construction/​Technical</w:t>
            </w:r>
          </w:p>
        </w:tc>
        <w:tc>
          <w:tcPr>
            <w:tcW w:w="0" w:type="dxa"/>
            <w:vAlign w:val="bottom"/>
          </w:tcPr>
          <w:p>
            <w:pPr>
              <w:spacing w:after="0"/>
              <w:rPr>
                <w:sz w:val="1"/>
                <w:szCs w:val="1"/>
                <w:color w:val="auto"/>
              </w:rPr>
            </w:pPr>
          </w:p>
        </w:tc>
      </w:tr>
      <w:tr>
        <w:trPr>
          <w:trHeight w:val="81"/>
        </w:trPr>
        <w:tc>
          <w:tcPr>
            <w:tcW w:w="160" w:type="dxa"/>
            <w:vAlign w:val="bottom"/>
            <w:tcBorders>
              <w:left w:val="single" w:sz="8" w:color="auto"/>
            </w:tcBorders>
          </w:tcPr>
          <w:p>
            <w:pPr>
              <w:spacing w:after="0"/>
              <w:rPr>
                <w:sz w:val="7"/>
                <w:szCs w:val="7"/>
                <w:color w:val="auto"/>
              </w:rPr>
            </w:pPr>
          </w:p>
        </w:tc>
        <w:tc>
          <w:tcPr>
            <w:tcW w:w="1620" w:type="dxa"/>
            <w:vAlign w:val="bottom"/>
            <w:gridSpan w:val="8"/>
            <w:vMerge w:val="continue"/>
          </w:tcPr>
          <w:p>
            <w:pPr>
              <w:spacing w:after="0"/>
              <w:rPr>
                <w:sz w:val="7"/>
                <w:szCs w:val="7"/>
                <w:color w:val="auto"/>
              </w:rPr>
            </w:pPr>
          </w:p>
        </w:tc>
        <w:tc>
          <w:tcPr>
            <w:tcW w:w="180" w:type="dxa"/>
            <w:vAlign w:val="bottom"/>
            <w:tcBorders>
              <w:right w:val="single" w:sz="8" w:color="auto"/>
            </w:tcBorders>
            <w:vMerge w:val="continue"/>
          </w:tcPr>
          <w:p>
            <w:pPr>
              <w:spacing w:after="0"/>
              <w:rPr>
                <w:sz w:val="7"/>
                <w:szCs w:val="7"/>
                <w:color w:val="auto"/>
              </w:rPr>
            </w:pPr>
          </w:p>
        </w:tc>
        <w:tc>
          <w:tcPr>
            <w:tcW w:w="406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positions with several energy companies, including</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160" w:type="dxa"/>
            <w:vAlign w:val="bottom"/>
            <w:tcBorders>
              <w:lef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406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160" w:type="dxa"/>
            <w:vAlign w:val="bottom"/>
            <w:tcBorders>
              <w:left w:val="single" w:sz="8" w:color="auto"/>
            </w:tcBorders>
          </w:tcPr>
          <w:p>
            <w:pPr>
              <w:spacing w:after="0"/>
              <w:rPr>
                <w:sz w:val="15"/>
                <w:szCs w:val="15"/>
                <w:color w:val="auto"/>
              </w:rPr>
            </w:pPr>
          </w:p>
        </w:tc>
        <w:tc>
          <w:tcPr>
            <w:tcW w:w="1800" w:type="dxa"/>
            <w:vAlign w:val="bottom"/>
            <w:tcBorders>
              <w:right w:val="single" w:sz="8" w:color="auto"/>
            </w:tcBorders>
            <w:gridSpan w:val="9"/>
          </w:tcPr>
          <w:p>
            <w:pPr>
              <w:jc w:val="center"/>
              <w:ind w:right="140"/>
              <w:spacing w:after="0" w:line="176" w:lineRule="exact"/>
              <w:rPr>
                <w:sz w:val="20"/>
                <w:szCs w:val="20"/>
                <w:color w:val="auto"/>
              </w:rPr>
            </w:pPr>
            <w:r>
              <w:rPr>
                <w:rFonts w:ascii="Arial" w:cs="Arial" w:eastAsia="Arial" w:hAnsi="Arial"/>
                <w:sz w:val="16"/>
                <w:szCs w:val="16"/>
                <w:color w:val="auto"/>
                <w:w w:val="99"/>
              </w:rPr>
              <w:t>NGL Energy Holdings</w:t>
            </w:r>
          </w:p>
        </w:tc>
        <w:tc>
          <w:tcPr>
            <w:tcW w:w="4060" w:type="dxa"/>
            <w:vAlign w:val="bottom"/>
            <w:tcBorders>
              <w:right w:val="single" w:sz="8" w:color="auto"/>
            </w:tcBorders>
          </w:tcPr>
          <w:p>
            <w:pPr>
              <w:ind w:left="80"/>
              <w:spacing w:after="0" w:line="176" w:lineRule="exact"/>
              <w:rPr>
                <w:sz w:val="20"/>
                <w:szCs w:val="20"/>
                <w:color w:val="auto"/>
              </w:rPr>
            </w:pPr>
            <w:r>
              <w:rPr>
                <w:rFonts w:ascii="Arial" w:cs="Arial" w:eastAsia="Arial" w:hAnsi="Arial"/>
                <w:sz w:val="16"/>
                <w:szCs w:val="16"/>
                <w:color w:val="auto"/>
              </w:rPr>
              <w:t>Plains Resources Inc. (the publicly traded predecessor</w:t>
            </w:r>
          </w:p>
        </w:tc>
        <w:tc>
          <w:tcPr>
            <w:tcW w:w="80" w:type="dxa"/>
            <w:vAlign w:val="bottom"/>
          </w:tcPr>
          <w:p>
            <w:pPr>
              <w:spacing w:after="0"/>
              <w:rPr>
                <w:sz w:val="15"/>
                <w:szCs w:val="15"/>
                <w:color w:val="auto"/>
              </w:rPr>
            </w:pPr>
          </w:p>
        </w:tc>
        <w:tc>
          <w:tcPr>
            <w:tcW w:w="120" w:type="dxa"/>
            <w:vAlign w:val="bottom"/>
          </w:tcPr>
          <w:p>
            <w:pPr>
              <w:spacing w:after="0" w:line="176" w:lineRule="exact"/>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40"/>
              <w:spacing w:after="0" w:line="176" w:lineRule="exact"/>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62"/>
        </w:trPr>
        <w:tc>
          <w:tcPr>
            <w:tcW w:w="16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tcBorders>
              <w:right w:val="single" w:sz="8" w:color="auto"/>
            </w:tcBorders>
            <w:gridSpan w:val="6"/>
          </w:tcPr>
          <w:p>
            <w:pPr>
              <w:jc w:val="center"/>
              <w:ind w:right="480"/>
              <w:spacing w:after="0" w:line="162" w:lineRule="exact"/>
              <w:rPr>
                <w:sz w:val="20"/>
                <w:szCs w:val="20"/>
                <w:color w:val="auto"/>
              </w:rPr>
            </w:pPr>
            <w:r>
              <w:rPr>
                <w:rFonts w:ascii="Arial" w:cs="Arial" w:eastAsia="Arial" w:hAnsi="Arial"/>
                <w:sz w:val="16"/>
                <w:szCs w:val="16"/>
                <w:color w:val="auto"/>
              </w:rPr>
              <w:t>LLC</w:t>
            </w:r>
          </w:p>
        </w:tc>
        <w:tc>
          <w:tcPr>
            <w:tcW w:w="406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6"/>
                <w:szCs w:val="16"/>
                <w:color w:val="auto"/>
              </w:rPr>
              <w:t>company to Vulcan Energy), Plains Exploration and</w:t>
            </w:r>
          </w:p>
        </w:tc>
        <w:tc>
          <w:tcPr>
            <w:tcW w:w="8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Private Equity</w:t>
            </w:r>
          </w:p>
        </w:tc>
        <w:tc>
          <w:tcPr>
            <w:tcW w:w="0" w:type="dxa"/>
            <w:vAlign w:val="bottom"/>
          </w:tcPr>
          <w:p>
            <w:pPr>
              <w:spacing w:after="0"/>
              <w:rPr>
                <w:sz w:val="1"/>
                <w:szCs w:val="1"/>
                <w:color w:val="auto"/>
              </w:rPr>
            </w:pPr>
          </w:p>
        </w:tc>
      </w:tr>
      <w:tr>
        <w:trPr>
          <w:trHeight w:val="175"/>
        </w:trPr>
        <w:tc>
          <w:tcPr>
            <w:tcW w:w="1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Production Company, Kinder Morgan, Inc. and Ocean</w:t>
            </w: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200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Energy, Inc. From 1992 to 1998, he was a Vice</w:t>
            </w:r>
          </w:p>
        </w:tc>
        <w:tc>
          <w:tcPr>
            <w:tcW w:w="8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93"/>
        </w:trPr>
        <w:tc>
          <w:tcPr>
            <w:tcW w:w="160" w:type="dxa"/>
            <w:vAlign w:val="bottom"/>
            <w:tcBorders>
              <w:lef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4060" w:type="dxa"/>
            <w:vAlign w:val="bottom"/>
            <w:tcBorders>
              <w:right w:val="single" w:sz="8" w:color="auto"/>
            </w:tcBorders>
            <w:vMerge w:val="restart"/>
          </w:tcPr>
          <w:p>
            <w:pPr>
              <w:ind w:left="80"/>
              <w:spacing w:after="0" w:line="163" w:lineRule="exact"/>
              <w:rPr>
                <w:sz w:val="20"/>
                <w:szCs w:val="20"/>
                <w:color w:val="auto"/>
              </w:rPr>
            </w:pPr>
            <w:r>
              <w:rPr>
                <w:rFonts w:ascii="Arial" w:cs="Arial" w:eastAsia="Arial" w:hAnsi="Arial"/>
                <w:sz w:val="16"/>
                <w:szCs w:val="16"/>
                <w:color w:val="auto"/>
              </w:rPr>
              <w:t>President with Howard Weil Labouisse Friedrichs, Inc.</w:t>
            </w:r>
          </w:p>
        </w:tc>
        <w:tc>
          <w:tcPr>
            <w:tcW w:w="8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200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160" w:type="dxa"/>
            <w:vAlign w:val="bottom"/>
            <w:tcBorders>
              <w:lef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406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Mr. Raymond has been a direct or indirect owner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6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406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PAA’s general partner since 2001 and served on the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board of PAA’s general partner from 2001 to 2005. He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serves on numerous other private company boards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6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406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and currently serves on the board of NGL Energy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Holdings LLC, the general partner of NGL Energy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Partners, L.P. Mr. Raymond received a BSM degree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6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406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from the A.B. Freeman School of Business at Tulane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University with dual concentrations in finance and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6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406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accounting and currently sits on the board of the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Business School Council. He also serves as a director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40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on the board of the American Heart Association, as 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160" w:type="dxa"/>
            <w:vAlign w:val="bottom"/>
            <w:tcBorders>
              <w:left w:val="single" w:sz="8" w:color="auto"/>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406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7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70" w:type="dxa"/>
        <w:tblCellMar>
          <w:top w:w="0" w:type="dxa"/>
          <w:left w:w="0" w:type="dxa"/>
          <w:bottom w:w="0" w:type="dxa"/>
          <w:right w:w="0" w:type="dxa"/>
        </w:tblCellMar>
      </w:tblPr>
      <w:tr>
        <w:trPr>
          <w:trHeight w:val="269"/>
        </w:trPr>
        <w:tc>
          <w:tcPr>
            <w:tcW w:w="500" w:type="dxa"/>
            <w:vAlign w:val="bottom"/>
            <w:tcBorders>
              <w:top w:val="single" w:sz="8" w:color="auto"/>
              <w:left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460" w:type="dxa"/>
            <w:vAlign w:val="bottom"/>
            <w:tcBorders>
              <w:top w:val="single" w:sz="8" w:color="auto"/>
              <w:right w:val="single" w:sz="8" w:color="auto"/>
            </w:tcBorders>
          </w:tcPr>
          <w:p>
            <w:pPr>
              <w:spacing w:after="0"/>
              <w:rPr>
                <w:sz w:val="23"/>
                <w:szCs w:val="23"/>
                <w:color w:val="auto"/>
              </w:rPr>
            </w:pPr>
          </w:p>
        </w:tc>
        <w:tc>
          <w:tcPr>
            <w:tcW w:w="40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member of the MD Anderson Cancer Center Board of</w:t>
            </w:r>
          </w:p>
        </w:tc>
        <w:tc>
          <w:tcPr>
            <w:tcW w:w="8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64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Visitors, UT Medicine Executive Advisory Board and is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a former member of YPO. We believe that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Mr. Raymond’s experience with investment in and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management of a variety of upstream and midstream</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assets and operations provides a valuable resource to</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the Board.</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00" w:type="dxa"/>
            <w:vAlign w:val="bottom"/>
            <w:tcBorders>
              <w:left w:val="single" w:sz="8" w:color="auto"/>
            </w:tcBorders>
          </w:tcPr>
          <w:p>
            <w:pPr>
              <w:spacing w:after="0"/>
              <w:rPr>
                <w:sz w:val="14"/>
                <w:szCs w:val="14"/>
                <w:color w:val="auto"/>
              </w:rPr>
            </w:pPr>
          </w:p>
        </w:tc>
        <w:tc>
          <w:tcPr>
            <w:tcW w:w="1440" w:type="dxa"/>
            <w:vAlign w:val="bottom"/>
            <w:tcBorders>
              <w:right w:val="single" w:sz="8" w:color="auto"/>
            </w:tcBorders>
            <w:gridSpan w:val="2"/>
          </w:tcPr>
          <w:p>
            <w:pPr>
              <w:jc w:val="center"/>
              <w:ind w:right="460"/>
              <w:spacing w:after="0" w:line="170" w:lineRule="exact"/>
              <w:rPr>
                <w:sz w:val="20"/>
                <w:szCs w:val="20"/>
                <w:color w:val="auto"/>
              </w:rPr>
            </w:pPr>
            <w:r>
              <w:rPr>
                <w:rFonts w:ascii="Arial" w:cs="Arial" w:eastAsia="Arial" w:hAnsi="Arial"/>
                <w:sz w:val="16"/>
                <w:szCs w:val="16"/>
                <w:b w:val="1"/>
                <w:bCs w:val="1"/>
                <w:color w:val="auto"/>
              </w:rPr>
              <w:t>BOBBY S.</w:t>
            </w:r>
          </w:p>
        </w:tc>
        <w:tc>
          <w:tcPr>
            <w:tcW w:w="4080" w:type="dxa"/>
            <w:vAlign w:val="bottom"/>
            <w:tcBorders>
              <w:right w:val="single" w:sz="8" w:color="auto"/>
            </w:tcBorders>
          </w:tcPr>
          <w:p>
            <w:pPr>
              <w:ind w:left="80"/>
              <w:spacing w:after="0" w:line="170" w:lineRule="exact"/>
              <w:rPr>
                <w:sz w:val="20"/>
                <w:szCs w:val="20"/>
                <w:color w:val="auto"/>
              </w:rPr>
            </w:pPr>
            <w:r>
              <w:rPr>
                <w:rFonts w:ascii="Arial" w:cs="Arial" w:eastAsia="Arial" w:hAnsi="Arial"/>
                <w:sz w:val="16"/>
                <w:szCs w:val="16"/>
                <w:i w:val="1"/>
                <w:iCs w:val="1"/>
                <w:color w:val="auto"/>
              </w:rPr>
              <w:t>Bobby S. Shackouls, age 75</w:t>
            </w:r>
            <w:r>
              <w:rPr>
                <w:rFonts w:ascii="Arial" w:cs="Arial" w:eastAsia="Arial" w:hAnsi="Arial"/>
                <w:sz w:val="16"/>
                <w:szCs w:val="16"/>
                <w:color w:val="auto"/>
              </w:rPr>
              <w:t>, has served as a director</w:t>
            </w:r>
          </w:p>
        </w:tc>
        <w:tc>
          <w:tcPr>
            <w:tcW w:w="80" w:type="dxa"/>
            <w:vAlign w:val="bottom"/>
          </w:tcPr>
          <w:p>
            <w:pPr>
              <w:spacing w:after="0"/>
              <w:rPr>
                <w:sz w:val="14"/>
                <w:szCs w:val="14"/>
                <w:color w:val="auto"/>
              </w:rPr>
            </w:pPr>
          </w:p>
        </w:tc>
        <w:tc>
          <w:tcPr>
            <w:tcW w:w="2120" w:type="dxa"/>
            <w:vAlign w:val="bottom"/>
            <w:tcBorders>
              <w:right w:val="single" w:sz="8" w:color="auto"/>
            </w:tcBorders>
            <w:gridSpan w:val="4"/>
          </w:tcPr>
          <w:p>
            <w:pPr>
              <w:spacing w:after="0" w:line="170" w:lineRule="exact"/>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55"/>
        </w:trPr>
        <w:tc>
          <w:tcPr>
            <w:tcW w:w="1940" w:type="dxa"/>
            <w:vAlign w:val="bottom"/>
            <w:tcBorders>
              <w:left w:val="single" w:sz="8" w:color="auto"/>
              <w:right w:val="single" w:sz="8" w:color="auto"/>
            </w:tcBorders>
            <w:gridSpan w:val="3"/>
          </w:tcPr>
          <w:p>
            <w:pPr>
              <w:jc w:val="center"/>
              <w:spacing w:after="0" w:line="155" w:lineRule="exact"/>
              <w:rPr>
                <w:sz w:val="20"/>
                <w:szCs w:val="20"/>
                <w:color w:val="auto"/>
              </w:rPr>
            </w:pPr>
            <w:r>
              <w:rPr>
                <w:rFonts w:ascii="Arial" w:cs="Arial" w:eastAsia="Arial" w:hAnsi="Arial"/>
                <w:sz w:val="16"/>
                <w:szCs w:val="16"/>
                <w:b w:val="1"/>
                <w:bCs w:val="1"/>
                <w:color w:val="auto"/>
              </w:rPr>
              <w:t>SHACKOULS</w:t>
            </w:r>
          </w:p>
        </w:tc>
        <w:tc>
          <w:tcPr>
            <w:tcW w:w="408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6"/>
                <w:szCs w:val="16"/>
                <w:color w:val="auto"/>
              </w:rPr>
              <w:t>of PAGP GP since January 2014 and served as Lead</w:t>
            </w:r>
          </w:p>
        </w:tc>
        <w:tc>
          <w:tcPr>
            <w:tcW w:w="80" w:type="dxa"/>
            <w:vAlign w:val="bottom"/>
          </w:tcPr>
          <w:p>
            <w:pPr>
              <w:spacing w:after="0"/>
              <w:rPr>
                <w:sz w:val="13"/>
                <w:szCs w:val="13"/>
                <w:color w:val="auto"/>
              </w:rPr>
            </w:pPr>
          </w:p>
        </w:tc>
        <w:tc>
          <w:tcPr>
            <w:tcW w:w="72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6"/>
                <w:szCs w:val="16"/>
                <w:color w:val="auto"/>
                <w:w w:val="97"/>
              </w:rPr>
              <w:t>Attributes:</w:t>
            </w:r>
          </w:p>
        </w:tc>
        <w:tc>
          <w:tcPr>
            <w:tcW w:w="760" w:type="dxa"/>
            <w:vAlign w:val="bottom"/>
            <w:tcBorders>
              <w:top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00" w:type="dxa"/>
            <w:vAlign w:val="bottom"/>
            <w:tcBorders>
              <w:left w:val="single" w:sz="8" w:color="auto"/>
            </w:tcBorders>
          </w:tcPr>
          <w:p>
            <w:pPr>
              <w:spacing w:after="0"/>
              <w:rPr>
                <w:sz w:val="12"/>
                <w:szCs w:val="12"/>
                <w:color w:val="auto"/>
              </w:rPr>
            </w:pPr>
          </w:p>
        </w:tc>
        <w:tc>
          <w:tcPr>
            <w:tcW w:w="1440" w:type="dxa"/>
            <w:vAlign w:val="bottom"/>
            <w:tcBorders>
              <w:right w:val="single" w:sz="8" w:color="auto"/>
            </w:tcBorders>
            <w:gridSpan w:val="2"/>
            <w:vMerge w:val="restart"/>
          </w:tcPr>
          <w:p>
            <w:pPr>
              <w:jc w:val="center"/>
              <w:ind w:right="480"/>
              <w:spacing w:after="0"/>
              <w:rPr>
                <w:sz w:val="20"/>
                <w:szCs w:val="20"/>
                <w:color w:val="auto"/>
              </w:rPr>
            </w:pPr>
            <w:r>
              <w:rPr>
                <w:rFonts w:ascii="Arial" w:cs="Arial" w:eastAsia="Arial" w:hAnsi="Arial"/>
                <w:sz w:val="16"/>
                <w:szCs w:val="16"/>
                <w:b w:val="1"/>
                <w:bCs w:val="1"/>
                <w:color w:val="auto"/>
              </w:rPr>
              <w:t>Independent</w:t>
            </w:r>
          </w:p>
        </w:tc>
        <w:tc>
          <w:tcPr>
            <w:tcW w:w="4080" w:type="dxa"/>
            <w:vAlign w:val="bottom"/>
            <w:tcBorders>
              <w:right w:val="single" w:sz="8" w:color="auto"/>
            </w:tcBorders>
          </w:tcPr>
          <w:p>
            <w:pPr>
              <w:ind w:left="80"/>
              <w:spacing w:after="0" w:line="142" w:lineRule="exact"/>
              <w:rPr>
                <w:sz w:val="20"/>
                <w:szCs w:val="20"/>
                <w:color w:val="auto"/>
              </w:rPr>
            </w:pPr>
            <w:r>
              <w:rPr>
                <w:rFonts w:ascii="Arial" w:cs="Arial" w:eastAsia="Arial" w:hAnsi="Arial"/>
                <w:sz w:val="16"/>
                <w:szCs w:val="16"/>
                <w:color w:val="auto"/>
              </w:rPr>
              <w:t>Director from January 2020 until June 2025.</w:t>
            </w:r>
          </w:p>
        </w:tc>
        <w:tc>
          <w:tcPr>
            <w:tcW w:w="80" w:type="dxa"/>
            <w:vAlign w:val="bottom"/>
          </w:tcPr>
          <w:p>
            <w:pPr>
              <w:spacing w:after="0"/>
              <w:rPr>
                <w:sz w:val="12"/>
                <w:szCs w:val="12"/>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Public Company</w:t>
            </w:r>
          </w:p>
        </w:tc>
        <w:tc>
          <w:tcPr>
            <w:tcW w:w="0" w:type="dxa"/>
            <w:vAlign w:val="bottom"/>
          </w:tcPr>
          <w:p>
            <w:pPr>
              <w:spacing w:after="0"/>
              <w:rPr>
                <w:sz w:val="1"/>
                <w:szCs w:val="1"/>
                <w:color w:val="auto"/>
              </w:rPr>
            </w:pPr>
          </w:p>
        </w:tc>
      </w:tr>
      <w:tr>
        <w:trPr>
          <w:trHeight w:val="162"/>
        </w:trPr>
        <w:tc>
          <w:tcPr>
            <w:tcW w:w="500" w:type="dxa"/>
            <w:vAlign w:val="bottom"/>
            <w:tcBorders>
              <w:left w:val="single" w:sz="8" w:color="auto"/>
            </w:tcBorders>
          </w:tcPr>
          <w:p>
            <w:pPr>
              <w:spacing w:after="0"/>
              <w:rPr>
                <w:sz w:val="14"/>
                <w:szCs w:val="14"/>
                <w:color w:val="auto"/>
              </w:rPr>
            </w:pPr>
          </w:p>
        </w:tc>
        <w:tc>
          <w:tcPr>
            <w:tcW w:w="1440" w:type="dxa"/>
            <w:vAlign w:val="bottom"/>
            <w:tcBorders>
              <w:right w:val="single" w:sz="8" w:color="auto"/>
            </w:tcBorders>
            <w:gridSpan w:val="2"/>
            <w:vMerge w:val="continue"/>
          </w:tcPr>
          <w:p>
            <w:pPr>
              <w:spacing w:after="0"/>
              <w:rPr>
                <w:sz w:val="14"/>
                <w:szCs w:val="14"/>
                <w:color w:val="auto"/>
              </w:rPr>
            </w:pPr>
          </w:p>
        </w:tc>
        <w:tc>
          <w:tcPr>
            <w:tcW w:w="408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6"/>
                <w:szCs w:val="16"/>
                <w:color w:val="auto"/>
              </w:rPr>
              <w:t>Mr. Shackouls served as Chairman of Burlington</w:t>
            </w:r>
          </w:p>
        </w:tc>
        <w:tc>
          <w:tcPr>
            <w:tcW w:w="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2000" w:type="dxa"/>
            <w:vAlign w:val="bottom"/>
            <w:tcBorders>
              <w:right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i w:val="1"/>
                <w:iCs w:val="1"/>
                <w:color w:val="auto"/>
                <w:w w:val="99"/>
              </w:rPr>
              <w:t>PAGP/PAA Director</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Resources Inc. from 1997 until its acquisition by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34"/>
        </w:trPr>
        <w:tc>
          <w:tcPr>
            <w:tcW w:w="500" w:type="dxa"/>
            <w:vAlign w:val="bottom"/>
            <w:tcBorders>
              <w:left w:val="single" w:sz="8" w:color="auto"/>
            </w:tcBorders>
          </w:tcPr>
          <w:p>
            <w:pPr>
              <w:spacing w:after="0"/>
              <w:rPr>
                <w:sz w:val="11"/>
                <w:szCs w:val="11"/>
                <w:color w:val="auto"/>
              </w:rPr>
            </w:pPr>
          </w:p>
        </w:tc>
        <w:tc>
          <w:tcPr>
            <w:tcW w:w="1440" w:type="dxa"/>
            <w:vAlign w:val="bottom"/>
            <w:tcBorders>
              <w:right w:val="single" w:sz="8" w:color="auto"/>
            </w:tcBorders>
            <w:gridSpan w:val="2"/>
            <w:vMerge w:val="restart"/>
          </w:tcPr>
          <w:p>
            <w:pPr>
              <w:jc w:val="center"/>
              <w:ind w:right="460"/>
              <w:spacing w:after="0"/>
              <w:rPr>
                <w:sz w:val="20"/>
                <w:szCs w:val="20"/>
                <w:color w:val="auto"/>
              </w:rPr>
            </w:pPr>
            <w:r>
              <w:rPr>
                <w:rFonts w:ascii="Arial" w:cs="Arial" w:eastAsia="Arial" w:hAnsi="Arial"/>
                <w:sz w:val="16"/>
                <w:szCs w:val="16"/>
                <w:b w:val="1"/>
                <w:bCs w:val="1"/>
                <w:i w:val="1"/>
                <w:iCs w:val="1"/>
                <w:color w:val="auto"/>
              </w:rPr>
              <w:t>since 2010</w:t>
            </w:r>
          </w:p>
        </w:tc>
        <w:tc>
          <w:tcPr>
            <w:tcW w:w="4080" w:type="dxa"/>
            <w:vAlign w:val="bottom"/>
            <w:tcBorders>
              <w:right w:val="single" w:sz="8" w:color="auto"/>
            </w:tcBorders>
          </w:tcPr>
          <w:p>
            <w:pPr>
              <w:ind w:left="80"/>
              <w:spacing w:after="0" w:line="134" w:lineRule="exact"/>
              <w:rPr>
                <w:sz w:val="20"/>
                <w:szCs w:val="20"/>
                <w:color w:val="auto"/>
              </w:rPr>
            </w:pPr>
            <w:r>
              <w:rPr>
                <w:rFonts w:ascii="Arial" w:cs="Arial" w:eastAsia="Arial" w:hAnsi="Arial"/>
                <w:sz w:val="15"/>
                <w:szCs w:val="15"/>
                <w:color w:val="auto"/>
              </w:rPr>
              <w:t>ConocoPhillips in 2006, and he continued to serve on</w:t>
            </w:r>
          </w:p>
        </w:tc>
        <w:tc>
          <w:tcPr>
            <w:tcW w:w="80" w:type="dxa"/>
            <w:vAlign w:val="bottom"/>
          </w:tcPr>
          <w:p>
            <w:pPr>
              <w:spacing w:after="0"/>
              <w:rPr>
                <w:sz w:val="11"/>
                <w:szCs w:val="11"/>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07"/>
        </w:trPr>
        <w:tc>
          <w:tcPr>
            <w:tcW w:w="500" w:type="dxa"/>
            <w:vAlign w:val="bottom"/>
            <w:tcBorders>
              <w:left w:val="single" w:sz="8" w:color="auto"/>
            </w:tcBorders>
          </w:tcPr>
          <w:p>
            <w:pPr>
              <w:spacing w:after="0"/>
              <w:rPr>
                <w:sz w:val="9"/>
                <w:szCs w:val="9"/>
                <w:color w:val="auto"/>
              </w:rPr>
            </w:pPr>
          </w:p>
        </w:tc>
        <w:tc>
          <w:tcPr>
            <w:tcW w:w="1440" w:type="dxa"/>
            <w:vAlign w:val="bottom"/>
            <w:tcBorders>
              <w:right w:val="single" w:sz="8" w:color="auto"/>
            </w:tcBorders>
            <w:gridSpan w:val="2"/>
            <w:vMerge w:val="continue"/>
          </w:tcPr>
          <w:p>
            <w:pPr>
              <w:spacing w:after="0"/>
              <w:rPr>
                <w:sz w:val="9"/>
                <w:szCs w:val="9"/>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the ConocoPhillips Board of Directors until his</w:t>
            </w: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200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500" w:type="dxa"/>
            <w:vAlign w:val="bottom"/>
            <w:tcBorders>
              <w:left w:val="single" w:sz="8" w:color="auto"/>
            </w:tcBorders>
          </w:tcPr>
          <w:p>
            <w:pPr>
              <w:spacing w:after="0"/>
              <w:rPr>
                <w:sz w:val="5"/>
                <w:szCs w:val="5"/>
                <w:color w:val="auto"/>
              </w:rPr>
            </w:pPr>
          </w:p>
        </w:tc>
        <w:tc>
          <w:tcPr>
            <w:tcW w:w="9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Committees:</w:t>
            </w:r>
          </w:p>
        </w:tc>
        <w:tc>
          <w:tcPr>
            <w:tcW w:w="460" w:type="dxa"/>
            <w:vAlign w:val="bottom"/>
            <w:tcBorders>
              <w:right w:val="single" w:sz="8" w:color="auto"/>
            </w:tcBorders>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500" w:type="dxa"/>
            <w:vAlign w:val="bottom"/>
            <w:tcBorders>
              <w:left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4080" w:type="dxa"/>
            <w:vAlign w:val="bottom"/>
            <w:tcBorders>
              <w:right w:val="single" w:sz="8" w:color="auto"/>
            </w:tcBorders>
          </w:tcPr>
          <w:p>
            <w:pPr>
              <w:ind w:left="80"/>
              <w:spacing w:after="0" w:line="143" w:lineRule="exact"/>
              <w:rPr>
                <w:sz w:val="20"/>
                <w:szCs w:val="20"/>
                <w:color w:val="auto"/>
              </w:rPr>
            </w:pPr>
            <w:r>
              <w:rPr>
                <w:rFonts w:ascii="Arial" w:cs="Arial" w:eastAsia="Arial" w:hAnsi="Arial"/>
                <w:sz w:val="16"/>
                <w:szCs w:val="16"/>
                <w:color w:val="auto"/>
              </w:rPr>
              <w:t>retirement in May 2011. Prior thereto, Mr. Shackouls</w:t>
            </w:r>
          </w:p>
        </w:tc>
        <w:tc>
          <w:tcPr>
            <w:tcW w:w="80" w:type="dxa"/>
            <w:vAlign w:val="bottom"/>
          </w:tcPr>
          <w:p>
            <w:pPr>
              <w:spacing w:after="0"/>
              <w:rPr>
                <w:sz w:val="12"/>
                <w:szCs w:val="12"/>
                <w:color w:val="auto"/>
              </w:rPr>
            </w:pPr>
          </w:p>
        </w:tc>
        <w:tc>
          <w:tcPr>
            <w:tcW w:w="120" w:type="dxa"/>
            <w:vAlign w:val="bottom"/>
          </w:tcPr>
          <w:p>
            <w:pPr>
              <w:spacing w:after="0" w:line="143" w:lineRule="exact"/>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40"/>
              <w:spacing w:after="0" w:line="143" w:lineRule="exact"/>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68"/>
        </w:trPr>
        <w:tc>
          <w:tcPr>
            <w:tcW w:w="19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color w:val="auto"/>
                <w:w w:val="99"/>
              </w:rPr>
              <w:t>Compensation (chair)</w:t>
            </w:r>
          </w:p>
        </w:tc>
        <w:tc>
          <w:tcPr>
            <w:tcW w:w="408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6"/>
                <w:szCs w:val="16"/>
                <w:color w:val="auto"/>
              </w:rPr>
              <w:t>served as President and Chief Executive Officer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Borders>
              <w:right w:val="single" w:sz="8" w:color="auto"/>
            </w:tcBorders>
            <w:gridSpan w:val="3"/>
          </w:tcPr>
          <w:p>
            <w:pPr>
              <w:ind w:left="40"/>
              <w:spacing w:after="0" w:line="168" w:lineRule="exact"/>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34"/>
        </w:trPr>
        <w:tc>
          <w:tcPr>
            <w:tcW w:w="1940" w:type="dxa"/>
            <w:vAlign w:val="bottom"/>
            <w:tcBorders>
              <w:left w:val="single" w:sz="8" w:color="auto"/>
              <w:right w:val="single" w:sz="8" w:color="auto"/>
            </w:tcBorders>
            <w:gridSpan w:val="3"/>
            <w:vMerge w:val="continue"/>
          </w:tcPr>
          <w:p>
            <w:pPr>
              <w:spacing w:after="0"/>
              <w:rPr>
                <w:sz w:val="11"/>
                <w:szCs w:val="11"/>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Meridian Oil, Inc., a wholly owned subsidiary of</w:t>
            </w:r>
          </w:p>
        </w:tc>
        <w:tc>
          <w:tcPr>
            <w:tcW w:w="80" w:type="dxa"/>
            <w:vAlign w:val="bottom"/>
          </w:tcPr>
          <w:p>
            <w:pPr>
              <w:spacing w:after="0"/>
              <w:rPr>
                <w:sz w:val="11"/>
                <w:szCs w:val="11"/>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Governance/​Government</w:t>
            </w:r>
          </w:p>
        </w:tc>
        <w:tc>
          <w:tcPr>
            <w:tcW w:w="0" w:type="dxa"/>
            <w:vAlign w:val="bottom"/>
          </w:tcPr>
          <w:p>
            <w:pPr>
              <w:spacing w:after="0"/>
              <w:rPr>
                <w:sz w:val="1"/>
                <w:szCs w:val="1"/>
                <w:color w:val="auto"/>
              </w:rPr>
            </w:pPr>
          </w:p>
        </w:tc>
      </w:tr>
      <w:tr>
        <w:trPr>
          <w:trHeight w:val="42"/>
        </w:trPr>
        <w:tc>
          <w:tcPr>
            <w:tcW w:w="500" w:type="dxa"/>
            <w:vAlign w:val="bottom"/>
            <w:tcBorders>
              <w:left w:val="single" w:sz="8" w:color="auto"/>
            </w:tcBorders>
          </w:tcPr>
          <w:p>
            <w:pPr>
              <w:spacing w:after="0"/>
              <w:rPr>
                <w:sz w:val="3"/>
                <w:szCs w:val="3"/>
                <w:color w:val="auto"/>
              </w:rPr>
            </w:pPr>
          </w:p>
        </w:tc>
        <w:tc>
          <w:tcPr>
            <w:tcW w:w="980" w:type="dxa"/>
            <w:vAlign w:val="bottom"/>
          </w:tcPr>
          <w:p>
            <w:pPr>
              <w:spacing w:after="0"/>
              <w:rPr>
                <w:sz w:val="3"/>
                <w:szCs w:val="3"/>
                <w:color w:val="auto"/>
              </w:rPr>
            </w:pPr>
          </w:p>
        </w:tc>
        <w:tc>
          <w:tcPr>
            <w:tcW w:w="460" w:type="dxa"/>
            <w:vAlign w:val="bottom"/>
            <w:tcBorders>
              <w:right w:val="single" w:sz="8" w:color="auto"/>
            </w:tcBorders>
          </w:tcPr>
          <w:p>
            <w:pPr>
              <w:spacing w:after="0"/>
              <w:rPr>
                <w:sz w:val="3"/>
                <w:szCs w:val="3"/>
                <w:color w:val="auto"/>
              </w:rPr>
            </w:pPr>
          </w:p>
        </w:tc>
        <w:tc>
          <w:tcPr>
            <w:tcW w:w="4080" w:type="dxa"/>
            <w:vAlign w:val="bottom"/>
            <w:tcBorders>
              <w:right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2000" w:type="dxa"/>
            <w:vAlign w:val="bottom"/>
            <w:tcBorders>
              <w:right w:val="single" w:sz="8" w:color="auto"/>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500" w:type="dxa"/>
            <w:vAlign w:val="bottom"/>
            <w:tcBorders>
              <w:left w:val="single" w:sz="8" w:color="auto"/>
            </w:tcBorders>
          </w:tcPr>
          <w:p>
            <w:pPr>
              <w:spacing w:after="0"/>
              <w:rPr>
                <w:sz w:val="9"/>
                <w:szCs w:val="9"/>
                <w:color w:val="auto"/>
              </w:rPr>
            </w:pPr>
          </w:p>
        </w:tc>
        <w:tc>
          <w:tcPr>
            <w:tcW w:w="1440" w:type="dxa"/>
            <w:vAlign w:val="bottom"/>
            <w:tcBorders>
              <w:right w:val="single" w:sz="8" w:color="auto"/>
            </w:tcBorders>
            <w:gridSpan w:val="2"/>
            <w:vMerge w:val="restart"/>
          </w:tcPr>
          <w:p>
            <w:pPr>
              <w:jc w:val="center"/>
              <w:ind w:right="460"/>
              <w:spacing w:after="0"/>
              <w:rPr>
                <w:sz w:val="20"/>
                <w:szCs w:val="20"/>
                <w:color w:val="auto"/>
              </w:rPr>
            </w:pPr>
            <w:r>
              <w:rPr>
                <w:rFonts w:ascii="Arial" w:cs="Arial" w:eastAsia="Arial" w:hAnsi="Arial"/>
                <w:sz w:val="16"/>
                <w:szCs w:val="16"/>
                <w:color w:val="auto"/>
                <w:w w:val="98"/>
              </w:rPr>
              <w:t>Governance</w:t>
            </w: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Burlington Resources, from 1994 to 1995, and as</w:t>
            </w: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200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00" w:type="dxa"/>
            <w:vAlign w:val="bottom"/>
            <w:tcBorders>
              <w:left w:val="single" w:sz="8" w:color="auto"/>
            </w:tcBorders>
          </w:tcPr>
          <w:p>
            <w:pPr>
              <w:spacing w:after="0"/>
              <w:rPr>
                <w:sz w:val="7"/>
                <w:szCs w:val="7"/>
                <w:color w:val="auto"/>
              </w:rPr>
            </w:pPr>
          </w:p>
        </w:tc>
        <w:tc>
          <w:tcPr>
            <w:tcW w:w="1440" w:type="dxa"/>
            <w:vAlign w:val="bottom"/>
            <w:tcBorders>
              <w:right w:val="single" w:sz="8" w:color="auto"/>
            </w:tcBorders>
            <w:gridSpan w:val="2"/>
            <w:vMerge w:val="continue"/>
          </w:tcPr>
          <w:p>
            <w:pPr>
              <w:spacing w:after="0"/>
              <w:rPr>
                <w:sz w:val="7"/>
                <w:szCs w:val="7"/>
                <w:color w:val="auto"/>
              </w:rPr>
            </w:pPr>
          </w:p>
        </w:tc>
        <w:tc>
          <w:tcPr>
            <w:tcW w:w="40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Relations/Legal</w:t>
            </w:r>
          </w:p>
        </w:tc>
        <w:tc>
          <w:tcPr>
            <w:tcW w:w="0" w:type="dxa"/>
            <w:vAlign w:val="bottom"/>
          </w:tcPr>
          <w:p>
            <w:pPr>
              <w:spacing w:after="0"/>
              <w:rPr>
                <w:sz w:val="1"/>
                <w:szCs w:val="1"/>
                <w:color w:val="auto"/>
              </w:rPr>
            </w:pPr>
          </w:p>
        </w:tc>
      </w:tr>
      <w:tr>
        <w:trPr>
          <w:trHeight w:val="148"/>
        </w:trPr>
        <w:tc>
          <w:tcPr>
            <w:tcW w:w="500" w:type="dxa"/>
            <w:vAlign w:val="bottom"/>
            <w:tcBorders>
              <w:lef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4080" w:type="dxa"/>
            <w:vAlign w:val="bottom"/>
            <w:tcBorders>
              <w:right w:val="single" w:sz="8" w:color="auto"/>
            </w:tcBorders>
          </w:tcPr>
          <w:p>
            <w:pPr>
              <w:ind w:left="80"/>
              <w:spacing w:after="0" w:line="148" w:lineRule="exact"/>
              <w:rPr>
                <w:sz w:val="20"/>
                <w:szCs w:val="20"/>
                <w:color w:val="auto"/>
              </w:rPr>
            </w:pPr>
            <w:r>
              <w:rPr>
                <w:rFonts w:ascii="Arial" w:cs="Arial" w:eastAsia="Arial" w:hAnsi="Arial"/>
                <w:sz w:val="16"/>
                <w:szCs w:val="16"/>
                <w:color w:val="auto"/>
              </w:rPr>
              <w:t>President and Chief Executive Officer of Burlington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Borders>
              <w:right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Resources from 1995 until 2006. Mr. Shackouls served</w:t>
            </w:r>
          </w:p>
        </w:tc>
        <w:tc>
          <w:tcPr>
            <w:tcW w:w="8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68"/>
        </w:trPr>
        <w:tc>
          <w:tcPr>
            <w:tcW w:w="500" w:type="dxa"/>
            <w:vAlign w:val="bottom"/>
            <w:tcBorders>
              <w:left w:val="single" w:sz="8" w:color="auto"/>
            </w:tcBorders>
          </w:tcPr>
          <w:p>
            <w:pPr>
              <w:spacing w:after="0"/>
              <w:rPr>
                <w:sz w:val="5"/>
                <w:szCs w:val="5"/>
                <w:color w:val="auto"/>
              </w:rPr>
            </w:pPr>
          </w:p>
        </w:tc>
        <w:tc>
          <w:tcPr>
            <w:tcW w:w="98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as a director of The Kroger Co. from 1999 until</w:t>
            </w:r>
          </w:p>
        </w:tc>
        <w:tc>
          <w:tcPr>
            <w:tcW w:w="8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00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500" w:type="dxa"/>
            <w:vAlign w:val="bottom"/>
            <w:tcBorders>
              <w:left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408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Construction/​Technical</w:t>
            </w:r>
          </w:p>
        </w:tc>
        <w:tc>
          <w:tcPr>
            <w:tcW w:w="0" w:type="dxa"/>
            <w:vAlign w:val="bottom"/>
          </w:tcPr>
          <w:p>
            <w:pPr>
              <w:spacing w:after="0"/>
              <w:rPr>
                <w:sz w:val="1"/>
                <w:szCs w:val="1"/>
                <w:color w:val="auto"/>
              </w:rPr>
            </w:pPr>
          </w:p>
        </w:tc>
      </w:tr>
      <w:tr>
        <w:trPr>
          <w:trHeight w:val="107"/>
        </w:trPr>
        <w:tc>
          <w:tcPr>
            <w:tcW w:w="500" w:type="dxa"/>
            <w:vAlign w:val="bottom"/>
            <w:tcBorders>
              <w:left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January 2021, as a director of Oasis Petroleum from</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500" w:type="dxa"/>
            <w:vAlign w:val="bottom"/>
            <w:tcBorders>
              <w:left w:val="single" w:sz="8" w:color="auto"/>
            </w:tcBorders>
          </w:tcPr>
          <w:p>
            <w:pPr>
              <w:spacing w:after="0"/>
              <w:rPr>
                <w:sz w:val="5"/>
                <w:szCs w:val="5"/>
                <w:color w:val="auto"/>
              </w:rPr>
            </w:pPr>
          </w:p>
        </w:tc>
        <w:tc>
          <w:tcPr>
            <w:tcW w:w="98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6" w:lineRule="exact"/>
              <w:rPr>
                <w:sz w:val="20"/>
                <w:szCs w:val="20"/>
                <w:color w:val="auto"/>
              </w:rPr>
            </w:pPr>
            <w:r>
              <w:rPr>
                <w:rFonts w:ascii="Arial" w:cs="Arial" w:eastAsia="Arial" w:hAnsi="Arial"/>
                <w:sz w:val="16"/>
                <w:szCs w:val="16"/>
                <w:color w:val="auto"/>
              </w:rPr>
              <w:t>2012 until November 2020, and as a director of</w:t>
            </w:r>
          </w:p>
        </w:tc>
        <w:tc>
          <w:tcPr>
            <w:tcW w:w="80" w:type="dxa"/>
            <w:vAlign w:val="bottom"/>
          </w:tcPr>
          <w:p>
            <w:pPr>
              <w:spacing w:after="0"/>
              <w:rPr>
                <w:sz w:val="15"/>
                <w:szCs w:val="15"/>
                <w:color w:val="auto"/>
              </w:rPr>
            </w:pPr>
          </w:p>
        </w:tc>
        <w:tc>
          <w:tcPr>
            <w:tcW w:w="120" w:type="dxa"/>
            <w:vAlign w:val="bottom"/>
          </w:tcPr>
          <w:p>
            <w:pPr>
              <w:spacing w:after="0" w:line="176" w:lineRule="exact"/>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tcPr>
          <w:p>
            <w:pPr>
              <w:ind w:left="40"/>
              <w:spacing w:after="0" w:line="176" w:lineRule="exact"/>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61"/>
        </w:trPr>
        <w:tc>
          <w:tcPr>
            <w:tcW w:w="500" w:type="dxa"/>
            <w:vAlign w:val="bottom"/>
            <w:tcBorders>
              <w:left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1" w:lineRule="exact"/>
              <w:rPr>
                <w:sz w:val="20"/>
                <w:szCs w:val="20"/>
                <w:color w:val="auto"/>
              </w:rPr>
            </w:pPr>
            <w:r>
              <w:rPr>
                <w:rFonts w:ascii="Arial" w:cs="Arial" w:eastAsia="Arial" w:hAnsi="Arial"/>
                <w:sz w:val="16"/>
                <w:szCs w:val="16"/>
                <w:color w:val="auto"/>
              </w:rPr>
              <w:t>Quintana Energy Services from January 2019 until</w:t>
            </w:r>
          </w:p>
        </w:tc>
        <w:tc>
          <w:tcPr>
            <w:tcW w:w="8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July 2020. He served as a director and member of the</w:t>
            </w: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200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audit committee of PNGS GP LLC, the general partner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of PAA Natural Gas Storage, L.P., from April 2010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through December 2013. We believe that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Mr. Shackouls’ extensive experience within the energy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industry offers valuable perspective and, in tandem</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40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with his long history of leadership as the CEO of a</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public company, make him highly qualified to serve as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 member of the Board.</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EXECUTIVE OFFICERS</w:t>
      </w:r>
    </w:p>
    <w:p>
      <w:pPr>
        <w:spacing w:after="0" w:line="158" w:lineRule="exact"/>
        <w:rPr>
          <w:sz w:val="20"/>
          <w:szCs w:val="20"/>
          <w:color w:val="auto"/>
        </w:rPr>
      </w:pPr>
    </w:p>
    <w:p>
      <w:pPr>
        <w:jc w:val="both"/>
        <w:ind w:left="1260" w:right="459" w:firstLine="360"/>
        <w:spacing w:after="0" w:line="276" w:lineRule="auto"/>
        <w:rPr>
          <w:sz w:val="20"/>
          <w:szCs w:val="20"/>
          <w:color w:val="auto"/>
        </w:rPr>
      </w:pPr>
      <w:r>
        <w:rPr>
          <w:rFonts w:ascii="Arial" w:cs="Arial" w:eastAsia="Arial" w:hAnsi="Arial"/>
          <w:sz w:val="18"/>
          <w:szCs w:val="18"/>
          <w:color w:val="auto"/>
        </w:rPr>
        <w:t>The following table sets forth certain information with respect to our executive officers (for purposes of Item 401(b) of Regulation S-K) as of the date of this proxy statement. Executive officers are appointed by the Board. There is no family relationship between any executive officer and director.</w:t>
      </w:r>
    </w:p>
    <w:p>
      <w:pPr>
        <w:spacing w:after="0" w:line="155" w:lineRule="exact"/>
        <w:rPr>
          <w:sz w:val="20"/>
          <w:szCs w:val="20"/>
          <w:color w:val="auto"/>
        </w:rPr>
      </w:pPr>
    </w:p>
    <w:tbl>
      <w:tblPr>
        <w:tblLayout w:type="fixed"/>
        <w:tblInd w:w="1270" w:type="dxa"/>
        <w:tblCellMar>
          <w:top w:w="0" w:type="dxa"/>
          <w:left w:w="0" w:type="dxa"/>
          <w:bottom w:w="0" w:type="dxa"/>
          <w:right w:w="0" w:type="dxa"/>
        </w:tblCellMar>
      </w:tblPr>
      <w:tr>
        <w:trPr>
          <w:trHeight w:val="247"/>
        </w:trPr>
        <w:tc>
          <w:tcPr>
            <w:tcW w:w="1580" w:type="dxa"/>
            <w:vAlign w:val="bottom"/>
            <w:tcBorders>
              <w:left w:val="single" w:sz="8" w:color="424E6A"/>
            </w:tcBorders>
            <w:shd w:val="clear" w:color="auto" w:fill="424E6A"/>
          </w:tcPr>
          <w:p>
            <w:pPr>
              <w:spacing w:after="0"/>
              <w:rPr>
                <w:sz w:val="21"/>
                <w:szCs w:val="21"/>
                <w:color w:val="auto"/>
              </w:rPr>
            </w:pPr>
          </w:p>
        </w:tc>
        <w:tc>
          <w:tcPr>
            <w:tcW w:w="120" w:type="dxa"/>
            <w:vAlign w:val="bottom"/>
            <w:tcBorders>
              <w:right w:val="single" w:sz="8" w:color="424E6A"/>
            </w:tcBorders>
            <w:shd w:val="clear" w:color="auto" w:fill="424E6A"/>
          </w:tcPr>
          <w:p>
            <w:pPr>
              <w:spacing w:after="0"/>
              <w:rPr>
                <w:sz w:val="21"/>
                <w:szCs w:val="21"/>
                <w:color w:val="auto"/>
              </w:rPr>
            </w:pPr>
          </w:p>
        </w:tc>
        <w:tc>
          <w:tcPr>
            <w:tcW w:w="1060" w:type="dxa"/>
            <w:vAlign w:val="bottom"/>
            <w:shd w:val="clear" w:color="auto" w:fill="424E6A"/>
          </w:tcPr>
          <w:p>
            <w:pPr>
              <w:jc w:val="center"/>
              <w:ind w:left="3"/>
              <w:spacing w:after="0"/>
              <w:rPr>
                <w:sz w:val="20"/>
                <w:szCs w:val="20"/>
                <w:color w:val="auto"/>
              </w:rPr>
            </w:pPr>
            <w:r>
              <w:rPr>
                <w:rFonts w:ascii="Arial" w:cs="Arial" w:eastAsia="Arial" w:hAnsi="Arial"/>
                <w:sz w:val="14"/>
                <w:szCs w:val="14"/>
                <w:b w:val="1"/>
                <w:bCs w:val="1"/>
                <w:color w:val="FFFFFF"/>
                <w:w w:val="98"/>
              </w:rPr>
              <w:t>Age</w:t>
            </w:r>
          </w:p>
        </w:tc>
        <w:tc>
          <w:tcPr>
            <w:tcW w:w="180" w:type="dxa"/>
            <w:vAlign w:val="bottom"/>
            <w:tcBorders>
              <w:right w:val="single" w:sz="8" w:color="424E6A"/>
            </w:tcBorders>
            <w:shd w:val="clear" w:color="auto" w:fill="424E6A"/>
          </w:tcPr>
          <w:p>
            <w:pPr>
              <w:spacing w:after="0"/>
              <w:rPr>
                <w:sz w:val="21"/>
                <w:szCs w:val="21"/>
                <w:color w:val="auto"/>
              </w:rPr>
            </w:pPr>
          </w:p>
        </w:tc>
        <w:tc>
          <w:tcPr>
            <w:tcW w:w="140" w:type="dxa"/>
            <w:vAlign w:val="bottom"/>
            <w:shd w:val="clear" w:color="auto" w:fill="424E6A"/>
          </w:tcPr>
          <w:p>
            <w:pPr>
              <w:spacing w:after="0"/>
              <w:rPr>
                <w:sz w:val="21"/>
                <w:szCs w:val="21"/>
                <w:color w:val="auto"/>
              </w:rPr>
            </w:pPr>
          </w:p>
        </w:tc>
        <w:tc>
          <w:tcPr>
            <w:tcW w:w="5140" w:type="dxa"/>
            <w:vAlign w:val="bottom"/>
            <w:tcBorders>
              <w:right w:val="single" w:sz="8" w:color="424E6A"/>
            </w:tcBorders>
            <w:shd w:val="clear" w:color="auto" w:fill="424E6A"/>
          </w:tcPr>
          <w:p>
            <w:pPr>
              <w:spacing w:after="0"/>
              <w:rPr>
                <w:sz w:val="21"/>
                <w:szCs w:val="21"/>
                <w:color w:val="auto"/>
              </w:rPr>
            </w:pPr>
          </w:p>
        </w:tc>
      </w:tr>
      <w:tr>
        <w:trPr>
          <w:trHeight w:val="212"/>
        </w:trPr>
        <w:tc>
          <w:tcPr>
            <w:tcW w:w="1580" w:type="dxa"/>
            <w:vAlign w:val="bottom"/>
            <w:tcBorders>
              <w:lef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Name</w:t>
            </w:r>
          </w:p>
        </w:tc>
        <w:tc>
          <w:tcPr>
            <w:tcW w:w="1180" w:type="dxa"/>
            <w:vAlign w:val="bottom"/>
            <w:gridSpan w:val="2"/>
            <w:shd w:val="clear" w:color="auto" w:fill="424E6A"/>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 xml:space="preserve">  (as of 3/23/26)</w:t>
            </w:r>
          </w:p>
        </w:tc>
        <w:tc>
          <w:tcPr>
            <w:tcW w:w="320" w:type="dxa"/>
            <w:vAlign w:val="bottom"/>
            <w:gridSpan w:val="2"/>
            <w:shd w:val="clear" w:color="auto" w:fill="424E6A"/>
          </w:tcPr>
          <w:p>
            <w:pPr>
              <w:ind w:left="100"/>
              <w:spacing w:after="0"/>
              <w:rPr>
                <w:sz w:val="20"/>
                <w:szCs w:val="20"/>
                <w:color w:val="auto"/>
              </w:rPr>
            </w:pPr>
            <w:r>
              <w:rPr>
                <w:rFonts w:ascii="Arial" w:cs="Arial" w:eastAsia="Arial" w:hAnsi="Arial"/>
                <w:sz w:val="14"/>
                <w:szCs w:val="14"/>
                <w:b w:val="1"/>
                <w:bCs w:val="1"/>
                <w:color w:val="FFFFFF"/>
              </w:rPr>
              <w:t>​  ​</w:t>
            </w:r>
          </w:p>
        </w:tc>
        <w:tc>
          <w:tcPr>
            <w:tcW w:w="5140" w:type="dxa"/>
            <w:vAlign w:val="bottom"/>
            <w:tcBorders>
              <w:right w:val="single" w:sz="8" w:color="424E6A"/>
            </w:tcBorders>
            <w:shd w:val="clear" w:color="auto" w:fill="424E6A"/>
          </w:tcPr>
          <w:p>
            <w:pPr>
              <w:ind w:left="2180"/>
              <w:spacing w:after="0"/>
              <w:rPr>
                <w:sz w:val="20"/>
                <w:szCs w:val="20"/>
                <w:color w:val="auto"/>
              </w:rPr>
            </w:pPr>
            <w:r>
              <w:rPr>
                <w:rFonts w:ascii="Arial" w:cs="Arial" w:eastAsia="Arial" w:hAnsi="Arial"/>
                <w:sz w:val="14"/>
                <w:szCs w:val="14"/>
                <w:b w:val="1"/>
                <w:bCs w:val="1"/>
                <w:color w:val="FFFFFF"/>
              </w:rPr>
              <w:t>Position</w:t>
            </w:r>
          </w:p>
        </w:tc>
      </w:tr>
      <w:tr>
        <w:trPr>
          <w:trHeight w:val="256"/>
        </w:trPr>
        <w:tc>
          <w:tcPr>
            <w:tcW w:w="158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Willie Chiang*</w:t>
            </w:r>
          </w:p>
        </w:tc>
        <w:tc>
          <w:tcPr>
            <w:tcW w:w="120" w:type="dxa"/>
            <w:vAlign w:val="bottom"/>
            <w:tcBorders>
              <w:bottom w:val="single" w:sz="8" w:color="424E6A"/>
              <w:right w:val="single" w:sz="8" w:color="424E6A"/>
            </w:tcBorders>
            <w:shd w:val="clear" w:color="auto" w:fill="D9DCE1"/>
          </w:tcPr>
          <w:p>
            <w:pPr>
              <w:spacing w:after="0"/>
              <w:rPr>
                <w:sz w:val="22"/>
                <w:szCs w:val="22"/>
                <w:color w:val="auto"/>
              </w:rPr>
            </w:pPr>
          </w:p>
        </w:tc>
        <w:tc>
          <w:tcPr>
            <w:tcW w:w="1060" w:type="dxa"/>
            <w:vAlign w:val="bottom"/>
            <w:tcBorders>
              <w:bottom w:val="single" w:sz="8" w:color="424E6A"/>
            </w:tcBorders>
            <w:shd w:val="clear" w:color="auto" w:fill="D9DCE1"/>
          </w:tcPr>
          <w:p>
            <w:pPr>
              <w:jc w:val="center"/>
              <w:ind w:left="23"/>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65</w:t>
            </w:r>
          </w:p>
        </w:tc>
        <w:tc>
          <w:tcPr>
            <w:tcW w:w="18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shd w:val="clear" w:color="auto" w:fill="D9DCE1"/>
          </w:tcPr>
          <w:p>
            <w:pPr>
              <w:spacing w:after="0"/>
              <w:rPr>
                <w:sz w:val="22"/>
                <w:szCs w:val="22"/>
                <w:color w:val="auto"/>
              </w:rPr>
            </w:pPr>
          </w:p>
        </w:tc>
        <w:tc>
          <w:tcPr>
            <w:tcW w:w="5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Chairman of the Board,Chief Executive Officer and President</w:t>
            </w:r>
          </w:p>
        </w:tc>
      </w:tr>
      <w:tr>
        <w:trPr>
          <w:trHeight w:val="250"/>
        </w:trPr>
        <w:tc>
          <w:tcPr>
            <w:tcW w:w="158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Al Swanson</w:t>
            </w:r>
          </w:p>
        </w:tc>
        <w:tc>
          <w:tcPr>
            <w:tcW w:w="120" w:type="dxa"/>
            <w:vAlign w:val="bottom"/>
            <w:tcBorders>
              <w:bottom w:val="single" w:sz="8" w:color="424E6A"/>
              <w:right w:val="single" w:sz="8" w:color="424E6A"/>
            </w:tcBorders>
          </w:tcPr>
          <w:p>
            <w:pPr>
              <w:spacing w:after="0"/>
              <w:rPr>
                <w:sz w:val="21"/>
                <w:szCs w:val="21"/>
                <w:color w:val="auto"/>
              </w:rPr>
            </w:pPr>
          </w:p>
        </w:tc>
        <w:tc>
          <w:tcPr>
            <w:tcW w:w="1060" w:type="dxa"/>
            <w:vAlign w:val="bottom"/>
            <w:tcBorders>
              <w:bottom w:val="single" w:sz="8" w:color="424E6A"/>
            </w:tcBorders>
          </w:tcPr>
          <w:p>
            <w:pPr>
              <w:jc w:val="center"/>
              <w:ind w:left="23"/>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62</w:t>
            </w:r>
          </w:p>
        </w:tc>
        <w:tc>
          <w:tcPr>
            <w:tcW w:w="18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spacing w:after="0"/>
              <w:rPr>
                <w:sz w:val="21"/>
                <w:szCs w:val="21"/>
                <w:color w:val="auto"/>
              </w:rPr>
            </w:pPr>
          </w:p>
        </w:tc>
        <w:tc>
          <w:tcPr>
            <w:tcW w:w="5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50"/>
        </w:trPr>
        <w:tc>
          <w:tcPr>
            <w:tcW w:w="158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Richard K. McGee</w:t>
            </w:r>
          </w:p>
        </w:tc>
        <w:tc>
          <w:tcPr>
            <w:tcW w:w="120" w:type="dxa"/>
            <w:vAlign w:val="bottom"/>
            <w:tcBorders>
              <w:bottom w:val="single" w:sz="8" w:color="424E6A"/>
              <w:right w:val="single" w:sz="8" w:color="424E6A"/>
            </w:tcBorders>
            <w:shd w:val="clear" w:color="auto" w:fill="D9DCE1"/>
          </w:tcPr>
          <w:p>
            <w:pPr>
              <w:spacing w:after="0"/>
              <w:rPr>
                <w:sz w:val="21"/>
                <w:szCs w:val="21"/>
                <w:color w:val="auto"/>
              </w:rPr>
            </w:pPr>
          </w:p>
        </w:tc>
        <w:tc>
          <w:tcPr>
            <w:tcW w:w="1060" w:type="dxa"/>
            <w:vAlign w:val="bottom"/>
            <w:tcBorders>
              <w:bottom w:val="single" w:sz="8" w:color="424E6A"/>
            </w:tcBorders>
            <w:shd w:val="clear" w:color="auto" w:fill="D9DCE1"/>
          </w:tcPr>
          <w:p>
            <w:pPr>
              <w:jc w:val="center"/>
              <w:ind w:left="23"/>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65</w:t>
            </w:r>
          </w:p>
        </w:tc>
        <w:tc>
          <w:tcPr>
            <w:tcW w:w="18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shd w:val="clear" w:color="auto" w:fill="D9DCE1"/>
          </w:tcPr>
          <w:p>
            <w:pPr>
              <w:spacing w:after="0"/>
              <w:rPr>
                <w:sz w:val="21"/>
                <w:szCs w:val="21"/>
                <w:color w:val="auto"/>
              </w:rPr>
            </w:pPr>
          </w:p>
        </w:tc>
        <w:tc>
          <w:tcPr>
            <w:tcW w:w="5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50"/>
        </w:trPr>
        <w:tc>
          <w:tcPr>
            <w:tcW w:w="158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Chris R. Chandler</w:t>
            </w:r>
          </w:p>
        </w:tc>
        <w:tc>
          <w:tcPr>
            <w:tcW w:w="120" w:type="dxa"/>
            <w:vAlign w:val="bottom"/>
            <w:tcBorders>
              <w:bottom w:val="single" w:sz="8" w:color="424E6A"/>
              <w:right w:val="single" w:sz="8" w:color="424E6A"/>
            </w:tcBorders>
          </w:tcPr>
          <w:p>
            <w:pPr>
              <w:spacing w:after="0"/>
              <w:rPr>
                <w:sz w:val="21"/>
                <w:szCs w:val="21"/>
                <w:color w:val="auto"/>
              </w:rPr>
            </w:pPr>
          </w:p>
        </w:tc>
        <w:tc>
          <w:tcPr>
            <w:tcW w:w="1060" w:type="dxa"/>
            <w:vAlign w:val="bottom"/>
            <w:tcBorders>
              <w:bottom w:val="single" w:sz="8" w:color="424E6A"/>
            </w:tcBorders>
          </w:tcPr>
          <w:p>
            <w:pPr>
              <w:jc w:val="center"/>
              <w:ind w:left="23"/>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54</w:t>
            </w:r>
          </w:p>
        </w:tc>
        <w:tc>
          <w:tcPr>
            <w:tcW w:w="18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spacing w:after="0"/>
              <w:rPr>
                <w:sz w:val="21"/>
                <w:szCs w:val="21"/>
                <w:color w:val="auto"/>
              </w:rPr>
            </w:pPr>
          </w:p>
        </w:tc>
        <w:tc>
          <w:tcPr>
            <w:tcW w:w="5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Executive Vice President and Chief Operating Officer</w:t>
            </w:r>
          </w:p>
        </w:tc>
      </w:tr>
      <w:tr>
        <w:trPr>
          <w:trHeight w:val="250"/>
        </w:trPr>
        <w:tc>
          <w:tcPr>
            <w:tcW w:w="158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Jeremy L. Goebel</w:t>
            </w:r>
          </w:p>
        </w:tc>
        <w:tc>
          <w:tcPr>
            <w:tcW w:w="120" w:type="dxa"/>
            <w:vAlign w:val="bottom"/>
            <w:tcBorders>
              <w:bottom w:val="single" w:sz="8" w:color="424E6A"/>
              <w:right w:val="single" w:sz="8" w:color="424E6A"/>
            </w:tcBorders>
            <w:shd w:val="clear" w:color="auto" w:fill="D9DCE1"/>
          </w:tcPr>
          <w:p>
            <w:pPr>
              <w:spacing w:after="0"/>
              <w:rPr>
                <w:sz w:val="21"/>
                <w:szCs w:val="21"/>
                <w:color w:val="auto"/>
              </w:rPr>
            </w:pPr>
          </w:p>
        </w:tc>
        <w:tc>
          <w:tcPr>
            <w:tcW w:w="1060" w:type="dxa"/>
            <w:vAlign w:val="bottom"/>
            <w:tcBorders>
              <w:bottom w:val="single" w:sz="8" w:color="424E6A"/>
            </w:tcBorders>
            <w:shd w:val="clear" w:color="auto" w:fill="D9DCE1"/>
          </w:tcPr>
          <w:p>
            <w:pPr>
              <w:jc w:val="center"/>
              <w:ind w:left="23"/>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48</w:t>
            </w:r>
          </w:p>
        </w:tc>
        <w:tc>
          <w:tcPr>
            <w:tcW w:w="18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shd w:val="clear" w:color="auto" w:fill="D9DCE1"/>
          </w:tcPr>
          <w:p>
            <w:pPr>
              <w:spacing w:after="0"/>
              <w:rPr>
                <w:sz w:val="21"/>
                <w:szCs w:val="21"/>
                <w:color w:val="auto"/>
              </w:rPr>
            </w:pPr>
          </w:p>
        </w:tc>
        <w:tc>
          <w:tcPr>
            <w:tcW w:w="5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Executive Vice President and Chief Commercial Officer</w:t>
            </w:r>
          </w:p>
        </w:tc>
      </w:tr>
      <w:tr>
        <w:trPr>
          <w:trHeight w:val="250"/>
        </w:trPr>
        <w:tc>
          <w:tcPr>
            <w:tcW w:w="158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Chris Herbold</w:t>
            </w:r>
          </w:p>
        </w:tc>
        <w:tc>
          <w:tcPr>
            <w:tcW w:w="120" w:type="dxa"/>
            <w:vAlign w:val="bottom"/>
            <w:tcBorders>
              <w:bottom w:val="single" w:sz="8" w:color="424E6A"/>
              <w:right w:val="single" w:sz="8" w:color="424E6A"/>
            </w:tcBorders>
          </w:tcPr>
          <w:p>
            <w:pPr>
              <w:spacing w:after="0"/>
              <w:rPr>
                <w:sz w:val="21"/>
                <w:szCs w:val="21"/>
                <w:color w:val="auto"/>
              </w:rPr>
            </w:pPr>
          </w:p>
        </w:tc>
        <w:tc>
          <w:tcPr>
            <w:tcW w:w="1060" w:type="dxa"/>
            <w:vAlign w:val="bottom"/>
            <w:tcBorders>
              <w:bottom w:val="single" w:sz="8" w:color="424E6A"/>
            </w:tcBorders>
          </w:tcPr>
          <w:p>
            <w:pPr>
              <w:jc w:val="center"/>
              <w:ind w:left="23"/>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53</w:t>
            </w:r>
          </w:p>
        </w:tc>
        <w:tc>
          <w:tcPr>
            <w:tcW w:w="18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spacing w:after="0"/>
              <w:rPr>
                <w:sz w:val="21"/>
                <w:szCs w:val="21"/>
                <w:color w:val="auto"/>
              </w:rPr>
            </w:pPr>
          </w:p>
        </w:tc>
        <w:tc>
          <w:tcPr>
            <w:tcW w:w="5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Senior Vice President, Finance and Chief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196850</wp:posOffset>
            </wp:positionV>
            <wp:extent cx="12344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620" w:hanging="360"/>
        <w:spacing w:after="0"/>
        <w:tabs>
          <w:tab w:leader="none" w:pos="1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Biographical information for Mr. Chiang is located under Proposal 1 — Election of Class I Directors.</w:t>
      </w:r>
    </w:p>
    <w:p>
      <w:pPr>
        <w:spacing w:after="0" w:line="169" w:lineRule="exact"/>
        <w:rPr>
          <w:sz w:val="20"/>
          <w:szCs w:val="20"/>
          <w:color w:val="auto"/>
        </w:rPr>
      </w:pPr>
    </w:p>
    <w:p>
      <w:pPr>
        <w:ind w:left="1260" w:right="419" w:firstLine="360"/>
        <w:spacing w:after="0" w:line="280" w:lineRule="auto"/>
        <w:rPr>
          <w:sz w:val="20"/>
          <w:szCs w:val="20"/>
          <w:color w:val="auto"/>
        </w:rPr>
      </w:pPr>
      <w:r>
        <w:rPr>
          <w:rFonts w:ascii="Arial" w:cs="Arial" w:eastAsia="Arial" w:hAnsi="Arial"/>
          <w:sz w:val="17"/>
          <w:szCs w:val="17"/>
          <w:i w:val="1"/>
          <w:iCs w:val="1"/>
          <w:color w:val="auto"/>
        </w:rPr>
        <w:t xml:space="preserve">Al Swanson </w:t>
      </w:r>
      <w:r>
        <w:rPr>
          <w:rFonts w:ascii="Arial" w:cs="Arial" w:eastAsia="Arial" w:hAnsi="Arial"/>
          <w:sz w:val="17"/>
          <w:szCs w:val="17"/>
          <w:color w:val="auto"/>
        </w:rPr>
        <w:t>has served as Executive Vice President and Chief Financial Officer of GP LLC since</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2011. He previously served as Senior Vice President and Chief Financial Officer from November 2008 through February 2011, as Senior Vice President — Finance from August 2008 until November 2008 and as Senior Vice President — Finance and Treasurer from August 2007 until August 2008. He served as Vice President — Finance and Treasurer from August 2005 to August 2007, as Vice President and Treasurer from February 2004 to August 2005 and as Treasurer from May 2001 to February 2004. In addition, he held finance related positions at Plains Resources including Treasurer from February 2001 to May 2001 and Director of Treasury from November 2000 to February 2001. Prior to joining Plains Resources, he served as Treasurer of Santa Fe Snyder Corporation from 1999 to October 2000 and in various capacities at Snyder Oil Corporation including Director of Corporate Finance from 1998, Controller — SOCO Offshore, Inc. from 1997, and Accounting Manager from 1992. Mr. Swanson began his career with Apache Corporation in 1986 serving in internal audit and accounting. Mr. Swanson also serves as Executive Vice President and Chief Financial Officer of PAGP GP.</w:t>
      </w:r>
    </w:p>
    <w:p>
      <w:pPr>
        <w:spacing w:after="0" w:line="100" w:lineRule="exact"/>
        <w:rPr>
          <w:sz w:val="20"/>
          <w:szCs w:val="20"/>
          <w:color w:val="auto"/>
        </w:rPr>
      </w:pPr>
    </w:p>
    <w:p>
      <w:pPr>
        <w:ind w:left="1260" w:right="559" w:firstLine="360"/>
        <w:spacing w:after="0" w:line="268" w:lineRule="auto"/>
        <w:rPr>
          <w:sz w:val="20"/>
          <w:szCs w:val="20"/>
          <w:color w:val="auto"/>
        </w:rPr>
      </w:pPr>
      <w:r>
        <w:rPr>
          <w:rFonts w:ascii="Arial" w:cs="Arial" w:eastAsia="Arial" w:hAnsi="Arial"/>
          <w:sz w:val="18"/>
          <w:szCs w:val="18"/>
          <w:i w:val="1"/>
          <w:iCs w:val="1"/>
          <w:color w:val="auto"/>
        </w:rPr>
        <w:t xml:space="preserve">Richard K. McGee </w:t>
      </w:r>
      <w:r>
        <w:rPr>
          <w:rFonts w:ascii="Arial" w:cs="Arial" w:eastAsia="Arial" w:hAnsi="Arial"/>
          <w:sz w:val="18"/>
          <w:szCs w:val="18"/>
          <w:color w:val="auto"/>
        </w:rPr>
        <w:t>has served as Executive Vice President, General Counsel and Secretary of GP</w:t>
      </w:r>
      <w:r>
        <w:rPr>
          <w:rFonts w:ascii="Arial" w:cs="Arial" w:eastAsia="Arial" w:hAnsi="Arial"/>
          <w:sz w:val="18"/>
          <w:szCs w:val="18"/>
          <w:i w:val="1"/>
          <w:iCs w:val="1"/>
          <w:color w:val="auto"/>
        </w:rPr>
        <w:t xml:space="preserve"> </w:t>
      </w:r>
      <w:r>
        <w:rPr>
          <w:rFonts w:ascii="Arial" w:cs="Arial" w:eastAsia="Arial" w:hAnsi="Arial"/>
          <w:sz w:val="18"/>
          <w:szCs w:val="18"/>
          <w:color w:val="auto"/>
        </w:rPr>
        <w:t>LLC since February 2013. He served as Vice President, General Counsel and Secretary from</w:t>
      </w:r>
    </w:p>
    <w:p>
      <w:pPr>
        <w:spacing w:after="0" w:line="1" w:lineRule="exact"/>
        <w:rPr>
          <w:sz w:val="20"/>
          <w:szCs w:val="20"/>
          <w:color w:val="auto"/>
        </w:rPr>
      </w:pPr>
    </w:p>
    <w:p>
      <w:pPr>
        <w:ind w:left="1260" w:right="419"/>
        <w:spacing w:after="0" w:line="264" w:lineRule="auto"/>
        <w:rPr>
          <w:sz w:val="20"/>
          <w:szCs w:val="20"/>
          <w:color w:val="auto"/>
        </w:rPr>
      </w:pPr>
      <w:r>
        <w:rPr>
          <w:rFonts w:ascii="Arial" w:cs="Arial" w:eastAsia="Arial" w:hAnsi="Arial"/>
          <w:sz w:val="18"/>
          <w:szCs w:val="18"/>
          <w:color w:val="auto"/>
        </w:rPr>
        <w:t>March 2012 until February 2013 and served as Vice President and Deputy General Counsel from August 2011 through March 2012. He also served as Vice President — Legal and Business Development of PAA’s natural gas storage business from September 2009 through March 2012. From January 1999 to July 2009, he was employed by Duke Energy, serving as President of Duke Energy International from October 2001 through July 2009 and serving as general counsel of Duke Energy Services from January 1999 through September 2001. He previously spent 12 years at Vinson &amp; Elkins L.L.P., where he was a partner with a focus on acquisitions, divestitures and development work for various clients in the energy industry. Mr. McGee also serves as Executive Vice President, General Counsel and Secretary of PAGP GP.</w:t>
      </w:r>
    </w:p>
    <w:p>
      <w:pPr>
        <w:spacing w:after="0" w:line="106"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8"/>
          <w:szCs w:val="18"/>
          <w:i w:val="1"/>
          <w:iCs w:val="1"/>
          <w:color w:val="auto"/>
        </w:rPr>
        <w:t xml:space="preserve">Chris R. Chandler </w:t>
      </w:r>
      <w:r>
        <w:rPr>
          <w:rFonts w:ascii="Arial" w:cs="Arial" w:eastAsia="Arial" w:hAnsi="Arial"/>
          <w:sz w:val="18"/>
          <w:szCs w:val="18"/>
          <w:color w:val="auto"/>
        </w:rPr>
        <w:t>has served as Executive Vice President and Chief Operating Officer of GP LLC</w:t>
      </w:r>
      <w:r>
        <w:rPr>
          <w:rFonts w:ascii="Arial" w:cs="Arial" w:eastAsia="Arial" w:hAnsi="Arial"/>
          <w:sz w:val="18"/>
          <w:szCs w:val="18"/>
          <w:i w:val="1"/>
          <w:iCs w:val="1"/>
          <w:color w:val="auto"/>
        </w:rPr>
        <w:t xml:space="preserve"> </w:t>
      </w:r>
      <w:r>
        <w:rPr>
          <w:rFonts w:ascii="Arial" w:cs="Arial" w:eastAsia="Arial" w:hAnsi="Arial"/>
          <w:sz w:val="18"/>
          <w:szCs w:val="18"/>
          <w:color w:val="auto"/>
        </w:rPr>
        <w:t>since March 2019. He served as Senior Vice President — Strategic Planning and Acquisitions since joining Plains in May 2018 until March 2019. Mr. Chandler has more than 30 years of energy industry experience. Prior to joining Plains, he served in a number of leadership roles at Phillips 66, most recently as General Manager — Corporate Strategy, and previously as General Manager — Midstream Commercial and Business Development, as well as numerous leadership roles in refining. Mr. Chandler also serves as Executive Vice President and Chief Operating Officer of PAGP GP.</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i w:val="1"/>
          <w:iCs w:val="1"/>
          <w:color w:val="auto"/>
        </w:rPr>
        <w:t xml:space="preserve">Jeremy L. Goebel </w:t>
      </w:r>
      <w:r>
        <w:rPr>
          <w:rFonts w:ascii="Arial" w:cs="Arial" w:eastAsia="Arial" w:hAnsi="Arial"/>
          <w:sz w:val="18"/>
          <w:szCs w:val="18"/>
          <w:color w:val="auto"/>
        </w:rPr>
        <w:t>has served as Executive Vice President and Chief Commercial Officer since</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2021. He previously served as Executive Vice President — Commercial of GP LLC from March 2019 until March 2021, as Senior Group Vice President — Commercial from May 2018 to March 2019, as Senior Vice President — Acquisitions and Strategic Planning from April 2017 until May 2018, as Vice President — Acquisitions and Strategic Planning from July 2015 until April 2017, as Assistant Vice President — Lease Supply from July 2014 until July 2015, and as Managing Director —  Acquisitions and Strategic Planning from January 2013 until July 2014. Prior to joining Plains in 2013, he was employed by Simmons &amp; Company International. Mr. Goebel has over 25 years of energy and investment banking experience. Mr. Goebel also serves as Executive Vice President and Chief Commercial Officer of PAGP GP.</w:t>
      </w:r>
    </w:p>
    <w:p>
      <w:pPr>
        <w:spacing w:after="0" w:line="118" w:lineRule="exact"/>
        <w:rPr>
          <w:sz w:val="20"/>
          <w:szCs w:val="20"/>
          <w:color w:val="auto"/>
        </w:rPr>
      </w:pPr>
    </w:p>
    <w:p>
      <w:pPr>
        <w:jc w:val="both"/>
        <w:ind w:left="1260" w:right="619" w:firstLine="360"/>
        <w:spacing w:after="0" w:line="270" w:lineRule="auto"/>
        <w:rPr>
          <w:sz w:val="20"/>
          <w:szCs w:val="20"/>
          <w:color w:val="auto"/>
        </w:rPr>
      </w:pPr>
      <w:r>
        <w:rPr>
          <w:rFonts w:ascii="Arial" w:cs="Arial" w:eastAsia="Arial" w:hAnsi="Arial"/>
          <w:sz w:val="17"/>
          <w:szCs w:val="17"/>
          <w:i w:val="1"/>
          <w:iCs w:val="1"/>
          <w:color w:val="auto"/>
        </w:rPr>
        <w:t xml:space="preserve">Chris Herbold </w:t>
      </w:r>
      <w:r>
        <w:rPr>
          <w:rFonts w:ascii="Arial" w:cs="Arial" w:eastAsia="Arial" w:hAnsi="Arial"/>
          <w:sz w:val="17"/>
          <w:szCs w:val="17"/>
          <w:color w:val="auto"/>
        </w:rPr>
        <w:t>has served as Senior Vice President, Finance and Chief Accounting Officer of GP</w:t>
      </w:r>
      <w:r>
        <w:rPr>
          <w:rFonts w:ascii="Arial" w:cs="Arial" w:eastAsia="Arial" w:hAnsi="Arial"/>
          <w:sz w:val="17"/>
          <w:szCs w:val="17"/>
          <w:i w:val="1"/>
          <w:iCs w:val="1"/>
          <w:color w:val="auto"/>
        </w:rPr>
        <w:t xml:space="preserve"> </w:t>
      </w:r>
      <w:r>
        <w:rPr>
          <w:rFonts w:ascii="Arial" w:cs="Arial" w:eastAsia="Arial" w:hAnsi="Arial"/>
          <w:sz w:val="17"/>
          <w:szCs w:val="17"/>
          <w:color w:val="auto"/>
        </w:rPr>
        <w:t>LLC since August 2021, and served as Senior Vice President and Chief Accounting Officer of GP LLC from August 2018 until August 2021. He served as Vice President — Accounting and Chief Accounting Officer from August 2010 until August 2018. He served as Controller of PAA from 2008 until</w:t>
      </w:r>
    </w:p>
    <w:p>
      <w:pPr>
        <w:spacing w:after="0" w:line="2"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color w:val="auto"/>
        </w:rPr>
        <w:t>August 2010. He previously served as Director of Operational Accounting from 2006 to 2008, Director of Financial Reporting and Accounting from 2003 to 2006 and Manager of SEC and Financial Reporting from 2002 to 2003. Prior to joining PAA in April 2002, Mr. Herbold spent seven years working for the accounting firm Arthur Andersen LLP. Mr. Herbold also serves as Senior Vice President, Finance and Chief Accounting Officer of PAGP GP.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Report</w:t>
      </w:r>
    </w:p>
    <w:p>
      <w:pPr>
        <w:spacing w:after="0" w:line="158"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The Compensation Committee reviews and makes recommendations to the Board regarding the compensation for our executive officers and directors. In fulfilling its oversight responsibilities, the Compensation Committee reviewed and discussed the following Compensation Discussion and Analysis (sometimes referred to as “CD&amp;A”) with management and, based on such review and discussion, has recommended to the Board that the Compensation Discussion and Analysis be included in this proxy statement.</w:t>
      </w:r>
    </w:p>
    <w:p>
      <w:pPr>
        <w:spacing w:after="0" w:line="11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 xml:space="preserve">Bobby S. Shackouls, </w:t>
      </w:r>
      <w:r>
        <w:rPr>
          <w:rFonts w:ascii="Arial" w:cs="Arial" w:eastAsia="Arial" w:hAnsi="Arial"/>
          <w:sz w:val="18"/>
          <w:szCs w:val="18"/>
          <w:i w:val="1"/>
          <w:iCs w:val="1"/>
          <w:color w:val="auto"/>
        </w:rPr>
        <w:t>Chair</w:t>
      </w:r>
    </w:p>
    <w:p>
      <w:pPr>
        <w:spacing w:after="0" w:line="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Victor Burk</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Gary R. Petersen</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John T. Raymond</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44" w:lineRule="exact"/>
        <w:rPr>
          <w:sz w:val="20"/>
          <w:szCs w:val="20"/>
          <w:color w:val="auto"/>
        </w:rPr>
      </w:pPr>
    </w:p>
    <w:p>
      <w:pPr>
        <w:ind w:left="1260" w:right="499" w:firstLine="360"/>
        <w:spacing w:after="0" w:line="268" w:lineRule="auto"/>
        <w:rPr>
          <w:sz w:val="20"/>
          <w:szCs w:val="20"/>
          <w:color w:val="auto"/>
        </w:rPr>
      </w:pPr>
      <w:r>
        <w:rPr>
          <w:rFonts w:ascii="Arial" w:cs="Arial" w:eastAsia="Arial" w:hAnsi="Arial"/>
          <w:sz w:val="18"/>
          <w:szCs w:val="18"/>
          <w:color w:val="auto"/>
        </w:rPr>
        <w:t>For 2025, our Named Executive Officers (sometimes referred to as “NEOs”) include our CEO and President, our CFO, and the three most highly compensated executive officers (other than our CEO and CFO). Our NEOs for 2025 include the following individuals:</w:t>
      </w:r>
    </w:p>
    <w:p>
      <w:pPr>
        <w:spacing w:after="0" w:line="137" w:lineRule="exact"/>
        <w:rPr>
          <w:sz w:val="20"/>
          <w:szCs w:val="20"/>
          <w:color w:val="auto"/>
        </w:rPr>
      </w:pPr>
    </w:p>
    <w:tbl>
      <w:tblPr>
        <w:tblLayout w:type="fixed"/>
        <w:tblInd w:w="1630" w:type="dxa"/>
        <w:tblCellMar>
          <w:top w:w="0" w:type="dxa"/>
          <w:left w:w="0" w:type="dxa"/>
          <w:bottom w:w="0" w:type="dxa"/>
          <w:right w:w="0" w:type="dxa"/>
        </w:tblCellMar>
      </w:tblPr>
      <w:tr>
        <w:trPr>
          <w:trHeight w:val="335"/>
        </w:trPr>
        <w:tc>
          <w:tcPr>
            <w:tcW w:w="2460" w:type="dxa"/>
            <w:vAlign w:val="bottom"/>
            <w:tcBorders>
              <w:left w:val="single" w:sz="8" w:color="424E6A"/>
            </w:tcBorders>
            <w:shd w:val="clear" w:color="auto" w:fill="424E6A"/>
          </w:tcPr>
          <w:p>
            <w:pPr>
              <w:ind w:left="20"/>
              <w:spacing w:after="0"/>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Named Executive Officer</w:t>
            </w:r>
          </w:p>
        </w:tc>
        <w:tc>
          <w:tcPr>
            <w:tcW w:w="1760" w:type="dxa"/>
            <w:vAlign w:val="bottom"/>
            <w:gridSpan w:val="2"/>
            <w:shd w:val="clear" w:color="auto" w:fill="424E6A"/>
          </w:tcPr>
          <w:p>
            <w:pPr>
              <w:ind w:left="680"/>
              <w:spacing w:after="0"/>
              <w:rPr>
                <w:sz w:val="20"/>
                <w:szCs w:val="20"/>
                <w:color w:val="auto"/>
              </w:rPr>
            </w:pPr>
            <w:r>
              <w:rPr>
                <w:rFonts w:ascii="Arial" w:cs="Arial" w:eastAsia="Arial" w:hAnsi="Arial"/>
                <w:sz w:val="14"/>
                <w:szCs w:val="14"/>
                <w:b w:val="1"/>
                <w:bCs w:val="1"/>
                <w:color w:val="FFFFFF"/>
              </w:rPr>
              <w:t>​ ​</w:t>
            </w:r>
          </w:p>
        </w:tc>
        <w:tc>
          <w:tcPr>
            <w:tcW w:w="2980" w:type="dxa"/>
            <w:vAlign w:val="bottom"/>
            <w:shd w:val="clear" w:color="auto" w:fill="424E6A"/>
          </w:tcPr>
          <w:p>
            <w:pPr>
              <w:ind w:left="940"/>
              <w:spacing w:after="0"/>
              <w:rPr>
                <w:sz w:val="20"/>
                <w:szCs w:val="20"/>
                <w:color w:val="auto"/>
              </w:rPr>
            </w:pPr>
            <w:r>
              <w:rPr>
                <w:rFonts w:ascii="Arial" w:cs="Arial" w:eastAsia="Arial" w:hAnsi="Arial"/>
                <w:sz w:val="14"/>
                <w:szCs w:val="14"/>
                <w:b w:val="1"/>
                <w:bCs w:val="1"/>
                <w:color w:val="FFFFFF"/>
              </w:rPr>
              <w:t>Title</w:t>
            </w:r>
          </w:p>
        </w:tc>
        <w:tc>
          <w:tcPr>
            <w:tcW w:w="280" w:type="dxa"/>
            <w:vAlign w:val="bottom"/>
            <w:tcBorders>
              <w:righ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r>
      <w:tr>
        <w:trPr>
          <w:trHeight w:val="256"/>
        </w:trPr>
        <w:tc>
          <w:tcPr>
            <w:tcW w:w="2460" w:type="dxa"/>
            <w:vAlign w:val="bottom"/>
            <w:tcBorders>
              <w:left w:val="single" w:sz="8" w:color="424E6A"/>
              <w:bottom w:val="single" w:sz="8" w:color="424E6A"/>
            </w:tcBorders>
            <w:shd w:val="clear" w:color="auto" w:fill="D9DCE1"/>
          </w:tcPr>
          <w:p>
            <w:pPr>
              <w:ind w:left="20"/>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Willie Chiang</w:t>
            </w:r>
          </w:p>
        </w:tc>
        <w:tc>
          <w:tcPr>
            <w:tcW w:w="800" w:type="dxa"/>
            <w:vAlign w:val="bottom"/>
            <w:tcBorders>
              <w:bottom w:val="single" w:sz="8" w:color="424E6A"/>
              <w:right w:val="single" w:sz="8" w:color="424E6A"/>
            </w:tcBorders>
            <w:shd w:val="clear" w:color="auto" w:fill="D9DCE1"/>
          </w:tcPr>
          <w:p>
            <w:pPr>
              <w:ind w:left="680"/>
              <w:spacing w:after="0"/>
              <w:rPr>
                <w:sz w:val="20"/>
                <w:szCs w:val="20"/>
                <w:color w:val="auto"/>
              </w:rPr>
            </w:pPr>
            <w:r>
              <w:rPr>
                <w:rFonts w:ascii="Arial" w:cs="Arial" w:eastAsia="Arial" w:hAnsi="Arial"/>
                <w:sz w:val="18"/>
                <w:szCs w:val="18"/>
                <w:color w:val="auto"/>
              </w:rPr>
              <w:t>​</w:t>
            </w:r>
          </w:p>
        </w:tc>
        <w:tc>
          <w:tcPr>
            <w:tcW w:w="3940" w:type="dxa"/>
            <w:vAlign w:val="bottom"/>
            <w:tcBorders>
              <w:bottom w:val="single" w:sz="8" w:color="424E6A"/>
            </w:tcBorders>
            <w:gridSpan w:val="2"/>
            <w:shd w:val="clear" w:color="auto" w:fill="D9DCE1"/>
          </w:tcPr>
          <w:p>
            <w:pPr>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xml:space="preserve"> Chairman, Chief Executive Officer and President</w:t>
            </w:r>
          </w:p>
        </w:tc>
        <w:tc>
          <w:tcPr>
            <w:tcW w:w="28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r>
      <w:tr>
        <w:trPr>
          <w:trHeight w:val="250"/>
        </w:trPr>
        <w:tc>
          <w:tcPr>
            <w:tcW w:w="2460" w:type="dxa"/>
            <w:vAlign w:val="bottom"/>
            <w:tcBorders>
              <w:left w:val="single" w:sz="8" w:color="424E6A"/>
              <w:bottom w:val="single" w:sz="8" w:color="424E6A"/>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Al Swanson</w:t>
            </w:r>
          </w:p>
        </w:tc>
        <w:tc>
          <w:tcPr>
            <w:tcW w:w="800" w:type="dxa"/>
            <w:vAlign w:val="bottom"/>
            <w:tcBorders>
              <w:bottom w:val="single" w:sz="8" w:color="424E6A"/>
              <w:right w:val="single" w:sz="8" w:color="424E6A"/>
            </w:tcBorders>
          </w:tcPr>
          <w:p>
            <w:pPr>
              <w:ind w:left="680"/>
              <w:spacing w:after="0"/>
              <w:rPr>
                <w:sz w:val="20"/>
                <w:szCs w:val="20"/>
                <w:color w:val="auto"/>
              </w:rPr>
            </w:pPr>
            <w:r>
              <w:rPr>
                <w:rFonts w:ascii="Arial" w:cs="Arial" w:eastAsia="Arial" w:hAnsi="Arial"/>
                <w:sz w:val="18"/>
                <w:szCs w:val="18"/>
                <w:color w:val="auto"/>
              </w:rPr>
              <w:t>​</w:t>
            </w:r>
          </w:p>
        </w:tc>
        <w:tc>
          <w:tcPr>
            <w:tcW w:w="3940" w:type="dxa"/>
            <w:vAlign w:val="bottom"/>
            <w:tcBorders>
              <w:bottom w:val="single" w:sz="8" w:color="424E6A"/>
            </w:tcBorders>
            <w:gridSpan w:val="2"/>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EVP and Chief Financial Officer</w:t>
            </w:r>
          </w:p>
        </w:tc>
        <w:tc>
          <w:tcPr>
            <w:tcW w:w="28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w:t>
            </w:r>
          </w:p>
        </w:tc>
      </w:tr>
      <w:tr>
        <w:trPr>
          <w:trHeight w:val="250"/>
        </w:trPr>
        <w:tc>
          <w:tcPr>
            <w:tcW w:w="2460" w:type="dxa"/>
            <w:vAlign w:val="bottom"/>
            <w:tcBorders>
              <w:left w:val="single" w:sz="8" w:color="424E6A"/>
              <w:bottom w:val="single" w:sz="8" w:color="424E6A"/>
            </w:tcBorders>
            <w:shd w:val="clear" w:color="auto" w:fill="D9DCE1"/>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Richard McGee</w:t>
            </w:r>
          </w:p>
        </w:tc>
        <w:tc>
          <w:tcPr>
            <w:tcW w:w="800" w:type="dxa"/>
            <w:vAlign w:val="bottom"/>
            <w:tcBorders>
              <w:bottom w:val="single" w:sz="8" w:color="424E6A"/>
              <w:right w:val="single" w:sz="8" w:color="424E6A"/>
            </w:tcBorders>
            <w:shd w:val="clear" w:color="auto" w:fill="D9DCE1"/>
          </w:tcPr>
          <w:p>
            <w:pPr>
              <w:ind w:left="680"/>
              <w:spacing w:after="0"/>
              <w:rPr>
                <w:sz w:val="20"/>
                <w:szCs w:val="20"/>
                <w:color w:val="auto"/>
              </w:rPr>
            </w:pPr>
            <w:r>
              <w:rPr>
                <w:rFonts w:ascii="Arial" w:cs="Arial" w:eastAsia="Arial" w:hAnsi="Arial"/>
                <w:sz w:val="18"/>
                <w:szCs w:val="18"/>
                <w:color w:val="auto"/>
              </w:rPr>
              <w:t>​</w:t>
            </w:r>
          </w:p>
        </w:tc>
        <w:tc>
          <w:tcPr>
            <w:tcW w:w="3940" w:type="dxa"/>
            <w:vAlign w:val="bottom"/>
            <w:tcBorders>
              <w:bottom w:val="single" w:sz="8" w:color="424E6A"/>
            </w:tcBorders>
            <w:gridSpan w:val="2"/>
            <w:shd w:val="clear" w:color="auto" w:fill="D9DCE1"/>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EVP, General Counsel and Secretary</w:t>
            </w:r>
          </w:p>
        </w:tc>
        <w:tc>
          <w:tcPr>
            <w:tcW w:w="28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r>
      <w:tr>
        <w:trPr>
          <w:trHeight w:val="250"/>
        </w:trPr>
        <w:tc>
          <w:tcPr>
            <w:tcW w:w="2460" w:type="dxa"/>
            <w:vAlign w:val="bottom"/>
            <w:tcBorders>
              <w:left w:val="single" w:sz="8" w:color="424E6A"/>
              <w:bottom w:val="single" w:sz="8" w:color="424E6A"/>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Chris Chandler</w:t>
            </w:r>
          </w:p>
        </w:tc>
        <w:tc>
          <w:tcPr>
            <w:tcW w:w="800" w:type="dxa"/>
            <w:vAlign w:val="bottom"/>
            <w:tcBorders>
              <w:bottom w:val="single" w:sz="8" w:color="424E6A"/>
              <w:right w:val="single" w:sz="8" w:color="424E6A"/>
            </w:tcBorders>
          </w:tcPr>
          <w:p>
            <w:pPr>
              <w:ind w:left="680"/>
              <w:spacing w:after="0"/>
              <w:rPr>
                <w:sz w:val="20"/>
                <w:szCs w:val="20"/>
                <w:color w:val="auto"/>
              </w:rPr>
            </w:pPr>
            <w:r>
              <w:rPr>
                <w:rFonts w:ascii="Arial" w:cs="Arial" w:eastAsia="Arial" w:hAnsi="Arial"/>
                <w:sz w:val="18"/>
                <w:szCs w:val="18"/>
                <w:color w:val="auto"/>
              </w:rPr>
              <w:t>​</w:t>
            </w:r>
          </w:p>
        </w:tc>
        <w:tc>
          <w:tcPr>
            <w:tcW w:w="3940" w:type="dxa"/>
            <w:vAlign w:val="bottom"/>
            <w:tcBorders>
              <w:bottom w:val="single" w:sz="8" w:color="424E6A"/>
            </w:tcBorders>
            <w:gridSpan w:val="2"/>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EVP and Chief Operating Officer</w:t>
            </w:r>
          </w:p>
        </w:tc>
        <w:tc>
          <w:tcPr>
            <w:tcW w:w="28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w:t>
            </w:r>
          </w:p>
        </w:tc>
      </w:tr>
      <w:tr>
        <w:trPr>
          <w:trHeight w:val="250"/>
        </w:trPr>
        <w:tc>
          <w:tcPr>
            <w:tcW w:w="2460" w:type="dxa"/>
            <w:vAlign w:val="bottom"/>
            <w:tcBorders>
              <w:left w:val="single" w:sz="8" w:color="424E6A"/>
              <w:bottom w:val="single" w:sz="8" w:color="424E6A"/>
            </w:tcBorders>
            <w:shd w:val="clear" w:color="auto" w:fill="D9DCE1"/>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Jeremy Goebel</w:t>
            </w:r>
          </w:p>
        </w:tc>
        <w:tc>
          <w:tcPr>
            <w:tcW w:w="800" w:type="dxa"/>
            <w:vAlign w:val="bottom"/>
            <w:tcBorders>
              <w:bottom w:val="single" w:sz="8" w:color="424E6A"/>
              <w:right w:val="single" w:sz="8" w:color="424E6A"/>
            </w:tcBorders>
            <w:shd w:val="clear" w:color="auto" w:fill="D9DCE1"/>
          </w:tcPr>
          <w:p>
            <w:pPr>
              <w:ind w:left="680"/>
              <w:spacing w:after="0"/>
              <w:rPr>
                <w:sz w:val="20"/>
                <w:szCs w:val="20"/>
                <w:color w:val="auto"/>
              </w:rPr>
            </w:pPr>
            <w:r>
              <w:rPr>
                <w:rFonts w:ascii="Arial" w:cs="Arial" w:eastAsia="Arial" w:hAnsi="Arial"/>
                <w:sz w:val="18"/>
                <w:szCs w:val="18"/>
                <w:color w:val="auto"/>
              </w:rPr>
              <w:t>​</w:t>
            </w:r>
          </w:p>
        </w:tc>
        <w:tc>
          <w:tcPr>
            <w:tcW w:w="3940" w:type="dxa"/>
            <w:vAlign w:val="bottom"/>
            <w:tcBorders>
              <w:bottom w:val="single" w:sz="8" w:color="424E6A"/>
            </w:tcBorders>
            <w:gridSpan w:val="2"/>
            <w:shd w:val="clear" w:color="auto" w:fill="D9DCE1"/>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EVP and Chief Commercial Officer</w:t>
            </w:r>
          </w:p>
        </w:tc>
        <w:tc>
          <w:tcPr>
            <w:tcW w:w="28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r>
    </w:tbl>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2025 Executive Compensation Highlights</w:t>
      </w:r>
    </w:p>
    <w:p>
      <w:pPr>
        <w:spacing w:after="0" w:line="156" w:lineRule="exact"/>
        <w:rPr>
          <w:sz w:val="20"/>
          <w:szCs w:val="20"/>
          <w:color w:val="auto"/>
        </w:rPr>
      </w:pPr>
    </w:p>
    <w:p>
      <w:pPr>
        <w:ind w:left="1260" w:right="499" w:firstLine="360"/>
        <w:spacing w:after="0" w:line="268" w:lineRule="auto"/>
        <w:rPr>
          <w:sz w:val="20"/>
          <w:szCs w:val="20"/>
          <w:color w:val="auto"/>
        </w:rPr>
      </w:pPr>
      <w:r>
        <w:rPr>
          <w:rFonts w:ascii="Arial" w:cs="Arial" w:eastAsia="Arial" w:hAnsi="Arial"/>
          <w:sz w:val="18"/>
          <w:szCs w:val="18"/>
          <w:color w:val="auto"/>
        </w:rPr>
        <w:t>The discussion set forth below in this Compensation Discussion and Analysis describes our current approach to executive compensation and elaborates upon the various actions taken and adjustments made with respect to our executive compensation program for 2025. Highlights include:</w:t>
      </w:r>
    </w:p>
    <w:p>
      <w:pPr>
        <w:spacing w:after="0" w:line="63" w:lineRule="exact"/>
        <w:rPr>
          <w:sz w:val="20"/>
          <w:szCs w:val="20"/>
          <w:color w:val="auto"/>
        </w:rPr>
      </w:pPr>
    </w:p>
    <w:p>
      <w:pPr>
        <w:ind w:left="1800" w:right="699" w:hanging="180"/>
        <w:spacing w:after="0" w:line="255"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Adjustments to Annual Compensation Elements: </w:t>
      </w:r>
      <w:r>
        <w:rPr>
          <w:rFonts w:ascii="Arial" w:cs="Arial" w:eastAsia="Arial" w:hAnsi="Arial"/>
          <w:sz w:val="18"/>
          <w:szCs w:val="18"/>
          <w:color w:val="auto"/>
        </w:rPr>
        <w:t>Following its annual review in</w:t>
      </w:r>
      <w:r>
        <w:rPr>
          <w:rFonts w:ascii="Arial" w:cs="Arial" w:eastAsia="Arial" w:hAnsi="Arial"/>
          <w:sz w:val="18"/>
          <w:szCs w:val="18"/>
          <w:b w:val="1"/>
          <w:bCs w:val="1"/>
          <w:color w:val="auto"/>
        </w:rPr>
        <w:t xml:space="preserve"> </w:t>
      </w:r>
      <w:r>
        <w:rPr>
          <w:rFonts w:ascii="Arial" w:cs="Arial" w:eastAsia="Arial" w:hAnsi="Arial"/>
          <w:sz w:val="18"/>
          <w:szCs w:val="18"/>
          <w:color w:val="auto"/>
        </w:rPr>
        <w:t>February 2025, the Compensation Committee approved adjustments to NEO base salaries to support retention and maintain competitive positioning relative to peers, taking updated market data and individual considerations into account. Additionally, the annual LTIP target (as</w:t>
      </w:r>
    </w:p>
    <w:p>
      <w:pPr>
        <w:spacing w:after="0" w:line="2" w:lineRule="exact"/>
        <w:rPr>
          <w:rFonts w:ascii="Arial" w:cs="Arial" w:eastAsia="Arial" w:hAnsi="Arial"/>
          <w:sz w:val="18"/>
          <w:szCs w:val="18"/>
          <w:color w:val="auto"/>
        </w:rPr>
      </w:pPr>
    </w:p>
    <w:p>
      <w:pPr>
        <w:ind w:left="1800" w:right="599"/>
        <w:spacing w:after="0" w:line="266" w:lineRule="auto"/>
        <w:rPr>
          <w:rFonts w:ascii="Arial" w:cs="Arial" w:eastAsia="Arial" w:hAnsi="Arial"/>
          <w:sz w:val="18"/>
          <w:szCs w:val="18"/>
          <w:color w:val="auto"/>
        </w:rPr>
      </w:pPr>
      <w:r>
        <w:rPr>
          <w:rFonts w:ascii="Arial" w:cs="Arial" w:eastAsia="Arial" w:hAnsi="Arial"/>
          <w:sz w:val="18"/>
          <w:szCs w:val="18"/>
          <w:color w:val="auto"/>
        </w:rPr>
        <w:t>a percentage of base salary) for Mr. Chiang was increased. Additional information regarding our annual compensation elements is described below.</w:t>
      </w:r>
    </w:p>
    <w:p>
      <w:pPr>
        <w:spacing w:after="0" w:line="63" w:lineRule="exact"/>
        <w:rPr>
          <w:rFonts w:ascii="Arial" w:cs="Arial" w:eastAsia="Arial" w:hAnsi="Arial"/>
          <w:sz w:val="18"/>
          <w:szCs w:val="18"/>
          <w:color w:val="auto"/>
        </w:rPr>
      </w:pPr>
    </w:p>
    <w:p>
      <w:pPr>
        <w:jc w:val="both"/>
        <w:ind w:left="1800" w:right="499" w:hanging="180"/>
        <w:spacing w:after="0" w:line="262"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Annual Bonus: </w:t>
      </w:r>
      <w:r>
        <w:rPr>
          <w:rFonts w:ascii="Arial" w:cs="Arial" w:eastAsia="Arial" w:hAnsi="Arial"/>
          <w:sz w:val="18"/>
          <w:szCs w:val="18"/>
          <w:color w:val="auto"/>
        </w:rPr>
        <w:t>Considering PAA’s strong performance on HSE metrics and management’s very</w:t>
      </w:r>
      <w:r>
        <w:rPr>
          <w:rFonts w:ascii="Arial" w:cs="Arial" w:eastAsia="Arial" w:hAnsi="Arial"/>
          <w:sz w:val="18"/>
          <w:szCs w:val="18"/>
          <w:b w:val="1"/>
          <w:bCs w:val="1"/>
          <w:color w:val="auto"/>
        </w:rPr>
        <w:t xml:space="preserve"> </w:t>
      </w:r>
      <w:r>
        <w:rPr>
          <w:rFonts w:ascii="Arial" w:cs="Arial" w:eastAsia="Arial" w:hAnsi="Arial"/>
          <w:sz w:val="18"/>
          <w:szCs w:val="18"/>
          <w:color w:val="auto"/>
        </w:rPr>
        <w:t>strong performance with respect to strategic positioning for 2026 during a challenging year, NEO bonuses paid out at 131% of target. Additional information regarding our 2025 bonus program is described below.</w:t>
      </w:r>
    </w:p>
    <w:p>
      <w:pPr>
        <w:spacing w:after="0" w:line="68" w:lineRule="exact"/>
        <w:rPr>
          <w:rFonts w:ascii="Arial" w:cs="Arial" w:eastAsia="Arial" w:hAnsi="Arial"/>
          <w:sz w:val="18"/>
          <w:szCs w:val="18"/>
          <w:color w:val="auto"/>
        </w:rPr>
      </w:pPr>
    </w:p>
    <w:p>
      <w:pPr>
        <w:ind w:left="1800" w:right="459" w:hanging="180"/>
        <w:spacing w:after="0" w:line="271" w:lineRule="auto"/>
        <w:tabs>
          <w:tab w:leader="none" w:pos="1800"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auto"/>
        </w:rPr>
        <w:t xml:space="preserve">Long-Term Incentive Matters: </w:t>
      </w:r>
      <w:r>
        <w:rPr>
          <w:rFonts w:ascii="Arial" w:cs="Arial" w:eastAsia="Arial" w:hAnsi="Arial"/>
          <w:sz w:val="17"/>
          <w:szCs w:val="17"/>
          <w:color w:val="auto"/>
        </w:rPr>
        <w:t>Time-based and performance-based long-term incentive awards</w:t>
      </w:r>
      <w:r>
        <w:rPr>
          <w:rFonts w:ascii="Arial" w:cs="Arial" w:eastAsia="Arial" w:hAnsi="Arial"/>
          <w:sz w:val="17"/>
          <w:szCs w:val="17"/>
          <w:b w:val="1"/>
          <w:bCs w:val="1"/>
          <w:color w:val="auto"/>
        </w:rPr>
        <w:t xml:space="preserve"> </w:t>
      </w:r>
      <w:r>
        <w:rPr>
          <w:rFonts w:ascii="Arial" w:cs="Arial" w:eastAsia="Arial" w:hAnsi="Arial"/>
          <w:sz w:val="17"/>
          <w:szCs w:val="17"/>
          <w:color w:val="auto"/>
        </w:rPr>
        <w:t>granted in 2022 vested (became payable 1 for 1 in PAA common units) in August 2025. Taking all vesting criteria into account, the 2022 grants paid out at 127.5% of target. Consistent with our annual practice, in August 2025 we granted long-term equity incentive awards to our NEOs, 50% of which are time-based and 50% of which are performance-based with vesting based on Total Shareholder Return (“TSR”) and Distributable Cash Flow per common unit equivalent (“DCF/​ CUE”) results measured over a cumulative three-year performance period. In addition, to support the retention of our CEO for up to five more years, continued execution of key strategic initiatives and the development of potential successors, we extended the expiration date of our CEO’s promotional grant originally awarded in 2018. Lastly, to provide incremental retention</w:t>
      </w:r>
    </w:p>
    <w:p>
      <w:pPr>
        <w:sectPr>
          <w:pgSz w:w="11900" w:h="16838" w:orient="portrait"/>
          <w:cols w:equalWidth="0" w:num="1">
            <w:col w:w="9879"/>
          </w:cols>
          <w:pgMar w:left="580" w:top="97" w:right="1440" w:bottom="1440" w:gutter="0" w:footer="0" w:header="0"/>
        </w:sectPr>
      </w:pPr>
    </w:p>
    <w:p>
      <w:pPr>
        <w:spacing w:after="0" w:line="34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0" w:right="499"/>
        <w:spacing w:after="0" w:line="262" w:lineRule="auto"/>
        <w:rPr>
          <w:sz w:val="20"/>
          <w:szCs w:val="20"/>
          <w:color w:val="auto"/>
        </w:rPr>
      </w:pPr>
      <w:r>
        <w:rPr>
          <w:rFonts w:ascii="Arial" w:cs="Arial" w:eastAsia="Arial" w:hAnsi="Arial"/>
          <w:sz w:val="18"/>
          <w:szCs w:val="18"/>
          <w:color w:val="auto"/>
        </w:rPr>
        <w:t>incentive to remain with Plains to drive key initiatives and support long-term succession planning, we granted special retention long-term incentive awards to two of our NEOs who are proven leaders and critical to the future leadership and success of Plains. Additional information regarding our long-term incentive awards is described below.</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Executive Compensation General Philosophy and Approach</w:t>
      </w:r>
    </w:p>
    <w:p>
      <w:pPr>
        <w:spacing w:after="0" w:line="156" w:lineRule="exact"/>
        <w:rPr>
          <w:sz w:val="20"/>
          <w:szCs w:val="20"/>
          <w:color w:val="auto"/>
        </w:rPr>
      </w:pPr>
    </w:p>
    <w:p>
      <w:pPr>
        <w:jc w:val="both"/>
        <w:ind w:left="1260" w:right="459" w:firstLine="360"/>
        <w:spacing w:after="0" w:line="259" w:lineRule="auto"/>
        <w:rPr>
          <w:sz w:val="20"/>
          <w:szCs w:val="20"/>
          <w:color w:val="auto"/>
        </w:rPr>
      </w:pPr>
      <w:r>
        <w:rPr>
          <w:rFonts w:ascii="Arial" w:cs="Arial" w:eastAsia="Arial" w:hAnsi="Arial"/>
          <w:sz w:val="18"/>
          <w:szCs w:val="18"/>
          <w:color w:val="auto"/>
        </w:rPr>
        <w:t>Our executive compensation philosophy emphasizes pay for performance, at both an individual and entity level, and places a significant portion of each Named Executive Officer’s compensation at risk. We believe this approach aligns the interests of our executive officers with the interests of our equity holders and at the same time allows us to attract, motivate and retain key executives. The table below highlights some of the key features of our executive compensation program:</w:t>
      </w:r>
    </w:p>
    <w:p>
      <w:pPr>
        <w:spacing w:after="0" w:line="138" w:lineRule="exact"/>
        <w:rPr>
          <w:sz w:val="20"/>
          <w:szCs w:val="20"/>
          <w:color w:val="auto"/>
        </w:rPr>
      </w:pPr>
    </w:p>
    <w:tbl>
      <w:tblPr>
        <w:tblLayout w:type="fixed"/>
        <w:tblInd w:w="1270" w:type="dxa"/>
        <w:tblCellMar>
          <w:top w:w="0" w:type="dxa"/>
          <w:left w:w="0" w:type="dxa"/>
          <w:bottom w:w="0" w:type="dxa"/>
          <w:right w:w="0" w:type="dxa"/>
        </w:tblCellMar>
      </w:tblPr>
      <w:tr>
        <w:trPr>
          <w:trHeight w:val="297"/>
        </w:trPr>
        <w:tc>
          <w:tcPr>
            <w:tcW w:w="3960" w:type="dxa"/>
            <w:vAlign w:val="bottom"/>
            <w:tcBorders>
              <w:top w:val="single" w:sz="8" w:color="auto"/>
              <w:left w:val="single" w:sz="8" w:color="auto"/>
              <w:bottom w:val="single" w:sz="8" w:color="auto"/>
            </w:tcBorders>
            <w:shd w:val="clear" w:color="auto" w:fill="424E6A"/>
          </w:tcPr>
          <w:p>
            <w:pPr>
              <w:ind w:left="1620"/>
              <w:spacing w:after="0"/>
              <w:rPr>
                <w:sz w:val="20"/>
                <w:szCs w:val="20"/>
                <w:color w:val="auto"/>
              </w:rPr>
            </w:pPr>
            <w:r>
              <w:rPr>
                <w:rFonts w:ascii="Arial" w:cs="Arial" w:eastAsia="Arial" w:hAnsi="Arial"/>
                <w:sz w:val="14"/>
                <w:szCs w:val="14"/>
                <w:b w:val="1"/>
                <w:bCs w:val="1"/>
                <w:color w:val="FFFFFF"/>
              </w:rPr>
              <w:t>What We Do</w:t>
            </w:r>
          </w:p>
        </w:tc>
        <w:tc>
          <w:tcPr>
            <w:tcW w:w="160" w:type="dxa"/>
            <w:vAlign w:val="bottom"/>
            <w:tcBorders>
              <w:top w:val="single" w:sz="8" w:color="auto"/>
              <w:bottom w:val="single" w:sz="8" w:color="auto"/>
              <w:right w:val="single" w:sz="8" w:color="auto"/>
            </w:tcBorders>
            <w:shd w:val="clear" w:color="auto" w:fill="424E6A"/>
          </w:tcPr>
          <w:p>
            <w:pPr>
              <w:ind w:left="80"/>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top w:val="single" w:sz="8" w:color="auto"/>
              <w:bottom w:val="single" w:sz="8" w:color="auto"/>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3840" w:type="dxa"/>
            <w:vAlign w:val="bottom"/>
            <w:tcBorders>
              <w:top w:val="single" w:sz="8" w:color="auto"/>
              <w:bottom w:val="single" w:sz="8" w:color="auto"/>
              <w:right w:val="single" w:sz="8" w:color="auto"/>
            </w:tcBorders>
            <w:shd w:val="clear" w:color="auto" w:fill="424E6A"/>
          </w:tcPr>
          <w:p>
            <w:pPr>
              <w:ind w:left="1180"/>
              <w:spacing w:after="0"/>
              <w:rPr>
                <w:sz w:val="20"/>
                <w:szCs w:val="20"/>
                <w:color w:val="auto"/>
              </w:rPr>
            </w:pPr>
            <w:r>
              <w:rPr>
                <w:rFonts w:ascii="Arial" w:cs="Arial" w:eastAsia="Arial" w:hAnsi="Arial"/>
                <w:sz w:val="14"/>
                <w:szCs w:val="14"/>
                <w:b w:val="1"/>
                <w:bCs w:val="1"/>
                <w:color w:val="FFFFFF"/>
              </w:rPr>
              <w:t>What We Don’t Do</w:t>
            </w:r>
          </w:p>
        </w:tc>
        <w:tc>
          <w:tcPr>
            <w:tcW w:w="0" w:type="dxa"/>
            <w:vAlign w:val="bottom"/>
          </w:tcPr>
          <w:p>
            <w:pPr>
              <w:spacing w:after="0"/>
              <w:rPr>
                <w:sz w:val="1"/>
                <w:szCs w:val="1"/>
                <w:color w:val="auto"/>
              </w:rPr>
            </w:pPr>
          </w:p>
        </w:tc>
      </w:tr>
      <w:tr>
        <w:trPr>
          <w:trHeight w:val="286"/>
        </w:trPr>
        <w:tc>
          <w:tcPr>
            <w:tcW w:w="3960" w:type="dxa"/>
            <w:vAlign w:val="bottom"/>
            <w:tcBorders>
              <w:lef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We emphasize pay for performance</w:t>
            </w:r>
          </w:p>
        </w:tc>
        <w:tc>
          <w:tcPr>
            <w:tcW w:w="1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8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No guaranteed bonuses</w:t>
            </w:r>
          </w:p>
        </w:tc>
        <w:tc>
          <w:tcPr>
            <w:tcW w:w="0" w:type="dxa"/>
            <w:vAlign w:val="bottom"/>
          </w:tcPr>
          <w:p>
            <w:pPr>
              <w:spacing w:after="0"/>
              <w:rPr>
                <w:sz w:val="1"/>
                <w:szCs w:val="1"/>
                <w:color w:val="auto"/>
              </w:rPr>
            </w:pPr>
          </w:p>
        </w:tc>
      </w:tr>
      <w:tr>
        <w:trPr>
          <w:trHeight w:val="261"/>
        </w:trPr>
        <w:tc>
          <w:tcPr>
            <w:tcW w:w="3960" w:type="dxa"/>
            <w:vAlign w:val="bottom"/>
            <w:tcBorders>
              <w:lef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Over 80% of target NEO compensation is</w:t>
            </w:r>
          </w:p>
        </w:tc>
        <w:tc>
          <w:tcPr>
            <w:tcW w:w="160" w:type="dxa"/>
            <w:vAlign w:val="bottom"/>
            <w:tcBorders>
              <w:right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38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No excise tax gross ups</w:t>
            </w:r>
          </w:p>
        </w:tc>
        <w:tc>
          <w:tcPr>
            <w:tcW w:w="0" w:type="dxa"/>
            <w:vAlign w:val="bottom"/>
          </w:tcPr>
          <w:p>
            <w:pPr>
              <w:spacing w:after="0"/>
              <w:rPr>
                <w:sz w:val="1"/>
                <w:szCs w:val="1"/>
                <w:color w:val="auto"/>
              </w:rPr>
            </w:pPr>
          </w:p>
        </w:tc>
      </w:tr>
      <w:tr>
        <w:trPr>
          <w:trHeight w:val="239"/>
        </w:trPr>
        <w:tc>
          <w:tcPr>
            <w:tcW w:w="3960" w:type="dxa"/>
            <w:vAlign w:val="bottom"/>
            <w:tcBorders>
              <w:left w:val="single" w:sz="8" w:color="auto"/>
            </w:tcBorders>
          </w:tcPr>
          <w:p>
            <w:pPr>
              <w:ind w:left="420"/>
              <w:spacing w:after="0"/>
              <w:rPr>
                <w:sz w:val="20"/>
                <w:szCs w:val="20"/>
                <w:color w:val="auto"/>
              </w:rPr>
            </w:pPr>
            <w:r>
              <w:rPr>
                <w:rFonts w:ascii="Arial" w:cs="Arial" w:eastAsia="Arial" w:hAnsi="Arial"/>
                <w:sz w:val="18"/>
                <w:szCs w:val="18"/>
                <w:color w:val="auto"/>
              </w:rPr>
              <w:t>variable and/or at risk</w:t>
            </w:r>
          </w:p>
        </w:tc>
        <w:tc>
          <w:tcPr>
            <w:tcW w:w="1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Directors and officers are prohibited from</w:t>
            </w:r>
          </w:p>
        </w:tc>
        <w:tc>
          <w:tcPr>
            <w:tcW w:w="0" w:type="dxa"/>
            <w:vAlign w:val="bottom"/>
          </w:tcPr>
          <w:p>
            <w:pPr>
              <w:spacing w:after="0"/>
              <w:rPr>
                <w:sz w:val="1"/>
                <w:szCs w:val="1"/>
                <w:color w:val="auto"/>
              </w:rPr>
            </w:pPr>
          </w:p>
        </w:tc>
      </w:tr>
      <w:tr>
        <w:trPr>
          <w:trHeight w:val="147"/>
        </w:trPr>
        <w:tc>
          <w:tcPr>
            <w:tcW w:w="3960" w:type="dxa"/>
            <w:vAlign w:val="bottom"/>
            <w:tcBorders>
              <w:lef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Our annual bonus program is 100%</w:t>
            </w:r>
          </w:p>
        </w:tc>
        <w:tc>
          <w:tcPr>
            <w:tcW w:w="16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60" w:type="dxa"/>
            <w:vAlign w:val="bottom"/>
            <w:tcBorders>
              <w:left w:val="single" w:sz="8" w:color="auto"/>
            </w:tcBorders>
            <w:vMerge w:val="continue"/>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840" w:type="dxa"/>
            <w:vAlign w:val="bottom"/>
            <w:tcBorders>
              <w:right w:val="single" w:sz="8" w:color="auto"/>
            </w:tcBorders>
          </w:tcPr>
          <w:p>
            <w:pPr>
              <w:ind w:left="180"/>
              <w:spacing w:after="0" w:line="181" w:lineRule="exact"/>
              <w:rPr>
                <w:sz w:val="20"/>
                <w:szCs w:val="20"/>
                <w:color w:val="auto"/>
              </w:rPr>
            </w:pPr>
            <w:r>
              <w:rPr>
                <w:rFonts w:ascii="Arial" w:cs="Arial" w:eastAsia="Arial" w:hAnsi="Arial"/>
                <w:sz w:val="18"/>
                <w:szCs w:val="18"/>
                <w:color w:val="auto"/>
              </w:rPr>
              <w:t>hedging or pledging company securities</w:t>
            </w:r>
          </w:p>
        </w:tc>
        <w:tc>
          <w:tcPr>
            <w:tcW w:w="0" w:type="dxa"/>
            <w:vAlign w:val="bottom"/>
          </w:tcPr>
          <w:p>
            <w:pPr>
              <w:spacing w:after="0"/>
              <w:rPr>
                <w:sz w:val="1"/>
                <w:szCs w:val="1"/>
                <w:color w:val="auto"/>
              </w:rPr>
            </w:pPr>
          </w:p>
        </w:tc>
      </w:tr>
      <w:tr>
        <w:trPr>
          <w:trHeight w:val="184"/>
        </w:trPr>
        <w:tc>
          <w:tcPr>
            <w:tcW w:w="3960" w:type="dxa"/>
            <w:vAlign w:val="bottom"/>
            <w:tcBorders>
              <w:left w:val="single" w:sz="8" w:color="auto"/>
            </w:tcBorders>
          </w:tcPr>
          <w:p>
            <w:pPr>
              <w:ind w:left="420"/>
              <w:spacing w:after="0" w:line="183" w:lineRule="exact"/>
              <w:rPr>
                <w:sz w:val="20"/>
                <w:szCs w:val="20"/>
                <w:color w:val="auto"/>
              </w:rPr>
            </w:pPr>
            <w:r>
              <w:rPr>
                <w:rFonts w:ascii="Arial" w:cs="Arial" w:eastAsia="Arial" w:hAnsi="Arial"/>
                <w:sz w:val="18"/>
                <w:szCs w:val="18"/>
                <w:color w:val="auto"/>
              </w:rPr>
              <w:t>performance based with payout based on a</w:t>
            </w:r>
          </w:p>
        </w:tc>
        <w:tc>
          <w:tcPr>
            <w:tcW w:w="16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60" w:type="dxa"/>
            <w:vAlign w:val="bottom"/>
            <w:tcBorders>
              <w:left w:val="single" w:sz="8" w:color="auto"/>
            </w:tcBorders>
          </w:tcPr>
          <w:p>
            <w:pPr>
              <w:ind w:left="420"/>
              <w:spacing w:after="0"/>
              <w:rPr>
                <w:sz w:val="20"/>
                <w:szCs w:val="20"/>
                <w:color w:val="auto"/>
              </w:rPr>
            </w:pPr>
            <w:r>
              <w:rPr>
                <w:rFonts w:ascii="Arial" w:cs="Arial" w:eastAsia="Arial" w:hAnsi="Arial"/>
                <w:sz w:val="18"/>
                <w:szCs w:val="18"/>
                <w:color w:val="auto"/>
              </w:rPr>
              <w:t>formulaic framework</w:t>
            </w:r>
          </w:p>
        </w:tc>
        <w:tc>
          <w:tcPr>
            <w:tcW w:w="1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8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Our equity plan prohibits backdating or</w:t>
            </w:r>
          </w:p>
        </w:tc>
        <w:tc>
          <w:tcPr>
            <w:tcW w:w="0" w:type="dxa"/>
            <w:vAlign w:val="bottom"/>
          </w:tcPr>
          <w:p>
            <w:pPr>
              <w:spacing w:after="0"/>
              <w:rPr>
                <w:sz w:val="1"/>
                <w:szCs w:val="1"/>
                <w:color w:val="auto"/>
              </w:rPr>
            </w:pPr>
          </w:p>
        </w:tc>
      </w:tr>
      <w:tr>
        <w:trPr>
          <w:trHeight w:val="239"/>
        </w:trPr>
        <w:tc>
          <w:tcPr>
            <w:tcW w:w="3960" w:type="dxa"/>
            <w:vAlign w:val="bottom"/>
            <w:tcBorders>
              <w:lef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50% of NEO long-term equity incentives are</w:t>
            </w:r>
          </w:p>
        </w:tc>
        <w:tc>
          <w:tcPr>
            <w:tcW w:w="1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repricing of options</w:t>
            </w:r>
          </w:p>
        </w:tc>
        <w:tc>
          <w:tcPr>
            <w:tcW w:w="0" w:type="dxa"/>
            <w:vAlign w:val="bottom"/>
          </w:tcPr>
          <w:p>
            <w:pPr>
              <w:spacing w:after="0"/>
              <w:rPr>
                <w:sz w:val="1"/>
                <w:szCs w:val="1"/>
                <w:color w:val="auto"/>
              </w:rPr>
            </w:pPr>
          </w:p>
        </w:tc>
      </w:tr>
      <w:tr>
        <w:trPr>
          <w:trHeight w:val="85"/>
        </w:trPr>
        <w:tc>
          <w:tcPr>
            <w:tcW w:w="3960" w:type="dxa"/>
            <w:vAlign w:val="bottom"/>
            <w:tcBorders>
              <w:left w:val="single" w:sz="8" w:color="auto"/>
            </w:tcBorders>
            <w:vMerge w:val="continue"/>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38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3960" w:type="dxa"/>
            <w:vAlign w:val="bottom"/>
            <w:tcBorders>
              <w:left w:val="single" w:sz="8" w:color="auto"/>
            </w:tcBorders>
          </w:tcPr>
          <w:p>
            <w:pPr>
              <w:ind w:left="420"/>
              <w:spacing w:after="0"/>
              <w:rPr>
                <w:sz w:val="20"/>
                <w:szCs w:val="20"/>
                <w:color w:val="auto"/>
              </w:rPr>
            </w:pPr>
            <w:r>
              <w:rPr>
                <w:rFonts w:ascii="Arial" w:cs="Arial" w:eastAsia="Arial" w:hAnsi="Arial"/>
                <w:sz w:val="18"/>
                <w:szCs w:val="18"/>
                <w:color w:val="auto"/>
              </w:rPr>
              <w:t>performance based, requiring performance</w:t>
            </w:r>
          </w:p>
        </w:tc>
        <w:tc>
          <w:tcPr>
            <w:tcW w:w="16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8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No significant perquisites for our executive</w:t>
            </w:r>
          </w:p>
        </w:tc>
        <w:tc>
          <w:tcPr>
            <w:tcW w:w="0" w:type="dxa"/>
            <w:vAlign w:val="bottom"/>
          </w:tcPr>
          <w:p>
            <w:pPr>
              <w:spacing w:after="0"/>
              <w:rPr>
                <w:sz w:val="1"/>
                <w:szCs w:val="1"/>
                <w:color w:val="auto"/>
              </w:rPr>
            </w:pPr>
          </w:p>
        </w:tc>
      </w:tr>
      <w:tr>
        <w:trPr>
          <w:trHeight w:val="274"/>
        </w:trPr>
        <w:tc>
          <w:tcPr>
            <w:tcW w:w="3960" w:type="dxa"/>
            <w:vAlign w:val="bottom"/>
            <w:tcBorders>
              <w:left w:val="single" w:sz="8" w:color="auto"/>
            </w:tcBorders>
          </w:tcPr>
          <w:p>
            <w:pPr>
              <w:ind w:left="420"/>
              <w:spacing w:after="0"/>
              <w:rPr>
                <w:sz w:val="20"/>
                <w:szCs w:val="20"/>
                <w:color w:val="auto"/>
              </w:rPr>
            </w:pPr>
            <w:r>
              <w:rPr>
                <w:rFonts w:ascii="Arial" w:cs="Arial" w:eastAsia="Arial" w:hAnsi="Arial"/>
                <w:sz w:val="18"/>
                <w:szCs w:val="18"/>
                <w:color w:val="auto"/>
              </w:rPr>
              <w:t>over a multi-year period</w:t>
            </w:r>
          </w:p>
        </w:tc>
        <w:tc>
          <w:tcPr>
            <w:tcW w:w="16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38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officers</w:t>
            </w:r>
          </w:p>
        </w:tc>
        <w:tc>
          <w:tcPr>
            <w:tcW w:w="0" w:type="dxa"/>
            <w:vAlign w:val="bottom"/>
          </w:tcPr>
          <w:p>
            <w:pPr>
              <w:spacing w:after="0"/>
              <w:rPr>
                <w:sz w:val="1"/>
                <w:szCs w:val="1"/>
                <w:color w:val="auto"/>
              </w:rPr>
            </w:pPr>
          </w:p>
        </w:tc>
      </w:tr>
      <w:tr>
        <w:trPr>
          <w:trHeight w:val="261"/>
        </w:trPr>
        <w:tc>
          <w:tcPr>
            <w:tcW w:w="3960" w:type="dxa"/>
            <w:vAlign w:val="bottom"/>
            <w:tcBorders>
              <w:lef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Compensation program design mitigates</w:t>
            </w:r>
          </w:p>
        </w:tc>
        <w:tc>
          <w:tcPr>
            <w:tcW w:w="160" w:type="dxa"/>
            <w:vAlign w:val="bottom"/>
            <w:tcBorders>
              <w:right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38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No single-trigger change in control</w:t>
            </w:r>
          </w:p>
        </w:tc>
        <w:tc>
          <w:tcPr>
            <w:tcW w:w="0" w:type="dxa"/>
            <w:vAlign w:val="bottom"/>
          </w:tcPr>
          <w:p>
            <w:pPr>
              <w:spacing w:after="0"/>
              <w:rPr>
                <w:sz w:val="1"/>
                <w:szCs w:val="1"/>
                <w:color w:val="auto"/>
              </w:rPr>
            </w:pPr>
          </w:p>
        </w:tc>
      </w:tr>
      <w:tr>
        <w:trPr>
          <w:trHeight w:val="95"/>
        </w:trPr>
        <w:tc>
          <w:tcPr>
            <w:tcW w:w="3960" w:type="dxa"/>
            <w:vAlign w:val="bottom"/>
            <w:tcBorders>
              <w:left w:val="single" w:sz="8" w:color="auto"/>
            </w:tcBorders>
            <w:vMerge w:val="restart"/>
          </w:tcPr>
          <w:p>
            <w:pPr>
              <w:ind w:left="420"/>
              <w:spacing w:after="0"/>
              <w:rPr>
                <w:sz w:val="20"/>
                <w:szCs w:val="20"/>
                <w:color w:val="auto"/>
              </w:rPr>
            </w:pPr>
            <w:r>
              <w:rPr>
                <w:rFonts w:ascii="Arial" w:cs="Arial" w:eastAsia="Arial" w:hAnsi="Arial"/>
                <w:sz w:val="18"/>
                <w:szCs w:val="18"/>
                <w:color w:val="auto"/>
              </w:rPr>
              <w:t>against excessive risk taking</w:t>
            </w:r>
          </w:p>
        </w:tc>
        <w:tc>
          <w:tcPr>
            <w:tcW w:w="16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38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960" w:type="dxa"/>
            <w:vAlign w:val="bottom"/>
            <w:tcBorders>
              <w:left w:val="single" w:sz="8" w:color="auto"/>
            </w:tcBorders>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8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protections in our long-term incentive plan</w:t>
            </w:r>
          </w:p>
        </w:tc>
        <w:tc>
          <w:tcPr>
            <w:tcW w:w="0" w:type="dxa"/>
            <w:vAlign w:val="bottom"/>
          </w:tcPr>
          <w:p>
            <w:pPr>
              <w:spacing w:after="0"/>
              <w:rPr>
                <w:sz w:val="1"/>
                <w:szCs w:val="1"/>
                <w:color w:val="auto"/>
              </w:rPr>
            </w:pPr>
          </w:p>
        </w:tc>
      </w:tr>
      <w:tr>
        <w:trPr>
          <w:trHeight w:val="72"/>
        </w:trPr>
        <w:tc>
          <w:tcPr>
            <w:tcW w:w="3960" w:type="dxa"/>
            <w:vAlign w:val="bottom"/>
            <w:tcBorders>
              <w:lef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Independent compensation consultant</w:t>
            </w:r>
          </w:p>
        </w:tc>
        <w:tc>
          <w:tcPr>
            <w:tcW w:w="160" w:type="dxa"/>
            <w:vAlign w:val="bottom"/>
            <w:tcBorders>
              <w:right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38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3960" w:type="dxa"/>
            <w:vAlign w:val="bottom"/>
            <w:tcBorders>
              <w:left w:val="single" w:sz="8" w:color="auto"/>
            </w:tcBorders>
            <w:vMerge w:val="continue"/>
          </w:tcPr>
          <w:p>
            <w:pPr>
              <w:spacing w:after="0"/>
              <w:rPr>
                <w:sz w:val="22"/>
                <w:szCs w:val="22"/>
                <w:color w:val="auto"/>
              </w:rPr>
            </w:pPr>
          </w:p>
        </w:tc>
        <w:tc>
          <w:tcPr>
            <w:tcW w:w="160" w:type="dxa"/>
            <w:vAlign w:val="bottom"/>
            <w:tcBorders>
              <w:right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38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grants</w:t>
            </w:r>
          </w:p>
        </w:tc>
        <w:tc>
          <w:tcPr>
            <w:tcW w:w="0" w:type="dxa"/>
            <w:vAlign w:val="bottom"/>
          </w:tcPr>
          <w:p>
            <w:pPr>
              <w:spacing w:after="0"/>
              <w:rPr>
                <w:sz w:val="1"/>
                <w:szCs w:val="1"/>
                <w:color w:val="auto"/>
              </w:rPr>
            </w:pPr>
          </w:p>
        </w:tc>
      </w:tr>
      <w:tr>
        <w:trPr>
          <w:trHeight w:val="256"/>
        </w:trPr>
        <w:tc>
          <w:tcPr>
            <w:tcW w:w="3960" w:type="dxa"/>
            <w:vAlign w:val="bottom"/>
            <w:tcBorders>
              <w:lef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Regular investor engagement on</w:t>
            </w:r>
          </w:p>
        </w:tc>
        <w:tc>
          <w:tcPr>
            <w:tcW w:w="160" w:type="dxa"/>
            <w:vAlign w:val="bottom"/>
            <w:tcBorders>
              <w:right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38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3960" w:type="dxa"/>
            <w:vAlign w:val="bottom"/>
            <w:tcBorders>
              <w:left w:val="single" w:sz="8" w:color="auto"/>
            </w:tcBorders>
          </w:tcPr>
          <w:p>
            <w:pPr>
              <w:ind w:left="420"/>
              <w:spacing w:after="0"/>
              <w:rPr>
                <w:sz w:val="20"/>
                <w:szCs w:val="20"/>
                <w:color w:val="auto"/>
              </w:rPr>
            </w:pPr>
            <w:r>
              <w:rPr>
                <w:rFonts w:ascii="Arial" w:cs="Arial" w:eastAsia="Arial" w:hAnsi="Arial"/>
                <w:sz w:val="18"/>
                <w:szCs w:val="18"/>
                <w:color w:val="auto"/>
              </w:rPr>
              <w:t>compensation and other matters</w:t>
            </w:r>
          </w:p>
        </w:tc>
        <w:tc>
          <w:tcPr>
            <w:tcW w:w="1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3960" w:type="dxa"/>
            <w:vAlign w:val="bottom"/>
            <w:tcBorders>
              <w:lef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Equity Ownership Guidelines for executive</w:t>
            </w:r>
          </w:p>
        </w:tc>
        <w:tc>
          <w:tcPr>
            <w:tcW w:w="1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960" w:type="dxa"/>
            <w:vAlign w:val="bottom"/>
            <w:tcBorders>
              <w:left w:val="single" w:sz="8" w:color="auto"/>
            </w:tcBorders>
          </w:tcPr>
          <w:p>
            <w:pPr>
              <w:ind w:left="420"/>
              <w:spacing w:after="0"/>
              <w:rPr>
                <w:sz w:val="20"/>
                <w:szCs w:val="20"/>
                <w:color w:val="auto"/>
              </w:rPr>
            </w:pPr>
            <w:r>
              <w:rPr>
                <w:rFonts w:ascii="Arial" w:cs="Arial" w:eastAsia="Arial" w:hAnsi="Arial"/>
                <w:sz w:val="18"/>
                <w:szCs w:val="18"/>
                <w:color w:val="auto"/>
              </w:rPr>
              <w:t>officers and directors</w:t>
            </w:r>
          </w:p>
        </w:tc>
        <w:tc>
          <w:tcPr>
            <w:tcW w:w="1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3960" w:type="dxa"/>
            <w:vAlign w:val="bottom"/>
            <w:tcBorders>
              <w:lef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Clawback Policy that applies to incentive-</w:t>
            </w:r>
          </w:p>
        </w:tc>
        <w:tc>
          <w:tcPr>
            <w:tcW w:w="1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960" w:type="dxa"/>
            <w:vAlign w:val="bottom"/>
            <w:tcBorders>
              <w:left w:val="single" w:sz="8" w:color="auto"/>
            </w:tcBorders>
          </w:tcPr>
          <w:p>
            <w:pPr>
              <w:ind w:left="420"/>
              <w:spacing w:after="0"/>
              <w:rPr>
                <w:sz w:val="20"/>
                <w:szCs w:val="20"/>
                <w:color w:val="auto"/>
              </w:rPr>
            </w:pPr>
            <w:r>
              <w:rPr>
                <w:rFonts w:ascii="Arial" w:cs="Arial" w:eastAsia="Arial" w:hAnsi="Arial"/>
                <w:sz w:val="18"/>
                <w:szCs w:val="18"/>
                <w:color w:val="auto"/>
              </w:rPr>
              <w:t>based and other compensation</w:t>
            </w:r>
          </w:p>
        </w:tc>
        <w:tc>
          <w:tcPr>
            <w:tcW w:w="1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3960" w:type="dxa"/>
            <w:vAlign w:val="bottom"/>
            <w:tcBorders>
              <w:left w:val="single" w:sz="8" w:color="auto"/>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3465830</wp:posOffset>
            </wp:positionH>
            <wp:positionV relativeFrom="paragraph">
              <wp:posOffset>-3008630</wp:posOffset>
            </wp:positionV>
            <wp:extent cx="77470" cy="768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7683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-2768600</wp:posOffset>
            </wp:positionV>
            <wp:extent cx="77470" cy="774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-2545715</wp:posOffset>
            </wp:positionV>
            <wp:extent cx="77470" cy="774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-2176780</wp:posOffset>
            </wp:positionV>
            <wp:extent cx="77470" cy="774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-1808480</wp:posOffset>
            </wp:positionV>
            <wp:extent cx="77470" cy="768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7683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-1431290</wp:posOffset>
            </wp:positionV>
            <wp:extent cx="77470" cy="768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7683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Unitholder Engagement</w:t>
      </w:r>
    </w:p>
    <w:p>
      <w:pPr>
        <w:spacing w:after="0" w:line="156" w:lineRule="exact"/>
        <w:rPr>
          <w:sz w:val="20"/>
          <w:szCs w:val="20"/>
          <w:color w:val="auto"/>
        </w:rPr>
      </w:pPr>
    </w:p>
    <w:p>
      <w:pPr>
        <w:ind w:left="1260" w:firstLine="360"/>
        <w:spacing w:after="0" w:line="254" w:lineRule="auto"/>
        <w:rPr>
          <w:sz w:val="20"/>
          <w:szCs w:val="20"/>
          <w:color w:val="auto"/>
        </w:rPr>
      </w:pPr>
      <w:r>
        <w:rPr>
          <w:rFonts w:ascii="Arial" w:cs="Arial" w:eastAsia="Arial" w:hAnsi="Arial"/>
          <w:sz w:val="18"/>
          <w:szCs w:val="18"/>
          <w:color w:val="auto"/>
        </w:rPr>
        <w:t>At our last annual meeting, approximately 98% of our voting equity holders approved our executive compensation program. Our holders have approved our executive compensation program every year for the last five years with an average approval rate of approximately 98%. Although these “say on pay” votes are advisory and non-binding, our Compensation Committee and Board value the opinions of our unitholders and consider the results of say on pay votes as well as direct feedback received from investors when making future compensation decisions for our Named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right="679" w:hanging="99"/>
        <w:spacing w:after="0" w:line="284" w:lineRule="auto"/>
        <w:rPr>
          <w:sz w:val="20"/>
          <w:szCs w:val="20"/>
          <w:color w:val="auto"/>
        </w:rPr>
      </w:pPr>
      <w:r>
        <w:rPr>
          <w:rFonts w:ascii="Arial" w:cs="Arial" w:eastAsia="Arial" w:hAnsi="Arial"/>
          <w:sz w:val="28"/>
          <w:szCs w:val="28"/>
          <w:b w:val="1"/>
          <w:bCs w:val="1"/>
          <w:color w:val="auto"/>
        </w:rPr>
        <w:t>~98% Say on Pay Support at 2025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-857885</wp:posOffset>
            </wp:positionV>
            <wp:extent cx="1783080" cy="9683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83080" cy="968375"/>
                    </a:xfrm>
                    <a:prstGeom prst="rect">
                      <a:avLst/>
                    </a:prstGeom>
                    <a:noFill/>
                  </pic:spPr>
                </pic:pic>
              </a:graphicData>
            </a:graphic>
          </wp:anchor>
        </w:drawing>
      </w:r>
    </w:p>
    <w:p>
      <w:pPr>
        <w:spacing w:after="0" w:line="937" w:lineRule="exact"/>
        <w:rPr>
          <w:sz w:val="20"/>
          <w:szCs w:val="20"/>
          <w:color w:val="auto"/>
        </w:rPr>
      </w:pPr>
    </w:p>
    <w:p>
      <w:pPr>
        <w:sectPr>
          <w:pgSz w:w="11900" w:h="16838" w:orient="portrait"/>
          <w:cols w:equalWidth="0" w:num="2">
            <w:col w:w="6500" w:space="440"/>
            <w:col w:w="2939"/>
          </w:cols>
          <w:pgMar w:left="580" w:top="97" w:right="1440" w:bottom="1440" w:gutter="0" w:footer="0" w:header="0"/>
          <w:type w:val="continuous"/>
        </w:sectPr>
      </w:pPr>
    </w:p>
    <w:p>
      <w:pPr>
        <w:ind w:left="1260" w:right="419" w:firstLine="360"/>
        <w:spacing w:after="0" w:line="285" w:lineRule="auto"/>
        <w:rPr>
          <w:sz w:val="20"/>
          <w:szCs w:val="20"/>
          <w:color w:val="auto"/>
        </w:rPr>
      </w:pPr>
      <w:r>
        <w:rPr>
          <w:rFonts w:ascii="Arial" w:cs="Arial" w:eastAsia="Arial" w:hAnsi="Arial"/>
          <w:sz w:val="17"/>
          <w:szCs w:val="17"/>
          <w:color w:val="auto"/>
        </w:rPr>
        <w:t>Our investor relations team and members of our senior management team regularly meet with investors and other stakeholders to seek input and feedback on a wide range of topics, including executive compensation. On an annual basis, as part of our ongoing investor outreach and engagement process, we actively solicit feedback from investors regarding our executive compensation programs and other important matters, including our governance practices. As we strive for continuous improvement, we believe that this feedback loop is critical to maintaining a compensation program and structure that aligns the interests of our executive officers with the interests of our investors.</w:t>
      </w:r>
    </w:p>
    <w:p>
      <w:pPr>
        <w:sectPr>
          <w:pgSz w:w="11900" w:h="16838" w:orient="portrait"/>
          <w:cols w:equalWidth="0" w:num="1">
            <w:col w:w="9879"/>
          </w:cols>
          <w:pgMar w:left="580" w:top="97" w:right="1440" w:bottom="1440" w:gutter="0" w:footer="0" w:header="0"/>
          <w:type w:val="continuous"/>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260" w:right="539" w:firstLine="360"/>
        <w:spacing w:after="0" w:line="262" w:lineRule="auto"/>
        <w:rPr>
          <w:sz w:val="20"/>
          <w:szCs w:val="20"/>
          <w:color w:val="auto"/>
        </w:rPr>
      </w:pPr>
      <w:r>
        <w:rPr>
          <w:rFonts w:ascii="Arial" w:cs="Arial" w:eastAsia="Arial" w:hAnsi="Arial"/>
          <w:sz w:val="18"/>
          <w:szCs w:val="18"/>
          <w:color w:val="auto"/>
        </w:rPr>
        <w:t>Overall, the design of our 2025 executive compensation program did not materially change relative to 2024. The Compensation Committee and our management team are constantly reviewing the design of our programs to ensure that they remain aligned with investor interests and evolving best practices. We will continue to seek direct input from our investors as part of that process.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Commitment to Pay for Performance</w:t>
      </w:r>
    </w:p>
    <w:p>
      <w:pPr>
        <w:spacing w:after="0" w:line="156" w:lineRule="exact"/>
        <w:rPr>
          <w:sz w:val="20"/>
          <w:szCs w:val="20"/>
          <w:color w:val="auto"/>
        </w:rPr>
      </w:pPr>
    </w:p>
    <w:p>
      <w:pPr>
        <w:ind w:left="1260" w:right="459" w:firstLine="360"/>
        <w:spacing w:after="0" w:line="275" w:lineRule="auto"/>
        <w:rPr>
          <w:sz w:val="20"/>
          <w:szCs w:val="20"/>
          <w:color w:val="auto"/>
        </w:rPr>
      </w:pPr>
      <w:r>
        <w:rPr>
          <w:rFonts w:ascii="Arial" w:cs="Arial" w:eastAsia="Arial" w:hAnsi="Arial"/>
          <w:sz w:val="17"/>
          <w:szCs w:val="17"/>
          <w:color w:val="auto"/>
        </w:rPr>
        <w:t>Our executive compensation philosophy is grounded in a long-term pay for performance culture designed to attract and retain key management talent in a competitive industry and market. Our program combines a lower percentage of base pay with a higher percentage of variable, at-risk compensation opportunities based on objective and transparent performance requirements. As demonstrated in the graphic below, in 2025, at target, approximately 92% of our CEO’s compensation and approximately 84%, on average, of our other NEOs’ compensation consisted of at-risk compensation.</w:t>
      </w:r>
    </w:p>
    <w:p>
      <w:pPr>
        <w:spacing w:after="0" w:line="168"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Majority of NEO Pay At-Risk and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128905</wp:posOffset>
            </wp:positionV>
            <wp:extent cx="4671695" cy="29660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671695"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color w:val="auto"/>
        </w:rPr>
        <w:t>At-risk compensation is typically tied to the achievement of one or more performance metrics that measure value creation over both the near and longer term, as well as service period requirements. The primary short-term financial metrics are annual earnings and cash flow levels as represented by Adjusted EBITDA attributable to PAA</w:t>
      </w:r>
      <w:r>
        <w:rPr>
          <w:rFonts w:ascii="Arial" w:cs="Arial" w:eastAsia="Arial" w:hAnsi="Arial"/>
          <w:sz w:val="25"/>
          <w:szCs w:val="25"/>
          <w:color w:val="auto"/>
          <w:vertAlign w:val="superscript"/>
        </w:rPr>
        <w:t>1</w:t>
      </w:r>
      <w:r>
        <w:rPr>
          <w:rFonts w:ascii="Arial" w:cs="Arial" w:eastAsia="Arial" w:hAnsi="Arial"/>
          <w:sz w:val="17"/>
          <w:szCs w:val="17"/>
          <w:color w:val="auto"/>
        </w:rPr>
        <w:t xml:space="preserve"> and distributable cash flow (“DCF”) per common unit and common unit equivalent (“CUE”). The primary long-term performance measures included in our equity incentive grants are DCF per CUE over a 3-year period (with a leverage modifier) and relative TSR over a 3-year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67310</wp:posOffset>
            </wp:positionV>
            <wp:extent cx="12344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16" w:lineRule="exact"/>
        <w:rPr>
          <w:sz w:val="20"/>
          <w:szCs w:val="20"/>
          <w:color w:val="auto"/>
        </w:rPr>
      </w:pPr>
    </w:p>
    <w:p>
      <w:pPr>
        <w:ind w:left="1620" w:right="499" w:hanging="360"/>
        <w:spacing w:after="0" w:line="241" w:lineRule="auto"/>
        <w:tabs>
          <w:tab w:leader="none" w:pos="1620" w:val="left"/>
        </w:tabs>
        <w:numPr>
          <w:ilvl w:val="0"/>
          <w:numId w:val="34"/>
        </w:numPr>
        <w:rPr>
          <w:rFonts w:ascii="Arial" w:cs="Arial" w:eastAsia="Arial" w:hAnsi="Arial"/>
          <w:sz w:val="27"/>
          <w:szCs w:val="27"/>
          <w:color w:val="auto"/>
          <w:vertAlign w:val="superscript"/>
        </w:rPr>
      </w:pPr>
      <w:r>
        <w:rPr>
          <w:rFonts w:ascii="Arial" w:cs="Arial" w:eastAsia="Arial" w:hAnsi="Arial"/>
          <w:sz w:val="18"/>
          <w:szCs w:val="18"/>
          <w:color w:val="auto"/>
        </w:rPr>
        <w:t>Adjusted EBITDA is defined as earnings from continuing operations and discontinued operations before (i) interest expense, (ii) income tax (expense)/benefit from continuing operations and discontinued operations, (iii) depreciation and amortization (including our proportionate share of depreciation and amortization, including write-downs related to cancelled projects and impairments, of unconsolidated entities) from continuing operations and discontinued operations, (iv) gains and losses on asset sales, asset impairments and other, net from continuing operations and discontinued operations, (v) gains on investments in unconsolidated entities, net and (vi) interest income on promissory notes by and among us and certain Plains entities, and (vii) adjusted for certain selected items impacting comparability. Adjusted EBITDA attributable to PAA excludes the portion of Adjusted EBITDA that is attributable to noncontrolling interests.</w:t>
      </w:r>
    </w:p>
    <w:p>
      <w:pPr>
        <w:sectPr>
          <w:pgSz w:w="11900" w:h="16838" w:orient="portrait"/>
          <w:cols w:equalWidth="0" w:num="1">
            <w:col w:w="9879"/>
          </w:cols>
          <w:pgMar w:left="580" w:top="97" w:right="1440" w:bottom="1440" w:gutter="0" w:footer="0" w:header="0"/>
        </w:sectPr>
      </w:pP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59"/>
        <w:spacing w:after="0" w:line="287" w:lineRule="auto"/>
        <w:rPr>
          <w:sz w:val="20"/>
          <w:szCs w:val="20"/>
          <w:color w:val="auto"/>
        </w:rPr>
      </w:pPr>
      <w:r>
        <w:rPr>
          <w:rFonts w:ascii="Arial" w:cs="Arial" w:eastAsia="Arial" w:hAnsi="Arial"/>
          <w:sz w:val="18"/>
          <w:szCs w:val="18"/>
          <w:color w:val="auto"/>
        </w:rPr>
        <w:t>period. We believe our short- and long-term performance metrics are consistent with our overall financial strategy of maintaining financial flexibility and generating attractive unitholder returns.</w:t>
      </w:r>
    </w:p>
    <w:p>
      <w:pPr>
        <w:spacing w:after="0" w:line="72" w:lineRule="exact"/>
        <w:rPr>
          <w:sz w:val="20"/>
          <w:szCs w:val="20"/>
          <w:color w:val="auto"/>
        </w:rPr>
      </w:pPr>
    </w:p>
    <w:p>
      <w:pPr>
        <w:jc w:val="both"/>
        <w:ind w:left="1260" w:right="499" w:firstLine="360"/>
        <w:spacing w:after="0" w:line="253" w:lineRule="auto"/>
        <w:rPr>
          <w:sz w:val="20"/>
          <w:szCs w:val="20"/>
          <w:color w:val="auto"/>
        </w:rPr>
      </w:pPr>
      <w:r>
        <w:rPr>
          <w:rFonts w:ascii="Arial" w:cs="Arial" w:eastAsia="Arial" w:hAnsi="Arial"/>
          <w:sz w:val="18"/>
          <w:szCs w:val="18"/>
          <w:color w:val="auto"/>
        </w:rPr>
        <w:t>We believe our pay-for-performance approach aligns the interests of our executive officers with the interests of our equity holders. We also believe that our pay-for-performance approach helps us achieve the overall objectives of our executive compensation program, which are to:</w:t>
      </w:r>
    </w:p>
    <w:p>
      <w:pPr>
        <w:spacing w:after="0" w:line="61" w:lineRule="exact"/>
        <w:rPr>
          <w:sz w:val="20"/>
          <w:szCs w:val="20"/>
          <w:color w:val="auto"/>
        </w:rPr>
      </w:pPr>
    </w:p>
    <w:p>
      <w:pPr>
        <w:ind w:left="1800" w:right="619" w:hanging="180"/>
        <w:spacing w:after="0" w:line="287"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attract and retain </w:t>
      </w:r>
      <w:r>
        <w:rPr>
          <w:rFonts w:ascii="Arial" w:cs="Arial" w:eastAsia="Arial" w:hAnsi="Arial"/>
          <w:sz w:val="18"/>
          <w:szCs w:val="18"/>
          <w:color w:val="auto"/>
        </w:rPr>
        <w:t>individuals with the background and skills necessary to successfully execute</w:t>
      </w:r>
      <w:r>
        <w:rPr>
          <w:rFonts w:ascii="Arial" w:cs="Arial" w:eastAsia="Arial" w:hAnsi="Arial"/>
          <w:sz w:val="18"/>
          <w:szCs w:val="18"/>
          <w:b w:val="1"/>
          <w:bCs w:val="1"/>
          <w:color w:val="auto"/>
        </w:rPr>
        <w:t xml:space="preserve"> </w:t>
      </w:r>
      <w:r>
        <w:rPr>
          <w:rFonts w:ascii="Arial" w:cs="Arial" w:eastAsia="Arial" w:hAnsi="Arial"/>
          <w:sz w:val="18"/>
          <w:szCs w:val="18"/>
          <w:color w:val="auto"/>
        </w:rPr>
        <w:t>our business model in a demanding environment;</w:t>
      </w:r>
    </w:p>
    <w:p>
      <w:pPr>
        <w:spacing w:after="0" w:line="17" w:lineRule="exact"/>
        <w:rPr>
          <w:rFonts w:ascii="Arial" w:cs="Arial" w:eastAsia="Arial" w:hAnsi="Arial"/>
          <w:sz w:val="18"/>
          <w:szCs w:val="18"/>
          <w:color w:val="auto"/>
        </w:rPr>
      </w:pPr>
    </w:p>
    <w:p>
      <w:pPr>
        <w:ind w:left="1800" w:right="519" w:hanging="180"/>
        <w:spacing w:after="0" w:line="268"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pay for performance </w:t>
      </w:r>
      <w:r>
        <w:rPr>
          <w:rFonts w:ascii="Arial" w:cs="Arial" w:eastAsia="Arial" w:hAnsi="Arial"/>
          <w:sz w:val="18"/>
          <w:szCs w:val="18"/>
          <w:color w:val="auto"/>
        </w:rPr>
        <w:t>by tying a majority of NEO pay (57% for the CEO and 54% on average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NEOs) to achievement of specific near-term and long-term goals that drive long-term growth in unitholder value; and</w:t>
      </w:r>
    </w:p>
    <w:p>
      <w:pPr>
        <w:spacing w:after="0" w:line="35" w:lineRule="exact"/>
        <w:rPr>
          <w:rFonts w:ascii="Arial" w:cs="Arial" w:eastAsia="Arial" w:hAnsi="Arial"/>
          <w:sz w:val="18"/>
          <w:szCs w:val="18"/>
          <w:color w:val="auto"/>
        </w:rPr>
      </w:pPr>
    </w:p>
    <w:p>
      <w:pPr>
        <w:ind w:left="1800" w:right="499" w:hanging="180"/>
        <w:spacing w:after="0" w:line="287"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directly align our NEOs with our unitholders </w:t>
      </w:r>
      <w:r>
        <w:rPr>
          <w:rFonts w:ascii="Arial" w:cs="Arial" w:eastAsia="Arial" w:hAnsi="Arial"/>
          <w:sz w:val="18"/>
          <w:szCs w:val="18"/>
          <w:color w:val="auto"/>
        </w:rPr>
        <w:t>through equity incentives and encouragement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unit ownership.</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Elements and Objectives</w:t>
      </w:r>
    </w:p>
    <w:p>
      <w:pPr>
        <w:spacing w:after="0" w:line="156" w:lineRule="exact"/>
        <w:rPr>
          <w:sz w:val="20"/>
          <w:szCs w:val="20"/>
          <w:color w:val="auto"/>
        </w:rPr>
      </w:pPr>
    </w:p>
    <w:p>
      <w:pPr>
        <w:ind w:left="1260" w:right="439" w:firstLine="360"/>
        <w:spacing w:after="0" w:line="246" w:lineRule="auto"/>
        <w:rPr>
          <w:sz w:val="20"/>
          <w:szCs w:val="20"/>
          <w:color w:val="auto"/>
        </w:rPr>
      </w:pPr>
      <w:r>
        <w:rPr>
          <w:rFonts w:ascii="Arial" w:cs="Arial" w:eastAsia="Arial" w:hAnsi="Arial"/>
          <w:sz w:val="18"/>
          <w:szCs w:val="18"/>
          <w:color w:val="auto"/>
        </w:rPr>
        <w:t>We use three primary elements of compensation in combination with market competitive benefits to achieve our executive compensation program objectives — (i) base salary, (ii) annual cash incentive awards and (iii) long-term equity incentive awards. Our mix of compensation elements is designed to reinforce near-term and long-term business and strategic objectives, recognize and reward performance, motivate long-term value creation, attract and retain talent and align the interests of our executives with those of our equity holders. The following table sets forth the key elements of our 2025 executive compensation program:</w:t>
      </w:r>
    </w:p>
    <w:p>
      <w:pPr>
        <w:spacing w:after="0" w:line="134" w:lineRule="exact"/>
        <w:rPr>
          <w:sz w:val="20"/>
          <w:szCs w:val="20"/>
          <w:color w:val="auto"/>
        </w:rPr>
      </w:pPr>
    </w:p>
    <w:tbl>
      <w:tblPr>
        <w:tblLayout w:type="fixed"/>
        <w:tblInd w:w="1270" w:type="dxa"/>
        <w:tblCellMar>
          <w:top w:w="0" w:type="dxa"/>
          <w:left w:w="0" w:type="dxa"/>
          <w:bottom w:w="0" w:type="dxa"/>
          <w:right w:w="0" w:type="dxa"/>
        </w:tblCellMar>
      </w:tblPr>
      <w:tr>
        <w:trPr>
          <w:trHeight w:val="256"/>
        </w:trPr>
        <w:tc>
          <w:tcPr>
            <w:tcW w:w="1660" w:type="dxa"/>
            <w:vAlign w:val="bottom"/>
            <w:tcBorders>
              <w:top w:val="single" w:sz="8" w:color="auto"/>
              <w:left w:val="single" w:sz="8" w:color="auto"/>
              <w:bottom w:val="single" w:sz="8" w:color="auto"/>
            </w:tcBorders>
            <w:shd w:val="clear" w:color="auto" w:fill="424E6A"/>
          </w:tcPr>
          <w:p>
            <w:pPr>
              <w:ind w:left="480"/>
              <w:spacing w:after="0"/>
              <w:rPr>
                <w:sz w:val="20"/>
                <w:szCs w:val="20"/>
                <w:color w:val="auto"/>
              </w:rPr>
            </w:pPr>
            <w:r>
              <w:rPr>
                <w:rFonts w:ascii="Arial" w:cs="Arial" w:eastAsia="Arial" w:hAnsi="Arial"/>
                <w:sz w:val="14"/>
                <w:szCs w:val="14"/>
                <w:b w:val="1"/>
                <w:bCs w:val="1"/>
                <w:color w:val="FFFFFF"/>
              </w:rPr>
              <w:t>What We Pay</w:t>
            </w:r>
          </w:p>
        </w:tc>
        <w:tc>
          <w:tcPr>
            <w:tcW w:w="260" w:type="dxa"/>
            <w:vAlign w:val="bottom"/>
            <w:tcBorders>
              <w:top w:val="single" w:sz="8" w:color="auto"/>
              <w:bottom w:val="single" w:sz="8" w:color="auto"/>
              <w:right w:val="single" w:sz="8" w:color="auto"/>
            </w:tcBorders>
            <w:shd w:val="clear" w:color="auto" w:fill="424E6A"/>
          </w:tcPr>
          <w:p>
            <w:pPr>
              <w:ind w:left="20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top w:val="single" w:sz="8" w:color="auto"/>
              <w:bottom w:val="single" w:sz="8" w:color="auto"/>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2140" w:type="dxa"/>
            <w:vAlign w:val="bottom"/>
            <w:tcBorders>
              <w:top w:val="single" w:sz="8" w:color="auto"/>
              <w:bottom w:val="single" w:sz="8" w:color="auto"/>
            </w:tcBorders>
            <w:shd w:val="clear" w:color="auto" w:fill="424E6A"/>
          </w:tcPr>
          <w:p>
            <w:pPr>
              <w:ind w:left="600"/>
              <w:spacing w:after="0"/>
              <w:rPr>
                <w:sz w:val="20"/>
                <w:szCs w:val="20"/>
                <w:color w:val="auto"/>
              </w:rPr>
            </w:pPr>
            <w:r>
              <w:rPr>
                <w:rFonts w:ascii="Arial" w:cs="Arial" w:eastAsia="Arial" w:hAnsi="Arial"/>
                <w:sz w:val="14"/>
                <w:szCs w:val="14"/>
                <w:b w:val="1"/>
                <w:bCs w:val="1"/>
                <w:color w:val="FFFFFF"/>
              </w:rPr>
              <w:t>Why We Pay It</w:t>
            </w:r>
          </w:p>
        </w:tc>
        <w:tc>
          <w:tcPr>
            <w:tcW w:w="140" w:type="dxa"/>
            <w:vAlign w:val="bottom"/>
            <w:tcBorders>
              <w:top w:val="single" w:sz="8" w:color="auto"/>
              <w:bottom w:val="single" w:sz="8" w:color="auto"/>
              <w:right w:val="single" w:sz="8" w:color="auto"/>
            </w:tcBorders>
            <w:shd w:val="clear" w:color="auto" w:fill="424E6A"/>
          </w:tcPr>
          <w:p>
            <w:pPr>
              <w:ind w:left="80"/>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top w:val="single" w:sz="8" w:color="auto"/>
              <w:bottom w:val="single" w:sz="8" w:color="auto"/>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3720" w:type="dxa"/>
            <w:vAlign w:val="bottom"/>
            <w:tcBorders>
              <w:top w:val="single" w:sz="8" w:color="auto"/>
              <w:bottom w:val="single" w:sz="8" w:color="auto"/>
              <w:right w:val="single" w:sz="8" w:color="auto"/>
            </w:tcBorders>
            <w:shd w:val="clear" w:color="auto" w:fill="424E6A"/>
          </w:tcPr>
          <w:p>
            <w:pPr>
              <w:ind w:left="1300"/>
              <w:spacing w:after="0"/>
              <w:rPr>
                <w:sz w:val="20"/>
                <w:szCs w:val="20"/>
                <w:color w:val="auto"/>
              </w:rPr>
            </w:pPr>
            <w:r>
              <w:rPr>
                <w:rFonts w:ascii="Arial" w:cs="Arial" w:eastAsia="Arial" w:hAnsi="Arial"/>
                <w:sz w:val="14"/>
                <w:szCs w:val="14"/>
                <w:b w:val="1"/>
                <w:bCs w:val="1"/>
                <w:color w:val="FFFFFF"/>
              </w:rPr>
              <w:t>Key Features</w:t>
            </w:r>
          </w:p>
        </w:tc>
        <w:tc>
          <w:tcPr>
            <w:tcW w:w="0" w:type="dxa"/>
            <w:vAlign w:val="bottom"/>
          </w:tcPr>
          <w:p>
            <w:pPr>
              <w:spacing w:after="0"/>
              <w:rPr>
                <w:sz w:val="1"/>
                <w:szCs w:val="1"/>
                <w:color w:val="auto"/>
              </w:rPr>
            </w:pPr>
          </w:p>
        </w:tc>
      </w:tr>
      <w:tr>
        <w:trPr>
          <w:trHeight w:val="245"/>
        </w:trPr>
        <w:tc>
          <w:tcPr>
            <w:tcW w:w="1660" w:type="dxa"/>
            <w:vAlign w:val="bottom"/>
            <w:tcBorders>
              <w:lef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Base Salary</w:t>
            </w:r>
          </w:p>
        </w:tc>
        <w:tc>
          <w:tcPr>
            <w:tcW w:w="260" w:type="dxa"/>
            <w:vAlign w:val="bottom"/>
            <w:tcBorders>
              <w:right w:val="single" w:sz="8" w:color="auto"/>
            </w:tcBorders>
            <w:shd w:val="clear" w:color="auto" w:fill="D9DCE1"/>
          </w:tcPr>
          <w:p>
            <w:pPr>
              <w:spacing w:after="0"/>
              <w:rPr>
                <w:sz w:val="21"/>
                <w:szCs w:val="21"/>
                <w:color w:val="auto"/>
              </w:rPr>
            </w:pPr>
          </w:p>
        </w:tc>
        <w:tc>
          <w:tcPr>
            <w:tcW w:w="80" w:type="dxa"/>
            <w:vAlign w:val="bottom"/>
            <w:shd w:val="clear" w:color="auto" w:fill="D9DCE1"/>
          </w:tcPr>
          <w:p>
            <w:pPr>
              <w:spacing w:after="0"/>
              <w:rPr>
                <w:sz w:val="21"/>
                <w:szCs w:val="21"/>
                <w:color w:val="auto"/>
              </w:rPr>
            </w:pPr>
          </w:p>
        </w:tc>
        <w:tc>
          <w:tcPr>
            <w:tcW w:w="2140" w:type="dxa"/>
            <w:vAlign w:val="bottom"/>
            <w:shd w:val="clear" w:color="auto" w:fill="D9DCE1"/>
          </w:tcPr>
          <w:p>
            <w:pPr>
              <w:ind w:left="20"/>
              <w:spacing w:after="0"/>
              <w:rPr>
                <w:sz w:val="20"/>
                <w:szCs w:val="20"/>
                <w:color w:val="auto"/>
              </w:rPr>
            </w:pPr>
            <w:r>
              <w:rPr>
                <w:rFonts w:ascii="Arial" w:cs="Arial" w:eastAsia="Arial" w:hAnsi="Arial"/>
                <w:sz w:val="18"/>
                <w:szCs w:val="18"/>
                <w:color w:val="auto"/>
              </w:rPr>
              <w:t>Attract and retain high-</w:t>
            </w:r>
          </w:p>
        </w:tc>
        <w:tc>
          <w:tcPr>
            <w:tcW w:w="140" w:type="dxa"/>
            <w:vAlign w:val="bottom"/>
            <w:tcBorders>
              <w:right w:val="single" w:sz="8" w:color="auto"/>
            </w:tcBorders>
            <w:shd w:val="clear" w:color="auto" w:fill="D9DCE1"/>
          </w:tcPr>
          <w:p>
            <w:pPr>
              <w:spacing w:after="0"/>
              <w:rPr>
                <w:sz w:val="21"/>
                <w:szCs w:val="21"/>
                <w:color w:val="auto"/>
              </w:rPr>
            </w:pPr>
          </w:p>
        </w:tc>
        <w:tc>
          <w:tcPr>
            <w:tcW w:w="220" w:type="dxa"/>
            <w:vAlign w:val="bottom"/>
            <w:shd w:val="clear" w:color="auto" w:fill="D9DCE1"/>
          </w:tcPr>
          <w:p>
            <w:pPr>
              <w:ind w:left="10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Foundational element of our compensation</w:t>
            </w:r>
          </w:p>
        </w:tc>
        <w:tc>
          <w:tcPr>
            <w:tcW w:w="0" w:type="dxa"/>
            <w:vAlign w:val="bottom"/>
          </w:tcPr>
          <w:p>
            <w:pPr>
              <w:spacing w:after="0"/>
              <w:rPr>
                <w:sz w:val="1"/>
                <w:szCs w:val="1"/>
                <w:color w:val="auto"/>
              </w:rPr>
            </w:pPr>
          </w:p>
        </w:tc>
      </w:tr>
      <w:tr>
        <w:trPr>
          <w:trHeight w:val="216"/>
        </w:trPr>
        <w:tc>
          <w:tcPr>
            <w:tcW w:w="1660" w:type="dxa"/>
            <w:vAlign w:val="bottom"/>
            <w:tcBorders>
              <w:left w:val="single" w:sz="8" w:color="auto"/>
            </w:tcBorders>
            <w:shd w:val="clear" w:color="auto" w:fill="D9DCE1"/>
          </w:tcPr>
          <w:p>
            <w:pPr>
              <w:spacing w:after="0"/>
              <w:rPr>
                <w:sz w:val="18"/>
                <w:szCs w:val="18"/>
                <w:color w:val="auto"/>
              </w:rPr>
            </w:pPr>
          </w:p>
        </w:tc>
        <w:tc>
          <w:tcPr>
            <w:tcW w:w="26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2140" w:type="dxa"/>
            <w:vAlign w:val="bottom"/>
            <w:shd w:val="clear" w:color="auto" w:fill="D9DCE1"/>
          </w:tcPr>
          <w:p>
            <w:pPr>
              <w:ind w:left="20"/>
              <w:spacing w:after="0"/>
              <w:rPr>
                <w:sz w:val="20"/>
                <w:szCs w:val="20"/>
                <w:color w:val="auto"/>
              </w:rPr>
            </w:pPr>
            <w:r>
              <w:rPr>
                <w:rFonts w:ascii="Arial" w:cs="Arial" w:eastAsia="Arial" w:hAnsi="Arial"/>
                <w:sz w:val="18"/>
                <w:szCs w:val="18"/>
                <w:color w:val="auto"/>
              </w:rPr>
              <w:t>performing executives by</w:t>
            </w:r>
          </w:p>
        </w:tc>
        <w:tc>
          <w:tcPr>
            <w:tcW w:w="140" w:type="dxa"/>
            <w:vAlign w:val="bottom"/>
            <w:tcBorders>
              <w:right w:val="single" w:sz="8" w:color="auto"/>
            </w:tcBorders>
            <w:shd w:val="clear" w:color="auto" w:fill="D9DCE1"/>
          </w:tcPr>
          <w:p>
            <w:pPr>
              <w:spacing w:after="0"/>
              <w:rPr>
                <w:sz w:val="18"/>
                <w:szCs w:val="18"/>
                <w:color w:val="auto"/>
              </w:rPr>
            </w:pPr>
          </w:p>
        </w:tc>
        <w:tc>
          <w:tcPr>
            <w:tcW w:w="220" w:type="dxa"/>
            <w:vAlign w:val="bottom"/>
            <w:shd w:val="clear" w:color="auto" w:fill="D9DCE1"/>
          </w:tcPr>
          <w:p>
            <w:pPr>
              <w:spacing w:after="0"/>
              <w:rPr>
                <w:sz w:val="18"/>
                <w:szCs w:val="18"/>
                <w:color w:val="auto"/>
              </w:rPr>
            </w:pPr>
          </w:p>
        </w:tc>
        <w:tc>
          <w:tcPr>
            <w:tcW w:w="372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program; short-term and long-term incentive</w:t>
            </w:r>
          </w:p>
        </w:tc>
        <w:tc>
          <w:tcPr>
            <w:tcW w:w="0" w:type="dxa"/>
            <w:vAlign w:val="bottom"/>
          </w:tcPr>
          <w:p>
            <w:pPr>
              <w:spacing w:after="0"/>
              <w:rPr>
                <w:sz w:val="1"/>
                <w:szCs w:val="1"/>
                <w:color w:val="auto"/>
              </w:rPr>
            </w:pPr>
          </w:p>
        </w:tc>
      </w:tr>
      <w:tr>
        <w:trPr>
          <w:trHeight w:val="216"/>
        </w:trPr>
        <w:tc>
          <w:tcPr>
            <w:tcW w:w="1660" w:type="dxa"/>
            <w:vAlign w:val="bottom"/>
            <w:tcBorders>
              <w:left w:val="single" w:sz="8" w:color="auto"/>
            </w:tcBorders>
            <w:shd w:val="clear" w:color="auto" w:fill="D9DCE1"/>
          </w:tcPr>
          <w:p>
            <w:pPr>
              <w:spacing w:after="0"/>
              <w:rPr>
                <w:sz w:val="18"/>
                <w:szCs w:val="18"/>
                <w:color w:val="auto"/>
              </w:rPr>
            </w:pPr>
          </w:p>
        </w:tc>
        <w:tc>
          <w:tcPr>
            <w:tcW w:w="26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2140" w:type="dxa"/>
            <w:vAlign w:val="bottom"/>
            <w:shd w:val="clear" w:color="auto" w:fill="D9DCE1"/>
          </w:tcPr>
          <w:p>
            <w:pPr>
              <w:ind w:left="20"/>
              <w:spacing w:after="0"/>
              <w:rPr>
                <w:sz w:val="20"/>
                <w:szCs w:val="20"/>
                <w:color w:val="auto"/>
              </w:rPr>
            </w:pPr>
            <w:r>
              <w:rPr>
                <w:rFonts w:ascii="Arial" w:cs="Arial" w:eastAsia="Arial" w:hAnsi="Arial"/>
                <w:sz w:val="18"/>
                <w:szCs w:val="18"/>
                <w:color w:val="auto"/>
              </w:rPr>
              <w:t>providing a secure and</w:t>
            </w:r>
          </w:p>
        </w:tc>
        <w:tc>
          <w:tcPr>
            <w:tcW w:w="140" w:type="dxa"/>
            <w:vAlign w:val="bottom"/>
            <w:tcBorders>
              <w:right w:val="single" w:sz="8" w:color="auto"/>
            </w:tcBorders>
            <w:shd w:val="clear" w:color="auto" w:fill="D9DCE1"/>
          </w:tcPr>
          <w:p>
            <w:pPr>
              <w:spacing w:after="0"/>
              <w:rPr>
                <w:sz w:val="18"/>
                <w:szCs w:val="18"/>
                <w:color w:val="auto"/>
              </w:rPr>
            </w:pPr>
          </w:p>
        </w:tc>
        <w:tc>
          <w:tcPr>
            <w:tcW w:w="220" w:type="dxa"/>
            <w:vAlign w:val="bottom"/>
            <w:shd w:val="clear" w:color="auto" w:fill="D9DCE1"/>
          </w:tcPr>
          <w:p>
            <w:pPr>
              <w:spacing w:after="0"/>
              <w:rPr>
                <w:sz w:val="18"/>
                <w:szCs w:val="18"/>
                <w:color w:val="auto"/>
              </w:rPr>
            </w:pPr>
          </w:p>
        </w:tc>
        <w:tc>
          <w:tcPr>
            <w:tcW w:w="372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compensation components are based on</w:t>
            </w:r>
          </w:p>
        </w:tc>
        <w:tc>
          <w:tcPr>
            <w:tcW w:w="0" w:type="dxa"/>
            <w:vAlign w:val="bottom"/>
          </w:tcPr>
          <w:p>
            <w:pPr>
              <w:spacing w:after="0"/>
              <w:rPr>
                <w:sz w:val="1"/>
                <w:szCs w:val="1"/>
                <w:color w:val="auto"/>
              </w:rPr>
            </w:pPr>
          </w:p>
        </w:tc>
      </w:tr>
      <w:tr>
        <w:trPr>
          <w:trHeight w:val="216"/>
        </w:trPr>
        <w:tc>
          <w:tcPr>
            <w:tcW w:w="1660" w:type="dxa"/>
            <w:vAlign w:val="bottom"/>
            <w:tcBorders>
              <w:left w:val="single" w:sz="8" w:color="auto"/>
            </w:tcBorders>
            <w:shd w:val="clear" w:color="auto" w:fill="D9DCE1"/>
          </w:tcPr>
          <w:p>
            <w:pPr>
              <w:spacing w:after="0"/>
              <w:rPr>
                <w:sz w:val="18"/>
                <w:szCs w:val="18"/>
                <w:color w:val="auto"/>
              </w:rPr>
            </w:pPr>
          </w:p>
        </w:tc>
        <w:tc>
          <w:tcPr>
            <w:tcW w:w="26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2140" w:type="dxa"/>
            <w:vAlign w:val="bottom"/>
            <w:shd w:val="clear" w:color="auto" w:fill="D9DCE1"/>
          </w:tcPr>
          <w:p>
            <w:pPr>
              <w:ind w:left="20"/>
              <w:spacing w:after="0"/>
              <w:rPr>
                <w:sz w:val="20"/>
                <w:szCs w:val="20"/>
                <w:color w:val="auto"/>
              </w:rPr>
            </w:pPr>
            <w:r>
              <w:rPr>
                <w:rFonts w:ascii="Arial" w:cs="Arial" w:eastAsia="Arial" w:hAnsi="Arial"/>
                <w:sz w:val="18"/>
                <w:szCs w:val="18"/>
                <w:color w:val="auto"/>
              </w:rPr>
              <w:t>appropriate level of base</w:t>
            </w:r>
          </w:p>
        </w:tc>
        <w:tc>
          <w:tcPr>
            <w:tcW w:w="140" w:type="dxa"/>
            <w:vAlign w:val="bottom"/>
            <w:tcBorders>
              <w:right w:val="single" w:sz="8" w:color="auto"/>
            </w:tcBorders>
            <w:shd w:val="clear" w:color="auto" w:fill="D9DCE1"/>
          </w:tcPr>
          <w:p>
            <w:pPr>
              <w:spacing w:after="0"/>
              <w:rPr>
                <w:sz w:val="18"/>
                <w:szCs w:val="18"/>
                <w:color w:val="auto"/>
              </w:rPr>
            </w:pPr>
          </w:p>
        </w:tc>
        <w:tc>
          <w:tcPr>
            <w:tcW w:w="220" w:type="dxa"/>
            <w:vAlign w:val="bottom"/>
            <w:shd w:val="clear" w:color="auto" w:fill="D9DCE1"/>
          </w:tcPr>
          <w:p>
            <w:pPr>
              <w:spacing w:after="0"/>
              <w:rPr>
                <w:sz w:val="18"/>
                <w:szCs w:val="18"/>
                <w:color w:val="auto"/>
              </w:rPr>
            </w:pPr>
          </w:p>
        </w:tc>
        <w:tc>
          <w:tcPr>
            <w:tcW w:w="372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a percentage of base salary</w:t>
            </w:r>
          </w:p>
        </w:tc>
        <w:tc>
          <w:tcPr>
            <w:tcW w:w="0" w:type="dxa"/>
            <w:vAlign w:val="bottom"/>
          </w:tcPr>
          <w:p>
            <w:pPr>
              <w:spacing w:after="0"/>
              <w:rPr>
                <w:sz w:val="1"/>
                <w:szCs w:val="1"/>
                <w:color w:val="auto"/>
              </w:rPr>
            </w:pPr>
          </w:p>
        </w:tc>
      </w:tr>
      <w:tr>
        <w:trPr>
          <w:trHeight w:val="239"/>
        </w:trPr>
        <w:tc>
          <w:tcPr>
            <w:tcW w:w="1660" w:type="dxa"/>
            <w:vAlign w:val="bottom"/>
            <w:tcBorders>
              <w:left w:val="single" w:sz="8" w:color="auto"/>
            </w:tcBorders>
            <w:shd w:val="clear" w:color="auto" w:fill="D9DCE1"/>
          </w:tcPr>
          <w:p>
            <w:pPr>
              <w:spacing w:after="0"/>
              <w:rPr>
                <w:sz w:val="20"/>
                <w:szCs w:val="20"/>
                <w:color w:val="auto"/>
              </w:rPr>
            </w:pPr>
          </w:p>
        </w:tc>
        <w:tc>
          <w:tcPr>
            <w:tcW w:w="260" w:type="dxa"/>
            <w:vAlign w:val="bottom"/>
            <w:tcBorders>
              <w:right w:val="single" w:sz="8" w:color="auto"/>
            </w:tcBorders>
            <w:shd w:val="clear" w:color="auto" w:fill="D9DCE1"/>
          </w:tcPr>
          <w:p>
            <w:pPr>
              <w:spacing w:after="0"/>
              <w:rPr>
                <w:sz w:val="20"/>
                <w:szCs w:val="20"/>
                <w:color w:val="auto"/>
              </w:rPr>
            </w:pPr>
          </w:p>
        </w:tc>
        <w:tc>
          <w:tcPr>
            <w:tcW w:w="80" w:type="dxa"/>
            <w:vAlign w:val="bottom"/>
            <w:shd w:val="clear" w:color="auto" w:fill="D9DCE1"/>
          </w:tcPr>
          <w:p>
            <w:pPr>
              <w:spacing w:after="0"/>
              <w:rPr>
                <w:sz w:val="20"/>
                <w:szCs w:val="20"/>
                <w:color w:val="auto"/>
              </w:rPr>
            </w:pPr>
          </w:p>
        </w:tc>
        <w:tc>
          <w:tcPr>
            <w:tcW w:w="2140" w:type="dxa"/>
            <w:vAlign w:val="bottom"/>
            <w:shd w:val="clear" w:color="auto" w:fill="D9DCE1"/>
          </w:tcPr>
          <w:p>
            <w:pPr>
              <w:ind w:left="20"/>
              <w:spacing w:after="0"/>
              <w:rPr>
                <w:sz w:val="20"/>
                <w:szCs w:val="20"/>
                <w:color w:val="auto"/>
              </w:rPr>
            </w:pPr>
            <w:r>
              <w:rPr>
                <w:rFonts w:ascii="Arial" w:cs="Arial" w:eastAsia="Arial" w:hAnsi="Arial"/>
                <w:sz w:val="18"/>
                <w:szCs w:val="18"/>
                <w:color w:val="auto"/>
              </w:rPr>
              <w:t>salary</w:t>
            </w:r>
          </w:p>
        </w:tc>
        <w:tc>
          <w:tcPr>
            <w:tcW w:w="140" w:type="dxa"/>
            <w:vAlign w:val="bottom"/>
            <w:tcBorders>
              <w:right w:val="single" w:sz="8" w:color="auto"/>
            </w:tcBorders>
            <w:shd w:val="clear" w:color="auto" w:fill="D9DCE1"/>
          </w:tcPr>
          <w:p>
            <w:pPr>
              <w:spacing w:after="0"/>
              <w:rPr>
                <w:sz w:val="20"/>
                <w:szCs w:val="20"/>
                <w:color w:val="auto"/>
              </w:rPr>
            </w:pPr>
          </w:p>
        </w:tc>
        <w:tc>
          <w:tcPr>
            <w:tcW w:w="3940" w:type="dxa"/>
            <w:vAlign w:val="bottom"/>
            <w:tcBorders>
              <w:right w:val="single" w:sz="8" w:color="auto"/>
            </w:tcBorders>
            <w:gridSpan w:val="2"/>
            <w:vMerge w:val="restart"/>
            <w:shd w:val="clear" w:color="auto" w:fill="D9DCE1"/>
          </w:tcPr>
          <w:p>
            <w:pPr>
              <w:ind w:left="100"/>
              <w:spacing w:after="0"/>
              <w:rPr>
                <w:sz w:val="20"/>
                <w:szCs w:val="20"/>
                <w:color w:val="auto"/>
              </w:rPr>
            </w:pPr>
            <w:r>
              <w:rPr>
                <w:rFonts w:ascii="Arial" w:cs="Arial" w:eastAsia="Arial" w:hAnsi="Arial"/>
                <w:sz w:val="18"/>
                <w:szCs w:val="18"/>
                <w:color w:val="auto"/>
              </w:rPr>
              <w:t>• Subject to adjustment periodically based in</w:t>
            </w:r>
          </w:p>
        </w:tc>
        <w:tc>
          <w:tcPr>
            <w:tcW w:w="0" w:type="dxa"/>
            <w:vAlign w:val="bottom"/>
          </w:tcPr>
          <w:p>
            <w:pPr>
              <w:spacing w:after="0"/>
              <w:rPr>
                <w:sz w:val="1"/>
                <w:szCs w:val="1"/>
                <w:color w:val="auto"/>
              </w:rPr>
            </w:pPr>
          </w:p>
        </w:tc>
      </w:tr>
      <w:tr>
        <w:trPr>
          <w:trHeight w:val="126"/>
        </w:trPr>
        <w:tc>
          <w:tcPr>
            <w:tcW w:w="1660" w:type="dxa"/>
            <w:vAlign w:val="bottom"/>
            <w:tcBorders>
              <w:left w:val="single" w:sz="8" w:color="auto"/>
            </w:tcBorders>
            <w:shd w:val="clear" w:color="auto" w:fill="D9DCE1"/>
          </w:tcPr>
          <w:p>
            <w:pPr>
              <w:spacing w:after="0"/>
              <w:rPr>
                <w:sz w:val="10"/>
                <w:szCs w:val="10"/>
                <w:color w:val="auto"/>
              </w:rPr>
            </w:pPr>
          </w:p>
        </w:tc>
        <w:tc>
          <w:tcPr>
            <w:tcW w:w="260" w:type="dxa"/>
            <w:vAlign w:val="bottom"/>
            <w:tcBorders>
              <w:right w:val="single" w:sz="8" w:color="auto"/>
            </w:tcBorders>
            <w:shd w:val="clear" w:color="auto" w:fill="D9DCE1"/>
          </w:tcPr>
          <w:p>
            <w:pPr>
              <w:spacing w:after="0"/>
              <w:rPr>
                <w:sz w:val="10"/>
                <w:szCs w:val="10"/>
                <w:color w:val="auto"/>
              </w:rPr>
            </w:pPr>
          </w:p>
        </w:tc>
        <w:tc>
          <w:tcPr>
            <w:tcW w:w="80" w:type="dxa"/>
            <w:vAlign w:val="bottom"/>
            <w:shd w:val="clear" w:color="auto" w:fill="D9DCE1"/>
          </w:tcPr>
          <w:p>
            <w:pPr>
              <w:spacing w:after="0"/>
              <w:rPr>
                <w:sz w:val="10"/>
                <w:szCs w:val="10"/>
                <w:color w:val="auto"/>
              </w:rPr>
            </w:pPr>
          </w:p>
        </w:tc>
        <w:tc>
          <w:tcPr>
            <w:tcW w:w="2140" w:type="dxa"/>
            <w:vAlign w:val="bottom"/>
            <w:shd w:val="clear" w:color="auto" w:fill="D9DCE1"/>
          </w:tcPr>
          <w:p>
            <w:pPr>
              <w:spacing w:after="0"/>
              <w:rPr>
                <w:sz w:val="10"/>
                <w:szCs w:val="10"/>
                <w:color w:val="auto"/>
              </w:rPr>
            </w:pPr>
          </w:p>
        </w:tc>
        <w:tc>
          <w:tcPr>
            <w:tcW w:w="140" w:type="dxa"/>
            <w:vAlign w:val="bottom"/>
            <w:tcBorders>
              <w:right w:val="single" w:sz="8" w:color="auto"/>
            </w:tcBorders>
            <w:shd w:val="clear" w:color="auto" w:fill="D9DCE1"/>
          </w:tcPr>
          <w:p>
            <w:pPr>
              <w:spacing w:after="0"/>
              <w:rPr>
                <w:sz w:val="10"/>
                <w:szCs w:val="10"/>
                <w:color w:val="auto"/>
              </w:rPr>
            </w:pPr>
          </w:p>
        </w:tc>
        <w:tc>
          <w:tcPr>
            <w:tcW w:w="3940" w:type="dxa"/>
            <w:vAlign w:val="bottom"/>
            <w:tcBorders>
              <w:right w:val="single" w:sz="8" w:color="auto"/>
            </w:tcBorders>
            <w:gridSpan w:val="2"/>
            <w:vMerge w:val="continue"/>
            <w:shd w:val="clear" w:color="auto" w:fill="D9DCE1"/>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1660" w:type="dxa"/>
            <w:vAlign w:val="bottom"/>
            <w:tcBorders>
              <w:left w:val="single" w:sz="8" w:color="auto"/>
            </w:tcBorders>
            <w:shd w:val="clear" w:color="auto" w:fill="D9DCE1"/>
          </w:tcPr>
          <w:p>
            <w:pPr>
              <w:spacing w:after="0"/>
              <w:rPr>
                <w:sz w:val="20"/>
                <w:szCs w:val="20"/>
                <w:color w:val="auto"/>
              </w:rPr>
            </w:pPr>
          </w:p>
        </w:tc>
        <w:tc>
          <w:tcPr>
            <w:tcW w:w="260" w:type="dxa"/>
            <w:vAlign w:val="bottom"/>
            <w:tcBorders>
              <w:right w:val="single" w:sz="8" w:color="auto"/>
            </w:tcBorders>
            <w:shd w:val="clear" w:color="auto" w:fill="D9DCE1"/>
          </w:tcPr>
          <w:p>
            <w:pPr>
              <w:spacing w:after="0"/>
              <w:rPr>
                <w:sz w:val="20"/>
                <w:szCs w:val="20"/>
                <w:color w:val="auto"/>
              </w:rPr>
            </w:pPr>
          </w:p>
        </w:tc>
        <w:tc>
          <w:tcPr>
            <w:tcW w:w="80" w:type="dxa"/>
            <w:vAlign w:val="bottom"/>
            <w:shd w:val="clear" w:color="auto" w:fill="D9DCE1"/>
          </w:tcPr>
          <w:p>
            <w:pPr>
              <w:spacing w:after="0"/>
              <w:rPr>
                <w:sz w:val="20"/>
                <w:szCs w:val="20"/>
                <w:color w:val="auto"/>
              </w:rPr>
            </w:pPr>
          </w:p>
        </w:tc>
        <w:tc>
          <w:tcPr>
            <w:tcW w:w="2140" w:type="dxa"/>
            <w:vAlign w:val="bottom"/>
            <w:shd w:val="clear" w:color="auto" w:fill="D9DCE1"/>
          </w:tcPr>
          <w:p>
            <w:pPr>
              <w:spacing w:after="0"/>
              <w:rPr>
                <w:sz w:val="20"/>
                <w:szCs w:val="20"/>
                <w:color w:val="auto"/>
              </w:rPr>
            </w:pPr>
          </w:p>
        </w:tc>
        <w:tc>
          <w:tcPr>
            <w:tcW w:w="140" w:type="dxa"/>
            <w:vAlign w:val="bottom"/>
            <w:tcBorders>
              <w:right w:val="single" w:sz="8" w:color="auto"/>
            </w:tcBorders>
            <w:shd w:val="clear" w:color="auto" w:fill="D9DCE1"/>
          </w:tcPr>
          <w:p>
            <w:pPr>
              <w:spacing w:after="0"/>
              <w:rPr>
                <w:sz w:val="20"/>
                <w:szCs w:val="20"/>
                <w:color w:val="auto"/>
              </w:rPr>
            </w:pPr>
          </w:p>
        </w:tc>
        <w:tc>
          <w:tcPr>
            <w:tcW w:w="220" w:type="dxa"/>
            <w:vAlign w:val="bottom"/>
            <w:shd w:val="clear" w:color="auto" w:fill="D9DCE1"/>
          </w:tcPr>
          <w:p>
            <w:pPr>
              <w:spacing w:after="0"/>
              <w:rPr>
                <w:sz w:val="20"/>
                <w:szCs w:val="20"/>
                <w:color w:val="auto"/>
              </w:rPr>
            </w:pPr>
          </w:p>
        </w:tc>
        <w:tc>
          <w:tcPr>
            <w:tcW w:w="372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part on competitive market data</w:t>
            </w:r>
          </w:p>
        </w:tc>
        <w:tc>
          <w:tcPr>
            <w:tcW w:w="0" w:type="dxa"/>
            <w:vAlign w:val="bottom"/>
          </w:tcPr>
          <w:p>
            <w:pPr>
              <w:spacing w:after="0"/>
              <w:rPr>
                <w:sz w:val="1"/>
                <w:szCs w:val="1"/>
                <w:color w:val="auto"/>
              </w:rPr>
            </w:pPr>
          </w:p>
        </w:tc>
      </w:tr>
      <w:tr>
        <w:trPr>
          <w:trHeight w:val="347"/>
        </w:trPr>
        <w:tc>
          <w:tcPr>
            <w:tcW w:w="1660" w:type="dxa"/>
            <w:vAlign w:val="bottom"/>
            <w:tcBorders>
              <w:left w:val="single" w:sz="8" w:color="auto"/>
              <w:bottom w:val="single" w:sz="8" w:color="auto"/>
            </w:tcBorders>
            <w:shd w:val="clear" w:color="auto" w:fill="D9DCE1"/>
          </w:tcPr>
          <w:p>
            <w:pPr>
              <w:spacing w:after="0"/>
              <w:rPr>
                <w:sz w:val="24"/>
                <w:szCs w:val="24"/>
                <w:color w:val="auto"/>
              </w:rPr>
            </w:pPr>
          </w:p>
        </w:tc>
        <w:tc>
          <w:tcPr>
            <w:tcW w:w="260" w:type="dxa"/>
            <w:vAlign w:val="bottom"/>
            <w:tcBorders>
              <w:bottom w:val="single" w:sz="8" w:color="auto"/>
              <w:right w:val="single" w:sz="8" w:color="auto"/>
            </w:tcBorders>
            <w:shd w:val="clear" w:color="auto" w:fill="D9DCE1"/>
          </w:tcPr>
          <w:p>
            <w:pPr>
              <w:spacing w:after="0"/>
              <w:rPr>
                <w:sz w:val="24"/>
                <w:szCs w:val="24"/>
                <w:color w:val="auto"/>
              </w:rPr>
            </w:pPr>
          </w:p>
        </w:tc>
        <w:tc>
          <w:tcPr>
            <w:tcW w:w="80" w:type="dxa"/>
            <w:vAlign w:val="bottom"/>
            <w:tcBorders>
              <w:bottom w:val="single" w:sz="8" w:color="auto"/>
            </w:tcBorders>
            <w:shd w:val="clear" w:color="auto" w:fill="D9DCE1"/>
          </w:tcPr>
          <w:p>
            <w:pPr>
              <w:spacing w:after="0"/>
              <w:rPr>
                <w:sz w:val="24"/>
                <w:szCs w:val="24"/>
                <w:color w:val="auto"/>
              </w:rPr>
            </w:pPr>
          </w:p>
        </w:tc>
        <w:tc>
          <w:tcPr>
            <w:tcW w:w="2140" w:type="dxa"/>
            <w:vAlign w:val="bottom"/>
            <w:tcBorders>
              <w:bottom w:val="single" w:sz="8" w:color="auto"/>
            </w:tcBorders>
            <w:shd w:val="clear" w:color="auto" w:fill="D9DCE1"/>
          </w:tcPr>
          <w:p>
            <w:pPr>
              <w:spacing w:after="0"/>
              <w:rPr>
                <w:sz w:val="24"/>
                <w:szCs w:val="24"/>
                <w:color w:val="auto"/>
              </w:rPr>
            </w:pPr>
          </w:p>
        </w:tc>
        <w:tc>
          <w:tcPr>
            <w:tcW w:w="140" w:type="dxa"/>
            <w:vAlign w:val="bottom"/>
            <w:tcBorders>
              <w:bottom w:val="single" w:sz="8" w:color="auto"/>
              <w:right w:val="single" w:sz="8" w:color="auto"/>
            </w:tcBorders>
            <w:shd w:val="clear" w:color="auto" w:fill="D9DCE1"/>
          </w:tcPr>
          <w:p>
            <w:pPr>
              <w:spacing w:after="0"/>
              <w:rPr>
                <w:sz w:val="24"/>
                <w:szCs w:val="24"/>
                <w:color w:val="auto"/>
              </w:rPr>
            </w:pPr>
          </w:p>
        </w:tc>
        <w:tc>
          <w:tcPr>
            <w:tcW w:w="220" w:type="dxa"/>
            <w:vAlign w:val="bottom"/>
            <w:tcBorders>
              <w:bottom w:val="single" w:sz="8" w:color="auto"/>
            </w:tcBorders>
            <w:shd w:val="clear" w:color="auto" w:fill="D9DCE1"/>
          </w:tcPr>
          <w:p>
            <w:pPr>
              <w:ind w:left="100"/>
              <w:spacing w:after="0"/>
              <w:rPr>
                <w:sz w:val="20"/>
                <w:szCs w:val="20"/>
                <w:color w:val="auto"/>
              </w:rPr>
            </w:pPr>
            <w:r>
              <w:rPr>
                <w:rFonts w:ascii="Arial" w:cs="Arial" w:eastAsia="Arial" w:hAnsi="Arial"/>
                <w:sz w:val="18"/>
                <w:szCs w:val="18"/>
                <w:color w:val="auto"/>
              </w:rPr>
              <w:t>•</w:t>
            </w:r>
          </w:p>
        </w:tc>
        <w:tc>
          <w:tcPr>
            <w:tcW w:w="3720" w:type="dxa"/>
            <w:vAlign w:val="bottom"/>
            <w:tcBorders>
              <w:bottom w:val="single" w:sz="8" w:color="auto"/>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Smallest component of NEO compensation</w:t>
            </w:r>
          </w:p>
        </w:tc>
        <w:tc>
          <w:tcPr>
            <w:tcW w:w="0" w:type="dxa"/>
            <w:vAlign w:val="bottom"/>
          </w:tcPr>
          <w:p>
            <w:pPr>
              <w:spacing w:after="0"/>
              <w:rPr>
                <w:sz w:val="1"/>
                <w:szCs w:val="1"/>
                <w:color w:val="auto"/>
              </w:rPr>
            </w:pPr>
          </w:p>
        </w:tc>
      </w:tr>
      <w:tr>
        <w:trPr>
          <w:trHeight w:val="245"/>
        </w:trPr>
        <w:tc>
          <w:tcPr>
            <w:tcW w:w="16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Annual Cash</w:t>
            </w:r>
          </w:p>
        </w:tc>
        <w:tc>
          <w:tcPr>
            <w:tcW w:w="26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w w:val="99"/>
              </w:rPr>
              <w:t>Motivate and reward near-</w:t>
            </w:r>
          </w:p>
        </w:tc>
        <w:tc>
          <w:tcPr>
            <w:tcW w:w="140" w:type="dxa"/>
            <w:vAlign w:val="bottom"/>
            <w:tcBorders>
              <w:right w:val="single" w:sz="8" w:color="auto"/>
            </w:tcBorders>
          </w:tcPr>
          <w:p>
            <w:pPr>
              <w:spacing w:after="0"/>
              <w:rPr>
                <w:sz w:val="21"/>
                <w:szCs w:val="21"/>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100% performance based</w:t>
            </w:r>
          </w:p>
        </w:tc>
        <w:tc>
          <w:tcPr>
            <w:tcW w:w="0" w:type="dxa"/>
            <w:vAlign w:val="bottom"/>
          </w:tcPr>
          <w:p>
            <w:pPr>
              <w:spacing w:after="0"/>
              <w:rPr>
                <w:sz w:val="1"/>
                <w:szCs w:val="1"/>
                <w:color w:val="auto"/>
              </w:rPr>
            </w:pPr>
          </w:p>
        </w:tc>
      </w:tr>
      <w:tr>
        <w:trPr>
          <w:trHeight w:val="216"/>
        </w:trPr>
        <w:tc>
          <w:tcPr>
            <w:tcW w:w="16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Incentive Awards</w:t>
            </w:r>
          </w:p>
        </w:tc>
        <w:tc>
          <w:tcPr>
            <w:tcW w:w="2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term performance,</w:t>
            </w:r>
          </w:p>
        </w:tc>
        <w:tc>
          <w:tcPr>
            <w:tcW w:w="140" w:type="dxa"/>
            <w:vAlign w:val="bottom"/>
            <w:tcBorders>
              <w:right w:val="single" w:sz="8" w:color="auto"/>
            </w:tcBorders>
          </w:tcPr>
          <w:p>
            <w:pPr>
              <w:spacing w:after="0"/>
              <w:rPr>
                <w:sz w:val="18"/>
                <w:szCs w:val="18"/>
                <w:color w:val="auto"/>
              </w:rPr>
            </w:pPr>
          </w:p>
        </w:tc>
        <w:tc>
          <w:tcPr>
            <w:tcW w:w="394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 Encourages achievement of objective and</w:t>
            </w:r>
          </w:p>
        </w:tc>
        <w:tc>
          <w:tcPr>
            <w:tcW w:w="0" w:type="dxa"/>
            <w:vAlign w:val="bottom"/>
          </w:tcPr>
          <w:p>
            <w:pPr>
              <w:spacing w:after="0"/>
              <w:rPr>
                <w:sz w:val="1"/>
                <w:szCs w:val="1"/>
                <w:color w:val="auto"/>
              </w:rPr>
            </w:pPr>
          </w:p>
        </w:tc>
      </w:tr>
      <w:tr>
        <w:trPr>
          <w:trHeight w:val="108"/>
        </w:trPr>
        <w:tc>
          <w:tcPr>
            <w:tcW w:w="1660" w:type="dxa"/>
            <w:vAlign w:val="bottom"/>
            <w:tcBorders>
              <w:left w:val="single" w:sz="8" w:color="auto"/>
            </w:tcBorders>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140" w:type="dxa"/>
            <w:vAlign w:val="bottom"/>
            <w:vMerge w:val="restart"/>
          </w:tcPr>
          <w:p>
            <w:pPr>
              <w:ind w:left="20"/>
              <w:spacing w:after="0"/>
              <w:rPr>
                <w:sz w:val="20"/>
                <w:szCs w:val="20"/>
                <w:color w:val="auto"/>
              </w:rPr>
            </w:pPr>
            <w:r>
              <w:rPr>
                <w:rFonts w:ascii="Arial" w:cs="Arial" w:eastAsia="Arial" w:hAnsi="Arial"/>
                <w:sz w:val="18"/>
                <w:szCs w:val="18"/>
                <w:color w:val="auto"/>
              </w:rPr>
              <w:t>strategic positioning and</w:t>
            </w:r>
          </w:p>
        </w:tc>
        <w:tc>
          <w:tcPr>
            <w:tcW w:w="140" w:type="dxa"/>
            <w:vAlign w:val="bottom"/>
            <w:tcBorders>
              <w:right w:val="single" w:sz="8" w:color="auto"/>
            </w:tcBorders>
          </w:tcPr>
          <w:p>
            <w:pPr>
              <w:spacing w:after="0"/>
              <w:rPr>
                <w:sz w:val="9"/>
                <w:szCs w:val="9"/>
                <w:color w:val="auto"/>
              </w:rPr>
            </w:pPr>
          </w:p>
        </w:tc>
        <w:tc>
          <w:tcPr>
            <w:tcW w:w="394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60" w:type="dxa"/>
            <w:vAlign w:val="bottom"/>
            <w:tcBorders>
              <w:left w:val="single" w:sz="8" w:color="auto"/>
            </w:tcBorders>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14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7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transparent annual business, HSE and</w:t>
            </w:r>
          </w:p>
        </w:tc>
        <w:tc>
          <w:tcPr>
            <w:tcW w:w="0" w:type="dxa"/>
            <w:vAlign w:val="bottom"/>
          </w:tcPr>
          <w:p>
            <w:pPr>
              <w:spacing w:after="0"/>
              <w:rPr>
                <w:sz w:val="1"/>
                <w:szCs w:val="1"/>
                <w:color w:val="auto"/>
              </w:rPr>
            </w:pPr>
          </w:p>
        </w:tc>
      </w:tr>
      <w:tr>
        <w:trPr>
          <w:trHeight w:val="108"/>
        </w:trPr>
        <w:tc>
          <w:tcPr>
            <w:tcW w:w="1660" w:type="dxa"/>
            <w:vAlign w:val="bottom"/>
            <w:tcBorders>
              <w:left w:val="single" w:sz="8" w:color="auto"/>
            </w:tcBorders>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140" w:type="dxa"/>
            <w:vAlign w:val="bottom"/>
            <w:vMerge w:val="restart"/>
          </w:tcPr>
          <w:p>
            <w:pPr>
              <w:ind w:left="20"/>
              <w:spacing w:after="0"/>
              <w:rPr>
                <w:sz w:val="20"/>
                <w:szCs w:val="20"/>
                <w:color w:val="auto"/>
              </w:rPr>
            </w:pPr>
            <w:r>
              <w:rPr>
                <w:rFonts w:ascii="Arial" w:cs="Arial" w:eastAsia="Arial" w:hAnsi="Arial"/>
                <w:sz w:val="18"/>
                <w:szCs w:val="18"/>
                <w:color w:val="auto"/>
              </w:rPr>
              <w:t>retention</w:t>
            </w:r>
          </w:p>
        </w:tc>
        <w:tc>
          <w:tcPr>
            <w:tcW w:w="14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7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660" w:type="dxa"/>
            <w:vAlign w:val="bottom"/>
            <w:tcBorders>
              <w:left w:val="single" w:sz="8" w:color="auto"/>
            </w:tcBorders>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140" w:type="dxa"/>
            <w:vAlign w:val="bottom"/>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7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individual goals established at beginning of</w:t>
            </w:r>
          </w:p>
        </w:tc>
        <w:tc>
          <w:tcPr>
            <w:tcW w:w="0" w:type="dxa"/>
            <w:vAlign w:val="bottom"/>
          </w:tcPr>
          <w:p>
            <w:pPr>
              <w:spacing w:after="0"/>
              <w:rPr>
                <w:sz w:val="1"/>
                <w:szCs w:val="1"/>
                <w:color w:val="auto"/>
              </w:rPr>
            </w:pPr>
          </w:p>
        </w:tc>
      </w:tr>
      <w:tr>
        <w:trPr>
          <w:trHeight w:val="85"/>
        </w:trPr>
        <w:tc>
          <w:tcPr>
            <w:tcW w:w="1660" w:type="dxa"/>
            <w:vAlign w:val="bottom"/>
            <w:tcBorders>
              <w:left w:val="single" w:sz="8" w:color="auto"/>
            </w:tcBorders>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1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7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1660" w:type="dxa"/>
            <w:vAlign w:val="bottom"/>
            <w:tcBorders>
              <w:left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year</w:t>
            </w:r>
          </w:p>
        </w:tc>
        <w:tc>
          <w:tcPr>
            <w:tcW w:w="0" w:type="dxa"/>
            <w:vAlign w:val="bottom"/>
          </w:tcPr>
          <w:p>
            <w:pPr>
              <w:spacing w:after="0"/>
              <w:rPr>
                <w:sz w:val="1"/>
                <w:szCs w:val="1"/>
                <w:color w:val="auto"/>
              </w:rPr>
            </w:pPr>
          </w:p>
        </w:tc>
      </w:tr>
      <w:tr>
        <w:trPr>
          <w:trHeight w:val="347"/>
        </w:trPr>
        <w:tc>
          <w:tcPr>
            <w:tcW w:w="166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394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 Payout based on formulaic framework</w:t>
            </w:r>
          </w:p>
        </w:tc>
        <w:tc>
          <w:tcPr>
            <w:tcW w:w="0" w:type="dxa"/>
            <w:vAlign w:val="bottom"/>
          </w:tcPr>
          <w:p>
            <w:pPr>
              <w:spacing w:after="0"/>
              <w:rPr>
                <w:sz w:val="1"/>
                <w:szCs w:val="1"/>
                <w:color w:val="auto"/>
              </w:rPr>
            </w:pPr>
          </w:p>
        </w:tc>
      </w:tr>
      <w:tr>
        <w:trPr>
          <w:trHeight w:val="245"/>
        </w:trPr>
        <w:tc>
          <w:tcPr>
            <w:tcW w:w="1660" w:type="dxa"/>
            <w:vAlign w:val="bottom"/>
            <w:tcBorders>
              <w:lef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Long-Term Equity</w:t>
            </w:r>
          </w:p>
        </w:tc>
        <w:tc>
          <w:tcPr>
            <w:tcW w:w="260" w:type="dxa"/>
            <w:vAlign w:val="bottom"/>
            <w:tcBorders>
              <w:right w:val="single" w:sz="8" w:color="auto"/>
            </w:tcBorders>
            <w:shd w:val="clear" w:color="auto" w:fill="D9DCE1"/>
          </w:tcPr>
          <w:p>
            <w:pPr>
              <w:spacing w:after="0"/>
              <w:rPr>
                <w:sz w:val="21"/>
                <w:szCs w:val="21"/>
                <w:color w:val="auto"/>
              </w:rPr>
            </w:pPr>
          </w:p>
        </w:tc>
        <w:tc>
          <w:tcPr>
            <w:tcW w:w="80" w:type="dxa"/>
            <w:vAlign w:val="bottom"/>
            <w:shd w:val="clear" w:color="auto" w:fill="D9DCE1"/>
          </w:tcPr>
          <w:p>
            <w:pPr>
              <w:spacing w:after="0"/>
              <w:rPr>
                <w:sz w:val="21"/>
                <w:szCs w:val="21"/>
                <w:color w:val="auto"/>
              </w:rPr>
            </w:pPr>
          </w:p>
        </w:tc>
        <w:tc>
          <w:tcPr>
            <w:tcW w:w="2140" w:type="dxa"/>
            <w:vAlign w:val="bottom"/>
            <w:shd w:val="clear" w:color="auto" w:fill="D9DCE1"/>
          </w:tcPr>
          <w:p>
            <w:pPr>
              <w:ind w:left="20"/>
              <w:spacing w:after="0"/>
              <w:rPr>
                <w:sz w:val="20"/>
                <w:szCs w:val="20"/>
                <w:color w:val="auto"/>
              </w:rPr>
            </w:pPr>
            <w:r>
              <w:rPr>
                <w:rFonts w:ascii="Arial" w:cs="Arial" w:eastAsia="Arial" w:hAnsi="Arial"/>
                <w:sz w:val="18"/>
                <w:szCs w:val="18"/>
                <w:color w:val="auto"/>
              </w:rPr>
              <w:t>Motivate and reward long-</w:t>
            </w:r>
          </w:p>
        </w:tc>
        <w:tc>
          <w:tcPr>
            <w:tcW w:w="140" w:type="dxa"/>
            <w:vAlign w:val="bottom"/>
            <w:tcBorders>
              <w:right w:val="single" w:sz="8" w:color="auto"/>
            </w:tcBorders>
            <w:shd w:val="clear" w:color="auto" w:fill="D9DCE1"/>
          </w:tcPr>
          <w:p>
            <w:pPr>
              <w:spacing w:after="0"/>
              <w:rPr>
                <w:sz w:val="21"/>
                <w:szCs w:val="21"/>
                <w:color w:val="auto"/>
              </w:rPr>
            </w:pPr>
          </w:p>
        </w:tc>
        <w:tc>
          <w:tcPr>
            <w:tcW w:w="220" w:type="dxa"/>
            <w:vAlign w:val="bottom"/>
            <w:shd w:val="clear" w:color="auto" w:fill="D9DCE1"/>
          </w:tcPr>
          <w:p>
            <w:pPr>
              <w:ind w:left="10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Long-term equity incentives are 50%</w:t>
            </w:r>
          </w:p>
        </w:tc>
        <w:tc>
          <w:tcPr>
            <w:tcW w:w="0" w:type="dxa"/>
            <w:vAlign w:val="bottom"/>
          </w:tcPr>
          <w:p>
            <w:pPr>
              <w:spacing w:after="0"/>
              <w:rPr>
                <w:sz w:val="1"/>
                <w:szCs w:val="1"/>
                <w:color w:val="auto"/>
              </w:rPr>
            </w:pPr>
          </w:p>
        </w:tc>
      </w:tr>
      <w:tr>
        <w:trPr>
          <w:trHeight w:val="216"/>
        </w:trPr>
        <w:tc>
          <w:tcPr>
            <w:tcW w:w="1660" w:type="dxa"/>
            <w:vAlign w:val="bottom"/>
            <w:tcBorders>
              <w:lef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Incentive Awards</w:t>
            </w:r>
          </w:p>
        </w:tc>
        <w:tc>
          <w:tcPr>
            <w:tcW w:w="26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2140" w:type="dxa"/>
            <w:vAlign w:val="bottom"/>
            <w:shd w:val="clear" w:color="auto" w:fill="D9DCE1"/>
          </w:tcPr>
          <w:p>
            <w:pPr>
              <w:ind w:left="20"/>
              <w:spacing w:after="0"/>
              <w:rPr>
                <w:sz w:val="20"/>
                <w:szCs w:val="20"/>
                <w:color w:val="auto"/>
              </w:rPr>
            </w:pPr>
            <w:r>
              <w:rPr>
                <w:rFonts w:ascii="Arial" w:cs="Arial" w:eastAsia="Arial" w:hAnsi="Arial"/>
                <w:sz w:val="18"/>
                <w:szCs w:val="18"/>
                <w:color w:val="auto"/>
              </w:rPr>
              <w:t>term performance and</w:t>
            </w:r>
          </w:p>
        </w:tc>
        <w:tc>
          <w:tcPr>
            <w:tcW w:w="140" w:type="dxa"/>
            <w:vAlign w:val="bottom"/>
            <w:tcBorders>
              <w:right w:val="single" w:sz="8" w:color="auto"/>
            </w:tcBorders>
            <w:shd w:val="clear" w:color="auto" w:fill="D9DCE1"/>
          </w:tcPr>
          <w:p>
            <w:pPr>
              <w:spacing w:after="0"/>
              <w:rPr>
                <w:sz w:val="18"/>
                <w:szCs w:val="18"/>
                <w:color w:val="auto"/>
              </w:rPr>
            </w:pPr>
          </w:p>
        </w:tc>
        <w:tc>
          <w:tcPr>
            <w:tcW w:w="220" w:type="dxa"/>
            <w:vAlign w:val="bottom"/>
            <w:shd w:val="clear" w:color="auto" w:fill="D9DCE1"/>
          </w:tcPr>
          <w:p>
            <w:pPr>
              <w:spacing w:after="0"/>
              <w:rPr>
                <w:sz w:val="18"/>
                <w:szCs w:val="18"/>
                <w:color w:val="auto"/>
              </w:rPr>
            </w:pPr>
          </w:p>
        </w:tc>
        <w:tc>
          <w:tcPr>
            <w:tcW w:w="372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performance-based and 50% time-based</w:t>
            </w:r>
          </w:p>
        </w:tc>
        <w:tc>
          <w:tcPr>
            <w:tcW w:w="0" w:type="dxa"/>
            <w:vAlign w:val="bottom"/>
          </w:tcPr>
          <w:p>
            <w:pPr>
              <w:spacing w:after="0"/>
              <w:rPr>
                <w:sz w:val="1"/>
                <w:szCs w:val="1"/>
                <w:color w:val="auto"/>
              </w:rPr>
            </w:pPr>
          </w:p>
        </w:tc>
      </w:tr>
      <w:tr>
        <w:trPr>
          <w:trHeight w:val="216"/>
        </w:trPr>
        <w:tc>
          <w:tcPr>
            <w:tcW w:w="1660" w:type="dxa"/>
            <w:vAlign w:val="bottom"/>
            <w:tcBorders>
              <w:left w:val="single" w:sz="8" w:color="auto"/>
            </w:tcBorders>
            <w:shd w:val="clear" w:color="auto" w:fill="D9DCE1"/>
          </w:tcPr>
          <w:p>
            <w:pPr>
              <w:spacing w:after="0"/>
              <w:rPr>
                <w:sz w:val="18"/>
                <w:szCs w:val="18"/>
                <w:color w:val="auto"/>
              </w:rPr>
            </w:pPr>
          </w:p>
        </w:tc>
        <w:tc>
          <w:tcPr>
            <w:tcW w:w="26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2140" w:type="dxa"/>
            <w:vAlign w:val="bottom"/>
            <w:shd w:val="clear" w:color="auto" w:fill="D9DCE1"/>
          </w:tcPr>
          <w:p>
            <w:pPr>
              <w:ind w:left="20"/>
              <w:spacing w:after="0"/>
              <w:rPr>
                <w:sz w:val="20"/>
                <w:szCs w:val="20"/>
                <w:color w:val="auto"/>
              </w:rPr>
            </w:pPr>
            <w:r>
              <w:rPr>
                <w:rFonts w:ascii="Arial" w:cs="Arial" w:eastAsia="Arial" w:hAnsi="Arial"/>
                <w:sz w:val="18"/>
                <w:szCs w:val="18"/>
                <w:color w:val="auto"/>
              </w:rPr>
              <w:t>retention, and create</w:t>
            </w:r>
          </w:p>
        </w:tc>
        <w:tc>
          <w:tcPr>
            <w:tcW w:w="140" w:type="dxa"/>
            <w:vAlign w:val="bottom"/>
            <w:tcBorders>
              <w:right w:val="single" w:sz="8" w:color="auto"/>
            </w:tcBorders>
            <w:shd w:val="clear" w:color="auto" w:fill="D9DCE1"/>
          </w:tcPr>
          <w:p>
            <w:pPr>
              <w:spacing w:after="0"/>
              <w:rPr>
                <w:sz w:val="18"/>
                <w:szCs w:val="18"/>
                <w:color w:val="auto"/>
              </w:rPr>
            </w:pPr>
          </w:p>
        </w:tc>
        <w:tc>
          <w:tcPr>
            <w:tcW w:w="220" w:type="dxa"/>
            <w:vAlign w:val="bottom"/>
            <w:vMerge w:val="restart"/>
            <w:shd w:val="clear" w:color="auto" w:fill="D9DCE1"/>
          </w:tcPr>
          <w:p>
            <w:pPr>
              <w:ind w:left="10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vMerge w:val="restart"/>
            <w:shd w:val="clear" w:color="auto" w:fill="D9DCE1"/>
          </w:tcPr>
          <w:p>
            <w:pPr>
              <w:ind w:left="60"/>
              <w:spacing w:after="0"/>
              <w:rPr>
                <w:sz w:val="20"/>
                <w:szCs w:val="20"/>
                <w:color w:val="auto"/>
              </w:rPr>
            </w:pPr>
            <w:r>
              <w:rPr>
                <w:rFonts w:ascii="Arial" w:cs="Arial" w:eastAsia="Arial" w:hAnsi="Arial"/>
                <w:sz w:val="18"/>
                <w:szCs w:val="18"/>
                <w:color w:val="auto"/>
              </w:rPr>
              <w:t>Performance-based awards earned based</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tcBorders>
            <w:shd w:val="clear" w:color="auto" w:fill="D9DCE1"/>
          </w:tcPr>
          <w:p>
            <w:pPr>
              <w:spacing w:after="0"/>
              <w:rPr>
                <w:sz w:val="12"/>
                <w:szCs w:val="12"/>
                <w:color w:val="auto"/>
              </w:rPr>
            </w:pPr>
          </w:p>
        </w:tc>
        <w:tc>
          <w:tcPr>
            <w:tcW w:w="260" w:type="dxa"/>
            <w:vAlign w:val="bottom"/>
            <w:tcBorders>
              <w:right w:val="single" w:sz="8" w:color="auto"/>
            </w:tcBorders>
            <w:shd w:val="clear" w:color="auto" w:fill="D9DCE1"/>
          </w:tcPr>
          <w:p>
            <w:pPr>
              <w:spacing w:after="0"/>
              <w:rPr>
                <w:sz w:val="12"/>
                <w:szCs w:val="12"/>
                <w:color w:val="auto"/>
              </w:rPr>
            </w:pPr>
          </w:p>
        </w:tc>
        <w:tc>
          <w:tcPr>
            <w:tcW w:w="80" w:type="dxa"/>
            <w:vAlign w:val="bottom"/>
            <w:shd w:val="clear" w:color="auto" w:fill="D9DCE1"/>
          </w:tcPr>
          <w:p>
            <w:pPr>
              <w:spacing w:after="0"/>
              <w:rPr>
                <w:sz w:val="12"/>
                <w:szCs w:val="12"/>
                <w:color w:val="auto"/>
              </w:rPr>
            </w:pPr>
          </w:p>
        </w:tc>
        <w:tc>
          <w:tcPr>
            <w:tcW w:w="2140" w:type="dxa"/>
            <w:vAlign w:val="bottom"/>
            <w:vMerge w:val="restart"/>
            <w:shd w:val="clear" w:color="auto" w:fill="D9DCE1"/>
          </w:tcPr>
          <w:p>
            <w:pPr>
              <w:ind w:left="20"/>
              <w:spacing w:after="0"/>
              <w:rPr>
                <w:sz w:val="20"/>
                <w:szCs w:val="20"/>
                <w:color w:val="auto"/>
              </w:rPr>
            </w:pPr>
            <w:r>
              <w:rPr>
                <w:rFonts w:ascii="Arial" w:cs="Arial" w:eastAsia="Arial" w:hAnsi="Arial"/>
                <w:sz w:val="18"/>
                <w:szCs w:val="18"/>
                <w:color w:val="auto"/>
              </w:rPr>
              <w:t>additional alignment with</w:t>
            </w:r>
          </w:p>
        </w:tc>
        <w:tc>
          <w:tcPr>
            <w:tcW w:w="140" w:type="dxa"/>
            <w:vAlign w:val="bottom"/>
            <w:tcBorders>
              <w:right w:val="single" w:sz="8" w:color="auto"/>
            </w:tcBorders>
            <w:shd w:val="clear" w:color="auto" w:fill="D9DCE1"/>
          </w:tcPr>
          <w:p>
            <w:pPr>
              <w:spacing w:after="0"/>
              <w:rPr>
                <w:sz w:val="12"/>
                <w:szCs w:val="12"/>
                <w:color w:val="auto"/>
              </w:rPr>
            </w:pPr>
          </w:p>
        </w:tc>
        <w:tc>
          <w:tcPr>
            <w:tcW w:w="220" w:type="dxa"/>
            <w:vAlign w:val="bottom"/>
            <w:vMerge w:val="continue"/>
            <w:shd w:val="clear" w:color="auto" w:fill="D9DCE1"/>
          </w:tcPr>
          <w:p>
            <w:pPr>
              <w:spacing w:after="0"/>
              <w:rPr>
                <w:sz w:val="12"/>
                <w:szCs w:val="12"/>
                <w:color w:val="auto"/>
              </w:rPr>
            </w:pPr>
          </w:p>
        </w:tc>
        <w:tc>
          <w:tcPr>
            <w:tcW w:w="3720" w:type="dxa"/>
            <w:vAlign w:val="bottom"/>
            <w:tcBorders>
              <w:right w:val="single" w:sz="8" w:color="auto"/>
            </w:tcBorders>
            <w:vMerge w:val="continue"/>
            <w:shd w:val="clear" w:color="auto" w:fill="D9DCE1"/>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660" w:type="dxa"/>
            <w:vAlign w:val="bottom"/>
            <w:tcBorders>
              <w:left w:val="single" w:sz="8" w:color="auto"/>
            </w:tcBorders>
            <w:shd w:val="clear" w:color="auto" w:fill="D9DCE1"/>
          </w:tcPr>
          <w:p>
            <w:pPr>
              <w:spacing w:after="0"/>
              <w:rPr>
                <w:sz w:val="5"/>
                <w:szCs w:val="5"/>
                <w:color w:val="auto"/>
              </w:rPr>
            </w:pPr>
          </w:p>
        </w:tc>
        <w:tc>
          <w:tcPr>
            <w:tcW w:w="260" w:type="dxa"/>
            <w:vAlign w:val="bottom"/>
            <w:tcBorders>
              <w:right w:val="single" w:sz="8" w:color="auto"/>
            </w:tcBorders>
            <w:shd w:val="clear" w:color="auto" w:fill="D9DCE1"/>
          </w:tcPr>
          <w:p>
            <w:pPr>
              <w:spacing w:after="0"/>
              <w:rPr>
                <w:sz w:val="5"/>
                <w:szCs w:val="5"/>
                <w:color w:val="auto"/>
              </w:rPr>
            </w:pPr>
          </w:p>
        </w:tc>
        <w:tc>
          <w:tcPr>
            <w:tcW w:w="80" w:type="dxa"/>
            <w:vAlign w:val="bottom"/>
            <w:shd w:val="clear" w:color="auto" w:fill="D9DCE1"/>
          </w:tcPr>
          <w:p>
            <w:pPr>
              <w:spacing w:after="0"/>
              <w:rPr>
                <w:sz w:val="5"/>
                <w:szCs w:val="5"/>
                <w:color w:val="auto"/>
              </w:rPr>
            </w:pPr>
          </w:p>
        </w:tc>
        <w:tc>
          <w:tcPr>
            <w:tcW w:w="2140" w:type="dxa"/>
            <w:vAlign w:val="bottom"/>
            <w:vMerge w:val="continue"/>
            <w:shd w:val="clear" w:color="auto" w:fill="D9DCE1"/>
          </w:tcPr>
          <w:p>
            <w:pPr>
              <w:spacing w:after="0"/>
              <w:rPr>
                <w:sz w:val="5"/>
                <w:szCs w:val="5"/>
                <w:color w:val="auto"/>
              </w:rPr>
            </w:pPr>
          </w:p>
        </w:tc>
        <w:tc>
          <w:tcPr>
            <w:tcW w:w="140" w:type="dxa"/>
            <w:vAlign w:val="bottom"/>
            <w:tcBorders>
              <w:right w:val="single" w:sz="8" w:color="auto"/>
            </w:tcBorders>
            <w:shd w:val="clear" w:color="auto" w:fill="D9DCE1"/>
          </w:tcPr>
          <w:p>
            <w:pPr>
              <w:spacing w:after="0"/>
              <w:rPr>
                <w:sz w:val="5"/>
                <w:szCs w:val="5"/>
                <w:color w:val="auto"/>
              </w:rPr>
            </w:pPr>
          </w:p>
        </w:tc>
        <w:tc>
          <w:tcPr>
            <w:tcW w:w="220" w:type="dxa"/>
            <w:vAlign w:val="bottom"/>
            <w:shd w:val="clear" w:color="auto" w:fill="D9DCE1"/>
          </w:tcPr>
          <w:p>
            <w:pPr>
              <w:spacing w:after="0"/>
              <w:rPr>
                <w:sz w:val="5"/>
                <w:szCs w:val="5"/>
                <w:color w:val="auto"/>
              </w:rPr>
            </w:pPr>
          </w:p>
        </w:tc>
        <w:tc>
          <w:tcPr>
            <w:tcW w:w="3720" w:type="dxa"/>
            <w:vAlign w:val="bottom"/>
            <w:tcBorders>
              <w:right w:val="single" w:sz="8" w:color="auto"/>
            </w:tcBorders>
            <w:vMerge w:val="restart"/>
            <w:shd w:val="clear" w:color="auto" w:fill="D9DCE1"/>
          </w:tcPr>
          <w:p>
            <w:pPr>
              <w:ind w:left="60"/>
              <w:spacing w:after="0"/>
              <w:rPr>
                <w:sz w:val="20"/>
                <w:szCs w:val="20"/>
                <w:color w:val="auto"/>
              </w:rPr>
            </w:pPr>
            <w:r>
              <w:rPr>
                <w:rFonts w:ascii="Arial" w:cs="Arial" w:eastAsia="Arial" w:hAnsi="Arial"/>
                <w:sz w:val="18"/>
                <w:szCs w:val="18"/>
                <w:color w:val="auto"/>
                <w:w w:val="99"/>
              </w:rPr>
              <w:t>upon performance over cumulative three-year</w:t>
            </w: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tcBorders>
            <w:shd w:val="clear" w:color="auto" w:fill="D9DCE1"/>
          </w:tcPr>
          <w:p>
            <w:pPr>
              <w:spacing w:after="0"/>
              <w:rPr>
                <w:sz w:val="12"/>
                <w:szCs w:val="12"/>
                <w:color w:val="auto"/>
              </w:rPr>
            </w:pPr>
          </w:p>
        </w:tc>
        <w:tc>
          <w:tcPr>
            <w:tcW w:w="260" w:type="dxa"/>
            <w:vAlign w:val="bottom"/>
            <w:tcBorders>
              <w:right w:val="single" w:sz="8" w:color="auto"/>
            </w:tcBorders>
            <w:shd w:val="clear" w:color="auto" w:fill="D9DCE1"/>
          </w:tcPr>
          <w:p>
            <w:pPr>
              <w:spacing w:after="0"/>
              <w:rPr>
                <w:sz w:val="12"/>
                <w:szCs w:val="12"/>
                <w:color w:val="auto"/>
              </w:rPr>
            </w:pPr>
          </w:p>
        </w:tc>
        <w:tc>
          <w:tcPr>
            <w:tcW w:w="80" w:type="dxa"/>
            <w:vAlign w:val="bottom"/>
            <w:shd w:val="clear" w:color="auto" w:fill="D9DCE1"/>
          </w:tcPr>
          <w:p>
            <w:pPr>
              <w:spacing w:after="0"/>
              <w:rPr>
                <w:sz w:val="12"/>
                <w:szCs w:val="12"/>
                <w:color w:val="auto"/>
              </w:rPr>
            </w:pPr>
          </w:p>
        </w:tc>
        <w:tc>
          <w:tcPr>
            <w:tcW w:w="2140" w:type="dxa"/>
            <w:vAlign w:val="bottom"/>
            <w:vMerge w:val="restart"/>
            <w:shd w:val="clear" w:color="auto" w:fill="D9DCE1"/>
          </w:tcPr>
          <w:p>
            <w:pPr>
              <w:ind w:left="20"/>
              <w:spacing w:after="0"/>
              <w:rPr>
                <w:sz w:val="20"/>
                <w:szCs w:val="20"/>
                <w:color w:val="auto"/>
              </w:rPr>
            </w:pPr>
            <w:r>
              <w:rPr>
                <w:rFonts w:ascii="Arial" w:cs="Arial" w:eastAsia="Arial" w:hAnsi="Arial"/>
                <w:sz w:val="18"/>
                <w:szCs w:val="18"/>
                <w:color w:val="auto"/>
              </w:rPr>
              <w:t>investors</w:t>
            </w:r>
          </w:p>
        </w:tc>
        <w:tc>
          <w:tcPr>
            <w:tcW w:w="140" w:type="dxa"/>
            <w:vAlign w:val="bottom"/>
            <w:tcBorders>
              <w:right w:val="single" w:sz="8" w:color="auto"/>
            </w:tcBorders>
            <w:shd w:val="clear" w:color="auto" w:fill="D9DCE1"/>
          </w:tcPr>
          <w:p>
            <w:pPr>
              <w:spacing w:after="0"/>
              <w:rPr>
                <w:sz w:val="12"/>
                <w:szCs w:val="12"/>
                <w:color w:val="auto"/>
              </w:rPr>
            </w:pPr>
          </w:p>
        </w:tc>
        <w:tc>
          <w:tcPr>
            <w:tcW w:w="220" w:type="dxa"/>
            <w:vAlign w:val="bottom"/>
            <w:shd w:val="clear" w:color="auto" w:fill="D9DCE1"/>
          </w:tcPr>
          <w:p>
            <w:pPr>
              <w:spacing w:after="0"/>
              <w:rPr>
                <w:sz w:val="12"/>
                <w:szCs w:val="12"/>
                <w:color w:val="auto"/>
              </w:rPr>
            </w:pPr>
          </w:p>
        </w:tc>
        <w:tc>
          <w:tcPr>
            <w:tcW w:w="3720" w:type="dxa"/>
            <w:vAlign w:val="bottom"/>
            <w:tcBorders>
              <w:right w:val="single" w:sz="8" w:color="auto"/>
            </w:tcBorders>
            <w:vMerge w:val="continue"/>
            <w:shd w:val="clear" w:color="auto" w:fill="D9DCE1"/>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660" w:type="dxa"/>
            <w:vAlign w:val="bottom"/>
            <w:tcBorders>
              <w:left w:val="single" w:sz="8" w:color="auto"/>
            </w:tcBorders>
            <w:shd w:val="clear" w:color="auto" w:fill="D9DCE1"/>
          </w:tcPr>
          <w:p>
            <w:pPr>
              <w:spacing w:after="0"/>
              <w:rPr>
                <w:sz w:val="7"/>
                <w:szCs w:val="7"/>
                <w:color w:val="auto"/>
              </w:rPr>
            </w:pPr>
          </w:p>
        </w:tc>
        <w:tc>
          <w:tcPr>
            <w:tcW w:w="260" w:type="dxa"/>
            <w:vAlign w:val="bottom"/>
            <w:tcBorders>
              <w:right w:val="single" w:sz="8" w:color="auto"/>
            </w:tcBorders>
            <w:shd w:val="clear" w:color="auto" w:fill="D9DCE1"/>
          </w:tcPr>
          <w:p>
            <w:pPr>
              <w:spacing w:after="0"/>
              <w:rPr>
                <w:sz w:val="7"/>
                <w:szCs w:val="7"/>
                <w:color w:val="auto"/>
              </w:rPr>
            </w:pPr>
          </w:p>
        </w:tc>
        <w:tc>
          <w:tcPr>
            <w:tcW w:w="80" w:type="dxa"/>
            <w:vAlign w:val="bottom"/>
            <w:shd w:val="clear" w:color="auto" w:fill="D9DCE1"/>
          </w:tcPr>
          <w:p>
            <w:pPr>
              <w:spacing w:after="0"/>
              <w:rPr>
                <w:sz w:val="7"/>
                <w:szCs w:val="7"/>
                <w:color w:val="auto"/>
              </w:rPr>
            </w:pPr>
          </w:p>
        </w:tc>
        <w:tc>
          <w:tcPr>
            <w:tcW w:w="2140" w:type="dxa"/>
            <w:vAlign w:val="bottom"/>
            <w:vMerge w:val="continue"/>
            <w:shd w:val="clear" w:color="auto" w:fill="D9DCE1"/>
          </w:tcPr>
          <w:p>
            <w:pPr>
              <w:spacing w:after="0"/>
              <w:rPr>
                <w:sz w:val="7"/>
                <w:szCs w:val="7"/>
                <w:color w:val="auto"/>
              </w:rPr>
            </w:pPr>
          </w:p>
        </w:tc>
        <w:tc>
          <w:tcPr>
            <w:tcW w:w="140" w:type="dxa"/>
            <w:vAlign w:val="bottom"/>
            <w:tcBorders>
              <w:right w:val="single" w:sz="8" w:color="auto"/>
            </w:tcBorders>
            <w:shd w:val="clear" w:color="auto" w:fill="D9DCE1"/>
          </w:tcPr>
          <w:p>
            <w:pPr>
              <w:spacing w:after="0"/>
              <w:rPr>
                <w:sz w:val="7"/>
                <w:szCs w:val="7"/>
                <w:color w:val="auto"/>
              </w:rPr>
            </w:pPr>
          </w:p>
        </w:tc>
        <w:tc>
          <w:tcPr>
            <w:tcW w:w="220" w:type="dxa"/>
            <w:vAlign w:val="bottom"/>
            <w:shd w:val="clear" w:color="auto" w:fill="D9DCE1"/>
          </w:tcPr>
          <w:p>
            <w:pPr>
              <w:spacing w:after="0"/>
              <w:rPr>
                <w:sz w:val="7"/>
                <w:szCs w:val="7"/>
                <w:color w:val="auto"/>
              </w:rPr>
            </w:pPr>
          </w:p>
        </w:tc>
        <w:tc>
          <w:tcPr>
            <w:tcW w:w="3720" w:type="dxa"/>
            <w:vAlign w:val="bottom"/>
            <w:tcBorders>
              <w:right w:val="single" w:sz="8" w:color="auto"/>
            </w:tcBorders>
            <w:vMerge w:val="restart"/>
            <w:shd w:val="clear" w:color="auto" w:fill="D9DCE1"/>
          </w:tcPr>
          <w:p>
            <w:pPr>
              <w:ind w:left="60"/>
              <w:spacing w:after="0"/>
              <w:rPr>
                <w:sz w:val="20"/>
                <w:szCs w:val="20"/>
                <w:color w:val="auto"/>
              </w:rPr>
            </w:pPr>
            <w:r>
              <w:rPr>
                <w:rFonts w:ascii="Arial" w:cs="Arial" w:eastAsia="Arial" w:hAnsi="Arial"/>
                <w:sz w:val="18"/>
                <w:szCs w:val="18"/>
                <w:color w:val="auto"/>
              </w:rPr>
              <w:t>period</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tcBorders>
            <w:shd w:val="clear" w:color="auto" w:fill="D9DCE1"/>
          </w:tcPr>
          <w:p>
            <w:pPr>
              <w:spacing w:after="0"/>
              <w:rPr>
                <w:sz w:val="12"/>
                <w:szCs w:val="12"/>
                <w:color w:val="auto"/>
              </w:rPr>
            </w:pPr>
          </w:p>
        </w:tc>
        <w:tc>
          <w:tcPr>
            <w:tcW w:w="260" w:type="dxa"/>
            <w:vAlign w:val="bottom"/>
            <w:tcBorders>
              <w:right w:val="single" w:sz="8" w:color="auto"/>
            </w:tcBorders>
            <w:shd w:val="clear" w:color="auto" w:fill="D9DCE1"/>
          </w:tcPr>
          <w:p>
            <w:pPr>
              <w:spacing w:after="0"/>
              <w:rPr>
                <w:sz w:val="12"/>
                <w:szCs w:val="12"/>
                <w:color w:val="auto"/>
              </w:rPr>
            </w:pPr>
          </w:p>
        </w:tc>
        <w:tc>
          <w:tcPr>
            <w:tcW w:w="80" w:type="dxa"/>
            <w:vAlign w:val="bottom"/>
            <w:shd w:val="clear" w:color="auto" w:fill="D9DCE1"/>
          </w:tcPr>
          <w:p>
            <w:pPr>
              <w:spacing w:after="0"/>
              <w:rPr>
                <w:sz w:val="12"/>
                <w:szCs w:val="12"/>
                <w:color w:val="auto"/>
              </w:rPr>
            </w:pPr>
          </w:p>
        </w:tc>
        <w:tc>
          <w:tcPr>
            <w:tcW w:w="2140" w:type="dxa"/>
            <w:vAlign w:val="bottom"/>
            <w:shd w:val="clear" w:color="auto" w:fill="D9DCE1"/>
          </w:tcPr>
          <w:p>
            <w:pPr>
              <w:spacing w:after="0"/>
              <w:rPr>
                <w:sz w:val="12"/>
                <w:szCs w:val="12"/>
                <w:color w:val="auto"/>
              </w:rPr>
            </w:pPr>
          </w:p>
        </w:tc>
        <w:tc>
          <w:tcPr>
            <w:tcW w:w="140" w:type="dxa"/>
            <w:vAlign w:val="bottom"/>
            <w:tcBorders>
              <w:right w:val="single" w:sz="8" w:color="auto"/>
            </w:tcBorders>
            <w:shd w:val="clear" w:color="auto" w:fill="D9DCE1"/>
          </w:tcPr>
          <w:p>
            <w:pPr>
              <w:spacing w:after="0"/>
              <w:rPr>
                <w:sz w:val="12"/>
                <w:szCs w:val="12"/>
                <w:color w:val="auto"/>
              </w:rPr>
            </w:pPr>
          </w:p>
        </w:tc>
        <w:tc>
          <w:tcPr>
            <w:tcW w:w="220" w:type="dxa"/>
            <w:vAlign w:val="bottom"/>
            <w:shd w:val="clear" w:color="auto" w:fill="D9DCE1"/>
          </w:tcPr>
          <w:p>
            <w:pPr>
              <w:spacing w:after="0"/>
              <w:rPr>
                <w:sz w:val="12"/>
                <w:szCs w:val="12"/>
                <w:color w:val="auto"/>
              </w:rPr>
            </w:pPr>
          </w:p>
        </w:tc>
        <w:tc>
          <w:tcPr>
            <w:tcW w:w="3720" w:type="dxa"/>
            <w:vAlign w:val="bottom"/>
            <w:tcBorders>
              <w:right w:val="single" w:sz="8" w:color="auto"/>
            </w:tcBorders>
            <w:vMerge w:val="continue"/>
            <w:shd w:val="clear" w:color="auto" w:fill="D9DCE1"/>
          </w:tcPr>
          <w:p>
            <w:pPr>
              <w:spacing w:after="0"/>
              <w:rPr>
                <w:sz w:val="12"/>
                <w:szCs w:val="12"/>
                <w:color w:val="auto"/>
              </w:rPr>
            </w:pPr>
          </w:p>
        </w:tc>
        <w:tc>
          <w:tcPr>
            <w:tcW w:w="0" w:type="dxa"/>
            <w:vAlign w:val="bottom"/>
          </w:tcPr>
          <w:p>
            <w:pPr>
              <w:spacing w:after="0"/>
              <w:rPr>
                <w:sz w:val="1"/>
                <w:szCs w:val="1"/>
                <w:color w:val="auto"/>
              </w:rPr>
            </w:pPr>
          </w:p>
        </w:tc>
      </w:tr>
      <w:tr>
        <w:trPr>
          <w:trHeight w:val="342"/>
        </w:trPr>
        <w:tc>
          <w:tcPr>
            <w:tcW w:w="1660" w:type="dxa"/>
            <w:vAlign w:val="bottom"/>
            <w:tcBorders>
              <w:left w:val="single" w:sz="8" w:color="auto"/>
            </w:tcBorders>
            <w:shd w:val="clear" w:color="auto" w:fill="D9DCE1"/>
          </w:tcPr>
          <w:p>
            <w:pPr>
              <w:spacing w:after="0"/>
              <w:rPr>
                <w:sz w:val="24"/>
                <w:szCs w:val="24"/>
                <w:color w:val="auto"/>
              </w:rPr>
            </w:pPr>
          </w:p>
        </w:tc>
        <w:tc>
          <w:tcPr>
            <w:tcW w:w="260" w:type="dxa"/>
            <w:vAlign w:val="bottom"/>
            <w:tcBorders>
              <w:right w:val="single" w:sz="8" w:color="auto"/>
            </w:tcBorders>
            <w:shd w:val="clear" w:color="auto" w:fill="D9DCE1"/>
          </w:tcPr>
          <w:p>
            <w:pPr>
              <w:spacing w:after="0"/>
              <w:rPr>
                <w:sz w:val="24"/>
                <w:szCs w:val="24"/>
                <w:color w:val="auto"/>
              </w:rPr>
            </w:pPr>
          </w:p>
        </w:tc>
        <w:tc>
          <w:tcPr>
            <w:tcW w:w="80" w:type="dxa"/>
            <w:vAlign w:val="bottom"/>
            <w:shd w:val="clear" w:color="auto" w:fill="D9DCE1"/>
          </w:tcPr>
          <w:p>
            <w:pPr>
              <w:spacing w:after="0"/>
              <w:rPr>
                <w:sz w:val="24"/>
                <w:szCs w:val="24"/>
                <w:color w:val="auto"/>
              </w:rPr>
            </w:pPr>
          </w:p>
        </w:tc>
        <w:tc>
          <w:tcPr>
            <w:tcW w:w="2140" w:type="dxa"/>
            <w:vAlign w:val="bottom"/>
            <w:shd w:val="clear" w:color="auto" w:fill="D9DCE1"/>
          </w:tcPr>
          <w:p>
            <w:pPr>
              <w:spacing w:after="0"/>
              <w:rPr>
                <w:sz w:val="24"/>
                <w:szCs w:val="24"/>
                <w:color w:val="auto"/>
              </w:rPr>
            </w:pPr>
          </w:p>
        </w:tc>
        <w:tc>
          <w:tcPr>
            <w:tcW w:w="140" w:type="dxa"/>
            <w:vAlign w:val="bottom"/>
            <w:tcBorders>
              <w:right w:val="single" w:sz="8" w:color="auto"/>
            </w:tcBorders>
            <w:shd w:val="clear" w:color="auto" w:fill="D9DCE1"/>
          </w:tcPr>
          <w:p>
            <w:pPr>
              <w:spacing w:after="0"/>
              <w:rPr>
                <w:sz w:val="24"/>
                <w:szCs w:val="24"/>
                <w:color w:val="auto"/>
              </w:rPr>
            </w:pPr>
          </w:p>
        </w:tc>
        <w:tc>
          <w:tcPr>
            <w:tcW w:w="3940" w:type="dxa"/>
            <w:vAlign w:val="bottom"/>
            <w:tcBorders>
              <w:right w:val="single" w:sz="8" w:color="auto"/>
            </w:tcBorders>
            <w:gridSpan w:val="2"/>
            <w:shd w:val="clear" w:color="auto" w:fill="D9DCE1"/>
          </w:tcPr>
          <w:p>
            <w:pPr>
              <w:ind w:left="100"/>
              <w:spacing w:after="0"/>
              <w:rPr>
                <w:sz w:val="20"/>
                <w:szCs w:val="20"/>
                <w:color w:val="auto"/>
              </w:rPr>
            </w:pPr>
            <w:r>
              <w:rPr>
                <w:rFonts w:ascii="Arial" w:cs="Arial" w:eastAsia="Arial" w:hAnsi="Arial"/>
                <w:sz w:val="18"/>
                <w:szCs w:val="18"/>
                <w:color w:val="auto"/>
              </w:rPr>
              <w:t>• Performance metrics include relative TSR</w:t>
            </w:r>
          </w:p>
        </w:tc>
        <w:tc>
          <w:tcPr>
            <w:tcW w:w="0" w:type="dxa"/>
            <w:vAlign w:val="bottom"/>
          </w:tcPr>
          <w:p>
            <w:pPr>
              <w:spacing w:after="0"/>
              <w:rPr>
                <w:sz w:val="1"/>
                <w:szCs w:val="1"/>
                <w:color w:val="auto"/>
              </w:rPr>
            </w:pPr>
          </w:p>
        </w:tc>
      </w:tr>
      <w:tr>
        <w:trPr>
          <w:trHeight w:val="216"/>
        </w:trPr>
        <w:tc>
          <w:tcPr>
            <w:tcW w:w="1660" w:type="dxa"/>
            <w:vAlign w:val="bottom"/>
            <w:tcBorders>
              <w:left w:val="single" w:sz="8" w:color="auto"/>
            </w:tcBorders>
            <w:shd w:val="clear" w:color="auto" w:fill="D9DCE1"/>
          </w:tcPr>
          <w:p>
            <w:pPr>
              <w:spacing w:after="0"/>
              <w:rPr>
                <w:sz w:val="18"/>
                <w:szCs w:val="18"/>
                <w:color w:val="auto"/>
              </w:rPr>
            </w:pPr>
          </w:p>
        </w:tc>
        <w:tc>
          <w:tcPr>
            <w:tcW w:w="26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2140" w:type="dxa"/>
            <w:vAlign w:val="bottom"/>
            <w:shd w:val="clear" w:color="auto" w:fill="D9DCE1"/>
          </w:tcPr>
          <w:p>
            <w:pPr>
              <w:spacing w:after="0"/>
              <w:rPr>
                <w:sz w:val="18"/>
                <w:szCs w:val="18"/>
                <w:color w:val="auto"/>
              </w:rPr>
            </w:pPr>
          </w:p>
        </w:tc>
        <w:tc>
          <w:tcPr>
            <w:tcW w:w="140" w:type="dxa"/>
            <w:vAlign w:val="bottom"/>
            <w:tcBorders>
              <w:right w:val="single" w:sz="8" w:color="auto"/>
            </w:tcBorders>
            <w:shd w:val="clear" w:color="auto" w:fill="D9DCE1"/>
          </w:tcPr>
          <w:p>
            <w:pPr>
              <w:spacing w:after="0"/>
              <w:rPr>
                <w:sz w:val="18"/>
                <w:szCs w:val="18"/>
                <w:color w:val="auto"/>
              </w:rPr>
            </w:pPr>
          </w:p>
        </w:tc>
        <w:tc>
          <w:tcPr>
            <w:tcW w:w="220" w:type="dxa"/>
            <w:vAlign w:val="bottom"/>
            <w:shd w:val="clear" w:color="auto" w:fill="D9DCE1"/>
          </w:tcPr>
          <w:p>
            <w:pPr>
              <w:spacing w:after="0"/>
              <w:rPr>
                <w:sz w:val="18"/>
                <w:szCs w:val="18"/>
                <w:color w:val="auto"/>
              </w:rPr>
            </w:pPr>
          </w:p>
        </w:tc>
        <w:tc>
          <w:tcPr>
            <w:tcW w:w="372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with negative TSR modifier, and DCF/CUE</w:t>
            </w:r>
          </w:p>
        </w:tc>
        <w:tc>
          <w:tcPr>
            <w:tcW w:w="0" w:type="dxa"/>
            <w:vAlign w:val="bottom"/>
          </w:tcPr>
          <w:p>
            <w:pPr>
              <w:spacing w:after="0"/>
              <w:rPr>
                <w:sz w:val="1"/>
                <w:szCs w:val="1"/>
                <w:color w:val="auto"/>
              </w:rPr>
            </w:pPr>
          </w:p>
        </w:tc>
      </w:tr>
      <w:tr>
        <w:trPr>
          <w:trHeight w:val="216"/>
        </w:trPr>
        <w:tc>
          <w:tcPr>
            <w:tcW w:w="1660" w:type="dxa"/>
            <w:vAlign w:val="bottom"/>
            <w:tcBorders>
              <w:left w:val="single" w:sz="8" w:color="auto"/>
            </w:tcBorders>
            <w:shd w:val="clear" w:color="auto" w:fill="D9DCE1"/>
          </w:tcPr>
          <w:p>
            <w:pPr>
              <w:spacing w:after="0"/>
              <w:rPr>
                <w:sz w:val="18"/>
                <w:szCs w:val="18"/>
                <w:color w:val="auto"/>
              </w:rPr>
            </w:pPr>
          </w:p>
        </w:tc>
        <w:tc>
          <w:tcPr>
            <w:tcW w:w="26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2140" w:type="dxa"/>
            <w:vAlign w:val="bottom"/>
            <w:shd w:val="clear" w:color="auto" w:fill="D9DCE1"/>
          </w:tcPr>
          <w:p>
            <w:pPr>
              <w:spacing w:after="0"/>
              <w:rPr>
                <w:sz w:val="18"/>
                <w:szCs w:val="18"/>
                <w:color w:val="auto"/>
              </w:rPr>
            </w:pPr>
          </w:p>
        </w:tc>
        <w:tc>
          <w:tcPr>
            <w:tcW w:w="140" w:type="dxa"/>
            <w:vAlign w:val="bottom"/>
            <w:tcBorders>
              <w:right w:val="single" w:sz="8" w:color="auto"/>
            </w:tcBorders>
            <w:shd w:val="clear" w:color="auto" w:fill="D9DCE1"/>
          </w:tcPr>
          <w:p>
            <w:pPr>
              <w:spacing w:after="0"/>
              <w:rPr>
                <w:sz w:val="18"/>
                <w:szCs w:val="18"/>
                <w:color w:val="auto"/>
              </w:rPr>
            </w:pPr>
          </w:p>
        </w:tc>
        <w:tc>
          <w:tcPr>
            <w:tcW w:w="220" w:type="dxa"/>
            <w:vAlign w:val="bottom"/>
            <w:shd w:val="clear" w:color="auto" w:fill="D9DCE1"/>
          </w:tcPr>
          <w:p>
            <w:pPr>
              <w:spacing w:after="0"/>
              <w:rPr>
                <w:sz w:val="18"/>
                <w:szCs w:val="18"/>
                <w:color w:val="auto"/>
              </w:rPr>
            </w:pPr>
          </w:p>
        </w:tc>
        <w:tc>
          <w:tcPr>
            <w:tcW w:w="372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with leverage modifier (potential downward</w:t>
            </w:r>
          </w:p>
        </w:tc>
        <w:tc>
          <w:tcPr>
            <w:tcW w:w="0" w:type="dxa"/>
            <w:vAlign w:val="bottom"/>
          </w:tcPr>
          <w:p>
            <w:pPr>
              <w:spacing w:after="0"/>
              <w:rPr>
                <w:sz w:val="1"/>
                <w:szCs w:val="1"/>
                <w:color w:val="auto"/>
              </w:rPr>
            </w:pPr>
          </w:p>
        </w:tc>
      </w:tr>
      <w:tr>
        <w:trPr>
          <w:trHeight w:val="239"/>
        </w:trPr>
        <w:tc>
          <w:tcPr>
            <w:tcW w:w="1660" w:type="dxa"/>
            <w:vAlign w:val="bottom"/>
            <w:tcBorders>
              <w:left w:val="single" w:sz="8" w:color="auto"/>
            </w:tcBorders>
            <w:shd w:val="clear" w:color="auto" w:fill="D9DCE1"/>
          </w:tcPr>
          <w:p>
            <w:pPr>
              <w:spacing w:after="0"/>
              <w:rPr>
                <w:sz w:val="20"/>
                <w:szCs w:val="20"/>
                <w:color w:val="auto"/>
              </w:rPr>
            </w:pPr>
          </w:p>
        </w:tc>
        <w:tc>
          <w:tcPr>
            <w:tcW w:w="260" w:type="dxa"/>
            <w:vAlign w:val="bottom"/>
            <w:tcBorders>
              <w:right w:val="single" w:sz="8" w:color="auto"/>
            </w:tcBorders>
            <w:shd w:val="clear" w:color="auto" w:fill="D9DCE1"/>
          </w:tcPr>
          <w:p>
            <w:pPr>
              <w:spacing w:after="0"/>
              <w:rPr>
                <w:sz w:val="20"/>
                <w:szCs w:val="20"/>
                <w:color w:val="auto"/>
              </w:rPr>
            </w:pPr>
          </w:p>
        </w:tc>
        <w:tc>
          <w:tcPr>
            <w:tcW w:w="80" w:type="dxa"/>
            <w:vAlign w:val="bottom"/>
            <w:shd w:val="clear" w:color="auto" w:fill="D9DCE1"/>
          </w:tcPr>
          <w:p>
            <w:pPr>
              <w:spacing w:after="0"/>
              <w:rPr>
                <w:sz w:val="20"/>
                <w:szCs w:val="20"/>
                <w:color w:val="auto"/>
              </w:rPr>
            </w:pPr>
          </w:p>
        </w:tc>
        <w:tc>
          <w:tcPr>
            <w:tcW w:w="2140" w:type="dxa"/>
            <w:vAlign w:val="bottom"/>
            <w:shd w:val="clear" w:color="auto" w:fill="D9DCE1"/>
          </w:tcPr>
          <w:p>
            <w:pPr>
              <w:spacing w:after="0"/>
              <w:rPr>
                <w:sz w:val="20"/>
                <w:szCs w:val="20"/>
                <w:color w:val="auto"/>
              </w:rPr>
            </w:pPr>
          </w:p>
        </w:tc>
        <w:tc>
          <w:tcPr>
            <w:tcW w:w="140" w:type="dxa"/>
            <w:vAlign w:val="bottom"/>
            <w:tcBorders>
              <w:right w:val="single" w:sz="8" w:color="auto"/>
            </w:tcBorders>
            <w:shd w:val="clear" w:color="auto" w:fill="D9DCE1"/>
          </w:tcPr>
          <w:p>
            <w:pPr>
              <w:spacing w:after="0"/>
              <w:rPr>
                <w:sz w:val="20"/>
                <w:szCs w:val="20"/>
                <w:color w:val="auto"/>
              </w:rPr>
            </w:pPr>
          </w:p>
        </w:tc>
        <w:tc>
          <w:tcPr>
            <w:tcW w:w="220" w:type="dxa"/>
            <w:vAlign w:val="bottom"/>
            <w:shd w:val="clear" w:color="auto" w:fill="D9DCE1"/>
          </w:tcPr>
          <w:p>
            <w:pPr>
              <w:spacing w:after="0"/>
              <w:rPr>
                <w:sz w:val="20"/>
                <w:szCs w:val="20"/>
                <w:color w:val="auto"/>
              </w:rPr>
            </w:pPr>
          </w:p>
        </w:tc>
        <w:tc>
          <w:tcPr>
            <w:tcW w:w="372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adjustment only)</w:t>
            </w:r>
          </w:p>
        </w:tc>
        <w:tc>
          <w:tcPr>
            <w:tcW w:w="0" w:type="dxa"/>
            <w:vAlign w:val="bottom"/>
          </w:tcPr>
          <w:p>
            <w:pPr>
              <w:spacing w:after="0"/>
              <w:rPr>
                <w:sz w:val="1"/>
                <w:szCs w:val="1"/>
                <w:color w:val="auto"/>
              </w:rPr>
            </w:pPr>
          </w:p>
        </w:tc>
      </w:tr>
      <w:tr>
        <w:trPr>
          <w:trHeight w:val="328"/>
        </w:trPr>
        <w:tc>
          <w:tcPr>
            <w:tcW w:w="1660" w:type="dxa"/>
            <w:vAlign w:val="bottom"/>
            <w:tcBorders>
              <w:left w:val="single" w:sz="8" w:color="auto"/>
            </w:tcBorders>
            <w:shd w:val="clear" w:color="auto" w:fill="D9DCE1"/>
          </w:tcPr>
          <w:p>
            <w:pPr>
              <w:spacing w:after="0"/>
              <w:rPr>
                <w:sz w:val="24"/>
                <w:szCs w:val="24"/>
                <w:color w:val="auto"/>
              </w:rPr>
            </w:pPr>
          </w:p>
        </w:tc>
        <w:tc>
          <w:tcPr>
            <w:tcW w:w="260" w:type="dxa"/>
            <w:vAlign w:val="bottom"/>
            <w:tcBorders>
              <w:right w:val="single" w:sz="8" w:color="auto"/>
            </w:tcBorders>
            <w:shd w:val="clear" w:color="auto" w:fill="D9DCE1"/>
          </w:tcPr>
          <w:p>
            <w:pPr>
              <w:spacing w:after="0"/>
              <w:rPr>
                <w:sz w:val="24"/>
                <w:szCs w:val="24"/>
                <w:color w:val="auto"/>
              </w:rPr>
            </w:pPr>
          </w:p>
        </w:tc>
        <w:tc>
          <w:tcPr>
            <w:tcW w:w="80" w:type="dxa"/>
            <w:vAlign w:val="bottom"/>
            <w:shd w:val="clear" w:color="auto" w:fill="D9DCE1"/>
          </w:tcPr>
          <w:p>
            <w:pPr>
              <w:spacing w:after="0"/>
              <w:rPr>
                <w:sz w:val="24"/>
                <w:szCs w:val="24"/>
                <w:color w:val="auto"/>
              </w:rPr>
            </w:pPr>
          </w:p>
        </w:tc>
        <w:tc>
          <w:tcPr>
            <w:tcW w:w="2140" w:type="dxa"/>
            <w:vAlign w:val="bottom"/>
            <w:shd w:val="clear" w:color="auto" w:fill="D9DCE1"/>
          </w:tcPr>
          <w:p>
            <w:pPr>
              <w:spacing w:after="0"/>
              <w:rPr>
                <w:sz w:val="24"/>
                <w:szCs w:val="24"/>
                <w:color w:val="auto"/>
              </w:rPr>
            </w:pPr>
          </w:p>
        </w:tc>
        <w:tc>
          <w:tcPr>
            <w:tcW w:w="140" w:type="dxa"/>
            <w:vAlign w:val="bottom"/>
            <w:tcBorders>
              <w:right w:val="single" w:sz="8" w:color="auto"/>
            </w:tcBorders>
            <w:shd w:val="clear" w:color="auto" w:fill="D9DCE1"/>
          </w:tcPr>
          <w:p>
            <w:pPr>
              <w:spacing w:after="0"/>
              <w:rPr>
                <w:sz w:val="24"/>
                <w:szCs w:val="24"/>
                <w:color w:val="auto"/>
              </w:rPr>
            </w:pPr>
          </w:p>
        </w:tc>
        <w:tc>
          <w:tcPr>
            <w:tcW w:w="3940" w:type="dxa"/>
            <w:vAlign w:val="bottom"/>
            <w:tcBorders>
              <w:right w:val="single" w:sz="8" w:color="auto"/>
            </w:tcBorders>
            <w:gridSpan w:val="2"/>
            <w:shd w:val="clear" w:color="auto" w:fill="D9DCE1"/>
          </w:tcPr>
          <w:p>
            <w:pPr>
              <w:ind w:left="100"/>
              <w:spacing w:after="0"/>
              <w:rPr>
                <w:sz w:val="20"/>
                <w:szCs w:val="20"/>
                <w:color w:val="auto"/>
              </w:rPr>
            </w:pPr>
            <w:r>
              <w:rPr>
                <w:rFonts w:ascii="Arial" w:cs="Arial" w:eastAsia="Arial" w:hAnsi="Arial"/>
                <w:sz w:val="18"/>
                <w:szCs w:val="18"/>
                <w:color w:val="auto"/>
              </w:rPr>
              <w:t>• Distribution Equivalent Rights (“DERs”)</w:t>
            </w:r>
          </w:p>
        </w:tc>
        <w:tc>
          <w:tcPr>
            <w:tcW w:w="0" w:type="dxa"/>
            <w:vAlign w:val="bottom"/>
          </w:tcPr>
          <w:p>
            <w:pPr>
              <w:spacing w:after="0"/>
              <w:rPr>
                <w:sz w:val="1"/>
                <w:szCs w:val="1"/>
                <w:color w:val="auto"/>
              </w:rPr>
            </w:pPr>
          </w:p>
        </w:tc>
      </w:tr>
      <w:tr>
        <w:trPr>
          <w:trHeight w:val="216"/>
        </w:trPr>
        <w:tc>
          <w:tcPr>
            <w:tcW w:w="1660" w:type="dxa"/>
            <w:vAlign w:val="bottom"/>
            <w:tcBorders>
              <w:left w:val="single" w:sz="8" w:color="auto"/>
            </w:tcBorders>
            <w:shd w:val="clear" w:color="auto" w:fill="D9DCE1"/>
          </w:tcPr>
          <w:p>
            <w:pPr>
              <w:spacing w:after="0"/>
              <w:rPr>
                <w:sz w:val="18"/>
                <w:szCs w:val="18"/>
                <w:color w:val="auto"/>
              </w:rPr>
            </w:pPr>
          </w:p>
        </w:tc>
        <w:tc>
          <w:tcPr>
            <w:tcW w:w="26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2140" w:type="dxa"/>
            <w:vAlign w:val="bottom"/>
            <w:shd w:val="clear" w:color="auto" w:fill="D9DCE1"/>
          </w:tcPr>
          <w:p>
            <w:pPr>
              <w:spacing w:after="0"/>
              <w:rPr>
                <w:sz w:val="18"/>
                <w:szCs w:val="18"/>
                <w:color w:val="auto"/>
              </w:rPr>
            </w:pPr>
          </w:p>
        </w:tc>
        <w:tc>
          <w:tcPr>
            <w:tcW w:w="140" w:type="dxa"/>
            <w:vAlign w:val="bottom"/>
            <w:tcBorders>
              <w:right w:val="single" w:sz="8" w:color="auto"/>
            </w:tcBorders>
            <w:shd w:val="clear" w:color="auto" w:fill="D9DCE1"/>
          </w:tcPr>
          <w:p>
            <w:pPr>
              <w:spacing w:after="0"/>
              <w:rPr>
                <w:sz w:val="18"/>
                <w:szCs w:val="18"/>
                <w:color w:val="auto"/>
              </w:rPr>
            </w:pPr>
          </w:p>
        </w:tc>
        <w:tc>
          <w:tcPr>
            <w:tcW w:w="220" w:type="dxa"/>
            <w:vAlign w:val="bottom"/>
            <w:shd w:val="clear" w:color="auto" w:fill="D9DCE1"/>
          </w:tcPr>
          <w:p>
            <w:pPr>
              <w:spacing w:after="0"/>
              <w:rPr>
                <w:sz w:val="18"/>
                <w:szCs w:val="18"/>
                <w:color w:val="auto"/>
              </w:rPr>
            </w:pPr>
          </w:p>
        </w:tc>
        <w:tc>
          <w:tcPr>
            <w:tcW w:w="372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associated with long-term equity awards</w:t>
            </w:r>
          </w:p>
        </w:tc>
        <w:tc>
          <w:tcPr>
            <w:tcW w:w="0" w:type="dxa"/>
            <w:vAlign w:val="bottom"/>
          </w:tcPr>
          <w:p>
            <w:pPr>
              <w:spacing w:after="0"/>
              <w:rPr>
                <w:sz w:val="1"/>
                <w:szCs w:val="1"/>
                <w:color w:val="auto"/>
              </w:rPr>
            </w:pPr>
          </w:p>
        </w:tc>
      </w:tr>
      <w:tr>
        <w:trPr>
          <w:trHeight w:val="216"/>
        </w:trPr>
        <w:tc>
          <w:tcPr>
            <w:tcW w:w="1660" w:type="dxa"/>
            <w:vAlign w:val="bottom"/>
            <w:tcBorders>
              <w:left w:val="single" w:sz="8" w:color="auto"/>
            </w:tcBorders>
            <w:shd w:val="clear" w:color="auto" w:fill="D9DCE1"/>
          </w:tcPr>
          <w:p>
            <w:pPr>
              <w:spacing w:after="0"/>
              <w:rPr>
                <w:sz w:val="18"/>
                <w:szCs w:val="18"/>
                <w:color w:val="auto"/>
              </w:rPr>
            </w:pPr>
          </w:p>
        </w:tc>
        <w:tc>
          <w:tcPr>
            <w:tcW w:w="26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2140" w:type="dxa"/>
            <w:vAlign w:val="bottom"/>
            <w:shd w:val="clear" w:color="auto" w:fill="D9DCE1"/>
          </w:tcPr>
          <w:p>
            <w:pPr>
              <w:spacing w:after="0"/>
              <w:rPr>
                <w:sz w:val="18"/>
                <w:szCs w:val="18"/>
                <w:color w:val="auto"/>
              </w:rPr>
            </w:pPr>
          </w:p>
        </w:tc>
        <w:tc>
          <w:tcPr>
            <w:tcW w:w="140" w:type="dxa"/>
            <w:vAlign w:val="bottom"/>
            <w:tcBorders>
              <w:right w:val="single" w:sz="8" w:color="auto"/>
            </w:tcBorders>
            <w:shd w:val="clear" w:color="auto" w:fill="D9DCE1"/>
          </w:tcPr>
          <w:p>
            <w:pPr>
              <w:spacing w:after="0"/>
              <w:rPr>
                <w:sz w:val="18"/>
                <w:szCs w:val="18"/>
                <w:color w:val="auto"/>
              </w:rPr>
            </w:pPr>
          </w:p>
        </w:tc>
        <w:tc>
          <w:tcPr>
            <w:tcW w:w="220" w:type="dxa"/>
            <w:vAlign w:val="bottom"/>
            <w:shd w:val="clear" w:color="auto" w:fill="D9DCE1"/>
          </w:tcPr>
          <w:p>
            <w:pPr>
              <w:spacing w:after="0"/>
              <w:rPr>
                <w:sz w:val="18"/>
                <w:szCs w:val="18"/>
                <w:color w:val="auto"/>
              </w:rPr>
            </w:pPr>
          </w:p>
        </w:tc>
        <w:tc>
          <w:tcPr>
            <w:tcW w:w="372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provide additional potential incentive and</w:t>
            </w:r>
          </w:p>
        </w:tc>
        <w:tc>
          <w:tcPr>
            <w:tcW w:w="0" w:type="dxa"/>
            <w:vAlign w:val="bottom"/>
          </w:tcPr>
          <w:p>
            <w:pPr>
              <w:spacing w:after="0"/>
              <w:rPr>
                <w:sz w:val="1"/>
                <w:szCs w:val="1"/>
                <w:color w:val="auto"/>
              </w:rPr>
            </w:pPr>
          </w:p>
        </w:tc>
      </w:tr>
      <w:tr>
        <w:trPr>
          <w:trHeight w:val="242"/>
        </w:trPr>
        <w:tc>
          <w:tcPr>
            <w:tcW w:w="1660" w:type="dxa"/>
            <w:vAlign w:val="bottom"/>
            <w:tcBorders>
              <w:left w:val="single" w:sz="8" w:color="auto"/>
              <w:bottom w:val="single" w:sz="8" w:color="D9DCE1"/>
            </w:tcBorders>
            <w:shd w:val="clear" w:color="auto" w:fill="D9DCE1"/>
          </w:tcPr>
          <w:p>
            <w:pPr>
              <w:spacing w:after="0"/>
              <w:rPr>
                <w:sz w:val="21"/>
                <w:szCs w:val="21"/>
                <w:color w:val="auto"/>
              </w:rPr>
            </w:pPr>
          </w:p>
        </w:tc>
        <w:tc>
          <w:tcPr>
            <w:tcW w:w="260" w:type="dxa"/>
            <w:vAlign w:val="bottom"/>
            <w:tcBorders>
              <w:bottom w:val="single" w:sz="8" w:color="D9DCE1"/>
              <w:right w:val="single" w:sz="8" w:color="auto"/>
            </w:tcBorders>
            <w:shd w:val="clear" w:color="auto" w:fill="D9DCE1"/>
          </w:tcPr>
          <w:p>
            <w:pPr>
              <w:spacing w:after="0"/>
              <w:rPr>
                <w:sz w:val="21"/>
                <w:szCs w:val="21"/>
                <w:color w:val="auto"/>
              </w:rPr>
            </w:pPr>
          </w:p>
        </w:tc>
        <w:tc>
          <w:tcPr>
            <w:tcW w:w="80" w:type="dxa"/>
            <w:vAlign w:val="bottom"/>
            <w:tcBorders>
              <w:bottom w:val="single" w:sz="8" w:color="D9DCE1"/>
            </w:tcBorders>
            <w:shd w:val="clear" w:color="auto" w:fill="D9DCE1"/>
          </w:tcPr>
          <w:p>
            <w:pPr>
              <w:spacing w:after="0"/>
              <w:rPr>
                <w:sz w:val="21"/>
                <w:szCs w:val="21"/>
                <w:color w:val="auto"/>
              </w:rPr>
            </w:pPr>
          </w:p>
        </w:tc>
        <w:tc>
          <w:tcPr>
            <w:tcW w:w="2140" w:type="dxa"/>
            <w:vAlign w:val="bottom"/>
            <w:tcBorders>
              <w:bottom w:val="single" w:sz="8" w:color="D9DCE1"/>
            </w:tcBorders>
            <w:shd w:val="clear" w:color="auto" w:fill="D9DCE1"/>
          </w:tcPr>
          <w:p>
            <w:pPr>
              <w:spacing w:after="0"/>
              <w:rPr>
                <w:sz w:val="21"/>
                <w:szCs w:val="21"/>
                <w:color w:val="auto"/>
              </w:rPr>
            </w:pPr>
          </w:p>
        </w:tc>
        <w:tc>
          <w:tcPr>
            <w:tcW w:w="140" w:type="dxa"/>
            <w:vAlign w:val="bottom"/>
            <w:tcBorders>
              <w:bottom w:val="single" w:sz="8" w:color="D9DCE1"/>
              <w:right w:val="single" w:sz="8" w:color="auto"/>
            </w:tcBorders>
            <w:shd w:val="clear" w:color="auto" w:fill="D9DCE1"/>
          </w:tcPr>
          <w:p>
            <w:pPr>
              <w:spacing w:after="0"/>
              <w:rPr>
                <w:sz w:val="21"/>
                <w:szCs w:val="21"/>
                <w:color w:val="auto"/>
              </w:rPr>
            </w:pPr>
          </w:p>
        </w:tc>
        <w:tc>
          <w:tcPr>
            <w:tcW w:w="220" w:type="dxa"/>
            <w:vAlign w:val="bottom"/>
            <w:tcBorders>
              <w:bottom w:val="single" w:sz="8" w:color="D9DCE1"/>
            </w:tcBorders>
            <w:shd w:val="clear" w:color="auto" w:fill="D9DCE1"/>
          </w:tcPr>
          <w:p>
            <w:pPr>
              <w:spacing w:after="0"/>
              <w:rPr>
                <w:sz w:val="21"/>
                <w:szCs w:val="21"/>
                <w:color w:val="auto"/>
              </w:rPr>
            </w:pPr>
          </w:p>
        </w:tc>
        <w:tc>
          <w:tcPr>
            <w:tcW w:w="3720" w:type="dxa"/>
            <w:vAlign w:val="bottom"/>
            <w:tcBorders>
              <w:bottom w:val="single" w:sz="8" w:color="D9DCE1"/>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alignment with other equity holders</w:t>
            </w:r>
          </w:p>
        </w:tc>
        <w:tc>
          <w:tcPr>
            <w:tcW w:w="0" w:type="dxa"/>
            <w:vAlign w:val="bottom"/>
          </w:tcPr>
          <w:p>
            <w:pPr>
              <w:spacing w:after="0"/>
              <w:rPr>
                <w:sz w:val="1"/>
                <w:szCs w:val="1"/>
                <w:color w:val="auto"/>
              </w:rPr>
            </w:pPr>
          </w:p>
        </w:tc>
      </w:tr>
      <w:tr>
        <w:trPr>
          <w:trHeight w:val="20"/>
        </w:trPr>
        <w:tc>
          <w:tcPr>
            <w:tcW w:w="16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7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8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70" w:type="dxa"/>
        <w:tblCellMar>
          <w:top w:w="0" w:type="dxa"/>
          <w:left w:w="0" w:type="dxa"/>
          <w:bottom w:w="0" w:type="dxa"/>
          <w:right w:w="0" w:type="dxa"/>
        </w:tblCellMar>
      </w:tblPr>
      <w:tr>
        <w:trPr>
          <w:trHeight w:val="257"/>
        </w:trPr>
        <w:tc>
          <w:tcPr>
            <w:tcW w:w="1700" w:type="dxa"/>
            <w:vAlign w:val="bottom"/>
            <w:tcBorders>
              <w:top w:val="single" w:sz="8" w:color="auto"/>
              <w:left w:val="single" w:sz="8" w:color="auto"/>
              <w:bottom w:val="single" w:sz="8" w:color="auto"/>
            </w:tcBorders>
            <w:shd w:val="clear" w:color="auto" w:fill="424E6A"/>
          </w:tcPr>
          <w:p>
            <w:pPr>
              <w:ind w:left="480"/>
              <w:spacing w:after="0"/>
              <w:rPr>
                <w:sz w:val="20"/>
                <w:szCs w:val="20"/>
                <w:color w:val="auto"/>
              </w:rPr>
            </w:pPr>
            <w:r>
              <w:rPr>
                <w:rFonts w:ascii="Arial" w:cs="Arial" w:eastAsia="Arial" w:hAnsi="Arial"/>
                <w:sz w:val="14"/>
                <w:szCs w:val="14"/>
                <w:b w:val="1"/>
                <w:bCs w:val="1"/>
                <w:color w:val="FFFFFF"/>
              </w:rPr>
              <w:t>What We Pay</w:t>
            </w:r>
          </w:p>
        </w:tc>
        <w:tc>
          <w:tcPr>
            <w:tcW w:w="220" w:type="dxa"/>
            <w:vAlign w:val="bottom"/>
            <w:tcBorders>
              <w:top w:val="single" w:sz="8" w:color="auto"/>
              <w:bottom w:val="single" w:sz="8" w:color="auto"/>
              <w:right w:val="single" w:sz="8" w:color="auto"/>
            </w:tcBorders>
            <w:shd w:val="clear" w:color="auto" w:fill="424E6A"/>
          </w:tcPr>
          <w:p>
            <w:pPr>
              <w:ind w:left="16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top w:val="single" w:sz="8" w:color="auto"/>
              <w:bottom w:val="single" w:sz="8" w:color="auto"/>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2020" w:type="dxa"/>
            <w:vAlign w:val="bottom"/>
            <w:tcBorders>
              <w:top w:val="single" w:sz="8" w:color="auto"/>
              <w:bottom w:val="single" w:sz="8" w:color="auto"/>
            </w:tcBorders>
            <w:shd w:val="clear" w:color="auto" w:fill="424E6A"/>
          </w:tcPr>
          <w:p>
            <w:pPr>
              <w:ind w:left="600"/>
              <w:spacing w:after="0"/>
              <w:rPr>
                <w:sz w:val="20"/>
                <w:szCs w:val="20"/>
                <w:color w:val="auto"/>
              </w:rPr>
            </w:pPr>
            <w:r>
              <w:rPr>
                <w:rFonts w:ascii="Arial" w:cs="Arial" w:eastAsia="Arial" w:hAnsi="Arial"/>
                <w:sz w:val="14"/>
                <w:szCs w:val="14"/>
                <w:b w:val="1"/>
                <w:bCs w:val="1"/>
                <w:color w:val="FFFFFF"/>
              </w:rPr>
              <w:t>Why We Pay It</w:t>
            </w:r>
          </w:p>
        </w:tc>
        <w:tc>
          <w:tcPr>
            <w:tcW w:w="260" w:type="dxa"/>
            <w:vAlign w:val="bottom"/>
            <w:tcBorders>
              <w:top w:val="single" w:sz="8" w:color="auto"/>
              <w:bottom w:val="single" w:sz="8" w:color="auto"/>
              <w:right w:val="single" w:sz="8" w:color="auto"/>
            </w:tcBorders>
            <w:shd w:val="clear" w:color="auto" w:fill="424E6A"/>
          </w:tcPr>
          <w:p>
            <w:pPr>
              <w:ind w:left="200"/>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top w:val="single" w:sz="8" w:color="auto"/>
              <w:bottom w:val="single" w:sz="8" w:color="auto"/>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3720" w:type="dxa"/>
            <w:vAlign w:val="bottom"/>
            <w:tcBorders>
              <w:top w:val="single" w:sz="8" w:color="auto"/>
              <w:bottom w:val="single" w:sz="8" w:color="auto"/>
              <w:right w:val="single" w:sz="8" w:color="auto"/>
            </w:tcBorders>
            <w:shd w:val="clear" w:color="auto" w:fill="424E6A"/>
          </w:tcPr>
          <w:p>
            <w:pPr>
              <w:ind w:left="1300"/>
              <w:spacing w:after="0"/>
              <w:rPr>
                <w:sz w:val="20"/>
                <w:szCs w:val="20"/>
                <w:color w:val="auto"/>
              </w:rPr>
            </w:pPr>
            <w:r>
              <w:rPr>
                <w:rFonts w:ascii="Arial" w:cs="Arial" w:eastAsia="Arial" w:hAnsi="Arial"/>
                <w:sz w:val="14"/>
                <w:szCs w:val="14"/>
                <w:b w:val="1"/>
                <w:bCs w:val="1"/>
                <w:color w:val="FFFFFF"/>
              </w:rPr>
              <w:t>Key Features</w:t>
            </w:r>
          </w:p>
        </w:tc>
      </w:tr>
      <w:tr>
        <w:trPr>
          <w:trHeight w:val="245"/>
        </w:trPr>
        <w:tc>
          <w:tcPr>
            <w:tcW w:w="17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Employee Benefits</w:t>
            </w:r>
          </w:p>
        </w:tc>
        <w:tc>
          <w:tcPr>
            <w:tcW w:w="2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tcPr>
          <w:p>
            <w:pPr>
              <w:ind w:left="20"/>
              <w:spacing w:after="0"/>
              <w:rPr>
                <w:sz w:val="20"/>
                <w:szCs w:val="20"/>
                <w:color w:val="auto"/>
              </w:rPr>
            </w:pPr>
            <w:r>
              <w:rPr>
                <w:rFonts w:ascii="Arial" w:cs="Arial" w:eastAsia="Arial" w:hAnsi="Arial"/>
                <w:sz w:val="18"/>
                <w:szCs w:val="18"/>
                <w:color w:val="auto"/>
              </w:rPr>
              <w:t>Attract and retain talent</w:t>
            </w:r>
          </w:p>
        </w:tc>
        <w:tc>
          <w:tcPr>
            <w:tcW w:w="260" w:type="dxa"/>
            <w:vAlign w:val="bottom"/>
            <w:tcBorders>
              <w:right w:val="single" w:sz="8" w:color="auto"/>
            </w:tcBorders>
          </w:tcPr>
          <w:p>
            <w:pPr>
              <w:spacing w:after="0"/>
              <w:rPr>
                <w:sz w:val="21"/>
                <w:szCs w:val="21"/>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Customary health and welfare benefits for all</w:t>
            </w:r>
          </w:p>
        </w:tc>
      </w:tr>
      <w:tr>
        <w:trPr>
          <w:trHeight w:val="216"/>
        </w:trPr>
        <w:tc>
          <w:tcPr>
            <w:tcW w:w="170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 employees, including 401(k) Plan with</w:t>
            </w:r>
          </w:p>
        </w:tc>
      </w:tr>
      <w:tr>
        <w:trPr>
          <w:trHeight w:val="239"/>
        </w:trPr>
        <w:tc>
          <w:tcPr>
            <w:tcW w:w="170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company matching</w:t>
            </w:r>
          </w:p>
        </w:tc>
      </w:tr>
      <w:tr>
        <w:trPr>
          <w:trHeight w:val="351"/>
        </w:trPr>
        <w:tc>
          <w:tcPr>
            <w:tcW w:w="170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39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No defined benefit or pension plans</w:t>
            </w:r>
          </w:p>
        </w:tc>
      </w:tr>
      <w:tr>
        <w:trPr>
          <w:trHeight w:val="329"/>
        </w:trPr>
        <w:tc>
          <w:tcPr>
            <w:tcW w:w="170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 significant perquisites</w:t>
            </w:r>
          </w:p>
        </w:tc>
      </w:tr>
    </w:tbl>
    <w:p>
      <w:pPr>
        <w:spacing w:after="0" w:line="2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2025 Independent Study of Executive Compensation and TSR Peer Group</w:t>
      </w:r>
    </w:p>
    <w:p>
      <w:pPr>
        <w:spacing w:after="0" w:line="156"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8"/>
          <w:szCs w:val="18"/>
          <w:i w:val="1"/>
          <w:iCs w:val="1"/>
          <w:color w:val="auto"/>
        </w:rPr>
        <w:t xml:space="preserve">Compensation Peer Comparison Study. </w:t>
      </w:r>
      <w:r>
        <w:rPr>
          <w:rFonts w:ascii="Arial" w:cs="Arial" w:eastAsia="Arial" w:hAnsi="Arial"/>
          <w:sz w:val="18"/>
          <w:szCs w:val="18"/>
          <w:color w:val="auto"/>
        </w:rPr>
        <w:t>With respect to our 2025 executive compensation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our Compensation Committee engaged and relied upon Meridian to provide independent counsel and advice regarding our executive compensation program design and practices as compared to our peers and to conduct a peer comparison review of our executive officer compensation. In connection with its engagement of Meridian, the Compensation Committee evaluated and confirmed Meridian’s independence relative to existing PAA or PAGP relationships or potential conflicts, in line with Nasdaq requirements.</w:t>
      </w:r>
    </w:p>
    <w:p>
      <w:pPr>
        <w:spacing w:after="0" w:line="103"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8"/>
          <w:szCs w:val="18"/>
          <w:color w:val="auto"/>
        </w:rPr>
        <w:t>Business consolidation and unique operating models create some challenges in identifying directly comparable peer companies. Accordingly, we take a broad view of comparability to include organizations that are similar to ours and that we believe we compete with for attracting and retaining executive talent. Our primary compensation comparison peer group for 2025 included 11 companies across a wide range of revenues, asset values and enterprise values that are primarily engaged in the midstream business in the United States. The entities in the 2025 compensation comparison peer group are listed in the table below.</w:t>
      </w:r>
    </w:p>
    <w:p>
      <w:pPr>
        <w:spacing w:after="0" w:line="103" w:lineRule="exact"/>
        <w:rPr>
          <w:sz w:val="20"/>
          <w:szCs w:val="20"/>
          <w:color w:val="auto"/>
        </w:rPr>
      </w:pPr>
    </w:p>
    <w:p>
      <w:pPr>
        <w:ind w:left="1260" w:right="519" w:firstLine="360"/>
        <w:spacing w:after="0" w:line="273" w:lineRule="auto"/>
        <w:rPr>
          <w:sz w:val="20"/>
          <w:szCs w:val="20"/>
          <w:color w:val="auto"/>
        </w:rPr>
      </w:pPr>
      <w:r>
        <w:rPr>
          <w:rFonts w:ascii="Arial" w:cs="Arial" w:eastAsia="Arial" w:hAnsi="Arial"/>
          <w:sz w:val="18"/>
          <w:szCs w:val="18"/>
          <w:color w:val="auto"/>
        </w:rPr>
        <w:t>Meridian utilized publicly available information to analyze compensation practices of the companies in the comparison peer group, including how overall compensation is divided among long-term incentives, annual incentives and base salary. Meridian also compared the amount and structure of compensation for our executive officers to the comparison peer group.</w:t>
      </w:r>
    </w:p>
    <w:p>
      <w:pPr>
        <w:spacing w:after="0" w:line="111" w:lineRule="exact"/>
        <w:rPr>
          <w:sz w:val="20"/>
          <w:szCs w:val="20"/>
          <w:color w:val="auto"/>
        </w:rPr>
      </w:pPr>
    </w:p>
    <w:p>
      <w:pPr>
        <w:ind w:left="1260" w:right="479" w:firstLine="360"/>
        <w:spacing w:after="0" w:line="267" w:lineRule="auto"/>
        <w:rPr>
          <w:sz w:val="20"/>
          <w:szCs w:val="20"/>
          <w:color w:val="auto"/>
        </w:rPr>
      </w:pPr>
      <w:r>
        <w:rPr>
          <w:rFonts w:ascii="Arial" w:cs="Arial" w:eastAsia="Arial" w:hAnsi="Arial"/>
          <w:sz w:val="18"/>
          <w:szCs w:val="18"/>
          <w:color w:val="auto"/>
        </w:rPr>
        <w:t>To provide a broader context to the Compensation Committee, Meridian also provided the Committee with relevant data from six additional midstream companies, 10 upstream companies (used exclusively for pay mix comparison purposes), and relevant survey data (used as a secondary reference for additional context); however, the compensation comparison peer group listed in the table below served as the primary source of external comparative information.</w:t>
      </w:r>
    </w:p>
    <w:p>
      <w:pPr>
        <w:spacing w:after="0" w:line="1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Meridian’s study, which was completed in November 2024 and considered in detail by the</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Compensation Committee in January 2025, included the following summary findings:</w:t>
      </w:r>
    </w:p>
    <w:p>
      <w:pPr>
        <w:spacing w:after="0" w:line="126" w:lineRule="exact"/>
        <w:rPr>
          <w:sz w:val="20"/>
          <w:szCs w:val="20"/>
          <w:color w:val="auto"/>
        </w:rPr>
      </w:pPr>
    </w:p>
    <w:p>
      <w:pPr>
        <w:ind w:left="1800" w:right="1299" w:hanging="180"/>
        <w:spacing w:after="0" w:line="287"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Total target compensation for all NEOs (other than the CEO) on average was generally competitive with peers; and</w:t>
      </w:r>
    </w:p>
    <w:p>
      <w:pPr>
        <w:spacing w:after="0" w:line="71" w:lineRule="exact"/>
        <w:rPr>
          <w:rFonts w:ascii="Arial" w:cs="Arial" w:eastAsia="Arial" w:hAnsi="Arial"/>
          <w:sz w:val="18"/>
          <w:szCs w:val="18"/>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Total target compensation for the CEO was below the median relative to peers.</w:t>
      </w:r>
    </w:p>
    <w:p>
      <w:pPr>
        <w:spacing w:after="0" w:line="158" w:lineRule="exact"/>
        <w:rPr>
          <w:sz w:val="20"/>
          <w:szCs w:val="20"/>
          <w:color w:val="auto"/>
        </w:rPr>
      </w:pPr>
    </w:p>
    <w:p>
      <w:pPr>
        <w:ind w:left="1260" w:right="479" w:firstLine="360"/>
        <w:spacing w:after="0" w:line="273" w:lineRule="auto"/>
        <w:rPr>
          <w:sz w:val="20"/>
          <w:szCs w:val="20"/>
          <w:color w:val="auto"/>
        </w:rPr>
      </w:pPr>
      <w:r>
        <w:rPr>
          <w:rFonts w:ascii="Arial" w:cs="Arial" w:eastAsia="Arial" w:hAnsi="Arial"/>
          <w:sz w:val="18"/>
          <w:szCs w:val="18"/>
          <w:i w:val="1"/>
          <w:iCs w:val="1"/>
          <w:color w:val="auto"/>
        </w:rPr>
        <w:t xml:space="preserve">TSR Comparator Peer Group. </w:t>
      </w:r>
      <w:r>
        <w:rPr>
          <w:rFonts w:ascii="Arial" w:cs="Arial" w:eastAsia="Arial" w:hAnsi="Arial"/>
          <w:sz w:val="18"/>
          <w:szCs w:val="18"/>
          <w:color w:val="auto"/>
        </w:rPr>
        <w:t>For a portion (25%) of the long-term incentive awards granted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in 2025, we included relative TSR as a performance metric for the three-year performance period ending June 30, 2028. The entities in our TSR Comparator Peer Group for the 2025 long-term incentive awards are listed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70" w:type="dxa"/>
        <w:tblCellMar>
          <w:top w:w="0" w:type="dxa"/>
          <w:left w:w="0" w:type="dxa"/>
          <w:bottom w:w="0" w:type="dxa"/>
          <w:right w:w="0" w:type="dxa"/>
        </w:tblCellMar>
      </w:tblPr>
      <w:tr>
        <w:trPr>
          <w:trHeight w:val="247"/>
        </w:trPr>
        <w:tc>
          <w:tcPr>
            <w:tcW w:w="4080" w:type="dxa"/>
            <w:vAlign w:val="bottom"/>
            <w:tcBorders>
              <w:top w:val="single" w:sz="8" w:color="auto"/>
              <w:left w:val="single" w:sz="8" w:color="auto"/>
            </w:tcBorders>
            <w:shd w:val="clear" w:color="auto" w:fill="424E6A"/>
          </w:tcPr>
          <w:p>
            <w:pPr>
              <w:spacing w:after="0"/>
              <w:rPr>
                <w:sz w:val="21"/>
                <w:szCs w:val="21"/>
                <w:color w:val="auto"/>
              </w:rPr>
            </w:pPr>
          </w:p>
        </w:tc>
        <w:tc>
          <w:tcPr>
            <w:tcW w:w="820" w:type="dxa"/>
            <w:vAlign w:val="bottom"/>
            <w:tcBorders>
              <w:top w:val="single" w:sz="8" w:color="auto"/>
              <w:right w:val="single" w:sz="8" w:color="auto"/>
            </w:tcBorders>
            <w:shd w:val="clear" w:color="auto" w:fill="424E6A"/>
          </w:tcPr>
          <w:p>
            <w:pPr>
              <w:spacing w:after="0"/>
              <w:rPr>
                <w:sz w:val="21"/>
                <w:szCs w:val="21"/>
                <w:color w:val="auto"/>
              </w:rPr>
            </w:pPr>
          </w:p>
        </w:tc>
        <w:tc>
          <w:tcPr>
            <w:tcW w:w="100" w:type="dxa"/>
            <w:vAlign w:val="bottom"/>
            <w:tcBorders>
              <w:top w:val="single" w:sz="8" w:color="auto"/>
            </w:tcBorders>
            <w:shd w:val="clear" w:color="auto" w:fill="424E6A"/>
          </w:tcPr>
          <w:p>
            <w:pPr>
              <w:spacing w:after="0"/>
              <w:rPr>
                <w:sz w:val="21"/>
                <w:szCs w:val="21"/>
                <w:color w:val="auto"/>
              </w:rPr>
            </w:pPr>
          </w:p>
        </w:tc>
        <w:tc>
          <w:tcPr>
            <w:tcW w:w="1400" w:type="dxa"/>
            <w:vAlign w:val="bottom"/>
            <w:tcBorders>
              <w:top w:val="single" w:sz="8" w:color="auto"/>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2025 Compensation</w:t>
            </w:r>
          </w:p>
        </w:tc>
        <w:tc>
          <w:tcPr>
            <w:tcW w:w="120" w:type="dxa"/>
            <w:vAlign w:val="bottom"/>
            <w:tcBorders>
              <w:top w:val="single" w:sz="8" w:color="auto"/>
              <w:right w:val="single" w:sz="8" w:color="auto"/>
            </w:tcBorders>
            <w:shd w:val="clear" w:color="auto" w:fill="424E6A"/>
          </w:tcPr>
          <w:p>
            <w:pPr>
              <w:spacing w:after="0"/>
              <w:rPr>
                <w:sz w:val="21"/>
                <w:szCs w:val="21"/>
                <w:color w:val="auto"/>
              </w:rPr>
            </w:pPr>
          </w:p>
        </w:tc>
        <w:tc>
          <w:tcPr>
            <w:tcW w:w="80" w:type="dxa"/>
            <w:vAlign w:val="bottom"/>
            <w:tcBorders>
              <w:top w:val="single" w:sz="8" w:color="auto"/>
            </w:tcBorders>
            <w:shd w:val="clear" w:color="auto" w:fill="424E6A"/>
          </w:tcPr>
          <w:p>
            <w:pPr>
              <w:spacing w:after="0"/>
              <w:rPr>
                <w:sz w:val="21"/>
                <w:szCs w:val="21"/>
                <w:color w:val="auto"/>
              </w:rPr>
            </w:pPr>
          </w:p>
        </w:tc>
        <w:tc>
          <w:tcPr>
            <w:tcW w:w="1620" w:type="dxa"/>
            <w:vAlign w:val="bottom"/>
            <w:tcBorders>
              <w:top w:val="single" w:sz="8" w:color="auto"/>
              <w:right w:val="single" w:sz="8" w:color="auto"/>
            </w:tcBorders>
            <w:shd w:val="clear" w:color="auto" w:fill="424E6A"/>
          </w:tcPr>
          <w:p>
            <w:pPr>
              <w:spacing w:after="0"/>
              <w:rPr>
                <w:sz w:val="21"/>
                <w:szCs w:val="21"/>
                <w:color w:val="auto"/>
              </w:rPr>
            </w:pPr>
          </w:p>
        </w:tc>
      </w:tr>
      <w:tr>
        <w:trPr>
          <w:trHeight w:val="162"/>
        </w:trPr>
        <w:tc>
          <w:tcPr>
            <w:tcW w:w="4080" w:type="dxa"/>
            <w:vAlign w:val="bottom"/>
            <w:tcBorders>
              <w:left w:val="single" w:sz="8" w:color="auto"/>
            </w:tcBorders>
            <w:shd w:val="clear" w:color="auto" w:fill="424E6A"/>
          </w:tcPr>
          <w:p>
            <w:pPr>
              <w:spacing w:after="0"/>
              <w:rPr>
                <w:sz w:val="14"/>
                <w:szCs w:val="14"/>
                <w:color w:val="auto"/>
              </w:rPr>
            </w:pPr>
          </w:p>
        </w:tc>
        <w:tc>
          <w:tcPr>
            <w:tcW w:w="820" w:type="dxa"/>
            <w:vAlign w:val="bottom"/>
            <w:tcBorders>
              <w:right w:val="single" w:sz="8" w:color="auto"/>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4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Comparison</w:t>
            </w:r>
          </w:p>
        </w:tc>
        <w:tc>
          <w:tcPr>
            <w:tcW w:w="120" w:type="dxa"/>
            <w:vAlign w:val="bottom"/>
            <w:tcBorders>
              <w:right w:val="single" w:sz="8" w:color="auto"/>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620" w:type="dxa"/>
            <w:vAlign w:val="bottom"/>
            <w:tcBorders>
              <w:right w:val="single" w:sz="8" w:color="auto"/>
            </w:tcBorders>
            <w:shd w:val="clear" w:color="auto" w:fill="424E6A"/>
          </w:tcPr>
          <w:p>
            <w:pPr>
              <w:jc w:val="center"/>
              <w:ind w:right="48"/>
              <w:spacing w:after="0"/>
              <w:rPr>
                <w:sz w:val="20"/>
                <w:szCs w:val="20"/>
                <w:color w:val="auto"/>
              </w:rPr>
            </w:pPr>
            <w:r>
              <w:rPr>
                <w:rFonts w:ascii="Arial" w:cs="Arial" w:eastAsia="Arial" w:hAnsi="Arial"/>
                <w:sz w:val="14"/>
                <w:szCs w:val="14"/>
                <w:b w:val="1"/>
                <w:bCs w:val="1"/>
                <w:color w:val="FFFFFF"/>
              </w:rPr>
              <w:t>2025 TSR Comparator</w:t>
            </w:r>
          </w:p>
        </w:tc>
      </w:tr>
      <w:tr>
        <w:trPr>
          <w:trHeight w:val="198"/>
        </w:trPr>
        <w:tc>
          <w:tcPr>
            <w:tcW w:w="4080" w:type="dxa"/>
            <w:vAlign w:val="bottom"/>
            <w:tcBorders>
              <w:left w:val="single" w:sz="8" w:color="auto"/>
              <w:bottom w:val="single" w:sz="8" w:color="auto"/>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Entity/Index Name (Ticker)</w:t>
            </w:r>
          </w:p>
        </w:tc>
        <w:tc>
          <w:tcPr>
            <w:tcW w:w="820" w:type="dxa"/>
            <w:vAlign w:val="bottom"/>
            <w:tcBorders>
              <w:bottom w:val="single" w:sz="8" w:color="auto"/>
              <w:right w:val="single" w:sz="8" w:color="auto"/>
            </w:tcBorders>
            <w:shd w:val="clear" w:color="auto" w:fill="424E6A"/>
          </w:tcPr>
          <w:p>
            <w:pPr>
              <w:ind w:left="76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auto"/>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1400" w:type="dxa"/>
            <w:vAlign w:val="bottom"/>
            <w:tcBorders>
              <w:bottom w:val="single" w:sz="8" w:color="auto"/>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Peer Group</w:t>
            </w:r>
          </w:p>
        </w:tc>
        <w:tc>
          <w:tcPr>
            <w:tcW w:w="120" w:type="dxa"/>
            <w:vAlign w:val="bottom"/>
            <w:tcBorders>
              <w:bottom w:val="single" w:sz="8" w:color="auto"/>
              <w:right w:val="single" w:sz="8" w:color="auto"/>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auto"/>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1620" w:type="dxa"/>
            <w:vAlign w:val="bottom"/>
            <w:tcBorders>
              <w:bottom w:val="single" w:sz="8" w:color="auto"/>
              <w:right w:val="single" w:sz="8" w:color="auto"/>
            </w:tcBorders>
            <w:shd w:val="clear" w:color="auto" w:fill="424E6A"/>
          </w:tcPr>
          <w:p>
            <w:pPr>
              <w:jc w:val="center"/>
              <w:ind w:right="8"/>
              <w:spacing w:after="0"/>
              <w:rPr>
                <w:sz w:val="20"/>
                <w:szCs w:val="20"/>
                <w:color w:val="auto"/>
              </w:rPr>
            </w:pPr>
            <w:r>
              <w:rPr>
                <w:rFonts w:ascii="Arial" w:cs="Arial" w:eastAsia="Arial" w:hAnsi="Arial"/>
                <w:sz w:val="14"/>
                <w:szCs w:val="14"/>
                <w:b w:val="1"/>
                <w:bCs w:val="1"/>
                <w:color w:val="FFFFFF"/>
              </w:rPr>
              <w:t>Peer Group</w:t>
            </w:r>
          </w:p>
        </w:tc>
      </w:tr>
      <w:tr>
        <w:trPr>
          <w:trHeight w:val="304"/>
        </w:trPr>
        <w:tc>
          <w:tcPr>
            <w:tcW w:w="4080" w:type="dxa"/>
            <w:vAlign w:val="bottom"/>
            <w:tcBorders>
              <w:left w:val="single" w:sz="8" w:color="auto"/>
              <w:bottom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Energy Transfer LP (ET)</w:t>
            </w:r>
          </w:p>
        </w:tc>
        <w:tc>
          <w:tcPr>
            <w:tcW w:w="820" w:type="dxa"/>
            <w:vAlign w:val="bottom"/>
            <w:tcBorders>
              <w:bottom w:val="single" w:sz="8" w:color="auto"/>
              <w:right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4"/>
                <w:szCs w:val="24"/>
                <w:color w:val="auto"/>
              </w:rPr>
            </w:pPr>
          </w:p>
        </w:tc>
        <w:tc>
          <w:tcPr>
            <w:tcW w:w="120" w:type="dxa"/>
            <w:vAlign w:val="bottom"/>
            <w:tcBorders>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D9DCE1"/>
          </w:tcPr>
          <w:p>
            <w:pPr>
              <w:spacing w:after="0"/>
              <w:rPr>
                <w:sz w:val="24"/>
                <w:szCs w:val="24"/>
                <w:color w:val="auto"/>
              </w:rPr>
            </w:pPr>
          </w:p>
        </w:tc>
      </w:tr>
      <w:tr>
        <w:trPr>
          <w:trHeight w:val="304"/>
        </w:trPr>
        <w:tc>
          <w:tcPr>
            <w:tcW w:w="408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Enterprise Products Partners LP (EPD)</w:t>
            </w:r>
          </w:p>
        </w:tc>
        <w:tc>
          <w:tcPr>
            <w:tcW w:w="82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spacing w:after="0"/>
              <w:rPr>
                <w:sz w:val="24"/>
                <w:szCs w:val="24"/>
                <w:color w:val="auto"/>
              </w:rPr>
            </w:pPr>
          </w:p>
        </w:tc>
      </w:tr>
      <w:tr>
        <w:trPr>
          <w:trHeight w:val="304"/>
        </w:trPr>
        <w:tc>
          <w:tcPr>
            <w:tcW w:w="4080" w:type="dxa"/>
            <w:vAlign w:val="bottom"/>
            <w:tcBorders>
              <w:left w:val="single" w:sz="8" w:color="auto"/>
              <w:bottom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Kinder Morgan Inc. (KMI)</w:t>
            </w:r>
          </w:p>
        </w:tc>
        <w:tc>
          <w:tcPr>
            <w:tcW w:w="820" w:type="dxa"/>
            <w:vAlign w:val="bottom"/>
            <w:tcBorders>
              <w:bottom w:val="single" w:sz="8" w:color="auto"/>
              <w:right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4"/>
                <w:szCs w:val="24"/>
                <w:color w:val="auto"/>
              </w:rPr>
            </w:pPr>
          </w:p>
        </w:tc>
        <w:tc>
          <w:tcPr>
            <w:tcW w:w="120" w:type="dxa"/>
            <w:vAlign w:val="bottom"/>
            <w:tcBorders>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D9DCE1"/>
          </w:tcPr>
          <w:p>
            <w:pPr>
              <w:spacing w:after="0"/>
              <w:rPr>
                <w:sz w:val="24"/>
                <w:szCs w:val="24"/>
                <w:color w:val="auto"/>
              </w:rPr>
            </w:pPr>
          </w:p>
        </w:tc>
      </w:tr>
      <w:tr>
        <w:trPr>
          <w:trHeight w:val="304"/>
        </w:trPr>
        <w:tc>
          <w:tcPr>
            <w:tcW w:w="408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The Williams Companies Inc. (WMB)</w:t>
            </w:r>
          </w:p>
        </w:tc>
        <w:tc>
          <w:tcPr>
            <w:tcW w:w="82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spacing w:after="0"/>
              <w:rPr>
                <w:sz w:val="24"/>
                <w:szCs w:val="24"/>
                <w:color w:val="auto"/>
              </w:rPr>
            </w:pPr>
          </w:p>
        </w:tc>
      </w:tr>
      <w:tr>
        <w:trPr>
          <w:trHeight w:val="304"/>
        </w:trPr>
        <w:tc>
          <w:tcPr>
            <w:tcW w:w="4080" w:type="dxa"/>
            <w:vAlign w:val="bottom"/>
            <w:tcBorders>
              <w:left w:val="single" w:sz="8" w:color="auto"/>
              <w:bottom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MPLX LP (MPLX)</w:t>
            </w:r>
          </w:p>
        </w:tc>
        <w:tc>
          <w:tcPr>
            <w:tcW w:w="820" w:type="dxa"/>
            <w:vAlign w:val="bottom"/>
            <w:tcBorders>
              <w:bottom w:val="single" w:sz="8" w:color="auto"/>
              <w:right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4"/>
                <w:szCs w:val="24"/>
                <w:color w:val="auto"/>
              </w:rPr>
            </w:pPr>
          </w:p>
        </w:tc>
        <w:tc>
          <w:tcPr>
            <w:tcW w:w="120" w:type="dxa"/>
            <w:vAlign w:val="bottom"/>
            <w:tcBorders>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D9DCE1"/>
          </w:tcPr>
          <w:p>
            <w:pPr>
              <w:spacing w:after="0"/>
              <w:rPr>
                <w:sz w:val="24"/>
                <w:szCs w:val="24"/>
                <w:color w:val="auto"/>
              </w:rPr>
            </w:pPr>
          </w:p>
        </w:tc>
      </w:tr>
      <w:tr>
        <w:trPr>
          <w:trHeight w:val="304"/>
        </w:trPr>
        <w:tc>
          <w:tcPr>
            <w:tcW w:w="408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ONEOK Inc. (OKE)</w:t>
            </w:r>
          </w:p>
        </w:tc>
        <w:tc>
          <w:tcPr>
            <w:tcW w:w="82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spacing w:after="0"/>
              <w:rPr>
                <w:sz w:val="24"/>
                <w:szCs w:val="24"/>
                <w:color w:val="auto"/>
              </w:rPr>
            </w:pPr>
          </w:p>
        </w:tc>
      </w:tr>
      <w:tr>
        <w:trPr>
          <w:trHeight w:val="304"/>
        </w:trPr>
        <w:tc>
          <w:tcPr>
            <w:tcW w:w="4080" w:type="dxa"/>
            <w:vAlign w:val="bottom"/>
            <w:tcBorders>
              <w:left w:val="single" w:sz="8" w:color="auto"/>
              <w:bottom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Targa Resources Corp. (TRGP)</w:t>
            </w:r>
          </w:p>
        </w:tc>
        <w:tc>
          <w:tcPr>
            <w:tcW w:w="820" w:type="dxa"/>
            <w:vAlign w:val="bottom"/>
            <w:tcBorders>
              <w:bottom w:val="single" w:sz="8" w:color="auto"/>
              <w:right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4"/>
                <w:szCs w:val="24"/>
                <w:color w:val="auto"/>
              </w:rPr>
            </w:pPr>
          </w:p>
        </w:tc>
        <w:tc>
          <w:tcPr>
            <w:tcW w:w="120" w:type="dxa"/>
            <w:vAlign w:val="bottom"/>
            <w:tcBorders>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D9DCE1"/>
          </w:tcPr>
          <w:p>
            <w:pPr>
              <w:spacing w:after="0"/>
              <w:rPr>
                <w:sz w:val="24"/>
                <w:szCs w:val="24"/>
                <w:color w:val="auto"/>
              </w:rPr>
            </w:pPr>
          </w:p>
        </w:tc>
      </w:tr>
      <w:tr>
        <w:trPr>
          <w:trHeight w:val="304"/>
        </w:trPr>
        <w:tc>
          <w:tcPr>
            <w:tcW w:w="408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Western Midstream Partners LP (WES)</w:t>
            </w:r>
          </w:p>
        </w:tc>
        <w:tc>
          <w:tcPr>
            <w:tcW w:w="82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spacing w:after="0"/>
              <w:rPr>
                <w:sz w:val="24"/>
                <w:szCs w:val="24"/>
                <w:color w:val="auto"/>
              </w:rPr>
            </w:pPr>
          </w:p>
        </w:tc>
      </w:tr>
      <w:tr>
        <w:trPr>
          <w:trHeight w:val="304"/>
        </w:trPr>
        <w:tc>
          <w:tcPr>
            <w:tcW w:w="4080" w:type="dxa"/>
            <w:vAlign w:val="bottom"/>
            <w:tcBorders>
              <w:left w:val="single" w:sz="8" w:color="auto"/>
              <w:bottom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EnLink Midstream LLC (ENLC)</w:t>
            </w:r>
          </w:p>
        </w:tc>
        <w:tc>
          <w:tcPr>
            <w:tcW w:w="820" w:type="dxa"/>
            <w:vAlign w:val="bottom"/>
            <w:tcBorders>
              <w:bottom w:val="single" w:sz="8" w:color="auto"/>
              <w:right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4"/>
                <w:szCs w:val="24"/>
                <w:color w:val="auto"/>
              </w:rPr>
            </w:pPr>
          </w:p>
        </w:tc>
        <w:tc>
          <w:tcPr>
            <w:tcW w:w="120" w:type="dxa"/>
            <w:vAlign w:val="bottom"/>
            <w:tcBorders>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D9DCE1"/>
          </w:tcPr>
          <w:p>
            <w:pPr>
              <w:spacing w:after="0"/>
              <w:rPr>
                <w:sz w:val="24"/>
                <w:szCs w:val="24"/>
                <w:color w:val="auto"/>
              </w:rPr>
            </w:pPr>
          </w:p>
        </w:tc>
      </w:tr>
      <w:tr>
        <w:trPr>
          <w:trHeight w:val="304"/>
        </w:trPr>
        <w:tc>
          <w:tcPr>
            <w:tcW w:w="408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Equitrans Midstream Corporation (ETRN)</w:t>
            </w:r>
          </w:p>
        </w:tc>
        <w:tc>
          <w:tcPr>
            <w:tcW w:w="82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spacing w:after="0"/>
              <w:rPr>
                <w:sz w:val="24"/>
                <w:szCs w:val="24"/>
                <w:color w:val="auto"/>
              </w:rPr>
            </w:pPr>
          </w:p>
        </w:tc>
      </w:tr>
      <w:tr>
        <w:trPr>
          <w:trHeight w:val="304"/>
        </w:trPr>
        <w:tc>
          <w:tcPr>
            <w:tcW w:w="4080" w:type="dxa"/>
            <w:vAlign w:val="bottom"/>
            <w:tcBorders>
              <w:left w:val="single" w:sz="8" w:color="auto"/>
              <w:bottom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Genesis Energy LP (GEL)</w:t>
            </w:r>
          </w:p>
        </w:tc>
        <w:tc>
          <w:tcPr>
            <w:tcW w:w="820" w:type="dxa"/>
            <w:vAlign w:val="bottom"/>
            <w:tcBorders>
              <w:bottom w:val="single" w:sz="8" w:color="auto"/>
              <w:right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4"/>
                <w:szCs w:val="24"/>
                <w:color w:val="auto"/>
              </w:rPr>
            </w:pPr>
          </w:p>
        </w:tc>
        <w:tc>
          <w:tcPr>
            <w:tcW w:w="120" w:type="dxa"/>
            <w:vAlign w:val="bottom"/>
            <w:tcBorders>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D9DCE1"/>
          </w:tcPr>
          <w:p>
            <w:pPr>
              <w:spacing w:after="0"/>
              <w:rPr>
                <w:sz w:val="24"/>
                <w:szCs w:val="24"/>
                <w:color w:val="auto"/>
              </w:rPr>
            </w:pPr>
          </w:p>
        </w:tc>
      </w:tr>
      <w:tr>
        <w:trPr>
          <w:trHeight w:val="304"/>
        </w:trPr>
        <w:tc>
          <w:tcPr>
            <w:tcW w:w="408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Kinetik Holdings Inc. (KNTK)</w:t>
            </w:r>
          </w:p>
        </w:tc>
        <w:tc>
          <w:tcPr>
            <w:tcW w:w="82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spacing w:after="0"/>
              <w:rPr>
                <w:sz w:val="24"/>
                <w:szCs w:val="24"/>
                <w:color w:val="auto"/>
              </w:rPr>
            </w:pPr>
          </w:p>
        </w:tc>
      </w:tr>
      <w:tr>
        <w:trPr>
          <w:trHeight w:val="304"/>
        </w:trPr>
        <w:tc>
          <w:tcPr>
            <w:tcW w:w="4080" w:type="dxa"/>
            <w:vAlign w:val="bottom"/>
            <w:tcBorders>
              <w:left w:val="single" w:sz="8" w:color="auto"/>
              <w:bottom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S&amp;P 500 Index (SPX)</w:t>
            </w:r>
          </w:p>
        </w:tc>
        <w:tc>
          <w:tcPr>
            <w:tcW w:w="820" w:type="dxa"/>
            <w:vAlign w:val="bottom"/>
            <w:tcBorders>
              <w:bottom w:val="single" w:sz="8" w:color="auto"/>
              <w:right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4"/>
                <w:szCs w:val="24"/>
                <w:color w:val="auto"/>
              </w:rPr>
            </w:pPr>
          </w:p>
        </w:tc>
        <w:tc>
          <w:tcPr>
            <w:tcW w:w="120" w:type="dxa"/>
            <w:vAlign w:val="bottom"/>
            <w:tcBorders>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D9DCE1"/>
          </w:tcPr>
          <w:p>
            <w:pPr>
              <w:spacing w:after="0"/>
              <w:rPr>
                <w:sz w:val="24"/>
                <w:szCs w:val="24"/>
                <w:color w:val="auto"/>
              </w:rPr>
            </w:pPr>
          </w:p>
        </w:tc>
      </w:tr>
      <w:tr>
        <w:trPr>
          <w:trHeight w:val="304"/>
        </w:trPr>
        <w:tc>
          <w:tcPr>
            <w:tcW w:w="408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Alerian Midstream Energy Index (AMNA)</w:t>
            </w:r>
          </w:p>
        </w:tc>
        <w:tc>
          <w:tcPr>
            <w:tcW w:w="82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4383405</wp:posOffset>
            </wp:positionH>
            <wp:positionV relativeFrom="paragraph">
              <wp:posOffset>-2794000</wp:posOffset>
            </wp:positionV>
            <wp:extent cx="68580" cy="685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-2794000</wp:posOffset>
            </wp:positionV>
            <wp:extent cx="68580" cy="685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-2588260</wp:posOffset>
            </wp:positionV>
            <wp:extent cx="68580" cy="685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-2588260</wp:posOffset>
            </wp:positionV>
            <wp:extent cx="68580" cy="685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-2382520</wp:posOffset>
            </wp:positionV>
            <wp:extent cx="68580" cy="685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-2382520</wp:posOffset>
            </wp:positionV>
            <wp:extent cx="68580" cy="685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-2176780</wp:posOffset>
            </wp:positionV>
            <wp:extent cx="68580" cy="685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-2176780</wp:posOffset>
            </wp:positionV>
            <wp:extent cx="68580" cy="685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-1971040</wp:posOffset>
            </wp:positionV>
            <wp:extent cx="68580" cy="685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-1971040</wp:posOffset>
            </wp:positionV>
            <wp:extent cx="68580" cy="685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-1765300</wp:posOffset>
            </wp:positionV>
            <wp:extent cx="68580" cy="685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-1765300</wp:posOffset>
            </wp:positionV>
            <wp:extent cx="68580" cy="685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-1559560</wp:posOffset>
            </wp:positionV>
            <wp:extent cx="68580" cy="685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-1559560</wp:posOffset>
            </wp:positionV>
            <wp:extent cx="68580" cy="685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-1353820</wp:posOffset>
            </wp:positionV>
            <wp:extent cx="68580" cy="685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-1353820</wp:posOffset>
            </wp:positionV>
            <wp:extent cx="68580" cy="685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-1148080</wp:posOffset>
            </wp:positionV>
            <wp:extent cx="68580" cy="685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-942340</wp:posOffset>
            </wp:positionV>
            <wp:extent cx="68580" cy="685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-736600</wp:posOffset>
            </wp:positionV>
            <wp:extent cx="68580" cy="685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-736600</wp:posOffset>
            </wp:positionV>
            <wp:extent cx="68580" cy="685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-530860</wp:posOffset>
            </wp:positionV>
            <wp:extent cx="68580" cy="685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-325120</wp:posOffset>
            </wp:positionV>
            <wp:extent cx="68580" cy="685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-119380</wp:posOffset>
            </wp:positionV>
            <wp:extent cx="68580" cy="685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Additional Information Regarding Compensation Practices and Processes</w:t>
      </w:r>
    </w:p>
    <w:p>
      <w:pPr>
        <w:spacing w:after="0" w:line="156" w:lineRule="exact"/>
        <w:rPr>
          <w:sz w:val="20"/>
          <w:szCs w:val="20"/>
          <w:color w:val="auto"/>
        </w:rPr>
      </w:pPr>
    </w:p>
    <w:p>
      <w:pPr>
        <w:ind w:left="1260" w:right="719" w:firstLine="360"/>
        <w:spacing w:after="0" w:line="287" w:lineRule="auto"/>
        <w:rPr>
          <w:sz w:val="20"/>
          <w:szCs w:val="20"/>
          <w:color w:val="auto"/>
        </w:rPr>
      </w:pPr>
      <w:r>
        <w:rPr>
          <w:rFonts w:ascii="Arial" w:cs="Arial" w:eastAsia="Arial" w:hAnsi="Arial"/>
          <w:sz w:val="18"/>
          <w:szCs w:val="18"/>
          <w:color w:val="auto"/>
        </w:rPr>
        <w:t>Set forth below is additional information regarding our compensation practices and processes as they relate to the elements of our compensation program:</w:t>
      </w:r>
    </w:p>
    <w:p>
      <w:pPr>
        <w:spacing w:after="0" w:line="72"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Historically, we have not made regular annual adjustments to the base salaries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Named Executive Officers; however, in February 2023, the Compensation Committee determined that it would commence annual market-based reviews starting in 2024. We have also historically made salary adjustments periodically in connection with promotions, the assumption of increased responsibilities or to address changes in competitive market data. Based on Meridian’s compensation comparison study and as a part of the market-based review by the Compensation Committee in January 2025, Mr. Chiang’s annual base salary was increased by $50,000 in order to better align his compensation with the peer median for the CEO role. Base salaries for the other NEOs were increased by approximately 3.6% to 7.3% depending on position.</w:t>
      </w:r>
    </w:p>
    <w:p>
      <w:pPr>
        <w:spacing w:after="0" w:line="113"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i w:val="1"/>
          <w:iCs w:val="1"/>
          <w:color w:val="auto"/>
        </w:rPr>
        <w:t xml:space="preserve">Annual Cash Incentive Awards. </w:t>
      </w:r>
      <w:r>
        <w:rPr>
          <w:rFonts w:ascii="Arial" w:cs="Arial" w:eastAsia="Arial" w:hAnsi="Arial"/>
          <w:sz w:val="18"/>
          <w:szCs w:val="18"/>
          <w:color w:val="auto"/>
        </w:rPr>
        <w:t>Annual cash incentive awards (or bonuses) are determined within a</w:t>
      </w:r>
      <w:r>
        <w:rPr>
          <w:rFonts w:ascii="Arial" w:cs="Arial" w:eastAsia="Arial" w:hAnsi="Arial"/>
          <w:sz w:val="18"/>
          <w:szCs w:val="18"/>
          <w:i w:val="1"/>
          <w:iCs w:val="1"/>
          <w:color w:val="auto"/>
        </w:rPr>
        <w:t xml:space="preserve"> </w:t>
      </w:r>
      <w:r>
        <w:rPr>
          <w:rFonts w:ascii="Arial" w:cs="Arial" w:eastAsia="Arial" w:hAnsi="Arial"/>
          <w:sz w:val="18"/>
          <w:szCs w:val="18"/>
          <w:color w:val="auto"/>
        </w:rPr>
        <w:t>formulaic framework that includes an annual bonus target for each Named Executive Officer, expressed as a percentage of base salary, and the determination of an actual payout as a percentage of such target amount based on company performance relative to specific goals, and individual contributions. Annual company goals typically include financial, safety, environmental and other specified goals, and each goal, as well as the individual performance component, is assigned a weighting or percentage share of the total payout opportunity. Annual goals and objectives, as well as weightings and potential payout ranges (expressed as a percentage of target) are established at the beginning of each year and are discussed and reviewed with the Board in conjunction with the review and approval of our annual plan. Payout percentages relative to achievement of specified goals may range from 0 – 200% of an individual’s target opportunity. The final amounts that are paid may be adjusted by the Compensation Committee and the Board based on factors it deems relevant. Such adjustments may be positive or negative depending on the circumstances.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2025 Annual Bonus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1468755</wp:posOffset>
            </wp:positionH>
            <wp:positionV relativeFrom="paragraph">
              <wp:posOffset>137795</wp:posOffset>
            </wp:positionV>
            <wp:extent cx="3874770" cy="21170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4770"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8"/>
          <w:szCs w:val="18"/>
          <w:color w:val="auto"/>
        </w:rPr>
        <w:t>At the end of each year, the CEO provides a written assessment of Company and individual performance (for all NEOs other than himself) relative to goals and objectives established at the beginning of the year. In connection with his assessment of Company and individual performance, the CEO considers various factors, including:</w:t>
      </w:r>
    </w:p>
    <w:p>
      <w:pPr>
        <w:spacing w:after="0" w:line="84" w:lineRule="exact"/>
        <w:rPr>
          <w:sz w:val="20"/>
          <w:szCs w:val="20"/>
          <w:color w:val="auto"/>
        </w:rPr>
      </w:pPr>
    </w:p>
    <w:p>
      <w:pPr>
        <w:ind w:left="1800" w:right="579" w:hanging="180"/>
        <w:spacing w:after="0" w:line="28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or not we achieved the goals established for the year and any notable shortfalls relative to expectations;</w:t>
      </w:r>
    </w:p>
    <w:p>
      <w:pPr>
        <w:spacing w:after="0" w:line="71" w:lineRule="exact"/>
        <w:rPr>
          <w:rFonts w:ascii="Arial" w:cs="Arial" w:eastAsia="Arial" w:hAnsi="Arial"/>
          <w:sz w:val="18"/>
          <w:szCs w:val="18"/>
          <w:color w:val="auto"/>
        </w:rPr>
      </w:pPr>
    </w:p>
    <w:p>
      <w:pPr>
        <w:ind w:left="1800" w:right="739" w:hanging="180"/>
        <w:spacing w:after="0" w:line="28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level of difficulty associated with achieving such objectives based on the opportunities and challenges encountered during the year;</w:t>
      </w:r>
    </w:p>
    <w:p>
      <w:pPr>
        <w:spacing w:after="0" w:line="71" w:lineRule="exact"/>
        <w:rPr>
          <w:rFonts w:ascii="Arial" w:cs="Arial" w:eastAsia="Arial" w:hAnsi="Arial"/>
          <w:sz w:val="18"/>
          <w:szCs w:val="18"/>
          <w:color w:val="auto"/>
        </w:rPr>
      </w:pPr>
    </w:p>
    <w:p>
      <w:pPr>
        <w:ind w:left="1800" w:right="499" w:hanging="180"/>
        <w:spacing w:after="0" w:line="28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current year operating and financial performance relative to both public guidance and prior year’s performance;</w:t>
      </w:r>
    </w:p>
    <w:p>
      <w:pPr>
        <w:spacing w:after="0" w:line="58"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 transactions or accomplishments for the period not included in the goals for the year;</w:t>
      </w:r>
    </w:p>
    <w:p>
      <w:pPr>
        <w:spacing w:after="0" w:line="144"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relative positioning at the end of the year with respect to future growth and performance; and</w:t>
      </w:r>
    </w:p>
    <w:p>
      <w:pPr>
        <w:spacing w:after="0" w:line="142" w:lineRule="exact"/>
        <w:rPr>
          <w:rFonts w:ascii="Arial" w:cs="Arial" w:eastAsia="Arial" w:hAnsi="Arial"/>
          <w:sz w:val="17"/>
          <w:szCs w:val="17"/>
          <w:color w:val="auto"/>
        </w:rPr>
      </w:pPr>
    </w:p>
    <w:p>
      <w:pPr>
        <w:ind w:left="1800" w:right="619" w:hanging="180"/>
        <w:spacing w:after="0" w:line="28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equity price performance and returns during the year and our position at the end of the year with respect to our targeted leverage metrics and credit profile.</w:t>
      </w:r>
    </w:p>
    <w:p>
      <w:pPr>
        <w:spacing w:after="0" w:line="85" w:lineRule="exact"/>
        <w:rPr>
          <w:sz w:val="20"/>
          <w:szCs w:val="20"/>
          <w:color w:val="auto"/>
        </w:rPr>
      </w:pPr>
    </w:p>
    <w:p>
      <w:pPr>
        <w:ind w:left="1260" w:right="519" w:firstLine="360"/>
        <w:spacing w:after="0" w:line="267" w:lineRule="auto"/>
        <w:rPr>
          <w:sz w:val="20"/>
          <w:szCs w:val="20"/>
          <w:color w:val="auto"/>
        </w:rPr>
      </w:pPr>
      <w:r>
        <w:rPr>
          <w:rFonts w:ascii="Arial" w:cs="Arial" w:eastAsia="Arial" w:hAnsi="Arial"/>
          <w:sz w:val="18"/>
          <w:szCs w:val="18"/>
          <w:color w:val="auto"/>
        </w:rPr>
        <w:t>Based on the conclusions set forth in the annual performance assessment, the CEO submits to the Compensation Committee the results of the formulaic bonus calculations, along with any recommendations for adjustments, for all Named Executive Officers other than himself. The Compensation Committee may adjust the CEO’s recommendations upward or downward in its discretion. The Compensation Committee’s recommendations are then submitted to the Board for final review and approval.</w:t>
      </w:r>
    </w:p>
    <w:p>
      <w:pPr>
        <w:spacing w:after="0" w:line="117" w:lineRule="exact"/>
        <w:rPr>
          <w:sz w:val="20"/>
          <w:szCs w:val="20"/>
          <w:color w:val="auto"/>
        </w:rPr>
      </w:pPr>
    </w:p>
    <w:p>
      <w:pPr>
        <w:ind w:left="1260" w:right="419" w:firstLine="360"/>
        <w:spacing w:after="0" w:line="294" w:lineRule="auto"/>
        <w:rPr>
          <w:sz w:val="20"/>
          <w:szCs w:val="20"/>
          <w:color w:val="auto"/>
        </w:rPr>
      </w:pPr>
      <w:r>
        <w:rPr>
          <w:rFonts w:ascii="Arial" w:cs="Arial" w:eastAsia="Arial" w:hAnsi="Arial"/>
          <w:sz w:val="17"/>
          <w:szCs w:val="17"/>
          <w:color w:val="auto"/>
        </w:rPr>
        <w:t>As noted above, the CEO does not make a recommendation with respect to his own bonus. The Compensation Committee assesses the CEO’s performance and contributions toward meeting the goals and objectives established at the beginning of the year, and then recommends to the Board a total bonus payout for the CEO that it believes to be commensurate with such performance and contributions.</w:t>
      </w:r>
    </w:p>
    <w:p>
      <w:pPr>
        <w:spacing w:after="0" w:line="82" w:lineRule="exact"/>
        <w:rPr>
          <w:sz w:val="20"/>
          <w:szCs w:val="20"/>
          <w:color w:val="auto"/>
        </w:rPr>
      </w:pPr>
    </w:p>
    <w:p>
      <w:pPr>
        <w:ind w:left="1260" w:right="519" w:firstLine="360"/>
        <w:spacing w:after="0" w:line="273" w:lineRule="auto"/>
        <w:rPr>
          <w:sz w:val="20"/>
          <w:szCs w:val="20"/>
          <w:color w:val="auto"/>
        </w:rPr>
      </w:pPr>
      <w:r>
        <w:rPr>
          <w:rFonts w:ascii="Arial" w:cs="Arial" w:eastAsia="Arial" w:hAnsi="Arial"/>
          <w:sz w:val="18"/>
          <w:szCs w:val="18"/>
          <w:i w:val="1"/>
          <w:iCs w:val="1"/>
          <w:color w:val="auto"/>
        </w:rPr>
        <w:t xml:space="preserve">Long-Term Incentive Awards. </w:t>
      </w:r>
      <w:r>
        <w:rPr>
          <w:rFonts w:ascii="Arial" w:cs="Arial" w:eastAsia="Arial" w:hAnsi="Arial"/>
          <w:sz w:val="18"/>
          <w:szCs w:val="18"/>
          <w:color w:val="auto"/>
        </w:rPr>
        <w:t>We use performance and time-based phantom unit grants issued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Long-Term Incentive Plans to incentivize and retain our executive officers and encourage and reward timely achievement of targeted metrics designed to align the long-term interests of the Named Executive Officers with those of our unitholders.</w:t>
      </w: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2025 Annual LTIP Award; Determination of Units for Annual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137795</wp:posOffset>
            </wp:positionV>
            <wp:extent cx="4183380" cy="13290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183380"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60" w:right="479" w:firstLine="360"/>
        <w:spacing w:after="0" w:line="256" w:lineRule="auto"/>
        <w:rPr>
          <w:sz w:val="20"/>
          <w:szCs w:val="20"/>
          <w:color w:val="auto"/>
        </w:rPr>
      </w:pPr>
      <w:r>
        <w:rPr>
          <w:rFonts w:ascii="Arial" w:cs="Arial" w:eastAsia="Arial" w:hAnsi="Arial"/>
          <w:sz w:val="18"/>
          <w:szCs w:val="18"/>
          <w:color w:val="auto"/>
        </w:rPr>
        <w:t>NEOs are eligible to receive an annual grant of phantom units based on a formula tied to base salary and PAA’s unit price. The size of the annual grant for a specified individual is based on a designated target percentage of their base salary that accounts for their expected contribution in respect of longer-term performance objectives. Based on Meridian’s compensation comparison study and as a part of the market-based review by the Compensation Committee in January 2025, the annual LTIP target (as a percentage of base salary) for Mr. Chiang was increased from 750% to 850%. No changes were made to the annual LTIP targets for the other NEOs.</w:t>
      </w:r>
    </w:p>
    <w:p>
      <w:pPr>
        <w:spacing w:after="0" w:line="115"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Annual equity grants typically require minimum service periods of three years in order to encourage long-term retention. A phantom unit grant provides the holder with the right to receive, upon the satisfaction of vesting criteria specified in the grant, a PAA common unit (or cash equivalent). We do not use options as a form of incentive compensation. Terms of phantom unit grants may vary, but generally phantom units vest upon the achievement of designated performance thresholds and continued employment for a full three-year period. Phantom unit grants for the Named Executive Officers typically include DERs, and for the regular annual awards granted in 2025, DERs on the performance-based portion of such awards accrue from the grant date and will be payable only if and to the extent the underlying phantom units vest at the end of the three-year performance period. DERs on the time-based portion of such awards accrue for the first year following the grant date, with such accrued amount being paid out on the first anniversary of the grant date, and then are paid on a quarterly basis thereafter. Our long-term incentive plan grants for our NEOs also provide for accelerated vesting in the event their employment is terminated as a result of or in connection with death, disability, termination without cause, change of control or retirement on terms and timing that are approved by the CEO (or by the Board in the case of the CEO). See “— Potential Payments Upon Termination or Change-in-Control.”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2025 Performance Overview and Specific Application of Compensation Elements in 2025</w:t>
      </w:r>
    </w:p>
    <w:p>
      <w:pPr>
        <w:spacing w:after="0" w:line="156" w:lineRule="exact"/>
        <w:rPr>
          <w:sz w:val="20"/>
          <w:szCs w:val="20"/>
          <w:color w:val="auto"/>
        </w:rPr>
      </w:pPr>
    </w:p>
    <w:p>
      <w:pPr>
        <w:ind w:left="1260" w:right="519" w:firstLine="360"/>
        <w:spacing w:after="0" w:line="268" w:lineRule="auto"/>
        <w:rPr>
          <w:sz w:val="20"/>
          <w:szCs w:val="20"/>
          <w:color w:val="auto"/>
        </w:rPr>
      </w:pPr>
      <w:r>
        <w:rPr>
          <w:rFonts w:ascii="Arial" w:cs="Arial" w:eastAsia="Arial" w:hAnsi="Arial"/>
          <w:sz w:val="18"/>
          <w:szCs w:val="18"/>
          <w:color w:val="auto"/>
        </w:rPr>
        <w:t>At the beginning of 2025, we established key quantitative financial, safety and environmental objectives, along with several qualitative goals. These objectives and goals are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94615</wp:posOffset>
            </wp:positionV>
            <wp:extent cx="5212080" cy="44405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212080" cy="4440555"/>
                    </a:xfrm>
                    <a:prstGeom prst="rect">
                      <a:avLst/>
                    </a:prstGeom>
                    <a:noFill/>
                  </pic:spPr>
                </pic:pic>
              </a:graphicData>
            </a:graphic>
          </wp:anchor>
        </w:drawing>
      </w:r>
    </w:p>
    <w:p>
      <w:pPr>
        <w:spacing w:after="0" w:line="174" w:lineRule="exact"/>
        <w:rPr>
          <w:sz w:val="20"/>
          <w:szCs w:val="20"/>
          <w:color w:val="auto"/>
        </w:rPr>
      </w:pPr>
    </w:p>
    <w:p>
      <w:pPr>
        <w:ind w:left="3240"/>
        <w:spacing w:after="0"/>
        <w:rPr>
          <w:sz w:val="20"/>
          <w:szCs w:val="20"/>
          <w:color w:val="auto"/>
        </w:rPr>
      </w:pPr>
      <w:r>
        <w:rPr>
          <w:rFonts w:ascii="Arial" w:cs="Arial" w:eastAsia="Arial" w:hAnsi="Arial"/>
          <w:sz w:val="14"/>
          <w:szCs w:val="14"/>
          <w:b w:val="1"/>
          <w:bCs w:val="1"/>
          <w:color w:val="FFFFFF"/>
        </w:rPr>
        <w:t>2025 Performance Objectives and Results (all figures rounded)</w:t>
      </w:r>
    </w:p>
    <w:p>
      <w:pPr>
        <w:spacing w:after="0" w:line="55" w:lineRule="exact"/>
        <w:rPr>
          <w:sz w:val="20"/>
          <w:szCs w:val="20"/>
          <w:color w:val="auto"/>
        </w:rPr>
      </w:pPr>
    </w:p>
    <w:tbl>
      <w:tblPr>
        <w:tblLayout w:type="fixed"/>
        <w:tblInd w:w="1260" w:type="dxa"/>
        <w:tblCellMar>
          <w:top w:w="0" w:type="dxa"/>
          <w:left w:w="0" w:type="dxa"/>
          <w:bottom w:w="0" w:type="dxa"/>
          <w:right w:w="0" w:type="dxa"/>
        </w:tblCellMar>
      </w:tblPr>
      <w:tr>
        <w:trPr>
          <w:trHeight w:val="266"/>
        </w:trPr>
        <w:tc>
          <w:tcPr>
            <w:tcW w:w="20" w:type="dxa"/>
            <w:vAlign w:val="bottom"/>
          </w:tcPr>
          <w:p>
            <w:pPr>
              <w:spacing w:after="0"/>
              <w:rPr>
                <w:sz w:val="23"/>
                <w:szCs w:val="23"/>
                <w:color w:val="auto"/>
              </w:rPr>
            </w:pPr>
          </w:p>
        </w:tc>
        <w:tc>
          <w:tcPr>
            <w:tcW w:w="262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8"/>
                <w:szCs w:val="18"/>
                <w:b w:val="1"/>
                <w:bCs w:val="1"/>
                <w:color w:val="auto"/>
              </w:rPr>
              <w:t>Quantitative Goals</w:t>
            </w:r>
          </w:p>
        </w:tc>
        <w:tc>
          <w:tcPr>
            <w:tcW w:w="100" w:type="dxa"/>
            <w:vAlign w:val="bottom"/>
            <w:tcBorders>
              <w:bottom w:val="single" w:sz="8" w:color="424E6A"/>
              <w:right w:val="single" w:sz="8" w:color="D9DCE1"/>
            </w:tcBorders>
            <w:shd w:val="clear" w:color="auto" w:fill="D9DCE1"/>
          </w:tcPr>
          <w:p>
            <w:pPr>
              <w:spacing w:after="0"/>
              <w:rPr>
                <w:sz w:val="23"/>
                <w:szCs w:val="23"/>
                <w:color w:val="auto"/>
              </w:rPr>
            </w:pPr>
          </w:p>
        </w:tc>
        <w:tc>
          <w:tcPr>
            <w:tcW w:w="220" w:type="dxa"/>
            <w:vAlign w:val="bottom"/>
            <w:tcBorders>
              <w:bottom w:val="single" w:sz="8" w:color="424E6A"/>
            </w:tcBorders>
            <w:shd w:val="clear" w:color="auto" w:fill="D9DCE1"/>
          </w:tcPr>
          <w:p>
            <w:pPr>
              <w:spacing w:after="0"/>
              <w:rPr>
                <w:sz w:val="23"/>
                <w:szCs w:val="23"/>
                <w:color w:val="auto"/>
              </w:rPr>
            </w:pPr>
          </w:p>
        </w:tc>
        <w:tc>
          <w:tcPr>
            <w:tcW w:w="2440" w:type="dxa"/>
            <w:vAlign w:val="bottom"/>
            <w:tcBorders>
              <w:bottom w:val="single" w:sz="8" w:color="424E6A"/>
            </w:tcBorders>
            <w:shd w:val="clear" w:color="auto" w:fill="D9DCE1"/>
          </w:tcPr>
          <w:p>
            <w:pPr>
              <w:spacing w:after="0"/>
              <w:rPr>
                <w:sz w:val="23"/>
                <w:szCs w:val="23"/>
                <w:color w:val="auto"/>
              </w:rPr>
            </w:pPr>
          </w:p>
        </w:tc>
        <w:tc>
          <w:tcPr>
            <w:tcW w:w="100" w:type="dxa"/>
            <w:vAlign w:val="bottom"/>
            <w:tcBorders>
              <w:bottom w:val="single" w:sz="8" w:color="424E6A"/>
              <w:right w:val="single" w:sz="8" w:color="D9DCE1"/>
            </w:tcBorders>
            <w:shd w:val="clear" w:color="auto" w:fill="D9DCE1"/>
          </w:tcPr>
          <w:p>
            <w:pPr>
              <w:spacing w:after="0"/>
              <w:rPr>
                <w:sz w:val="23"/>
                <w:szCs w:val="23"/>
                <w:color w:val="auto"/>
              </w:rPr>
            </w:pPr>
          </w:p>
        </w:tc>
        <w:tc>
          <w:tcPr>
            <w:tcW w:w="220" w:type="dxa"/>
            <w:vAlign w:val="bottom"/>
            <w:tcBorders>
              <w:bottom w:val="single" w:sz="8" w:color="424E6A"/>
            </w:tcBorders>
            <w:shd w:val="clear" w:color="auto" w:fill="D9DCE1"/>
          </w:tcPr>
          <w:p>
            <w:pPr>
              <w:spacing w:after="0"/>
              <w:rPr>
                <w:sz w:val="23"/>
                <w:szCs w:val="23"/>
                <w:color w:val="auto"/>
              </w:rPr>
            </w:pPr>
          </w:p>
        </w:tc>
        <w:tc>
          <w:tcPr>
            <w:tcW w:w="2480" w:type="dxa"/>
            <w:vAlign w:val="bottom"/>
            <w:tcBorders>
              <w:bottom w:val="single" w:sz="8" w:color="424E6A"/>
            </w:tcBorders>
            <w:shd w:val="clear" w:color="auto" w:fill="D9DCE1"/>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620" w:type="dxa"/>
            <w:vAlign w:val="bottom"/>
            <w:tcBorders>
              <w:bottom w:val="single" w:sz="8" w:color="424E6A"/>
            </w:tcBorders>
          </w:tcPr>
          <w:p>
            <w:pPr>
              <w:ind w:left="1020"/>
              <w:spacing w:after="0"/>
              <w:rPr>
                <w:sz w:val="20"/>
                <w:szCs w:val="20"/>
                <w:color w:val="auto"/>
              </w:rPr>
            </w:pPr>
            <w:r>
              <w:rPr>
                <w:rFonts w:ascii="Arial" w:cs="Arial" w:eastAsia="Arial" w:hAnsi="Arial"/>
                <w:sz w:val="18"/>
                <w:szCs w:val="18"/>
                <w:b w:val="1"/>
                <w:bCs w:val="1"/>
                <w:color w:val="auto"/>
              </w:rPr>
              <w:t>Metrics</w:t>
            </w:r>
          </w:p>
        </w:tc>
        <w:tc>
          <w:tcPr>
            <w:tcW w:w="10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424E6A"/>
            </w:tcBorders>
          </w:tcPr>
          <w:p>
            <w:pPr>
              <w:ind w:left="40"/>
              <w:spacing w:after="0"/>
              <w:rPr>
                <w:sz w:val="20"/>
                <w:szCs w:val="20"/>
                <w:color w:val="auto"/>
              </w:rPr>
            </w:pPr>
            <w:r>
              <w:rPr>
                <w:rFonts w:ascii="Arial" w:cs="Arial" w:eastAsia="Arial" w:hAnsi="Arial"/>
                <w:sz w:val="18"/>
                <w:szCs w:val="18"/>
                <w:b w:val="1"/>
                <w:bCs w:val="1"/>
                <w:color w:val="auto"/>
              </w:rPr>
              <w:t>​</w:t>
            </w:r>
          </w:p>
        </w:tc>
        <w:tc>
          <w:tcPr>
            <w:tcW w:w="2440" w:type="dxa"/>
            <w:vAlign w:val="bottom"/>
            <w:tcBorders>
              <w:bottom w:val="single" w:sz="8" w:color="424E6A"/>
            </w:tcBorders>
          </w:tcPr>
          <w:p>
            <w:pPr>
              <w:ind w:left="680"/>
              <w:spacing w:after="0"/>
              <w:rPr>
                <w:sz w:val="20"/>
                <w:szCs w:val="20"/>
                <w:color w:val="auto"/>
              </w:rPr>
            </w:pPr>
            <w:r>
              <w:rPr>
                <w:rFonts w:ascii="Arial" w:cs="Arial" w:eastAsia="Arial" w:hAnsi="Arial"/>
                <w:sz w:val="18"/>
                <w:szCs w:val="18"/>
                <w:b w:val="1"/>
                <w:bCs w:val="1"/>
                <w:color w:val="auto"/>
              </w:rPr>
              <w:t>2025 Goals</w:t>
            </w:r>
          </w:p>
        </w:tc>
        <w:tc>
          <w:tcPr>
            <w:tcW w:w="10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424E6A"/>
            </w:tcBorders>
          </w:tcPr>
          <w:p>
            <w:pPr>
              <w:ind w:left="40"/>
              <w:spacing w:after="0"/>
              <w:rPr>
                <w:sz w:val="20"/>
                <w:szCs w:val="20"/>
                <w:color w:val="auto"/>
              </w:rPr>
            </w:pPr>
            <w:r>
              <w:rPr>
                <w:rFonts w:ascii="Arial" w:cs="Arial" w:eastAsia="Arial" w:hAnsi="Arial"/>
                <w:sz w:val="18"/>
                <w:szCs w:val="18"/>
                <w:b w:val="1"/>
                <w:bCs w:val="1"/>
                <w:color w:val="auto"/>
              </w:rPr>
              <w:t>​</w:t>
            </w:r>
          </w:p>
        </w:tc>
        <w:tc>
          <w:tcPr>
            <w:tcW w:w="2480" w:type="dxa"/>
            <w:vAlign w:val="bottom"/>
            <w:tcBorders>
              <w:bottom w:val="single" w:sz="8" w:color="424E6A"/>
            </w:tcBorders>
          </w:tcPr>
          <w:p>
            <w:pPr>
              <w:ind w:left="600"/>
              <w:spacing w:after="0"/>
              <w:rPr>
                <w:sz w:val="20"/>
                <w:szCs w:val="20"/>
                <w:color w:val="auto"/>
              </w:rPr>
            </w:pPr>
            <w:r>
              <w:rPr>
                <w:rFonts w:ascii="Arial" w:cs="Arial" w:eastAsia="Arial" w:hAnsi="Arial"/>
                <w:sz w:val="18"/>
                <w:szCs w:val="18"/>
                <w:b w:val="1"/>
                <w:bCs w:val="1"/>
                <w:color w:val="auto"/>
              </w:rPr>
              <w:t>2025 Results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tcPr>
          <w:p>
            <w:pPr>
              <w:ind w:left="60"/>
              <w:spacing w:after="0" w:line="202" w:lineRule="exact"/>
              <w:rPr>
                <w:sz w:val="20"/>
                <w:szCs w:val="20"/>
                <w:color w:val="auto"/>
              </w:rPr>
            </w:pPr>
            <w:r>
              <w:rPr>
                <w:rFonts w:ascii="Arial" w:cs="Arial" w:eastAsia="Arial" w:hAnsi="Arial"/>
                <w:sz w:val="18"/>
                <w:szCs w:val="18"/>
                <w:color w:val="auto"/>
                <w:w w:val="99"/>
              </w:rPr>
              <w:t>Adjusted EBITDA attributable to</w:t>
            </w:r>
          </w:p>
        </w:tc>
        <w:tc>
          <w:tcPr>
            <w:tcW w:w="100" w:type="dxa"/>
            <w:vAlign w:val="bottom"/>
            <w:tcBorders>
              <w:right w:val="single" w:sz="8" w:color="424E6A"/>
            </w:tcBorders>
          </w:tcPr>
          <w:p>
            <w:pPr>
              <w:spacing w:after="0"/>
              <w:rPr>
                <w:sz w:val="17"/>
                <w:szCs w:val="17"/>
                <w:color w:val="auto"/>
              </w:rPr>
            </w:pPr>
          </w:p>
        </w:tc>
        <w:tc>
          <w:tcPr>
            <w:tcW w:w="26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$2.900 billion</w:t>
            </w:r>
          </w:p>
        </w:tc>
        <w:tc>
          <w:tcPr>
            <w:tcW w:w="100" w:type="dxa"/>
            <w:vAlign w:val="bottom"/>
            <w:tcBorders>
              <w:right w:val="single" w:sz="8" w:color="424E6A"/>
            </w:tcBorders>
          </w:tcPr>
          <w:p>
            <w:pPr>
              <w:spacing w:after="0"/>
              <w:rPr>
                <w:sz w:val="17"/>
                <w:szCs w:val="17"/>
                <w:color w:val="auto"/>
              </w:rPr>
            </w:pPr>
          </w:p>
        </w:tc>
        <w:tc>
          <w:tcPr>
            <w:tcW w:w="27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$2.833 billion</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2620" w:type="dxa"/>
            <w:vAlign w:val="bottom"/>
            <w:tcBorders>
              <w:bottom w:val="single" w:sz="8" w:color="424E6A"/>
            </w:tcBorders>
          </w:tcPr>
          <w:p>
            <w:pPr>
              <w:ind w:left="60"/>
              <w:spacing w:after="0" w:line="278" w:lineRule="exact"/>
              <w:rPr>
                <w:sz w:val="20"/>
                <w:szCs w:val="20"/>
                <w:color w:val="auto"/>
              </w:rPr>
            </w:pPr>
            <w:r>
              <w:rPr>
                <w:rFonts w:ascii="Arial" w:cs="Arial" w:eastAsia="Arial" w:hAnsi="Arial"/>
                <w:sz w:val="32"/>
                <w:szCs w:val="32"/>
                <w:color w:val="auto"/>
                <w:vertAlign w:val="subscript"/>
              </w:rPr>
              <w:t>PAA</w:t>
            </w:r>
            <w:r>
              <w:rPr>
                <w:rFonts w:ascii="Arial" w:cs="Arial" w:eastAsia="Arial" w:hAnsi="Arial"/>
                <w:sz w:val="11"/>
                <w:szCs w:val="11"/>
                <w:color w:val="auto"/>
              </w:rPr>
              <w:t>(1)</w:t>
            </w:r>
          </w:p>
        </w:tc>
        <w:tc>
          <w:tcPr>
            <w:tcW w:w="100" w:type="dxa"/>
            <w:vAlign w:val="bottom"/>
            <w:tcBorders>
              <w:bottom w:val="single" w:sz="8" w:color="424E6A"/>
              <w:right w:val="single" w:sz="8" w:color="424E6A"/>
            </w:tcBorders>
          </w:tcPr>
          <w:p>
            <w:pPr>
              <w:spacing w:after="0"/>
              <w:rPr>
                <w:sz w:val="24"/>
                <w:szCs w:val="24"/>
                <w:color w:val="auto"/>
              </w:rPr>
            </w:pPr>
          </w:p>
        </w:tc>
        <w:tc>
          <w:tcPr>
            <w:tcW w:w="220" w:type="dxa"/>
            <w:vAlign w:val="bottom"/>
            <w:tcBorders>
              <w:bottom w:val="single" w:sz="8" w:color="424E6A"/>
            </w:tcBorders>
          </w:tcPr>
          <w:p>
            <w:pPr>
              <w:spacing w:after="0"/>
              <w:rPr>
                <w:sz w:val="24"/>
                <w:szCs w:val="24"/>
                <w:color w:val="auto"/>
              </w:rPr>
            </w:pPr>
          </w:p>
        </w:tc>
        <w:tc>
          <w:tcPr>
            <w:tcW w:w="2440" w:type="dxa"/>
            <w:vAlign w:val="bottom"/>
            <w:tcBorders>
              <w:bottom w:val="single" w:sz="8" w:color="424E6A"/>
            </w:tcBorders>
          </w:tcPr>
          <w:p>
            <w:pPr>
              <w:spacing w:after="0"/>
              <w:rPr>
                <w:sz w:val="24"/>
                <w:szCs w:val="24"/>
                <w:color w:val="auto"/>
              </w:rPr>
            </w:pPr>
          </w:p>
        </w:tc>
        <w:tc>
          <w:tcPr>
            <w:tcW w:w="100" w:type="dxa"/>
            <w:vAlign w:val="bottom"/>
            <w:tcBorders>
              <w:bottom w:val="single" w:sz="8" w:color="424E6A"/>
              <w:right w:val="single" w:sz="8" w:color="424E6A"/>
            </w:tcBorders>
          </w:tcPr>
          <w:p>
            <w:pPr>
              <w:spacing w:after="0"/>
              <w:rPr>
                <w:sz w:val="24"/>
                <w:szCs w:val="24"/>
                <w:color w:val="auto"/>
              </w:rPr>
            </w:pPr>
          </w:p>
        </w:tc>
        <w:tc>
          <w:tcPr>
            <w:tcW w:w="220" w:type="dxa"/>
            <w:vAlign w:val="bottom"/>
            <w:tcBorders>
              <w:bottom w:val="single" w:sz="8" w:color="424E6A"/>
            </w:tcBorders>
          </w:tcPr>
          <w:p>
            <w:pPr>
              <w:spacing w:after="0"/>
              <w:rPr>
                <w:sz w:val="24"/>
                <w:szCs w:val="24"/>
                <w:color w:val="auto"/>
              </w:rPr>
            </w:pPr>
          </w:p>
        </w:tc>
        <w:tc>
          <w:tcPr>
            <w:tcW w:w="2480" w:type="dxa"/>
            <w:vAlign w:val="bottom"/>
            <w:tcBorders>
              <w:bottom w:val="single" w:sz="8" w:color="424E6A"/>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262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Implied DCF per CUE</w:t>
            </w:r>
            <w:r>
              <w:rPr>
                <w:rFonts w:ascii="Arial" w:cs="Arial" w:eastAsia="Arial" w:hAnsi="Arial"/>
                <w:sz w:val="23"/>
                <w:szCs w:val="23"/>
                <w:color w:val="auto"/>
                <w:vertAlign w:val="superscript"/>
              </w:rPr>
              <w:t>(1)</w:t>
            </w:r>
          </w:p>
        </w:tc>
        <w:tc>
          <w:tcPr>
            <w:tcW w:w="100" w:type="dxa"/>
            <w:vAlign w:val="bottom"/>
            <w:tcBorders>
              <w:bottom w:val="single" w:sz="8" w:color="424E6A"/>
              <w:right w:val="single" w:sz="8" w:color="424E6A"/>
            </w:tcBorders>
          </w:tcPr>
          <w:p>
            <w:pPr>
              <w:spacing w:after="0"/>
              <w:rPr>
                <w:sz w:val="24"/>
                <w:szCs w:val="24"/>
                <w:color w:val="auto"/>
              </w:rPr>
            </w:pPr>
          </w:p>
        </w:tc>
        <w:tc>
          <w:tcPr>
            <w:tcW w:w="266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424E6A"/>
              <w:right w:val="single" w:sz="8" w:color="424E6A"/>
            </w:tcBorders>
          </w:tcPr>
          <w:p>
            <w:pPr>
              <w:spacing w:after="0"/>
              <w:rPr>
                <w:sz w:val="24"/>
                <w:szCs w:val="24"/>
                <w:color w:val="auto"/>
              </w:rPr>
            </w:pPr>
          </w:p>
        </w:tc>
        <w:tc>
          <w:tcPr>
            <w:tcW w:w="2700" w:type="dxa"/>
            <w:vAlign w:val="bottom"/>
            <w:tcBorders>
              <w:bottom w:val="single" w:sz="8" w:color="424E6A"/>
            </w:tcBorders>
            <w:gridSpan w:val="2"/>
          </w:tcPr>
          <w:p>
            <w:pPr>
              <w:ind w:left="8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620" w:type="dxa"/>
            <w:vAlign w:val="bottom"/>
          </w:tcPr>
          <w:p>
            <w:pPr>
              <w:ind w:left="60"/>
              <w:spacing w:after="0"/>
              <w:rPr>
                <w:sz w:val="20"/>
                <w:szCs w:val="20"/>
                <w:color w:val="auto"/>
              </w:rPr>
            </w:pPr>
            <w:r>
              <w:rPr>
                <w:rFonts w:ascii="Arial" w:cs="Arial" w:eastAsia="Arial" w:hAnsi="Arial"/>
                <w:sz w:val="18"/>
                <w:szCs w:val="18"/>
                <w:color w:val="auto"/>
              </w:rPr>
              <w:t>Safety and Environmental</w:t>
            </w:r>
          </w:p>
        </w:tc>
        <w:tc>
          <w:tcPr>
            <w:tcW w:w="100" w:type="dxa"/>
            <w:vAlign w:val="bottom"/>
            <w:tcBorders>
              <w:right w:val="single" w:sz="8" w:color="424E6A"/>
            </w:tcBorders>
          </w:tcPr>
          <w:p>
            <w:pPr>
              <w:spacing w:after="0"/>
              <w:rPr>
                <w:sz w:val="21"/>
                <w:szCs w:val="21"/>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440" w:type="dxa"/>
            <w:vAlign w:val="bottom"/>
          </w:tcPr>
          <w:p>
            <w:pPr>
              <w:ind w:left="80"/>
              <w:spacing w:after="0"/>
              <w:rPr>
                <w:sz w:val="20"/>
                <w:szCs w:val="20"/>
                <w:color w:val="auto"/>
              </w:rPr>
            </w:pPr>
            <w:r>
              <w:rPr>
                <w:rFonts w:ascii="Arial" w:cs="Arial" w:eastAsia="Arial" w:hAnsi="Arial"/>
                <w:sz w:val="18"/>
                <w:szCs w:val="18"/>
                <w:color w:val="auto"/>
                <w:w w:val="98"/>
              </w:rPr>
              <w:t>Total Preventable Recordable</w:t>
            </w:r>
          </w:p>
        </w:tc>
        <w:tc>
          <w:tcPr>
            <w:tcW w:w="100" w:type="dxa"/>
            <w:vAlign w:val="bottom"/>
            <w:tcBorders>
              <w:right w:val="single" w:sz="8" w:color="424E6A"/>
            </w:tcBorders>
          </w:tcPr>
          <w:p>
            <w:pPr>
              <w:spacing w:after="0"/>
              <w:rPr>
                <w:sz w:val="21"/>
                <w:szCs w:val="21"/>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2480" w:type="dxa"/>
            <w:vAlign w:val="bottom"/>
          </w:tcPr>
          <w:p>
            <w:pPr>
              <w:ind w:left="60"/>
              <w:spacing w:after="0"/>
              <w:rPr>
                <w:sz w:val="20"/>
                <w:szCs w:val="20"/>
                <w:color w:val="auto"/>
              </w:rPr>
            </w:pPr>
            <w:r>
              <w:rPr>
                <w:rFonts w:ascii="Arial" w:cs="Arial" w:eastAsia="Arial" w:hAnsi="Arial"/>
                <w:sz w:val="18"/>
                <w:szCs w:val="18"/>
                <w:color w:val="auto"/>
              </w:rPr>
              <w:t>TRIR: 0.22</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Borders>
              <w:right w:val="single" w:sz="8" w:color="424E6A"/>
            </w:tcBorders>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tcPr>
          <w:p>
            <w:pPr>
              <w:ind w:left="80"/>
              <w:spacing w:after="0"/>
              <w:rPr>
                <w:sz w:val="20"/>
                <w:szCs w:val="20"/>
                <w:color w:val="auto"/>
              </w:rPr>
            </w:pPr>
            <w:r>
              <w:rPr>
                <w:rFonts w:ascii="Arial" w:cs="Arial" w:eastAsia="Arial" w:hAnsi="Arial"/>
                <w:sz w:val="18"/>
                <w:szCs w:val="18"/>
                <w:color w:val="auto"/>
              </w:rPr>
              <w:t>Injury Rate (TRIR): 0.25</w:t>
            </w:r>
          </w:p>
        </w:tc>
        <w:tc>
          <w:tcPr>
            <w:tcW w:w="100" w:type="dxa"/>
            <w:vAlign w:val="bottom"/>
            <w:tcBorders>
              <w:right w:val="single" w:sz="8" w:color="424E6A"/>
            </w:tcBorders>
          </w:tcPr>
          <w:p>
            <w:pPr>
              <w:spacing w:after="0"/>
              <w:rPr>
                <w:sz w:val="20"/>
                <w:szCs w:val="20"/>
                <w:color w:val="auto"/>
              </w:rPr>
            </w:pPr>
          </w:p>
        </w:tc>
        <w:tc>
          <w:tcPr>
            <w:tcW w:w="22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2480" w:type="dxa"/>
            <w:vAlign w:val="bottom"/>
            <w:vMerge w:val="restart"/>
          </w:tcPr>
          <w:p>
            <w:pPr>
              <w:ind w:left="40"/>
              <w:spacing w:after="0"/>
              <w:rPr>
                <w:sz w:val="20"/>
                <w:szCs w:val="20"/>
                <w:color w:val="auto"/>
              </w:rPr>
            </w:pPr>
            <w:r>
              <w:rPr>
                <w:rFonts w:ascii="Arial" w:cs="Arial" w:eastAsia="Arial" w:hAnsi="Arial"/>
                <w:sz w:val="18"/>
                <w:szCs w:val="18"/>
                <w:color w:val="auto"/>
              </w:rPr>
              <w:t>OPRR: 10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00" w:type="dxa"/>
            <w:vAlign w:val="bottom"/>
            <w:tcBorders>
              <w:right w:val="single" w:sz="8" w:color="424E6A"/>
            </w:tcBorders>
          </w:tcPr>
          <w:p>
            <w:pPr>
              <w:spacing w:after="0"/>
              <w:rPr>
                <w:sz w:val="5"/>
                <w:szCs w:val="5"/>
                <w:color w:val="auto"/>
              </w:rPr>
            </w:pPr>
          </w:p>
        </w:tc>
        <w:tc>
          <w:tcPr>
            <w:tcW w:w="2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00" w:type="dxa"/>
            <w:vAlign w:val="bottom"/>
            <w:tcBorders>
              <w:right w:val="single" w:sz="8" w:color="424E6A"/>
            </w:tcBorders>
          </w:tcPr>
          <w:p>
            <w:pPr>
              <w:spacing w:after="0"/>
              <w:rPr>
                <w:sz w:val="5"/>
                <w:szCs w:val="5"/>
                <w:color w:val="auto"/>
              </w:rPr>
            </w:pPr>
          </w:p>
        </w:tc>
        <w:tc>
          <w:tcPr>
            <w:tcW w:w="220" w:type="dxa"/>
            <w:vAlign w:val="bottom"/>
            <w:vMerge w:val="continue"/>
          </w:tcPr>
          <w:p>
            <w:pPr>
              <w:spacing w:after="0"/>
              <w:rPr>
                <w:sz w:val="5"/>
                <w:szCs w:val="5"/>
                <w:color w:val="auto"/>
              </w:rPr>
            </w:pPr>
          </w:p>
        </w:tc>
        <w:tc>
          <w:tcPr>
            <w:tcW w:w="2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Borders>
              <w:right w:val="single" w:sz="8" w:color="424E6A"/>
            </w:tcBorders>
          </w:tcPr>
          <w:p>
            <w:pPr>
              <w:spacing w:after="0"/>
              <w:rPr>
                <w:sz w:val="20"/>
                <w:szCs w:val="20"/>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440" w:type="dxa"/>
            <w:vAlign w:val="bottom"/>
          </w:tcPr>
          <w:p>
            <w:pPr>
              <w:ind w:left="60"/>
              <w:spacing w:after="0"/>
              <w:rPr>
                <w:sz w:val="20"/>
                <w:szCs w:val="20"/>
                <w:color w:val="auto"/>
              </w:rPr>
            </w:pPr>
            <w:r>
              <w:rPr>
                <w:rFonts w:ascii="Arial" w:cs="Arial" w:eastAsia="Arial" w:hAnsi="Arial"/>
                <w:sz w:val="18"/>
                <w:szCs w:val="18"/>
                <w:color w:val="auto"/>
              </w:rPr>
              <w:t>Off Property Reportable</w:t>
            </w:r>
          </w:p>
        </w:tc>
        <w:tc>
          <w:tcPr>
            <w:tcW w:w="100" w:type="dxa"/>
            <w:vAlign w:val="bottom"/>
            <w:tcBorders>
              <w:right w:val="single" w:sz="8" w:color="424E6A"/>
            </w:tcBorders>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Borders>
              <w:right w:val="single" w:sz="8" w:color="424E6A"/>
            </w:tcBorders>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tcPr>
          <w:p>
            <w:pPr>
              <w:ind w:left="60"/>
              <w:spacing w:after="0"/>
              <w:rPr>
                <w:sz w:val="20"/>
                <w:szCs w:val="20"/>
                <w:color w:val="auto"/>
              </w:rPr>
            </w:pPr>
            <w:r>
              <w:rPr>
                <w:rFonts w:ascii="Arial" w:cs="Arial" w:eastAsia="Arial" w:hAnsi="Arial"/>
                <w:sz w:val="18"/>
                <w:szCs w:val="18"/>
                <w:color w:val="auto"/>
              </w:rPr>
              <w:t>Releases (OPRR): 10</w:t>
            </w:r>
          </w:p>
        </w:tc>
        <w:tc>
          <w:tcPr>
            <w:tcW w:w="100" w:type="dxa"/>
            <w:vAlign w:val="bottom"/>
            <w:tcBorders>
              <w:right w:val="single" w:sz="8" w:color="424E6A"/>
            </w:tcBorders>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0" w:type="dxa"/>
            <w:vAlign w:val="bottom"/>
            <w:tcBorders>
              <w:bottom w:val="single" w:sz="8" w:color="424E6A"/>
            </w:tcBorders>
          </w:tcPr>
          <w:p>
            <w:pPr>
              <w:spacing w:after="0"/>
              <w:rPr>
                <w:sz w:val="2"/>
                <w:szCs w:val="2"/>
                <w:color w:val="auto"/>
              </w:rPr>
            </w:pPr>
          </w:p>
        </w:tc>
        <w:tc>
          <w:tcPr>
            <w:tcW w:w="2620" w:type="dxa"/>
            <w:vAlign w:val="bottom"/>
            <w:tcBorders>
              <w:bottom w:val="single" w:sz="8" w:color="424E6A"/>
            </w:tcBorders>
          </w:tcPr>
          <w:p>
            <w:pPr>
              <w:spacing w:after="0"/>
              <w:rPr>
                <w:sz w:val="2"/>
                <w:szCs w:val="2"/>
                <w:color w:val="auto"/>
              </w:rPr>
            </w:pPr>
          </w:p>
        </w:tc>
        <w:tc>
          <w:tcPr>
            <w:tcW w:w="100" w:type="dxa"/>
            <w:vAlign w:val="bottom"/>
            <w:tcBorders>
              <w:bottom w:val="single" w:sz="8" w:color="424E6A"/>
              <w:right w:val="single" w:sz="8" w:color="424E6A"/>
            </w:tcBorders>
          </w:tcPr>
          <w:p>
            <w:pPr>
              <w:spacing w:after="0"/>
              <w:rPr>
                <w:sz w:val="2"/>
                <w:szCs w:val="2"/>
                <w:color w:val="auto"/>
              </w:rPr>
            </w:pPr>
          </w:p>
        </w:tc>
        <w:tc>
          <w:tcPr>
            <w:tcW w:w="220" w:type="dxa"/>
            <w:vAlign w:val="bottom"/>
            <w:tcBorders>
              <w:bottom w:val="single" w:sz="8" w:color="424E6A"/>
            </w:tcBorders>
          </w:tcPr>
          <w:p>
            <w:pPr>
              <w:spacing w:after="0"/>
              <w:rPr>
                <w:sz w:val="2"/>
                <w:szCs w:val="2"/>
                <w:color w:val="auto"/>
              </w:rPr>
            </w:pPr>
          </w:p>
        </w:tc>
        <w:tc>
          <w:tcPr>
            <w:tcW w:w="2440" w:type="dxa"/>
            <w:vAlign w:val="bottom"/>
            <w:tcBorders>
              <w:bottom w:val="single" w:sz="8" w:color="424E6A"/>
            </w:tcBorders>
          </w:tcPr>
          <w:p>
            <w:pPr>
              <w:spacing w:after="0"/>
              <w:rPr>
                <w:sz w:val="2"/>
                <w:szCs w:val="2"/>
                <w:color w:val="auto"/>
              </w:rPr>
            </w:pPr>
          </w:p>
        </w:tc>
        <w:tc>
          <w:tcPr>
            <w:tcW w:w="100" w:type="dxa"/>
            <w:vAlign w:val="bottom"/>
            <w:tcBorders>
              <w:bottom w:val="single" w:sz="8" w:color="424E6A"/>
              <w:right w:val="single" w:sz="8" w:color="424E6A"/>
            </w:tcBorders>
          </w:tcPr>
          <w:p>
            <w:pPr>
              <w:spacing w:after="0"/>
              <w:rPr>
                <w:sz w:val="2"/>
                <w:szCs w:val="2"/>
                <w:color w:val="auto"/>
              </w:rPr>
            </w:pPr>
          </w:p>
        </w:tc>
        <w:tc>
          <w:tcPr>
            <w:tcW w:w="220" w:type="dxa"/>
            <w:vAlign w:val="bottom"/>
            <w:tcBorders>
              <w:bottom w:val="single" w:sz="8" w:color="424E6A"/>
            </w:tcBorders>
          </w:tcPr>
          <w:p>
            <w:pPr>
              <w:spacing w:after="0"/>
              <w:rPr>
                <w:sz w:val="2"/>
                <w:szCs w:val="2"/>
                <w:color w:val="auto"/>
              </w:rPr>
            </w:pPr>
          </w:p>
        </w:tc>
        <w:tc>
          <w:tcPr>
            <w:tcW w:w="2480" w:type="dxa"/>
            <w:vAlign w:val="bottom"/>
            <w:tcBorders>
              <w:bottom w:val="single" w:sz="8" w:color="424E6A"/>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620" w:type="dxa"/>
            <w:vAlign w:val="bottom"/>
            <w:shd w:val="clear" w:color="auto" w:fill="D9DCE1"/>
          </w:tcPr>
          <w:p>
            <w:pPr>
              <w:ind w:left="40"/>
              <w:spacing w:after="0"/>
              <w:rPr>
                <w:sz w:val="20"/>
                <w:szCs w:val="20"/>
                <w:color w:val="auto"/>
              </w:rPr>
            </w:pPr>
            <w:r>
              <w:rPr>
                <w:rFonts w:ascii="Arial" w:cs="Arial" w:eastAsia="Arial" w:hAnsi="Arial"/>
                <w:sz w:val="18"/>
                <w:szCs w:val="18"/>
                <w:b w:val="1"/>
                <w:bCs w:val="1"/>
                <w:color w:val="auto"/>
              </w:rPr>
              <w:t>Qualitative Goals</w:t>
            </w:r>
          </w:p>
        </w:tc>
        <w:tc>
          <w:tcPr>
            <w:tcW w:w="100" w:type="dxa"/>
            <w:vAlign w:val="bottom"/>
            <w:tcBorders>
              <w:right w:val="single" w:sz="8" w:color="D9DCE1"/>
            </w:tcBorders>
            <w:shd w:val="clear" w:color="auto" w:fill="D9DCE1"/>
          </w:tcPr>
          <w:p>
            <w:pPr>
              <w:spacing w:after="0"/>
              <w:rPr>
                <w:sz w:val="22"/>
                <w:szCs w:val="22"/>
                <w:color w:val="auto"/>
              </w:rPr>
            </w:pPr>
          </w:p>
        </w:tc>
        <w:tc>
          <w:tcPr>
            <w:tcW w:w="220" w:type="dxa"/>
            <w:vAlign w:val="bottom"/>
            <w:shd w:val="clear" w:color="auto" w:fill="D9DCE1"/>
          </w:tcPr>
          <w:p>
            <w:pPr>
              <w:spacing w:after="0"/>
              <w:rPr>
                <w:sz w:val="22"/>
                <w:szCs w:val="22"/>
                <w:color w:val="auto"/>
              </w:rPr>
            </w:pPr>
          </w:p>
        </w:tc>
        <w:tc>
          <w:tcPr>
            <w:tcW w:w="2440" w:type="dxa"/>
            <w:vAlign w:val="bottom"/>
            <w:shd w:val="clear" w:color="auto" w:fill="D9DCE1"/>
          </w:tcPr>
          <w:p>
            <w:pPr>
              <w:spacing w:after="0"/>
              <w:rPr>
                <w:sz w:val="22"/>
                <w:szCs w:val="22"/>
                <w:color w:val="auto"/>
              </w:rPr>
            </w:pPr>
          </w:p>
        </w:tc>
        <w:tc>
          <w:tcPr>
            <w:tcW w:w="100" w:type="dxa"/>
            <w:vAlign w:val="bottom"/>
            <w:tcBorders>
              <w:right w:val="single" w:sz="8" w:color="D9DCE1"/>
            </w:tcBorders>
            <w:shd w:val="clear" w:color="auto" w:fill="D9DCE1"/>
          </w:tcPr>
          <w:p>
            <w:pPr>
              <w:spacing w:after="0"/>
              <w:rPr>
                <w:sz w:val="22"/>
                <w:szCs w:val="22"/>
                <w:color w:val="auto"/>
              </w:rPr>
            </w:pPr>
          </w:p>
        </w:tc>
        <w:tc>
          <w:tcPr>
            <w:tcW w:w="220" w:type="dxa"/>
            <w:vAlign w:val="bottom"/>
            <w:shd w:val="clear" w:color="auto" w:fill="D9DCE1"/>
          </w:tcPr>
          <w:p>
            <w:pPr>
              <w:spacing w:after="0"/>
              <w:rPr>
                <w:sz w:val="22"/>
                <w:szCs w:val="22"/>
                <w:color w:val="auto"/>
              </w:rPr>
            </w:pPr>
          </w:p>
        </w:tc>
        <w:tc>
          <w:tcPr>
            <w:tcW w:w="2480" w:type="dxa"/>
            <w:vAlign w:val="bottom"/>
            <w:shd w:val="clear" w:color="auto" w:fill="D9DCE1"/>
          </w:tcPr>
          <w:p>
            <w:pPr>
              <w:spacing w:after="0"/>
              <w:rPr>
                <w:sz w:val="22"/>
                <w:szCs w:val="22"/>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680" w:right="599" w:hanging="173"/>
        <w:spacing w:after="0" w:line="268" w:lineRule="auto"/>
        <w:tabs>
          <w:tab w:leader="none" w:pos="168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Financial</w:t>
      </w:r>
      <w:r>
        <w:rPr>
          <w:rFonts w:ascii="Arial" w:cs="Arial" w:eastAsia="Arial" w:hAnsi="Arial"/>
          <w:sz w:val="18"/>
          <w:szCs w:val="18"/>
          <w:color w:val="auto"/>
        </w:rPr>
        <w:t>: maintain financial flexibility and liquidity; maintain leverage ratio comfortably in range of 3.25x to 3.75x; generate meaningful free cash flow and increase returns of free cash flow after distributions to unitholders.</w:t>
      </w:r>
    </w:p>
    <w:p>
      <w:pPr>
        <w:spacing w:after="0" w:line="89" w:lineRule="exact"/>
        <w:rPr>
          <w:rFonts w:ascii="Arial" w:cs="Arial" w:eastAsia="Arial" w:hAnsi="Arial"/>
          <w:sz w:val="18"/>
          <w:szCs w:val="18"/>
          <w:color w:val="auto"/>
        </w:rPr>
      </w:pPr>
    </w:p>
    <w:p>
      <w:pPr>
        <w:jc w:val="both"/>
        <w:ind w:left="1680" w:right="539" w:hanging="173"/>
        <w:spacing w:after="0" w:line="268" w:lineRule="auto"/>
        <w:tabs>
          <w:tab w:leader="none" w:pos="168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Investment</w:t>
      </w:r>
      <w:r>
        <w:rPr>
          <w:rFonts w:ascii="Arial" w:cs="Arial" w:eastAsia="Arial" w:hAnsi="Arial"/>
          <w:sz w:val="18"/>
          <w:szCs w:val="18"/>
          <w:color w:val="auto"/>
        </w:rPr>
        <w:t>: maintain capital discipline by completing our capital program and maintaining prudent risk adjusted return hurdles for projects under development; advance key projects that will support future growth and returns; and enhance existing assets.</w:t>
      </w:r>
    </w:p>
    <w:p>
      <w:pPr>
        <w:spacing w:after="0" w:line="103" w:lineRule="exact"/>
        <w:rPr>
          <w:rFonts w:ascii="Arial" w:cs="Arial" w:eastAsia="Arial" w:hAnsi="Arial"/>
          <w:sz w:val="18"/>
          <w:szCs w:val="18"/>
          <w:color w:val="auto"/>
        </w:rPr>
      </w:pPr>
    </w:p>
    <w:p>
      <w:pPr>
        <w:ind w:left="1680" w:right="519" w:hanging="173"/>
        <w:spacing w:after="0" w:line="259" w:lineRule="auto"/>
        <w:tabs>
          <w:tab w:leader="none" w:pos="168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Operations and Management</w:t>
      </w:r>
      <w:r>
        <w:rPr>
          <w:rFonts w:ascii="Arial" w:cs="Arial" w:eastAsia="Arial" w:hAnsi="Arial"/>
          <w:sz w:val="18"/>
          <w:szCs w:val="18"/>
          <w:color w:val="auto"/>
        </w:rPr>
        <w:t>: advance and complete key programs and initiatives, including efforts designed to streamline and improve the efficiency of our operations, systems and processes; progress health, safety and environmental goals; and advance key initiatives related to leadership and career development and succession planning, employee engagement, and employee wellbeing.</w:t>
      </w:r>
    </w:p>
    <w:p>
      <w:pPr>
        <w:spacing w:after="0" w:line="125" w:lineRule="exact"/>
        <w:rPr>
          <w:rFonts w:ascii="Arial" w:cs="Arial" w:eastAsia="Arial" w:hAnsi="Arial"/>
          <w:sz w:val="18"/>
          <w:szCs w:val="18"/>
          <w:color w:val="auto"/>
        </w:rPr>
      </w:pPr>
    </w:p>
    <w:p>
      <w:pPr>
        <w:ind w:left="2040" w:right="519" w:hanging="353"/>
        <w:spacing w:after="0" w:line="242" w:lineRule="auto"/>
        <w:tabs>
          <w:tab w:leader="none" w:pos="2040" w:val="left"/>
        </w:tabs>
        <w:numPr>
          <w:ilvl w:val="1"/>
          <w:numId w:val="38"/>
        </w:numPr>
        <w:rPr>
          <w:rFonts w:ascii="Arial" w:cs="Arial" w:eastAsia="Arial" w:hAnsi="Arial"/>
          <w:sz w:val="23"/>
          <w:szCs w:val="23"/>
          <w:color w:val="auto"/>
          <w:vertAlign w:val="superscript"/>
        </w:rPr>
      </w:pPr>
      <w:r>
        <w:rPr>
          <w:rFonts w:ascii="Arial" w:cs="Arial" w:eastAsia="Arial" w:hAnsi="Arial"/>
          <w:sz w:val="18"/>
          <w:szCs w:val="18"/>
          <w:color w:val="auto"/>
        </w:rPr>
        <w:t>Adjusted EBITDA attributable to PAA and Implied DCF are non-GAAP financial measures. Information regarding these non-GAAP financial measures, including a reconciliation to the most directly comparable GAAP measures, is included under the caption “Non-GAAP Financial Measures” beginning on page 75 of PAA’s Annual Report on Form 10-K for the year ended December 31, 2025 as filed with the SEC (File No. 001-14569).</w:t>
      </w:r>
    </w:p>
    <w:p>
      <w:pPr>
        <w:spacing w:after="0" w:line="194" w:lineRule="exact"/>
        <w:rPr>
          <w:sz w:val="20"/>
          <w:szCs w:val="20"/>
          <w:color w:val="auto"/>
        </w:rPr>
      </w:pPr>
    </w:p>
    <w:p>
      <w:pPr>
        <w:ind w:left="1260" w:right="559" w:firstLine="360"/>
        <w:spacing w:after="0" w:line="287" w:lineRule="auto"/>
        <w:rPr>
          <w:sz w:val="20"/>
          <w:szCs w:val="20"/>
          <w:color w:val="auto"/>
        </w:rPr>
      </w:pPr>
      <w:r>
        <w:rPr>
          <w:rFonts w:ascii="Arial" w:cs="Arial" w:eastAsia="Arial" w:hAnsi="Arial"/>
          <w:sz w:val="18"/>
          <w:szCs w:val="18"/>
          <w:color w:val="auto"/>
        </w:rPr>
        <w:t>Set forth below is a brief recap of our 2025 performance relative to our goals and objectives for the year:</w:t>
      </w:r>
    </w:p>
    <w:p>
      <w:pPr>
        <w:spacing w:after="0" w:line="45" w:lineRule="exact"/>
        <w:rPr>
          <w:sz w:val="20"/>
          <w:szCs w:val="20"/>
          <w:color w:val="auto"/>
        </w:rPr>
      </w:pPr>
    </w:p>
    <w:p>
      <w:pPr>
        <w:ind w:left="1800" w:right="519" w:hanging="180"/>
        <w:spacing w:after="0" w:line="259"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 respect to Adjusted EBITDA attributable to PAA and DCF per CUE, our actual results were below plan by approximately 2% and 3%, respectively. The underperformance was driven primarily by lower prices and pipeline loss allowance revenues offset by favorable NGL market opportunities, trucking cost optimization efforts and two months of EBITDA contributions from the EPIC acquisition.</w:t>
      </w:r>
    </w:p>
    <w:p>
      <w:pPr>
        <w:spacing w:after="0" w:line="71" w:lineRule="exact"/>
        <w:rPr>
          <w:rFonts w:ascii="Arial" w:cs="Arial" w:eastAsia="Arial" w:hAnsi="Arial"/>
          <w:sz w:val="18"/>
          <w:szCs w:val="18"/>
          <w:color w:val="auto"/>
        </w:rPr>
      </w:pPr>
    </w:p>
    <w:p>
      <w:pPr>
        <w:ind w:left="1800" w:right="419" w:hanging="180"/>
        <w:spacing w:after="0" w:line="262"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exited the year with a leverage ratio of 3.9x (above our leverage ratio target range) primarily driven by debt issued to fund the EPIC acquisition. The leverage ratio is expected to return to approximately the midpoint of our target range following receipt of proceeds from the pending sale of our Canadian NGL business.</w:t>
      </w:r>
    </w:p>
    <w:p>
      <w:pPr>
        <w:spacing w:after="0" w:line="68" w:lineRule="exact"/>
        <w:rPr>
          <w:rFonts w:ascii="Arial" w:cs="Arial" w:eastAsia="Arial" w:hAnsi="Arial"/>
          <w:sz w:val="18"/>
          <w:szCs w:val="18"/>
          <w:color w:val="auto"/>
        </w:rPr>
      </w:pPr>
    </w:p>
    <w:p>
      <w:pPr>
        <w:ind w:left="1800" w:right="599" w:hanging="180"/>
        <w:spacing w:after="0" w:line="287"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achieved a record low total preventable recordable injury rate (“TRIR”) of 0.22, and reduced injury severity.</w:t>
      </w:r>
    </w:p>
    <w:p>
      <w:pPr>
        <w:spacing w:after="0" w:line="44" w:lineRule="exact"/>
        <w:rPr>
          <w:rFonts w:ascii="Arial" w:cs="Arial" w:eastAsia="Arial" w:hAnsi="Arial"/>
          <w:sz w:val="18"/>
          <w:szCs w:val="18"/>
          <w:color w:val="auto"/>
        </w:rPr>
      </w:pPr>
    </w:p>
    <w:p>
      <w:pPr>
        <w:ind w:left="1800" w:right="539" w:hanging="180"/>
        <w:spacing w:after="0" w:line="287"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met our target for off-property reportable releases (“OPRR”) of 10 and achieved a record low number of total reportable releases.</w:t>
      </w:r>
    </w:p>
    <w:p>
      <w:pPr>
        <w:sectPr>
          <w:pgSz w:w="11900" w:h="16838" w:orient="portrait"/>
          <w:cols w:equalWidth="0" w:num="1">
            <w:col w:w="9879"/>
          </w:cols>
          <w:pgMar w:left="580" w:top="97" w:right="1440" w:bottom="1440" w:gutter="0" w:footer="0" w:header="0"/>
        </w:sectPr>
      </w:pPr>
    </w:p>
    <w:p>
      <w:pPr>
        <w:spacing w:after="0" w:line="34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699" w:firstLine="360"/>
        <w:spacing w:after="0" w:line="261" w:lineRule="auto"/>
        <w:rPr>
          <w:sz w:val="20"/>
          <w:szCs w:val="20"/>
          <w:color w:val="auto"/>
        </w:rPr>
      </w:pPr>
      <w:r>
        <w:rPr>
          <w:rFonts w:ascii="Arial" w:cs="Arial" w:eastAsia="Arial" w:hAnsi="Arial"/>
          <w:sz w:val="18"/>
          <w:szCs w:val="18"/>
          <w:color w:val="auto"/>
        </w:rPr>
        <w:t>In developing his annual bonus recommendations, our CEO primarily considered the quantitative factors and context described above. Other factors noted by our CEO as being relevant to his assessment of our 2025 performance included the following:</w:t>
      </w:r>
    </w:p>
    <w:p>
      <w:pPr>
        <w:spacing w:after="0" w:line="54" w:lineRule="exact"/>
        <w:rPr>
          <w:sz w:val="20"/>
          <w:szCs w:val="20"/>
          <w:color w:val="auto"/>
        </w:rPr>
      </w:pPr>
    </w:p>
    <w:p>
      <w:pPr>
        <w:ind w:left="1800" w:right="939" w:hanging="180"/>
        <w:spacing w:after="0" w:line="28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Reached an agreement to sell our Canadian NGL business to Keyera Corp. at an attractive valuation of approximately $3.75 billion, with closing targeted for May 2026.</w:t>
      </w:r>
    </w:p>
    <w:p>
      <w:pPr>
        <w:spacing w:after="0" w:line="44" w:lineRule="exact"/>
        <w:rPr>
          <w:rFonts w:ascii="Arial" w:cs="Arial" w:eastAsia="Arial" w:hAnsi="Arial"/>
          <w:sz w:val="18"/>
          <w:szCs w:val="18"/>
          <w:color w:val="auto"/>
        </w:rPr>
      </w:pPr>
    </w:p>
    <w:p>
      <w:pPr>
        <w:ind w:left="1800" w:right="739" w:hanging="180"/>
        <w:spacing w:after="0" w:line="262"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Proactively redeployed the anticipated NGL sale proceeds to acquire the Permian EPIC crude system for approximately $2.90 billion in a transaction that was immediately accretive to distributable cash flow (DCF) and provided Plains with a higher quality and more durable cash flow stream.</w:t>
      </w:r>
    </w:p>
    <w:p>
      <w:pPr>
        <w:spacing w:after="0" w:line="68" w:lineRule="exact"/>
        <w:rPr>
          <w:rFonts w:ascii="Arial" w:cs="Arial" w:eastAsia="Arial" w:hAnsi="Arial"/>
          <w:sz w:val="18"/>
          <w:szCs w:val="18"/>
          <w:color w:val="auto"/>
        </w:rPr>
      </w:pPr>
    </w:p>
    <w:p>
      <w:pPr>
        <w:ind w:left="1800" w:right="699" w:hanging="180"/>
        <w:spacing w:after="0" w:line="28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Further advanced our bolt-on acquisition strategy by completing five additional transactions for aggregate purchase price consideration of approximately $800 million net to Plains.</w:t>
      </w:r>
    </w:p>
    <w:p>
      <w:pPr>
        <w:spacing w:after="0" w:line="44" w:lineRule="exact"/>
        <w:rPr>
          <w:rFonts w:ascii="Arial" w:cs="Arial" w:eastAsia="Arial" w:hAnsi="Arial"/>
          <w:sz w:val="18"/>
          <w:szCs w:val="18"/>
          <w:color w:val="auto"/>
        </w:rPr>
      </w:pPr>
    </w:p>
    <w:p>
      <w:pPr>
        <w:ind w:left="1800" w:right="819" w:hanging="180"/>
        <w:spacing w:after="0" w:line="28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Maintained top-quartile health, safety and environmental (HSE) performance despite multiple concurrent initiatives and organizational changes.</w:t>
      </w:r>
    </w:p>
    <w:p>
      <w:pPr>
        <w:spacing w:after="0" w:line="44" w:lineRule="exact"/>
        <w:rPr>
          <w:rFonts w:ascii="Arial" w:cs="Arial" w:eastAsia="Arial" w:hAnsi="Arial"/>
          <w:sz w:val="18"/>
          <w:szCs w:val="18"/>
          <w:color w:val="auto"/>
        </w:rPr>
      </w:pPr>
    </w:p>
    <w:p>
      <w:pPr>
        <w:ind w:left="1800" w:right="519" w:hanging="180"/>
        <w:spacing w:after="0" w:line="28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Extended key long-haul contracts in the Permian Basin and significantly expanded our dedicated acreage.</w:t>
      </w:r>
    </w:p>
    <w:p>
      <w:pPr>
        <w:spacing w:after="0" w:line="31" w:lineRule="exact"/>
        <w:rPr>
          <w:rFonts w:ascii="Arial" w:cs="Arial" w:eastAsia="Arial" w:hAnsi="Arial"/>
          <w:sz w:val="18"/>
          <w:szCs w:val="18"/>
          <w:color w:val="auto"/>
        </w:rPr>
      </w:pPr>
    </w:p>
    <w:p>
      <w:pPr>
        <w:ind w:left="1800" w:right="699" w:hanging="180"/>
        <w:spacing w:after="0" w:line="268"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Strengthened our financial flexibility through the issuance and refinancing of senior notes, refinancing EPIC’s term loan at lower rates, repurchasing a portion of our outstanding Series A preferred units and the extension of the maturity of our credit facilities.</w:t>
      </w:r>
    </w:p>
    <w:p>
      <w:pPr>
        <w:spacing w:after="0" w:line="62" w:lineRule="exact"/>
        <w:rPr>
          <w:rFonts w:ascii="Arial" w:cs="Arial" w:eastAsia="Arial" w:hAnsi="Arial"/>
          <w:sz w:val="18"/>
          <w:szCs w:val="18"/>
          <w:color w:val="auto"/>
        </w:rPr>
      </w:pPr>
    </w:p>
    <w:p>
      <w:pPr>
        <w:ind w:left="1800" w:right="959" w:hanging="180"/>
        <w:spacing w:after="0" w:line="28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Significantly advanced efforts related to optimization, streamlining, efficiency and other cost reduction initiatives and opportunities.</w:t>
      </w:r>
    </w:p>
    <w:p>
      <w:pPr>
        <w:spacing w:after="0" w:line="44" w:lineRule="exact"/>
        <w:rPr>
          <w:rFonts w:ascii="Arial" w:cs="Arial" w:eastAsia="Arial" w:hAnsi="Arial"/>
          <w:sz w:val="18"/>
          <w:szCs w:val="18"/>
          <w:color w:val="auto"/>
        </w:rPr>
      </w:pPr>
    </w:p>
    <w:p>
      <w:pPr>
        <w:ind w:left="1800" w:right="579" w:hanging="180"/>
        <w:spacing w:after="0" w:line="318" w:lineRule="auto"/>
        <w:tabs>
          <w:tab w:leader="none" w:pos="18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Advanced our leadership development, succession planning and employee career development efforts, and continued to enhance employee communication, engagement and wellbeing.</w:t>
      </w:r>
    </w:p>
    <w:p>
      <w:pPr>
        <w:spacing w:after="0" w:line="13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2025 Compensation Elements</w:t>
      </w:r>
    </w:p>
    <w:p>
      <w:pPr>
        <w:spacing w:after="0" w:line="15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2025, the elements of compensation were applied as described below.</w:t>
      </w:r>
    </w:p>
    <w:p>
      <w:pPr>
        <w:spacing w:after="0" w:line="158" w:lineRule="exact"/>
        <w:rPr>
          <w:sz w:val="20"/>
          <w:szCs w:val="20"/>
          <w:color w:val="auto"/>
        </w:rPr>
      </w:pPr>
    </w:p>
    <w:p>
      <w:pPr>
        <w:ind w:left="1260" w:right="459" w:firstLine="360"/>
        <w:spacing w:after="0" w:line="262"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In February 2025, the Compensation Committee recommended and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a $50,000 increase to Mr. Chiang’s annual base salary. Base salaries for the other NEOs were increased by approximately 3.6% to 7.3% depending on position. The 2025 annual base salaries for our NEOs were as follows:</w:t>
      </w:r>
    </w:p>
    <w:p>
      <w:pPr>
        <w:spacing w:after="0" w:line="155" w:lineRule="exact"/>
        <w:rPr>
          <w:sz w:val="20"/>
          <w:szCs w:val="20"/>
          <w:color w:val="auto"/>
        </w:rPr>
      </w:pPr>
    </w:p>
    <w:tbl>
      <w:tblPr>
        <w:tblLayout w:type="fixed"/>
        <w:tblInd w:w="1630" w:type="dxa"/>
        <w:tblCellMar>
          <w:top w:w="0" w:type="dxa"/>
          <w:left w:w="0" w:type="dxa"/>
          <w:bottom w:w="0" w:type="dxa"/>
          <w:right w:w="0" w:type="dxa"/>
        </w:tblCellMar>
      </w:tblPr>
      <w:tr>
        <w:trPr>
          <w:trHeight w:val="310"/>
        </w:trPr>
        <w:tc>
          <w:tcPr>
            <w:tcW w:w="500" w:type="dxa"/>
            <w:vAlign w:val="bottom"/>
            <w:tcBorders>
              <w:lef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2580" w:type="dxa"/>
            <w:vAlign w:val="bottom"/>
            <w:shd w:val="clear" w:color="auto" w:fill="424E6A"/>
          </w:tcPr>
          <w:p>
            <w:pPr>
              <w:ind w:left="440"/>
              <w:spacing w:after="0"/>
              <w:rPr>
                <w:sz w:val="20"/>
                <w:szCs w:val="20"/>
                <w:color w:val="auto"/>
              </w:rPr>
            </w:pPr>
            <w:r>
              <w:rPr>
                <w:rFonts w:ascii="Arial" w:cs="Arial" w:eastAsia="Arial" w:hAnsi="Arial"/>
                <w:sz w:val="14"/>
                <w:szCs w:val="14"/>
                <w:b w:val="1"/>
                <w:bCs w:val="1"/>
                <w:color w:val="FFFFFF"/>
              </w:rPr>
              <w:t>Named Executive Officer</w:t>
            </w:r>
          </w:p>
        </w:tc>
        <w:tc>
          <w:tcPr>
            <w:tcW w:w="1220" w:type="dxa"/>
            <w:vAlign w:val="bottom"/>
            <w:gridSpan w:val="2"/>
            <w:shd w:val="clear" w:color="auto" w:fill="424E6A"/>
          </w:tcPr>
          <w:p>
            <w:pPr>
              <w:ind w:left="460"/>
              <w:spacing w:after="0"/>
              <w:rPr>
                <w:sz w:val="20"/>
                <w:szCs w:val="20"/>
                <w:color w:val="auto"/>
              </w:rPr>
            </w:pPr>
            <w:r>
              <w:rPr>
                <w:rFonts w:ascii="Arial" w:cs="Arial" w:eastAsia="Arial" w:hAnsi="Arial"/>
                <w:sz w:val="14"/>
                <w:szCs w:val="14"/>
                <w:b w:val="1"/>
                <w:bCs w:val="1"/>
                <w:color w:val="FFFFFF"/>
              </w:rPr>
              <w:t>​ ​</w:t>
            </w:r>
          </w:p>
        </w:tc>
        <w:tc>
          <w:tcPr>
            <w:tcW w:w="25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Annual Base Salary</w:t>
            </w:r>
          </w:p>
        </w:tc>
        <w:tc>
          <w:tcPr>
            <w:tcW w:w="660" w:type="dxa"/>
            <w:vAlign w:val="bottom"/>
            <w:tcBorders>
              <w:right w:val="single" w:sz="8" w:color="424E6A"/>
            </w:tcBorders>
            <w:shd w:val="clear" w:color="auto" w:fill="424E6A"/>
          </w:tcPr>
          <w:p>
            <w:pPr>
              <w:jc w:val="right"/>
              <w:spacing w:after="0"/>
              <w:rPr>
                <w:sz w:val="20"/>
                <w:szCs w:val="20"/>
                <w:color w:val="auto"/>
              </w:rPr>
            </w:pPr>
            <w:r>
              <w:rPr>
                <w:rFonts w:ascii="Arial" w:cs="Arial" w:eastAsia="Arial" w:hAnsi="Arial"/>
                <w:sz w:val="14"/>
                <w:szCs w:val="14"/>
                <w:b w:val="1"/>
                <w:bCs w:val="1"/>
                <w:color w:val="FFFFFF"/>
              </w:rPr>
              <w:t>​</w:t>
            </w:r>
          </w:p>
        </w:tc>
      </w:tr>
      <w:tr>
        <w:trPr>
          <w:trHeight w:val="257"/>
        </w:trPr>
        <w:tc>
          <w:tcPr>
            <w:tcW w:w="3080" w:type="dxa"/>
            <w:vAlign w:val="bottom"/>
            <w:tcBorders>
              <w:left w:val="single" w:sz="8" w:color="424E6A"/>
              <w:bottom w:val="single" w:sz="8" w:color="424E6A"/>
            </w:tcBorders>
            <w:gridSpan w:val="2"/>
            <w:shd w:val="clear" w:color="auto" w:fill="D9DCE1"/>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Willie Chiang</w:t>
            </w:r>
          </w:p>
        </w:tc>
        <w:tc>
          <w:tcPr>
            <w:tcW w:w="540" w:type="dxa"/>
            <w:vAlign w:val="bottom"/>
            <w:tcBorders>
              <w:bottom w:val="single" w:sz="8" w:color="424E6A"/>
              <w:right w:val="single" w:sz="8" w:color="424E6A"/>
            </w:tcBorders>
            <w:shd w:val="clear" w:color="auto" w:fill="D9DCE1"/>
          </w:tcPr>
          <w:p>
            <w:pPr>
              <w:ind w:left="4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2520" w:type="dxa"/>
            <w:vAlign w:val="bottom"/>
            <w:tcBorders>
              <w:bottom w:val="single" w:sz="8" w:color="424E6A"/>
            </w:tcBorders>
            <w:shd w:val="clear" w:color="auto" w:fill="D9DCE1"/>
          </w:tcPr>
          <w:p>
            <w:pPr>
              <w:jc w:val="cente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$900,000</w:t>
            </w:r>
          </w:p>
        </w:tc>
        <w:tc>
          <w:tcPr>
            <w:tcW w:w="6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080" w:type="dxa"/>
            <w:vAlign w:val="bottom"/>
            <w:tcBorders>
              <w:left w:val="single" w:sz="8" w:color="424E6A"/>
              <w:bottom w:val="single" w:sz="8" w:color="424E6A"/>
            </w:tcBorders>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 Swanson</w:t>
            </w:r>
          </w:p>
        </w:tc>
        <w:tc>
          <w:tcPr>
            <w:tcW w:w="540" w:type="dxa"/>
            <w:vAlign w:val="bottom"/>
            <w:tcBorders>
              <w:bottom w:val="single" w:sz="8" w:color="424E6A"/>
              <w:right w:val="single" w:sz="8" w:color="424E6A"/>
            </w:tcBorders>
          </w:tcPr>
          <w:p>
            <w:pPr>
              <w:ind w:left="4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520" w:type="dxa"/>
            <w:vAlign w:val="bottom"/>
            <w:tcBorders>
              <w:bottom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$570,000</w:t>
            </w:r>
          </w:p>
        </w:tc>
        <w:tc>
          <w:tcPr>
            <w:tcW w:w="66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080" w:type="dxa"/>
            <w:vAlign w:val="bottom"/>
            <w:tcBorders>
              <w:left w:val="single" w:sz="8" w:color="424E6A"/>
              <w:bottom w:val="single" w:sz="8" w:color="424E6A"/>
            </w:tcBorders>
            <w:gridSpan w:val="2"/>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Richard McGee</w:t>
            </w:r>
          </w:p>
        </w:tc>
        <w:tc>
          <w:tcPr>
            <w:tcW w:w="540" w:type="dxa"/>
            <w:vAlign w:val="bottom"/>
            <w:tcBorders>
              <w:bottom w:val="single" w:sz="8" w:color="424E6A"/>
              <w:right w:val="single" w:sz="8" w:color="424E6A"/>
            </w:tcBorders>
            <w:shd w:val="clear" w:color="auto" w:fill="D9DCE1"/>
          </w:tcPr>
          <w:p>
            <w:pPr>
              <w:ind w:left="4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2520" w:type="dxa"/>
            <w:vAlign w:val="bottom"/>
            <w:tcBorders>
              <w:bottom w:val="single" w:sz="8" w:color="424E6A"/>
            </w:tcBorders>
            <w:shd w:val="clear" w:color="auto" w:fill="D9DCE1"/>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$590,000</w:t>
            </w:r>
          </w:p>
        </w:tc>
        <w:tc>
          <w:tcPr>
            <w:tcW w:w="6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080" w:type="dxa"/>
            <w:vAlign w:val="bottom"/>
            <w:tcBorders>
              <w:left w:val="single" w:sz="8" w:color="424E6A"/>
              <w:bottom w:val="single" w:sz="8" w:color="424E6A"/>
            </w:tcBorders>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Chris Chandler</w:t>
            </w:r>
          </w:p>
        </w:tc>
        <w:tc>
          <w:tcPr>
            <w:tcW w:w="540" w:type="dxa"/>
            <w:vAlign w:val="bottom"/>
            <w:tcBorders>
              <w:bottom w:val="single" w:sz="8" w:color="424E6A"/>
              <w:right w:val="single" w:sz="8" w:color="424E6A"/>
            </w:tcBorders>
          </w:tcPr>
          <w:p>
            <w:pPr>
              <w:ind w:left="4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520" w:type="dxa"/>
            <w:vAlign w:val="bottom"/>
            <w:tcBorders>
              <w:bottom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$625,000</w:t>
            </w:r>
          </w:p>
        </w:tc>
        <w:tc>
          <w:tcPr>
            <w:tcW w:w="66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080" w:type="dxa"/>
            <w:vAlign w:val="bottom"/>
            <w:tcBorders>
              <w:left w:val="single" w:sz="8" w:color="424E6A"/>
              <w:bottom w:val="single" w:sz="8" w:color="424E6A"/>
            </w:tcBorders>
            <w:gridSpan w:val="2"/>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Jeremy Goebel</w:t>
            </w:r>
          </w:p>
        </w:tc>
        <w:tc>
          <w:tcPr>
            <w:tcW w:w="540" w:type="dxa"/>
            <w:vAlign w:val="bottom"/>
            <w:tcBorders>
              <w:bottom w:val="single" w:sz="8" w:color="424E6A"/>
              <w:right w:val="single" w:sz="8" w:color="424E6A"/>
            </w:tcBorders>
            <w:shd w:val="clear" w:color="auto" w:fill="D9DCE1"/>
          </w:tcPr>
          <w:p>
            <w:pPr>
              <w:ind w:left="4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2520" w:type="dxa"/>
            <w:vAlign w:val="bottom"/>
            <w:tcBorders>
              <w:bottom w:val="single" w:sz="8" w:color="424E6A"/>
            </w:tcBorders>
            <w:shd w:val="clear" w:color="auto" w:fill="D9DCE1"/>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$625,000</w:t>
            </w:r>
          </w:p>
        </w:tc>
        <w:tc>
          <w:tcPr>
            <w:tcW w:w="6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r>
    </w:tbl>
    <w:p>
      <w:pPr>
        <w:spacing w:after="0" w:line="116" w:lineRule="exact"/>
        <w:rPr>
          <w:sz w:val="20"/>
          <w:szCs w:val="20"/>
          <w:color w:val="auto"/>
        </w:rPr>
      </w:pPr>
    </w:p>
    <w:p>
      <w:pPr>
        <w:ind w:left="1260" w:right="819" w:firstLine="360"/>
        <w:spacing w:after="0" w:line="268" w:lineRule="auto"/>
        <w:rPr>
          <w:sz w:val="20"/>
          <w:szCs w:val="20"/>
          <w:color w:val="auto"/>
        </w:rPr>
      </w:pPr>
      <w:r>
        <w:rPr>
          <w:rFonts w:ascii="Arial" w:cs="Arial" w:eastAsia="Arial" w:hAnsi="Arial"/>
          <w:sz w:val="18"/>
          <w:szCs w:val="18"/>
          <w:i w:val="1"/>
          <w:iCs w:val="1"/>
          <w:color w:val="auto"/>
        </w:rPr>
        <w:t xml:space="preserve">Annual Cash Incentive Awards. </w:t>
      </w:r>
      <w:r>
        <w:rPr>
          <w:rFonts w:ascii="Arial" w:cs="Arial" w:eastAsia="Arial" w:hAnsi="Arial"/>
          <w:sz w:val="18"/>
          <w:szCs w:val="18"/>
          <w:color w:val="auto"/>
        </w:rPr>
        <w:t>There were no adjustments to the annual bonus targets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Named Executive Officers in 2025. The 2025 annual bonus targets for our NEOs, expressed as a percentage of base salary, were as follows:</w:t>
      </w:r>
    </w:p>
    <w:p>
      <w:pPr>
        <w:spacing w:after="0" w:line="149" w:lineRule="exact"/>
        <w:rPr>
          <w:sz w:val="20"/>
          <w:szCs w:val="20"/>
          <w:color w:val="auto"/>
        </w:rPr>
      </w:pPr>
    </w:p>
    <w:tbl>
      <w:tblPr>
        <w:tblLayout w:type="fixed"/>
        <w:tblInd w:w="1630" w:type="dxa"/>
        <w:tblCellMar>
          <w:top w:w="0" w:type="dxa"/>
          <w:left w:w="0" w:type="dxa"/>
          <w:bottom w:w="0" w:type="dxa"/>
          <w:right w:w="0" w:type="dxa"/>
        </w:tblCellMar>
      </w:tblPr>
      <w:tr>
        <w:trPr>
          <w:trHeight w:val="247"/>
        </w:trPr>
        <w:tc>
          <w:tcPr>
            <w:tcW w:w="520" w:type="dxa"/>
            <w:vAlign w:val="bottom"/>
            <w:tcBorders>
              <w:left w:val="single" w:sz="8" w:color="424E6A"/>
            </w:tcBorders>
            <w:shd w:val="clear" w:color="auto" w:fill="424E6A"/>
          </w:tcPr>
          <w:p>
            <w:pPr>
              <w:spacing w:after="0"/>
              <w:rPr>
                <w:sz w:val="21"/>
                <w:szCs w:val="21"/>
                <w:color w:val="auto"/>
              </w:rPr>
            </w:pPr>
          </w:p>
        </w:tc>
        <w:tc>
          <w:tcPr>
            <w:tcW w:w="2580" w:type="dxa"/>
            <w:vAlign w:val="bottom"/>
            <w:shd w:val="clear" w:color="auto" w:fill="424E6A"/>
          </w:tcPr>
          <w:p>
            <w:pPr>
              <w:spacing w:after="0"/>
              <w:rPr>
                <w:sz w:val="21"/>
                <w:szCs w:val="21"/>
                <w:color w:val="auto"/>
              </w:rPr>
            </w:pPr>
          </w:p>
        </w:tc>
        <w:tc>
          <w:tcPr>
            <w:tcW w:w="540" w:type="dxa"/>
            <w:vAlign w:val="bottom"/>
            <w:tcBorders>
              <w:right w:val="single" w:sz="8" w:color="424E6A"/>
            </w:tcBorders>
            <w:shd w:val="clear" w:color="auto" w:fill="424E6A"/>
          </w:tcPr>
          <w:p>
            <w:pPr>
              <w:spacing w:after="0"/>
              <w:rPr>
                <w:sz w:val="21"/>
                <w:szCs w:val="21"/>
                <w:color w:val="auto"/>
              </w:rPr>
            </w:pPr>
          </w:p>
        </w:tc>
        <w:tc>
          <w:tcPr>
            <w:tcW w:w="460" w:type="dxa"/>
            <w:vAlign w:val="bottom"/>
            <w:shd w:val="clear" w:color="auto" w:fill="424E6A"/>
          </w:tcPr>
          <w:p>
            <w:pPr>
              <w:spacing w:after="0"/>
              <w:rPr>
                <w:sz w:val="21"/>
                <w:szCs w:val="21"/>
                <w:color w:val="auto"/>
              </w:rPr>
            </w:pPr>
          </w:p>
        </w:tc>
        <w:tc>
          <w:tcPr>
            <w:tcW w:w="2940" w:type="dxa"/>
            <w:vAlign w:val="bottom"/>
            <w:shd w:val="clear" w:color="auto" w:fill="424E6A"/>
          </w:tcPr>
          <w:p>
            <w:pPr>
              <w:ind w:left="740"/>
              <w:spacing w:after="0"/>
              <w:rPr>
                <w:sz w:val="20"/>
                <w:szCs w:val="20"/>
                <w:color w:val="auto"/>
              </w:rPr>
            </w:pPr>
            <w:r>
              <w:rPr>
                <w:rFonts w:ascii="Arial" w:cs="Arial" w:eastAsia="Arial" w:hAnsi="Arial"/>
                <w:sz w:val="14"/>
                <w:szCs w:val="14"/>
                <w:b w:val="1"/>
                <w:bCs w:val="1"/>
                <w:color w:val="FFFFFF"/>
              </w:rPr>
              <w:t>Annual Bonus Target</w:t>
            </w:r>
          </w:p>
        </w:tc>
        <w:tc>
          <w:tcPr>
            <w:tcW w:w="440" w:type="dxa"/>
            <w:vAlign w:val="bottom"/>
            <w:tcBorders>
              <w:right w:val="single" w:sz="8" w:color="424E6A"/>
            </w:tcBorders>
            <w:shd w:val="clear" w:color="auto" w:fill="424E6A"/>
          </w:tcPr>
          <w:p>
            <w:pPr>
              <w:spacing w:after="0"/>
              <w:rPr>
                <w:sz w:val="21"/>
                <w:szCs w:val="21"/>
                <w:color w:val="auto"/>
              </w:rPr>
            </w:pPr>
          </w:p>
        </w:tc>
      </w:tr>
      <w:tr>
        <w:trPr>
          <w:trHeight w:val="212"/>
        </w:trPr>
        <w:tc>
          <w:tcPr>
            <w:tcW w:w="520" w:type="dxa"/>
            <w:vAlign w:val="bottom"/>
            <w:tcBorders>
              <w:lef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2580" w:type="dxa"/>
            <w:vAlign w:val="bottom"/>
            <w:shd w:val="clear" w:color="auto" w:fill="424E6A"/>
          </w:tcPr>
          <w:p>
            <w:pPr>
              <w:ind w:left="440"/>
              <w:spacing w:after="0"/>
              <w:rPr>
                <w:sz w:val="20"/>
                <w:szCs w:val="20"/>
                <w:color w:val="auto"/>
              </w:rPr>
            </w:pPr>
            <w:r>
              <w:rPr>
                <w:rFonts w:ascii="Arial" w:cs="Arial" w:eastAsia="Arial" w:hAnsi="Arial"/>
                <w:sz w:val="14"/>
                <w:szCs w:val="14"/>
                <w:b w:val="1"/>
                <w:bCs w:val="1"/>
                <w:color w:val="FFFFFF"/>
              </w:rPr>
              <w:t>Named Executive Officer</w:t>
            </w:r>
          </w:p>
        </w:tc>
        <w:tc>
          <w:tcPr>
            <w:tcW w:w="1000" w:type="dxa"/>
            <w:vAlign w:val="bottom"/>
            <w:gridSpan w:val="2"/>
            <w:shd w:val="clear" w:color="auto" w:fill="424E6A"/>
          </w:tcPr>
          <w:p>
            <w:pPr>
              <w:ind w:left="480"/>
              <w:spacing w:after="0"/>
              <w:rPr>
                <w:sz w:val="20"/>
                <w:szCs w:val="20"/>
                <w:color w:val="auto"/>
              </w:rPr>
            </w:pPr>
            <w:r>
              <w:rPr>
                <w:rFonts w:ascii="Arial" w:cs="Arial" w:eastAsia="Arial" w:hAnsi="Arial"/>
                <w:sz w:val="14"/>
                <w:szCs w:val="14"/>
                <w:b w:val="1"/>
                <w:bCs w:val="1"/>
                <w:color w:val="FFFFFF"/>
              </w:rPr>
              <w:t>​ ​</w:t>
            </w:r>
          </w:p>
        </w:tc>
        <w:tc>
          <w:tcPr>
            <w:tcW w:w="2940" w:type="dxa"/>
            <w:vAlign w:val="bottom"/>
            <w:shd w:val="clear" w:color="auto" w:fill="424E6A"/>
          </w:tcPr>
          <w:p>
            <w:pPr>
              <w:ind w:left="360"/>
              <w:spacing w:after="0"/>
              <w:rPr>
                <w:sz w:val="20"/>
                <w:szCs w:val="20"/>
                <w:color w:val="auto"/>
              </w:rPr>
            </w:pPr>
            <w:r>
              <w:rPr>
                <w:rFonts w:ascii="Arial" w:cs="Arial" w:eastAsia="Arial" w:hAnsi="Arial"/>
                <w:sz w:val="14"/>
                <w:szCs w:val="14"/>
                <w:b w:val="1"/>
                <w:bCs w:val="1"/>
                <w:color w:val="FFFFFF"/>
              </w:rPr>
              <w:t>(as a Percentage of Base Salary)</w:t>
            </w:r>
          </w:p>
        </w:tc>
        <w:tc>
          <w:tcPr>
            <w:tcW w:w="440" w:type="dxa"/>
            <w:vAlign w:val="bottom"/>
            <w:tcBorders>
              <w:right w:val="single" w:sz="8" w:color="424E6A"/>
            </w:tcBorders>
            <w:shd w:val="clear" w:color="auto" w:fill="424E6A"/>
          </w:tcPr>
          <w:p>
            <w:pPr>
              <w:jc w:val="right"/>
              <w:spacing w:after="0"/>
              <w:rPr>
                <w:sz w:val="20"/>
                <w:szCs w:val="20"/>
                <w:color w:val="auto"/>
              </w:rPr>
            </w:pPr>
            <w:r>
              <w:rPr>
                <w:rFonts w:ascii="Arial" w:cs="Arial" w:eastAsia="Arial" w:hAnsi="Arial"/>
                <w:sz w:val="14"/>
                <w:szCs w:val="14"/>
                <w:b w:val="1"/>
                <w:bCs w:val="1"/>
                <w:color w:val="FFFFFF"/>
              </w:rPr>
              <w:t>​</w:t>
            </w:r>
          </w:p>
        </w:tc>
      </w:tr>
      <w:tr>
        <w:trPr>
          <w:trHeight w:val="257"/>
        </w:trPr>
        <w:tc>
          <w:tcPr>
            <w:tcW w:w="3100" w:type="dxa"/>
            <w:vAlign w:val="bottom"/>
            <w:tcBorders>
              <w:left w:val="single" w:sz="8" w:color="424E6A"/>
              <w:bottom w:val="single" w:sz="8" w:color="424E6A"/>
            </w:tcBorders>
            <w:gridSpan w:val="2"/>
            <w:shd w:val="clear" w:color="auto" w:fill="D9DCE1"/>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Willie Chiang</w:t>
            </w:r>
          </w:p>
        </w:tc>
        <w:tc>
          <w:tcPr>
            <w:tcW w:w="540" w:type="dxa"/>
            <w:vAlign w:val="bottom"/>
            <w:tcBorders>
              <w:bottom w:val="single" w:sz="8" w:color="424E6A"/>
              <w:right w:val="single" w:sz="8" w:color="424E6A"/>
            </w:tcBorders>
            <w:shd w:val="clear" w:color="auto" w:fill="D9DCE1"/>
          </w:tcPr>
          <w:p>
            <w:pPr>
              <w:ind w:left="4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2940" w:type="dxa"/>
            <w:vAlign w:val="bottom"/>
            <w:tcBorders>
              <w:bottom w:val="single" w:sz="8" w:color="424E6A"/>
            </w:tcBorders>
            <w:shd w:val="clear" w:color="auto" w:fill="D9DCE1"/>
          </w:tcPr>
          <w:p>
            <w:pPr>
              <w:ind w:left="1320"/>
              <w:spacing w:after="0"/>
              <w:rPr>
                <w:sz w:val="20"/>
                <w:szCs w:val="20"/>
                <w:color w:val="auto"/>
              </w:rPr>
            </w:pPr>
            <w:r>
              <w:rPr>
                <w:rFonts w:ascii="Arial" w:cs="Arial" w:eastAsia="Arial" w:hAnsi="Arial"/>
                <w:sz w:val="18"/>
                <w:szCs w:val="18"/>
                <w:color w:val="auto"/>
              </w:rPr>
              <w:t>​250%</w:t>
            </w:r>
          </w:p>
        </w:tc>
        <w:tc>
          <w:tcPr>
            <w:tcW w:w="4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100" w:type="dxa"/>
            <w:vAlign w:val="bottom"/>
            <w:tcBorders>
              <w:left w:val="single" w:sz="8" w:color="424E6A"/>
              <w:bottom w:val="single" w:sz="8" w:color="424E6A"/>
            </w:tcBorders>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 Swanson</w:t>
            </w:r>
          </w:p>
        </w:tc>
        <w:tc>
          <w:tcPr>
            <w:tcW w:w="540" w:type="dxa"/>
            <w:vAlign w:val="bottom"/>
            <w:tcBorders>
              <w:bottom w:val="single" w:sz="8" w:color="424E6A"/>
              <w:right w:val="single" w:sz="8" w:color="424E6A"/>
            </w:tcBorders>
          </w:tcPr>
          <w:p>
            <w:pPr>
              <w:ind w:left="4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940" w:type="dxa"/>
            <w:vAlign w:val="bottom"/>
            <w:tcBorders>
              <w:bottom w:val="single" w:sz="8" w:color="424E6A"/>
            </w:tcBorders>
          </w:tcPr>
          <w:p>
            <w:pPr>
              <w:ind w:left="1320"/>
              <w:spacing w:after="0"/>
              <w:rPr>
                <w:sz w:val="20"/>
                <w:szCs w:val="20"/>
                <w:color w:val="auto"/>
              </w:rPr>
            </w:pPr>
            <w:r>
              <w:rPr>
                <w:rFonts w:ascii="Arial" w:cs="Arial" w:eastAsia="Arial" w:hAnsi="Arial"/>
                <w:sz w:val="18"/>
                <w:szCs w:val="18"/>
                <w:color w:val="auto"/>
              </w:rPr>
              <w:t>​150%</w:t>
            </w:r>
          </w:p>
        </w:tc>
        <w:tc>
          <w:tcPr>
            <w:tcW w:w="4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100" w:type="dxa"/>
            <w:vAlign w:val="bottom"/>
            <w:tcBorders>
              <w:left w:val="single" w:sz="8" w:color="424E6A"/>
              <w:bottom w:val="single" w:sz="8" w:color="424E6A"/>
            </w:tcBorders>
            <w:gridSpan w:val="2"/>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Richard McGee</w:t>
            </w:r>
          </w:p>
        </w:tc>
        <w:tc>
          <w:tcPr>
            <w:tcW w:w="540" w:type="dxa"/>
            <w:vAlign w:val="bottom"/>
            <w:tcBorders>
              <w:bottom w:val="single" w:sz="8" w:color="424E6A"/>
              <w:right w:val="single" w:sz="8" w:color="424E6A"/>
            </w:tcBorders>
            <w:shd w:val="clear" w:color="auto" w:fill="D9DCE1"/>
          </w:tcPr>
          <w:p>
            <w:pPr>
              <w:ind w:left="4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2940" w:type="dxa"/>
            <w:vAlign w:val="bottom"/>
            <w:tcBorders>
              <w:bottom w:val="single" w:sz="8" w:color="424E6A"/>
            </w:tcBorders>
            <w:shd w:val="clear" w:color="auto" w:fill="D9DCE1"/>
          </w:tcPr>
          <w:p>
            <w:pPr>
              <w:ind w:left="1320"/>
              <w:spacing w:after="0"/>
              <w:rPr>
                <w:sz w:val="20"/>
                <w:szCs w:val="20"/>
                <w:color w:val="auto"/>
              </w:rPr>
            </w:pPr>
            <w:r>
              <w:rPr>
                <w:rFonts w:ascii="Arial" w:cs="Arial" w:eastAsia="Arial" w:hAnsi="Arial"/>
                <w:sz w:val="18"/>
                <w:szCs w:val="18"/>
                <w:color w:val="auto"/>
              </w:rPr>
              <w:t>​150%</w:t>
            </w:r>
          </w:p>
        </w:tc>
        <w:tc>
          <w:tcPr>
            <w:tcW w:w="4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100" w:type="dxa"/>
            <w:vAlign w:val="bottom"/>
            <w:tcBorders>
              <w:left w:val="single" w:sz="8" w:color="424E6A"/>
              <w:bottom w:val="single" w:sz="8" w:color="424E6A"/>
            </w:tcBorders>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Chris Chandler</w:t>
            </w:r>
          </w:p>
        </w:tc>
        <w:tc>
          <w:tcPr>
            <w:tcW w:w="540" w:type="dxa"/>
            <w:vAlign w:val="bottom"/>
            <w:tcBorders>
              <w:bottom w:val="single" w:sz="8" w:color="424E6A"/>
              <w:right w:val="single" w:sz="8" w:color="424E6A"/>
            </w:tcBorders>
          </w:tcPr>
          <w:p>
            <w:pPr>
              <w:ind w:left="4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940" w:type="dxa"/>
            <w:vAlign w:val="bottom"/>
            <w:tcBorders>
              <w:bottom w:val="single" w:sz="8" w:color="424E6A"/>
            </w:tcBorders>
          </w:tcPr>
          <w:p>
            <w:pPr>
              <w:ind w:left="1320"/>
              <w:spacing w:after="0"/>
              <w:rPr>
                <w:sz w:val="20"/>
                <w:szCs w:val="20"/>
                <w:color w:val="auto"/>
              </w:rPr>
            </w:pPr>
            <w:r>
              <w:rPr>
                <w:rFonts w:ascii="Arial" w:cs="Arial" w:eastAsia="Arial" w:hAnsi="Arial"/>
                <w:sz w:val="18"/>
                <w:szCs w:val="18"/>
                <w:color w:val="auto"/>
              </w:rPr>
              <w:t>​150%</w:t>
            </w:r>
          </w:p>
        </w:tc>
        <w:tc>
          <w:tcPr>
            <w:tcW w:w="4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100" w:type="dxa"/>
            <w:vAlign w:val="bottom"/>
            <w:tcBorders>
              <w:left w:val="single" w:sz="8" w:color="424E6A"/>
              <w:bottom w:val="single" w:sz="8" w:color="424E6A"/>
            </w:tcBorders>
            <w:gridSpan w:val="2"/>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Jeremy Goebel</w:t>
            </w:r>
          </w:p>
        </w:tc>
        <w:tc>
          <w:tcPr>
            <w:tcW w:w="540" w:type="dxa"/>
            <w:vAlign w:val="bottom"/>
            <w:tcBorders>
              <w:bottom w:val="single" w:sz="8" w:color="424E6A"/>
              <w:right w:val="single" w:sz="8" w:color="424E6A"/>
            </w:tcBorders>
            <w:shd w:val="clear" w:color="auto" w:fill="D9DCE1"/>
          </w:tcPr>
          <w:p>
            <w:pPr>
              <w:ind w:left="4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2940" w:type="dxa"/>
            <w:vAlign w:val="bottom"/>
            <w:tcBorders>
              <w:bottom w:val="single" w:sz="8" w:color="424E6A"/>
            </w:tcBorders>
            <w:shd w:val="clear" w:color="auto" w:fill="D9DCE1"/>
          </w:tcPr>
          <w:p>
            <w:pPr>
              <w:ind w:left="1320"/>
              <w:spacing w:after="0"/>
              <w:rPr>
                <w:sz w:val="20"/>
                <w:szCs w:val="20"/>
                <w:color w:val="auto"/>
              </w:rPr>
            </w:pPr>
            <w:r>
              <w:rPr>
                <w:rFonts w:ascii="Arial" w:cs="Arial" w:eastAsia="Arial" w:hAnsi="Arial"/>
                <w:sz w:val="18"/>
                <w:szCs w:val="18"/>
                <w:color w:val="auto"/>
              </w:rPr>
              <w:t>​150%</w:t>
            </w:r>
          </w:p>
        </w:tc>
        <w:tc>
          <w:tcPr>
            <w:tcW w:w="4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8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99" w:firstLine="360"/>
        <w:spacing w:after="0" w:line="270" w:lineRule="auto"/>
        <w:rPr>
          <w:sz w:val="20"/>
          <w:szCs w:val="20"/>
          <w:color w:val="auto"/>
        </w:rPr>
      </w:pPr>
      <w:r>
        <w:rPr>
          <w:rFonts w:ascii="Arial" w:cs="Arial" w:eastAsia="Arial" w:hAnsi="Arial"/>
          <w:sz w:val="17"/>
          <w:szCs w:val="17"/>
          <w:color w:val="auto"/>
        </w:rPr>
        <w:t>The goals (and weightings) for 2025 cash incentive awards established at the beginning of the year were company performance (60% overall weighting allocated among Adjusted EBITDA attributable to PAA (40%), DCF per CUE (40%) and safety/environmental (20%)) and individual performance (40% weighting). The minimum and maximum payout levels of 0% and 200%, respectively, for Adjusted EBITDA attributable to PAA and DCF per CUE were set at approximately 93% and 107%, respectively, of the applicable target with linear interpolation between those points. The minimum and maximum payout levels of 0% and 200%, respectively, for safety (TRIR) and environmental (OPRR) metrics were set at a range of between 0.36 (min) to 0.14 (max) for TRIR and a range of between 15 (min) and 5 (max) for OPRR, in both cases with linear interpolation between those points. Individual performance metric payouts were determined by the Compensation Committee based on its assessment of individual contributions towards achieving our 2025 goals and objectives.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Company Performance (60% weight)</w:t>
      </w:r>
    </w:p>
    <w:p>
      <w:pPr>
        <w:spacing w:after="0" w:line="156"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8"/>
          <w:szCs w:val="18"/>
          <w:color w:val="auto"/>
        </w:rPr>
        <w:t>The table below reflects the weighting, payout range and actual results for each company performance metric. Individual performance scores and payout calculations are set forth below under “— Individual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94615</wp:posOffset>
            </wp:positionV>
            <wp:extent cx="82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90" w:lineRule="exact"/>
        <w:rPr>
          <w:sz w:val="20"/>
          <w:szCs w:val="20"/>
          <w:color w:val="auto"/>
        </w:rPr>
      </w:pPr>
    </w:p>
    <w:tbl>
      <w:tblPr>
        <w:tblLayout w:type="fixed"/>
        <w:tblInd w:w="1270" w:type="dxa"/>
        <w:tblCellMar>
          <w:top w:w="0" w:type="dxa"/>
          <w:left w:w="0" w:type="dxa"/>
          <w:bottom w:w="0" w:type="dxa"/>
          <w:right w:w="0" w:type="dxa"/>
        </w:tblCellMar>
      </w:tblPr>
      <w:tr>
        <w:trPr>
          <w:trHeight w:val="335"/>
        </w:trPr>
        <w:tc>
          <w:tcPr>
            <w:tcW w:w="2260" w:type="dxa"/>
            <w:vAlign w:val="bottom"/>
            <w:tcBorders>
              <w:lef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shd w:val="clear" w:color="auto" w:fill="424E6A"/>
              </w:rPr>
              <w:t>Company Performance Metrics</w:t>
            </w:r>
          </w:p>
        </w:tc>
        <w:tc>
          <w:tcPr>
            <w:tcW w:w="2440" w:type="dxa"/>
            <w:vAlign w:val="bottom"/>
            <w:gridSpan w:val="6"/>
            <w:shd w:val="clear" w:color="auto" w:fill="424E6A"/>
          </w:tcPr>
          <w:p>
            <w:pPr>
              <w:ind w:left="100"/>
              <w:spacing w:after="0"/>
              <w:rPr>
                <w:sz w:val="20"/>
                <w:szCs w:val="20"/>
                <w:color w:val="auto"/>
              </w:rPr>
            </w:pPr>
            <w:r>
              <w:rPr>
                <w:rFonts w:ascii="Arial" w:cs="Arial" w:eastAsia="Arial" w:hAnsi="Arial"/>
                <w:sz w:val="28"/>
                <w:szCs w:val="28"/>
                <w:b w:val="1"/>
                <w:bCs w:val="1"/>
                <w:color w:val="FFFFFF"/>
                <w:vertAlign w:val="subscript"/>
                <w:shd w:val="clear" w:color="auto" w:fill="424E6A"/>
              </w:rPr>
              <w:t>​ ​</w:t>
            </w:r>
            <w:r>
              <w:rPr>
                <w:rFonts w:ascii="Arial" w:cs="Arial" w:eastAsia="Arial" w:hAnsi="Arial"/>
                <w:sz w:val="14"/>
                <w:szCs w:val="14"/>
                <w:b w:val="1"/>
                <w:bCs w:val="1"/>
                <w:color w:val="FFFFFF"/>
                <w:shd w:val="clear" w:color="auto" w:fill="424E6A"/>
              </w:rPr>
              <w:t xml:space="preserve"> Weight </w:t>
            </w:r>
            <w:r>
              <w:rPr>
                <w:rFonts w:ascii="Arial" w:cs="Arial" w:eastAsia="Arial" w:hAnsi="Arial"/>
                <w:sz w:val="28"/>
                <w:szCs w:val="28"/>
                <w:b w:val="1"/>
                <w:bCs w:val="1"/>
                <w:color w:val="FFFFFF"/>
                <w:vertAlign w:val="subscript"/>
                <w:shd w:val="clear" w:color="auto" w:fill="424E6A"/>
              </w:rPr>
              <w:t>​ ​</w:t>
            </w:r>
            <w:r>
              <w:rPr>
                <w:rFonts w:ascii="Arial" w:cs="Arial" w:eastAsia="Arial" w:hAnsi="Arial"/>
                <w:sz w:val="14"/>
                <w:szCs w:val="14"/>
                <w:b w:val="1"/>
                <w:bCs w:val="1"/>
                <w:color w:val="FFFFFF"/>
                <w:shd w:val="clear" w:color="auto" w:fill="424E6A"/>
              </w:rPr>
              <w:t xml:space="preserve"> Threshold </w:t>
            </w:r>
            <w:r>
              <w:rPr>
                <w:rFonts w:ascii="Arial" w:cs="Arial" w:eastAsia="Arial" w:hAnsi="Arial"/>
                <w:sz w:val="28"/>
                <w:szCs w:val="28"/>
                <w:b w:val="1"/>
                <w:bCs w:val="1"/>
                <w:color w:val="FFFFFF"/>
                <w:vertAlign w:val="subscript"/>
                <w:shd w:val="clear" w:color="auto" w:fill="424E6A"/>
              </w:rPr>
              <w:t>​ ​</w:t>
            </w:r>
            <w:r>
              <w:rPr>
                <w:rFonts w:ascii="Arial" w:cs="Arial" w:eastAsia="Arial" w:hAnsi="Arial"/>
                <w:sz w:val="14"/>
                <w:szCs w:val="14"/>
                <w:b w:val="1"/>
                <w:bCs w:val="1"/>
                <w:color w:val="FFFFFF"/>
                <w:shd w:val="clear" w:color="auto" w:fill="424E6A"/>
              </w:rPr>
              <w:t xml:space="preserve"> Target</w:t>
            </w:r>
          </w:p>
        </w:tc>
        <w:tc>
          <w:tcPr>
            <w:tcW w:w="300" w:type="dxa"/>
            <w:vAlign w:val="bottom"/>
            <w:shd w:val="clear" w:color="auto" w:fill="424E6A"/>
          </w:tcPr>
          <w:p>
            <w:pPr>
              <w:ind w:left="40"/>
              <w:spacing w:after="0"/>
              <w:rPr>
                <w:sz w:val="20"/>
                <w:szCs w:val="20"/>
                <w:color w:val="auto"/>
              </w:rPr>
            </w:pPr>
            <w:r>
              <w:rPr>
                <w:rFonts w:ascii="Arial" w:cs="Arial" w:eastAsia="Arial" w:hAnsi="Arial"/>
                <w:sz w:val="14"/>
                <w:szCs w:val="14"/>
                <w:b w:val="1"/>
                <w:bCs w:val="1"/>
                <w:color w:val="FFFFFF"/>
                <w:shd w:val="clear" w:color="auto" w:fill="424E6A"/>
              </w:rPr>
              <w:t>​ ​</w:t>
            </w:r>
          </w:p>
        </w:tc>
        <w:tc>
          <w:tcPr>
            <w:tcW w:w="480" w:type="dxa"/>
            <w:vAlign w:val="bottom"/>
            <w:shd w:val="clear" w:color="auto" w:fill="424E6A"/>
          </w:tcPr>
          <w:p>
            <w:pPr>
              <w:jc w:val="right"/>
              <w:ind w:right="95"/>
              <w:spacing w:after="0"/>
              <w:rPr>
                <w:sz w:val="20"/>
                <w:szCs w:val="20"/>
                <w:color w:val="auto"/>
              </w:rPr>
            </w:pPr>
            <w:r>
              <w:rPr>
                <w:rFonts w:ascii="Arial" w:cs="Arial" w:eastAsia="Arial" w:hAnsi="Arial"/>
                <w:sz w:val="14"/>
                <w:szCs w:val="14"/>
                <w:b w:val="1"/>
                <w:bCs w:val="1"/>
                <w:color w:val="FFFFFF"/>
                <w:shd w:val="clear" w:color="auto" w:fill="424E6A"/>
              </w:rPr>
              <w:t>Max</w:t>
            </w:r>
          </w:p>
        </w:tc>
        <w:tc>
          <w:tcPr>
            <w:tcW w:w="860" w:type="dxa"/>
            <w:vAlign w:val="bottom"/>
            <w:gridSpan w:val="2"/>
            <w:shd w:val="clear" w:color="auto" w:fill="424E6A"/>
          </w:tcPr>
          <w:p>
            <w:pPr>
              <w:ind w:left="20"/>
              <w:spacing w:after="0"/>
              <w:rPr>
                <w:sz w:val="20"/>
                <w:szCs w:val="20"/>
                <w:color w:val="auto"/>
              </w:rPr>
            </w:pPr>
            <w:r>
              <w:rPr>
                <w:rFonts w:ascii="Arial" w:cs="Arial" w:eastAsia="Arial" w:hAnsi="Arial"/>
                <w:sz w:val="28"/>
                <w:szCs w:val="28"/>
                <w:b w:val="1"/>
                <w:bCs w:val="1"/>
                <w:color w:val="FFFFFF"/>
                <w:vertAlign w:val="subscript"/>
                <w:shd w:val="clear" w:color="auto" w:fill="424E6A"/>
              </w:rPr>
              <w:t>​ ​</w:t>
            </w:r>
            <w:r>
              <w:rPr>
                <w:rFonts w:ascii="Arial" w:cs="Arial" w:eastAsia="Arial" w:hAnsi="Arial"/>
                <w:sz w:val="14"/>
                <w:szCs w:val="14"/>
                <w:b w:val="1"/>
                <w:bCs w:val="1"/>
                <w:color w:val="FFFFFF"/>
                <w:shd w:val="clear" w:color="auto" w:fill="424E6A"/>
              </w:rPr>
              <w:t xml:space="preserve">  Result</w:t>
            </w:r>
          </w:p>
        </w:tc>
        <w:tc>
          <w:tcPr>
            <w:tcW w:w="1100" w:type="dxa"/>
            <w:vAlign w:val="bottom"/>
            <w:gridSpan w:val="3"/>
            <w:shd w:val="clear" w:color="auto" w:fill="424E6A"/>
          </w:tcPr>
          <w:p>
            <w:pPr>
              <w:jc w:val="right"/>
              <w:spacing w:after="0"/>
              <w:rPr>
                <w:sz w:val="20"/>
                <w:szCs w:val="20"/>
                <w:color w:val="auto"/>
              </w:rPr>
            </w:pPr>
            <w:r>
              <w:rPr>
                <w:rFonts w:ascii="Arial" w:cs="Arial" w:eastAsia="Arial" w:hAnsi="Arial"/>
                <w:sz w:val="28"/>
                <w:szCs w:val="28"/>
                <w:b w:val="1"/>
                <w:bCs w:val="1"/>
                <w:color w:val="FFFFFF"/>
                <w:vertAlign w:val="subscript"/>
                <w:shd w:val="clear" w:color="auto" w:fill="424E6A"/>
              </w:rPr>
              <w:t>​ ​</w:t>
            </w:r>
            <w:r>
              <w:rPr>
                <w:rFonts w:ascii="Arial" w:cs="Arial" w:eastAsia="Arial" w:hAnsi="Arial"/>
                <w:sz w:val="14"/>
                <w:szCs w:val="14"/>
                <w:b w:val="1"/>
                <w:bCs w:val="1"/>
                <w:color w:val="FFFFFF"/>
                <w:shd w:val="clear" w:color="auto" w:fill="424E6A"/>
              </w:rPr>
              <w:t xml:space="preserve"> Payout % </w:t>
            </w:r>
            <w:r>
              <w:rPr>
                <w:rFonts w:ascii="Arial" w:cs="Arial" w:eastAsia="Arial" w:hAnsi="Arial"/>
                <w:sz w:val="28"/>
                <w:szCs w:val="28"/>
                <w:b w:val="1"/>
                <w:bCs w:val="1"/>
                <w:color w:val="FFFFFF"/>
                <w:vertAlign w:val="subscript"/>
                <w:shd w:val="clear" w:color="auto" w:fill="424E6A"/>
              </w:rPr>
              <w:t>​</w:t>
            </w:r>
          </w:p>
        </w:tc>
        <w:tc>
          <w:tcPr>
            <w:tcW w:w="600" w:type="dxa"/>
            <w:vAlign w:val="bottom"/>
            <w:shd w:val="clear" w:color="auto" w:fill="424E6A"/>
          </w:tcPr>
          <w:p>
            <w:pPr>
              <w:jc w:val="right"/>
              <w:spacing w:after="0"/>
              <w:rPr>
                <w:sz w:val="20"/>
                <w:szCs w:val="20"/>
                <w:color w:val="auto"/>
              </w:rPr>
            </w:pPr>
            <w:r>
              <w:rPr>
                <w:rFonts w:ascii="Arial" w:cs="Arial" w:eastAsia="Arial" w:hAnsi="Arial"/>
                <w:sz w:val="14"/>
                <w:szCs w:val="14"/>
                <w:b w:val="1"/>
                <w:bCs w:val="1"/>
                <w:color w:val="FFFFFF"/>
                <w:shd w:val="clear" w:color="auto" w:fill="424E6A"/>
              </w:rPr>
              <w:t>Wgtd %</w:t>
            </w:r>
          </w:p>
        </w:tc>
        <w:tc>
          <w:tcPr>
            <w:tcW w:w="180" w:type="dxa"/>
            <w:vAlign w:val="bottom"/>
            <w:tcBorders>
              <w:right w:val="single" w:sz="8" w:color="424E6A"/>
            </w:tcBorders>
            <w:shd w:val="clear" w:color="auto" w:fill="424E6A"/>
          </w:tcPr>
          <w:p>
            <w:pPr>
              <w:jc w:val="right"/>
              <w:spacing w:after="0"/>
              <w:rPr>
                <w:sz w:val="20"/>
                <w:szCs w:val="20"/>
                <w:color w:val="auto"/>
              </w:rPr>
            </w:pPr>
            <w:r>
              <w:rPr>
                <w:rFonts w:ascii="Arial" w:cs="Arial" w:eastAsia="Arial" w:hAnsi="Arial"/>
                <w:sz w:val="14"/>
                <w:szCs w:val="14"/>
                <w:b w:val="1"/>
                <w:bCs w:val="1"/>
                <w:color w:val="FFFFFF"/>
                <w:shd w:val="clear" w:color="auto" w:fill="424E6A"/>
              </w:rPr>
              <w:t>​</w:t>
            </w:r>
          </w:p>
        </w:tc>
        <w:tc>
          <w:tcPr>
            <w:tcW w:w="0" w:type="dxa"/>
            <w:vAlign w:val="bottom"/>
          </w:tcPr>
          <w:p>
            <w:pPr>
              <w:spacing w:after="0"/>
              <w:rPr>
                <w:sz w:val="1"/>
                <w:szCs w:val="1"/>
                <w:color w:val="auto"/>
              </w:rPr>
            </w:pPr>
          </w:p>
        </w:tc>
      </w:tr>
      <w:tr>
        <w:trPr>
          <w:trHeight w:val="211"/>
        </w:trPr>
        <w:tc>
          <w:tcPr>
            <w:tcW w:w="2260" w:type="dxa"/>
            <w:vAlign w:val="bottom"/>
            <w:tcBorders>
              <w:left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Adjusted EBITDA</w:t>
            </w:r>
          </w:p>
        </w:tc>
        <w:tc>
          <w:tcPr>
            <w:tcW w:w="320" w:type="dxa"/>
            <w:vAlign w:val="bottom"/>
            <w:shd w:val="clear" w:color="auto" w:fill="D9DCE1"/>
          </w:tcPr>
          <w:p>
            <w:pPr>
              <w:spacing w:after="0"/>
              <w:rPr>
                <w:sz w:val="18"/>
                <w:szCs w:val="18"/>
                <w:color w:val="auto"/>
              </w:rPr>
            </w:pPr>
          </w:p>
        </w:tc>
        <w:tc>
          <w:tcPr>
            <w:tcW w:w="260" w:type="dxa"/>
            <w:vAlign w:val="bottom"/>
            <w:shd w:val="clear" w:color="auto" w:fill="D9DCE1"/>
          </w:tcPr>
          <w:p>
            <w:pPr>
              <w:spacing w:after="0"/>
              <w:rPr>
                <w:sz w:val="18"/>
                <w:szCs w:val="18"/>
                <w:color w:val="auto"/>
              </w:rPr>
            </w:pPr>
          </w:p>
        </w:tc>
        <w:tc>
          <w:tcPr>
            <w:tcW w:w="580" w:type="dxa"/>
            <w:vAlign w:val="bottom"/>
            <w:shd w:val="clear" w:color="auto" w:fill="D9DCE1"/>
          </w:tcPr>
          <w:p>
            <w:pPr>
              <w:spacing w:after="0"/>
              <w:rPr>
                <w:sz w:val="18"/>
                <w:szCs w:val="18"/>
                <w:color w:val="auto"/>
              </w:rPr>
            </w:pPr>
          </w:p>
        </w:tc>
        <w:tc>
          <w:tcPr>
            <w:tcW w:w="460" w:type="dxa"/>
            <w:vAlign w:val="bottom"/>
            <w:shd w:val="clear" w:color="auto" w:fill="D9DCE1"/>
          </w:tcPr>
          <w:p>
            <w:pPr>
              <w:spacing w:after="0"/>
              <w:rPr>
                <w:sz w:val="18"/>
                <w:szCs w:val="18"/>
                <w:color w:val="auto"/>
              </w:rPr>
            </w:pPr>
          </w:p>
        </w:tc>
        <w:tc>
          <w:tcPr>
            <w:tcW w:w="400" w:type="dxa"/>
            <w:vAlign w:val="bottom"/>
            <w:shd w:val="clear" w:color="auto" w:fill="D9DCE1"/>
          </w:tcPr>
          <w:p>
            <w:pPr>
              <w:spacing w:after="0"/>
              <w:rPr>
                <w:sz w:val="18"/>
                <w:szCs w:val="18"/>
                <w:color w:val="auto"/>
              </w:rPr>
            </w:pPr>
          </w:p>
        </w:tc>
        <w:tc>
          <w:tcPr>
            <w:tcW w:w="420" w:type="dxa"/>
            <w:vAlign w:val="bottom"/>
            <w:shd w:val="clear" w:color="auto" w:fill="D9DCE1"/>
          </w:tcPr>
          <w:p>
            <w:pPr>
              <w:spacing w:after="0"/>
              <w:rPr>
                <w:sz w:val="18"/>
                <w:szCs w:val="18"/>
                <w:color w:val="auto"/>
              </w:rPr>
            </w:pPr>
          </w:p>
        </w:tc>
        <w:tc>
          <w:tcPr>
            <w:tcW w:w="300" w:type="dxa"/>
            <w:vAlign w:val="bottom"/>
            <w:shd w:val="clear" w:color="auto" w:fill="D9DCE1"/>
          </w:tcPr>
          <w:p>
            <w:pPr>
              <w:spacing w:after="0"/>
              <w:rPr>
                <w:sz w:val="18"/>
                <w:szCs w:val="18"/>
                <w:color w:val="auto"/>
              </w:rPr>
            </w:pPr>
          </w:p>
        </w:tc>
        <w:tc>
          <w:tcPr>
            <w:tcW w:w="480" w:type="dxa"/>
            <w:vAlign w:val="bottom"/>
            <w:shd w:val="clear" w:color="auto" w:fill="D9DCE1"/>
          </w:tcPr>
          <w:p>
            <w:pPr>
              <w:spacing w:after="0"/>
              <w:rPr>
                <w:sz w:val="18"/>
                <w:szCs w:val="18"/>
                <w:color w:val="auto"/>
              </w:rPr>
            </w:pPr>
          </w:p>
        </w:tc>
        <w:tc>
          <w:tcPr>
            <w:tcW w:w="400" w:type="dxa"/>
            <w:vAlign w:val="bottom"/>
            <w:shd w:val="clear" w:color="auto" w:fill="D9DCE1"/>
          </w:tcPr>
          <w:p>
            <w:pPr>
              <w:spacing w:after="0"/>
              <w:rPr>
                <w:sz w:val="18"/>
                <w:szCs w:val="18"/>
                <w:color w:val="auto"/>
              </w:rPr>
            </w:pPr>
          </w:p>
        </w:tc>
        <w:tc>
          <w:tcPr>
            <w:tcW w:w="460" w:type="dxa"/>
            <w:vAlign w:val="bottom"/>
            <w:shd w:val="clear" w:color="auto" w:fill="D9DCE1"/>
          </w:tcPr>
          <w:p>
            <w:pPr>
              <w:spacing w:after="0"/>
              <w:rPr>
                <w:sz w:val="18"/>
                <w:szCs w:val="18"/>
                <w:color w:val="auto"/>
              </w:rPr>
            </w:pPr>
          </w:p>
        </w:tc>
        <w:tc>
          <w:tcPr>
            <w:tcW w:w="320" w:type="dxa"/>
            <w:vAlign w:val="bottom"/>
            <w:shd w:val="clear" w:color="auto" w:fill="D9DCE1"/>
          </w:tcPr>
          <w:p>
            <w:pPr>
              <w:spacing w:after="0"/>
              <w:rPr>
                <w:sz w:val="18"/>
                <w:szCs w:val="18"/>
                <w:color w:val="auto"/>
              </w:rPr>
            </w:pPr>
          </w:p>
        </w:tc>
        <w:tc>
          <w:tcPr>
            <w:tcW w:w="380" w:type="dxa"/>
            <w:vAlign w:val="bottom"/>
            <w:shd w:val="clear" w:color="auto" w:fill="D9DCE1"/>
          </w:tcPr>
          <w:p>
            <w:pPr>
              <w:spacing w:after="0"/>
              <w:rPr>
                <w:sz w:val="18"/>
                <w:szCs w:val="18"/>
                <w:color w:val="auto"/>
              </w:rPr>
            </w:pPr>
          </w:p>
        </w:tc>
        <w:tc>
          <w:tcPr>
            <w:tcW w:w="400" w:type="dxa"/>
            <w:vAlign w:val="bottom"/>
            <w:shd w:val="clear" w:color="auto" w:fill="D9DCE1"/>
          </w:tcPr>
          <w:p>
            <w:pPr>
              <w:spacing w:after="0"/>
              <w:rPr>
                <w:sz w:val="18"/>
                <w:szCs w:val="18"/>
                <w:color w:val="auto"/>
              </w:rPr>
            </w:pPr>
          </w:p>
        </w:tc>
        <w:tc>
          <w:tcPr>
            <w:tcW w:w="600" w:type="dxa"/>
            <w:vAlign w:val="bottom"/>
            <w:shd w:val="clear" w:color="auto" w:fill="D9DCE1"/>
          </w:tcPr>
          <w:p>
            <w:pPr>
              <w:spacing w:after="0"/>
              <w:rPr>
                <w:sz w:val="18"/>
                <w:szCs w:val="18"/>
                <w:color w:val="auto"/>
              </w:rPr>
            </w:pPr>
          </w:p>
        </w:tc>
        <w:tc>
          <w:tcPr>
            <w:tcW w:w="180" w:type="dxa"/>
            <w:vAlign w:val="bottom"/>
            <w:tcBorders>
              <w:right w:val="single" w:sz="8" w:color="424E6A"/>
            </w:tcBorders>
            <w:shd w:val="clear" w:color="auto" w:fill="D9DCE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424E6A"/>
            </w:tcBorders>
            <w:shd w:val="clear" w:color="auto" w:fill="D9DCE1"/>
          </w:tcPr>
          <w:p>
            <w:pPr>
              <w:ind w:left="240"/>
              <w:spacing w:after="0"/>
              <w:rPr>
                <w:sz w:val="20"/>
                <w:szCs w:val="20"/>
                <w:color w:val="auto"/>
              </w:rPr>
            </w:pPr>
            <w:r>
              <w:rPr>
                <w:rFonts w:ascii="Arial" w:cs="Arial" w:eastAsia="Arial" w:hAnsi="Arial"/>
                <w:sz w:val="18"/>
                <w:szCs w:val="18"/>
                <w:color w:val="auto"/>
              </w:rPr>
              <w:t>attributable to PAA</w:t>
            </w:r>
          </w:p>
        </w:tc>
        <w:tc>
          <w:tcPr>
            <w:tcW w:w="320" w:type="dxa"/>
            <w:vAlign w:val="bottom"/>
            <w:shd w:val="clear" w:color="auto" w:fill="D9DCE1"/>
          </w:tcPr>
          <w:p>
            <w:pPr>
              <w:spacing w:after="0"/>
              <w:rPr>
                <w:sz w:val="18"/>
                <w:szCs w:val="18"/>
                <w:color w:val="auto"/>
              </w:rPr>
            </w:pPr>
          </w:p>
        </w:tc>
        <w:tc>
          <w:tcPr>
            <w:tcW w:w="260" w:type="dxa"/>
            <w:vAlign w:val="bottom"/>
            <w:shd w:val="clear" w:color="auto" w:fill="D9DCE1"/>
          </w:tcPr>
          <w:p>
            <w:pPr>
              <w:spacing w:after="0"/>
              <w:rPr>
                <w:sz w:val="18"/>
                <w:szCs w:val="18"/>
                <w:color w:val="auto"/>
              </w:rPr>
            </w:pPr>
          </w:p>
        </w:tc>
        <w:tc>
          <w:tcPr>
            <w:tcW w:w="580" w:type="dxa"/>
            <w:vAlign w:val="bottom"/>
            <w:shd w:val="clear" w:color="auto" w:fill="D9DCE1"/>
          </w:tcPr>
          <w:p>
            <w:pPr>
              <w:spacing w:after="0"/>
              <w:rPr>
                <w:sz w:val="18"/>
                <w:szCs w:val="18"/>
                <w:color w:val="auto"/>
              </w:rPr>
            </w:pPr>
          </w:p>
        </w:tc>
        <w:tc>
          <w:tcPr>
            <w:tcW w:w="460" w:type="dxa"/>
            <w:vAlign w:val="bottom"/>
            <w:shd w:val="clear" w:color="auto" w:fill="D9DCE1"/>
          </w:tcPr>
          <w:p>
            <w:pPr>
              <w:spacing w:after="0"/>
              <w:rPr>
                <w:sz w:val="18"/>
                <w:szCs w:val="18"/>
                <w:color w:val="auto"/>
              </w:rPr>
            </w:pPr>
          </w:p>
        </w:tc>
        <w:tc>
          <w:tcPr>
            <w:tcW w:w="400" w:type="dxa"/>
            <w:vAlign w:val="bottom"/>
            <w:shd w:val="clear" w:color="auto" w:fill="D9DCE1"/>
          </w:tcPr>
          <w:p>
            <w:pPr>
              <w:spacing w:after="0"/>
              <w:rPr>
                <w:sz w:val="18"/>
                <w:szCs w:val="18"/>
                <w:color w:val="auto"/>
              </w:rPr>
            </w:pPr>
          </w:p>
        </w:tc>
        <w:tc>
          <w:tcPr>
            <w:tcW w:w="420" w:type="dxa"/>
            <w:vAlign w:val="bottom"/>
            <w:shd w:val="clear" w:color="auto" w:fill="D9DCE1"/>
          </w:tcPr>
          <w:p>
            <w:pPr>
              <w:spacing w:after="0"/>
              <w:rPr>
                <w:sz w:val="18"/>
                <w:szCs w:val="18"/>
                <w:color w:val="auto"/>
              </w:rPr>
            </w:pPr>
          </w:p>
        </w:tc>
        <w:tc>
          <w:tcPr>
            <w:tcW w:w="300" w:type="dxa"/>
            <w:vAlign w:val="bottom"/>
            <w:shd w:val="clear" w:color="auto" w:fill="D9DCE1"/>
          </w:tcPr>
          <w:p>
            <w:pPr>
              <w:spacing w:after="0"/>
              <w:rPr>
                <w:sz w:val="18"/>
                <w:szCs w:val="18"/>
                <w:color w:val="auto"/>
              </w:rPr>
            </w:pPr>
          </w:p>
        </w:tc>
        <w:tc>
          <w:tcPr>
            <w:tcW w:w="480" w:type="dxa"/>
            <w:vAlign w:val="bottom"/>
            <w:shd w:val="clear" w:color="auto" w:fill="D9DCE1"/>
          </w:tcPr>
          <w:p>
            <w:pPr>
              <w:spacing w:after="0"/>
              <w:rPr>
                <w:sz w:val="18"/>
                <w:szCs w:val="18"/>
                <w:color w:val="auto"/>
              </w:rPr>
            </w:pPr>
          </w:p>
        </w:tc>
        <w:tc>
          <w:tcPr>
            <w:tcW w:w="400" w:type="dxa"/>
            <w:vAlign w:val="bottom"/>
            <w:shd w:val="clear" w:color="auto" w:fill="D9DCE1"/>
          </w:tcPr>
          <w:p>
            <w:pPr>
              <w:spacing w:after="0"/>
              <w:rPr>
                <w:sz w:val="18"/>
                <w:szCs w:val="18"/>
                <w:color w:val="auto"/>
              </w:rPr>
            </w:pPr>
          </w:p>
        </w:tc>
        <w:tc>
          <w:tcPr>
            <w:tcW w:w="460" w:type="dxa"/>
            <w:vAlign w:val="bottom"/>
            <w:shd w:val="clear" w:color="auto" w:fill="D9DCE1"/>
          </w:tcPr>
          <w:p>
            <w:pPr>
              <w:spacing w:after="0"/>
              <w:rPr>
                <w:sz w:val="18"/>
                <w:szCs w:val="18"/>
                <w:color w:val="auto"/>
              </w:rPr>
            </w:pPr>
          </w:p>
        </w:tc>
        <w:tc>
          <w:tcPr>
            <w:tcW w:w="320" w:type="dxa"/>
            <w:vAlign w:val="bottom"/>
            <w:shd w:val="clear" w:color="auto" w:fill="D9DCE1"/>
          </w:tcPr>
          <w:p>
            <w:pPr>
              <w:spacing w:after="0"/>
              <w:rPr>
                <w:sz w:val="18"/>
                <w:szCs w:val="18"/>
                <w:color w:val="auto"/>
              </w:rPr>
            </w:pPr>
          </w:p>
        </w:tc>
        <w:tc>
          <w:tcPr>
            <w:tcW w:w="380" w:type="dxa"/>
            <w:vAlign w:val="bottom"/>
            <w:shd w:val="clear" w:color="auto" w:fill="D9DCE1"/>
          </w:tcPr>
          <w:p>
            <w:pPr>
              <w:spacing w:after="0"/>
              <w:rPr>
                <w:sz w:val="18"/>
                <w:szCs w:val="18"/>
                <w:color w:val="auto"/>
              </w:rPr>
            </w:pPr>
          </w:p>
        </w:tc>
        <w:tc>
          <w:tcPr>
            <w:tcW w:w="400" w:type="dxa"/>
            <w:vAlign w:val="bottom"/>
            <w:shd w:val="clear" w:color="auto" w:fill="D9DCE1"/>
          </w:tcPr>
          <w:p>
            <w:pPr>
              <w:spacing w:after="0"/>
              <w:rPr>
                <w:sz w:val="18"/>
                <w:szCs w:val="18"/>
                <w:color w:val="auto"/>
              </w:rPr>
            </w:pPr>
          </w:p>
        </w:tc>
        <w:tc>
          <w:tcPr>
            <w:tcW w:w="600" w:type="dxa"/>
            <w:vAlign w:val="bottom"/>
            <w:shd w:val="clear" w:color="auto" w:fill="D9DCE1"/>
          </w:tcPr>
          <w:p>
            <w:pPr>
              <w:spacing w:after="0"/>
              <w:rPr>
                <w:sz w:val="18"/>
                <w:szCs w:val="18"/>
                <w:color w:val="auto"/>
              </w:rPr>
            </w:pPr>
          </w:p>
        </w:tc>
        <w:tc>
          <w:tcPr>
            <w:tcW w:w="180" w:type="dxa"/>
            <w:vAlign w:val="bottom"/>
            <w:tcBorders>
              <w:right w:val="single" w:sz="8" w:color="424E6A"/>
            </w:tcBorders>
            <w:shd w:val="clear" w:color="auto" w:fill="D9DCE1"/>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260" w:type="dxa"/>
            <w:vAlign w:val="bottom"/>
            <w:tcBorders>
              <w:left w:val="single" w:sz="8" w:color="424E6A"/>
              <w:bottom w:val="single" w:sz="8" w:color="424E6A"/>
            </w:tcBorders>
            <w:shd w:val="clear" w:color="auto" w:fill="D9DCE1"/>
          </w:tcPr>
          <w:p>
            <w:pPr>
              <w:ind w:left="240"/>
              <w:spacing w:after="0"/>
              <w:rPr>
                <w:sz w:val="20"/>
                <w:szCs w:val="20"/>
                <w:color w:val="auto"/>
              </w:rPr>
            </w:pPr>
            <w:r>
              <w:rPr>
                <w:rFonts w:ascii="Arial" w:cs="Arial" w:eastAsia="Arial" w:hAnsi="Arial"/>
                <w:sz w:val="18"/>
                <w:szCs w:val="18"/>
                <w:color w:val="auto"/>
              </w:rPr>
              <w:t>(dollars in millions)</w:t>
            </w:r>
          </w:p>
        </w:tc>
        <w:tc>
          <w:tcPr>
            <w:tcW w:w="32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8"/>
                <w:szCs w:val="18"/>
                <w:color w:val="auto"/>
              </w:rPr>
              <w:t>​ ​</w:t>
            </w:r>
          </w:p>
        </w:tc>
        <w:tc>
          <w:tcPr>
            <w:tcW w:w="1300" w:type="dxa"/>
            <w:vAlign w:val="bottom"/>
            <w:tcBorders>
              <w:bottom w:val="single" w:sz="8" w:color="424E6A"/>
            </w:tcBorders>
            <w:gridSpan w:val="3"/>
            <w:shd w:val="clear" w:color="auto" w:fill="D9DCE1"/>
          </w:tcPr>
          <w:p>
            <w:pPr>
              <w:ind w:left="60"/>
              <w:spacing w:after="0"/>
              <w:rPr>
                <w:sz w:val="20"/>
                <w:szCs w:val="20"/>
                <w:color w:val="auto"/>
              </w:rPr>
            </w:pPr>
            <w:r>
              <w:rPr>
                <w:rFonts w:ascii="Arial" w:cs="Arial" w:eastAsia="Arial" w:hAnsi="Arial"/>
                <w:sz w:val="18"/>
                <w:szCs w:val="18"/>
                <w:color w:val="auto"/>
              </w:rPr>
              <w:t>​40%​​ ​ ​$2,700</w:t>
            </w:r>
          </w:p>
        </w:tc>
        <w:tc>
          <w:tcPr>
            <w:tcW w:w="820" w:type="dxa"/>
            <w:vAlign w:val="bottom"/>
            <w:tcBorders>
              <w:bottom w:val="single" w:sz="8" w:color="424E6A"/>
            </w:tcBorders>
            <w:gridSpan w:val="2"/>
            <w:shd w:val="clear" w:color="auto" w:fill="D9DCE1"/>
          </w:tcPr>
          <w:p>
            <w:pPr>
              <w:ind w:left="40"/>
              <w:spacing w:after="0"/>
              <w:rPr>
                <w:sz w:val="20"/>
                <w:szCs w:val="20"/>
                <w:color w:val="auto"/>
              </w:rPr>
            </w:pPr>
            <w:r>
              <w:rPr>
                <w:rFonts w:ascii="Arial" w:cs="Arial" w:eastAsia="Arial" w:hAnsi="Arial"/>
                <w:sz w:val="18"/>
                <w:szCs w:val="18"/>
                <w:color w:val="auto"/>
              </w:rPr>
              <w:t>​​ ​​$2,900</w:t>
            </w:r>
          </w:p>
        </w:tc>
        <w:tc>
          <w:tcPr>
            <w:tcW w:w="780" w:type="dxa"/>
            <w:vAlign w:val="bottom"/>
            <w:tcBorders>
              <w:bottom w:val="single" w:sz="8" w:color="424E6A"/>
            </w:tcBorders>
            <w:gridSpan w:val="2"/>
            <w:shd w:val="clear" w:color="auto" w:fill="D9DCE1"/>
          </w:tcPr>
          <w:p>
            <w:pPr>
              <w:ind w:left="40"/>
              <w:spacing w:after="0"/>
              <w:rPr>
                <w:sz w:val="20"/>
                <w:szCs w:val="20"/>
                <w:color w:val="auto"/>
              </w:rPr>
            </w:pPr>
            <w:r>
              <w:rPr>
                <w:rFonts w:ascii="Arial" w:cs="Arial" w:eastAsia="Arial" w:hAnsi="Arial"/>
                <w:sz w:val="18"/>
                <w:szCs w:val="18"/>
                <w:color w:val="auto"/>
              </w:rPr>
              <w:t>​ ​​$3,100</w:t>
            </w:r>
          </w:p>
        </w:tc>
        <w:tc>
          <w:tcPr>
            <w:tcW w:w="1180" w:type="dxa"/>
            <w:vAlign w:val="bottom"/>
            <w:tcBorders>
              <w:bottom w:val="single" w:sz="8" w:color="424E6A"/>
            </w:tcBorders>
            <w:gridSpan w:val="3"/>
            <w:shd w:val="clear" w:color="auto" w:fill="D9DCE1"/>
          </w:tcPr>
          <w:p>
            <w:pPr>
              <w:jc w:val="right"/>
              <w:ind w:right="13"/>
              <w:spacing w:after="0"/>
              <w:rPr>
                <w:sz w:val="20"/>
                <w:szCs w:val="20"/>
                <w:color w:val="auto"/>
              </w:rPr>
            </w:pPr>
            <w:r>
              <w:rPr>
                <w:rFonts w:ascii="Arial" w:cs="Arial" w:eastAsia="Arial" w:hAnsi="Arial"/>
                <w:sz w:val="18"/>
                <w:szCs w:val="18"/>
                <w:color w:val="auto"/>
              </w:rPr>
              <w:t>​ ​ ​$2,833 ​​ ​</w:t>
            </w:r>
          </w:p>
        </w:tc>
        <w:tc>
          <w:tcPr>
            <w:tcW w:w="780" w:type="dxa"/>
            <w:vAlign w:val="bottom"/>
            <w:tcBorders>
              <w:bottom w:val="single" w:sz="8" w:color="424E6A"/>
            </w:tcBorders>
            <w:gridSpan w:val="2"/>
            <w:shd w:val="clear" w:color="auto" w:fill="D9DCE1"/>
          </w:tcPr>
          <w:p>
            <w:pPr>
              <w:jc w:val="right"/>
              <w:spacing w:after="0"/>
              <w:rPr>
                <w:sz w:val="20"/>
                <w:szCs w:val="20"/>
                <w:color w:val="auto"/>
              </w:rPr>
            </w:pPr>
            <w:r>
              <w:rPr>
                <w:rFonts w:ascii="Arial" w:cs="Arial" w:eastAsia="Arial" w:hAnsi="Arial"/>
                <w:sz w:val="18"/>
                <w:szCs w:val="18"/>
                <w:color w:val="auto"/>
              </w:rPr>
              <w:t>​ 67% ​​</w:t>
            </w:r>
          </w:p>
        </w:tc>
        <w:tc>
          <w:tcPr>
            <w:tcW w:w="780" w:type="dxa"/>
            <w:vAlign w:val="bottom"/>
            <w:tcBorders>
              <w:bottom w:val="single" w:sz="8" w:color="424E6A"/>
              <w:right w:val="single" w:sz="8" w:color="424E6A"/>
            </w:tcBorders>
            <w:gridSpan w:val="2"/>
            <w:shd w:val="clear" w:color="auto" w:fill="D9DCE1"/>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50"/>
        </w:trPr>
        <w:tc>
          <w:tcPr>
            <w:tcW w:w="226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Implied DCF/CUE</w:t>
            </w:r>
          </w:p>
        </w:tc>
        <w:tc>
          <w:tcPr>
            <w:tcW w:w="320" w:type="dxa"/>
            <w:vAlign w:val="bottom"/>
            <w:tcBorders>
              <w:bottom w:val="single" w:sz="8" w:color="424E6A"/>
            </w:tcBorders>
          </w:tcPr>
          <w:p>
            <w:pPr>
              <w:ind w:left="100"/>
              <w:spacing w:after="0"/>
              <w:rPr>
                <w:sz w:val="20"/>
                <w:szCs w:val="20"/>
                <w:color w:val="auto"/>
              </w:rPr>
            </w:pPr>
            <w:r>
              <w:rPr>
                <w:rFonts w:ascii="Arial" w:cs="Arial" w:eastAsia="Arial" w:hAnsi="Arial"/>
                <w:sz w:val="18"/>
                <w:szCs w:val="18"/>
                <w:color w:val="auto"/>
              </w:rPr>
              <w:t>​ ​</w:t>
            </w:r>
          </w:p>
        </w:tc>
        <w:tc>
          <w:tcPr>
            <w:tcW w:w="840" w:type="dxa"/>
            <w:vAlign w:val="bottom"/>
            <w:tcBorders>
              <w:bottom w:val="single" w:sz="8" w:color="424E6A"/>
            </w:tcBorders>
            <w:gridSpan w:val="2"/>
          </w:tcPr>
          <w:p>
            <w:pPr>
              <w:ind w:left="6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40%</w:t>
            </w:r>
            <w:r>
              <w:rPr>
                <w:rFonts w:ascii="Arial" w:cs="Arial" w:eastAsia="Arial" w:hAnsi="Arial"/>
                <w:sz w:val="15"/>
                <w:szCs w:val="15"/>
                <w:color w:val="auto"/>
              </w:rPr>
              <w:t>​​ ​ ​</w:t>
            </w:r>
            <w:r>
              <w:rPr>
                <w:rFonts w:ascii="Arial" w:cs="Arial" w:eastAsia="Arial" w:hAnsi="Arial"/>
                <w:sz w:val="28"/>
                <w:szCs w:val="28"/>
                <w:color w:val="auto"/>
                <w:vertAlign w:val="superscript"/>
              </w:rPr>
              <w:t>$</w:t>
            </w:r>
          </w:p>
        </w:tc>
        <w:tc>
          <w:tcPr>
            <w:tcW w:w="4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2.51</w:t>
            </w:r>
          </w:p>
        </w:tc>
        <w:tc>
          <w:tcPr>
            <w:tcW w:w="400" w:type="dxa"/>
            <w:vAlign w:val="bottom"/>
            <w:tcBorders>
              <w:bottom w:val="single" w:sz="8" w:color="424E6A"/>
            </w:tcBorders>
          </w:tcPr>
          <w:p>
            <w:pPr>
              <w:ind w:left="4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42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2.70</w:t>
            </w:r>
          </w:p>
        </w:tc>
        <w:tc>
          <w:tcPr>
            <w:tcW w:w="300" w:type="dxa"/>
            <w:vAlign w:val="bottom"/>
            <w:tcBorders>
              <w:bottom w:val="single" w:sz="8" w:color="424E6A"/>
            </w:tcBorders>
          </w:tcPr>
          <w:p>
            <w:pPr>
              <w:ind w:left="4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48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2.89</w:t>
            </w:r>
          </w:p>
        </w:tc>
        <w:tc>
          <w:tcPr>
            <w:tcW w:w="400" w:type="dxa"/>
            <w:vAlign w:val="bottom"/>
            <w:tcBorders>
              <w:bottom w:val="single" w:sz="8" w:color="424E6A"/>
            </w:tcBorders>
          </w:tcPr>
          <w:p>
            <w:pPr>
              <w:ind w:left="20"/>
              <w:spacing w:after="0" w:line="250" w:lineRule="exact"/>
              <w:rPr>
                <w:sz w:val="20"/>
                <w:szCs w:val="20"/>
                <w:color w:val="auto"/>
              </w:rPr>
            </w:pPr>
            <w:r>
              <w:rPr>
                <w:rFonts w:ascii="Arial" w:cs="Arial" w:eastAsia="Arial" w:hAnsi="Arial"/>
                <w:sz w:val="15"/>
                <w:szCs w:val="15"/>
                <w:color w:val="auto"/>
              </w:rPr>
              <w:t>​ ​ ​</w:t>
            </w:r>
            <w:r>
              <w:rPr>
                <w:rFonts w:ascii="Arial" w:cs="Arial" w:eastAsia="Arial" w:hAnsi="Arial"/>
                <w:sz w:val="28"/>
                <w:szCs w:val="28"/>
                <w:color w:val="auto"/>
                <w:vertAlign w:val="superscript"/>
              </w:rPr>
              <w:t>$</w:t>
            </w:r>
          </w:p>
        </w:tc>
        <w:tc>
          <w:tcPr>
            <w:tcW w:w="4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2.61</w:t>
            </w:r>
          </w:p>
        </w:tc>
        <w:tc>
          <w:tcPr>
            <w:tcW w:w="320" w:type="dxa"/>
            <w:vAlign w:val="bottom"/>
            <w:tcBorders>
              <w:bottom w:val="single" w:sz="8" w:color="424E6A"/>
            </w:tcBorders>
          </w:tcPr>
          <w:p>
            <w:pPr>
              <w:jc w:val="right"/>
              <w:ind w:right="13"/>
              <w:spacing w:after="0"/>
              <w:rPr>
                <w:sz w:val="20"/>
                <w:szCs w:val="20"/>
                <w:color w:val="auto"/>
              </w:rPr>
            </w:pPr>
            <w:r>
              <w:rPr>
                <w:rFonts w:ascii="Arial" w:cs="Arial" w:eastAsia="Arial" w:hAnsi="Arial"/>
                <w:sz w:val="18"/>
                <w:szCs w:val="18"/>
                <w:color w:val="auto"/>
              </w:rPr>
              <w:t>​​ ​</w:t>
            </w:r>
          </w:p>
        </w:tc>
        <w:tc>
          <w:tcPr>
            <w:tcW w:w="780" w:type="dxa"/>
            <w:vAlign w:val="bottom"/>
            <w:tcBorders>
              <w:bottom w:val="single" w:sz="8" w:color="424E6A"/>
            </w:tcBorders>
            <w:gridSpan w:val="2"/>
          </w:tcPr>
          <w:p>
            <w:pPr>
              <w:jc w:val="right"/>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53%</w:t>
            </w:r>
            <w:r>
              <w:rPr>
                <w:rFonts w:ascii="Arial" w:cs="Arial" w:eastAsia="Arial" w:hAnsi="Arial"/>
                <w:sz w:val="15"/>
                <w:szCs w:val="15"/>
                <w:color w:val="auto"/>
              </w:rPr>
              <w:t xml:space="preserve"> ​​</w:t>
            </w:r>
          </w:p>
        </w:tc>
        <w:tc>
          <w:tcPr>
            <w:tcW w:w="780" w:type="dxa"/>
            <w:vAlign w:val="bottom"/>
            <w:tcBorders>
              <w:bottom w:val="single" w:sz="8" w:color="424E6A"/>
              <w:right w:val="single" w:sz="8" w:color="424E6A"/>
            </w:tcBorders>
            <w:gridSpan w:val="2"/>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21%</w:t>
            </w:r>
            <w:r>
              <w:rPr>
                <w:rFonts w:ascii="Arial" w:cs="Arial" w:eastAsia="Arial" w:hAnsi="Arial"/>
                <w:sz w:val="28"/>
                <w:szCs w:val="28"/>
                <w:color w:val="auto"/>
                <w:vertAlign w:val="subscript"/>
              </w:rPr>
              <w:t>​ ​</w:t>
            </w:r>
          </w:p>
        </w:tc>
        <w:tc>
          <w:tcPr>
            <w:tcW w:w="0" w:type="dxa"/>
            <w:vAlign w:val="bottom"/>
          </w:tcPr>
          <w:p>
            <w:pPr>
              <w:spacing w:after="0"/>
              <w:rPr>
                <w:sz w:val="1"/>
                <w:szCs w:val="1"/>
                <w:color w:val="auto"/>
              </w:rPr>
            </w:pPr>
          </w:p>
        </w:tc>
      </w:tr>
      <w:tr>
        <w:trPr>
          <w:trHeight w:val="250"/>
        </w:trPr>
        <w:tc>
          <w:tcPr>
            <w:tcW w:w="226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Safety (TRIR)</w:t>
            </w:r>
          </w:p>
        </w:tc>
        <w:tc>
          <w:tcPr>
            <w:tcW w:w="32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8"/>
                <w:szCs w:val="18"/>
                <w:color w:val="auto"/>
              </w:rPr>
              <w:t>​ ​</w:t>
            </w:r>
          </w:p>
        </w:tc>
        <w:tc>
          <w:tcPr>
            <w:tcW w:w="840" w:type="dxa"/>
            <w:vAlign w:val="bottom"/>
            <w:tcBorders>
              <w:bottom w:val="single" w:sz="8" w:color="424E6A"/>
            </w:tcBorders>
            <w:gridSpan w:val="2"/>
            <w:shd w:val="clear" w:color="auto" w:fill="D9DCE1"/>
          </w:tcPr>
          <w:p>
            <w:pPr>
              <w:ind w:left="6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10%</w:t>
            </w:r>
            <w:r>
              <w:rPr>
                <w:rFonts w:ascii="Arial" w:cs="Arial" w:eastAsia="Arial" w:hAnsi="Arial"/>
                <w:sz w:val="15"/>
                <w:szCs w:val="15"/>
                <w:color w:val="auto"/>
              </w:rPr>
              <w:t>​​ ​ ​</w:t>
            </w:r>
          </w:p>
        </w:tc>
        <w:tc>
          <w:tcPr>
            <w:tcW w:w="46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0.36</w:t>
            </w:r>
          </w:p>
        </w:tc>
        <w:tc>
          <w:tcPr>
            <w:tcW w:w="4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 ​​</w:t>
            </w:r>
          </w:p>
        </w:tc>
        <w:tc>
          <w:tcPr>
            <w:tcW w:w="42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0.25</w:t>
            </w:r>
          </w:p>
        </w:tc>
        <w:tc>
          <w:tcPr>
            <w:tcW w:w="3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 ​​</w:t>
            </w:r>
          </w:p>
        </w:tc>
        <w:tc>
          <w:tcPr>
            <w:tcW w:w="4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0.14</w:t>
            </w:r>
          </w:p>
        </w:tc>
        <w:tc>
          <w:tcPr>
            <w:tcW w:w="40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 ​ ​</w:t>
            </w:r>
          </w:p>
        </w:tc>
        <w:tc>
          <w:tcPr>
            <w:tcW w:w="46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0.22</w:t>
            </w:r>
          </w:p>
        </w:tc>
        <w:tc>
          <w:tcPr>
            <w:tcW w:w="320" w:type="dxa"/>
            <w:vAlign w:val="bottom"/>
            <w:tcBorders>
              <w:bottom w:val="single" w:sz="8" w:color="424E6A"/>
            </w:tcBorders>
            <w:shd w:val="clear" w:color="auto" w:fill="D9DCE1"/>
          </w:tcPr>
          <w:p>
            <w:pPr>
              <w:jc w:val="right"/>
              <w:ind w:right="13"/>
              <w:spacing w:after="0"/>
              <w:rPr>
                <w:sz w:val="20"/>
                <w:szCs w:val="20"/>
                <w:color w:val="auto"/>
              </w:rPr>
            </w:pPr>
            <w:r>
              <w:rPr>
                <w:rFonts w:ascii="Arial" w:cs="Arial" w:eastAsia="Arial" w:hAnsi="Arial"/>
                <w:sz w:val="18"/>
                <w:szCs w:val="18"/>
                <w:color w:val="auto"/>
              </w:rPr>
              <w:t>​​ ​</w:t>
            </w:r>
          </w:p>
        </w:tc>
        <w:tc>
          <w:tcPr>
            <w:tcW w:w="780" w:type="dxa"/>
            <w:vAlign w:val="bottom"/>
            <w:tcBorders>
              <w:bottom w:val="single" w:sz="8" w:color="424E6A"/>
            </w:tcBorders>
            <w:gridSpan w:val="2"/>
            <w:shd w:val="clear" w:color="auto" w:fill="D9DCE1"/>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127% </w:t>
            </w:r>
            <w:r>
              <w:rPr>
                <w:rFonts w:ascii="Arial" w:cs="Arial" w:eastAsia="Arial" w:hAnsi="Arial"/>
                <w:sz w:val="28"/>
                <w:szCs w:val="28"/>
                <w:color w:val="auto"/>
                <w:vertAlign w:val="subscript"/>
              </w:rPr>
              <w:t>​​</w:t>
            </w:r>
          </w:p>
        </w:tc>
        <w:tc>
          <w:tcPr>
            <w:tcW w:w="780" w:type="dxa"/>
            <w:vAlign w:val="bottom"/>
            <w:tcBorders>
              <w:bottom w:val="single" w:sz="8" w:color="424E6A"/>
              <w:right w:val="single" w:sz="8" w:color="424E6A"/>
            </w:tcBorders>
            <w:gridSpan w:val="2"/>
            <w:shd w:val="clear" w:color="auto" w:fill="D9DCE1"/>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13%</w:t>
            </w:r>
            <w:r>
              <w:rPr>
                <w:rFonts w:ascii="Arial" w:cs="Arial" w:eastAsia="Arial" w:hAnsi="Arial"/>
                <w:sz w:val="28"/>
                <w:szCs w:val="28"/>
                <w:color w:val="auto"/>
                <w:vertAlign w:val="subscript"/>
              </w:rPr>
              <w:t>​ ​</w:t>
            </w:r>
          </w:p>
        </w:tc>
        <w:tc>
          <w:tcPr>
            <w:tcW w:w="0" w:type="dxa"/>
            <w:vAlign w:val="bottom"/>
          </w:tcPr>
          <w:p>
            <w:pPr>
              <w:spacing w:after="0"/>
              <w:rPr>
                <w:sz w:val="1"/>
                <w:szCs w:val="1"/>
                <w:color w:val="auto"/>
              </w:rPr>
            </w:pPr>
          </w:p>
        </w:tc>
      </w:tr>
      <w:tr>
        <w:trPr>
          <w:trHeight w:val="250"/>
        </w:trPr>
        <w:tc>
          <w:tcPr>
            <w:tcW w:w="226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Environmental (OPRR)</w:t>
            </w:r>
          </w:p>
        </w:tc>
        <w:tc>
          <w:tcPr>
            <w:tcW w:w="320" w:type="dxa"/>
            <w:vAlign w:val="bottom"/>
            <w:tcBorders>
              <w:bottom w:val="single" w:sz="8" w:color="424E6A"/>
            </w:tcBorders>
          </w:tcPr>
          <w:p>
            <w:pPr>
              <w:ind w:left="100"/>
              <w:spacing w:after="0"/>
              <w:rPr>
                <w:sz w:val="20"/>
                <w:szCs w:val="20"/>
                <w:color w:val="auto"/>
              </w:rPr>
            </w:pPr>
            <w:r>
              <w:rPr>
                <w:rFonts w:ascii="Arial" w:cs="Arial" w:eastAsia="Arial" w:hAnsi="Arial"/>
                <w:sz w:val="18"/>
                <w:szCs w:val="18"/>
                <w:color w:val="auto"/>
              </w:rPr>
              <w:t>​ ​</w:t>
            </w:r>
          </w:p>
        </w:tc>
        <w:tc>
          <w:tcPr>
            <w:tcW w:w="840" w:type="dxa"/>
            <w:vAlign w:val="bottom"/>
            <w:tcBorders>
              <w:bottom w:val="single" w:sz="8" w:color="424E6A"/>
            </w:tcBorders>
            <w:gridSpan w:val="2"/>
          </w:tcPr>
          <w:p>
            <w:pPr>
              <w:ind w:left="6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10%</w:t>
            </w:r>
            <w:r>
              <w:rPr>
                <w:rFonts w:ascii="Arial" w:cs="Arial" w:eastAsia="Arial" w:hAnsi="Arial"/>
                <w:sz w:val="15"/>
                <w:szCs w:val="15"/>
                <w:color w:val="auto"/>
              </w:rPr>
              <w:t>​​ ​ ​</w:t>
            </w:r>
          </w:p>
        </w:tc>
        <w:tc>
          <w:tcPr>
            <w:tcW w:w="4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15</w:t>
            </w:r>
          </w:p>
        </w:tc>
        <w:tc>
          <w:tcPr>
            <w:tcW w:w="4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 ​​</w:t>
            </w:r>
          </w:p>
        </w:tc>
        <w:tc>
          <w:tcPr>
            <w:tcW w:w="42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 ​​</w:t>
            </w:r>
          </w:p>
        </w:tc>
        <w:tc>
          <w:tcPr>
            <w:tcW w:w="48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5</w:t>
            </w:r>
          </w:p>
        </w:tc>
        <w:tc>
          <w:tcPr>
            <w:tcW w:w="400" w:type="dxa"/>
            <w:vAlign w:val="bottom"/>
            <w:tcBorders>
              <w:bottom w:val="single" w:sz="8" w:color="424E6A"/>
            </w:tcBorders>
          </w:tcPr>
          <w:p>
            <w:pPr>
              <w:ind w:left="20"/>
              <w:spacing w:after="0"/>
              <w:rPr>
                <w:sz w:val="20"/>
                <w:szCs w:val="20"/>
                <w:color w:val="auto"/>
              </w:rPr>
            </w:pPr>
            <w:r>
              <w:rPr>
                <w:rFonts w:ascii="Arial" w:cs="Arial" w:eastAsia="Arial" w:hAnsi="Arial"/>
                <w:sz w:val="18"/>
                <w:szCs w:val="18"/>
                <w:color w:val="auto"/>
              </w:rPr>
              <w:t>​ ​ ​</w:t>
            </w:r>
          </w:p>
        </w:tc>
        <w:tc>
          <w:tcPr>
            <w:tcW w:w="4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10</w:t>
            </w:r>
          </w:p>
        </w:tc>
        <w:tc>
          <w:tcPr>
            <w:tcW w:w="320" w:type="dxa"/>
            <w:vAlign w:val="bottom"/>
            <w:tcBorders>
              <w:bottom w:val="single" w:sz="8" w:color="424E6A"/>
            </w:tcBorders>
          </w:tcPr>
          <w:p>
            <w:pPr>
              <w:jc w:val="right"/>
              <w:ind w:right="13"/>
              <w:spacing w:after="0"/>
              <w:rPr>
                <w:sz w:val="20"/>
                <w:szCs w:val="20"/>
                <w:color w:val="auto"/>
              </w:rPr>
            </w:pPr>
            <w:r>
              <w:rPr>
                <w:rFonts w:ascii="Arial" w:cs="Arial" w:eastAsia="Arial" w:hAnsi="Arial"/>
                <w:sz w:val="18"/>
                <w:szCs w:val="18"/>
                <w:color w:val="auto"/>
              </w:rPr>
              <w:t>​​ ​</w:t>
            </w:r>
          </w:p>
        </w:tc>
        <w:tc>
          <w:tcPr>
            <w:tcW w:w="780" w:type="dxa"/>
            <w:vAlign w:val="bottom"/>
            <w:tcBorders>
              <w:bottom w:val="single" w:sz="8" w:color="424E6A"/>
            </w:tcBorders>
            <w:gridSpan w:val="2"/>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100% </w:t>
            </w:r>
            <w:r>
              <w:rPr>
                <w:rFonts w:ascii="Arial" w:cs="Arial" w:eastAsia="Arial" w:hAnsi="Arial"/>
                <w:sz w:val="28"/>
                <w:szCs w:val="28"/>
                <w:color w:val="auto"/>
                <w:vertAlign w:val="subscript"/>
              </w:rPr>
              <w:t>​​</w:t>
            </w:r>
          </w:p>
        </w:tc>
        <w:tc>
          <w:tcPr>
            <w:tcW w:w="780" w:type="dxa"/>
            <w:vAlign w:val="bottom"/>
            <w:tcBorders>
              <w:bottom w:val="single" w:sz="8" w:color="424E6A"/>
              <w:right w:val="single" w:sz="8" w:color="424E6A"/>
            </w:tcBorders>
            <w:gridSpan w:val="2"/>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10%</w:t>
            </w:r>
            <w:r>
              <w:rPr>
                <w:rFonts w:ascii="Arial" w:cs="Arial" w:eastAsia="Arial" w:hAnsi="Arial"/>
                <w:sz w:val="28"/>
                <w:szCs w:val="28"/>
                <w:color w:val="auto"/>
                <w:vertAlign w:val="subscript"/>
              </w:rPr>
              <w:t>​ ​</w:t>
            </w:r>
          </w:p>
        </w:tc>
        <w:tc>
          <w:tcPr>
            <w:tcW w:w="0" w:type="dxa"/>
            <w:vAlign w:val="bottom"/>
          </w:tcPr>
          <w:p>
            <w:pPr>
              <w:spacing w:after="0"/>
              <w:rPr>
                <w:sz w:val="1"/>
                <w:szCs w:val="1"/>
                <w:color w:val="auto"/>
              </w:rPr>
            </w:pPr>
          </w:p>
        </w:tc>
      </w:tr>
      <w:tr>
        <w:trPr>
          <w:trHeight w:val="204"/>
        </w:trPr>
        <w:tc>
          <w:tcPr>
            <w:tcW w:w="2260" w:type="dxa"/>
            <w:vAlign w:val="bottom"/>
            <w:tcBorders>
              <w:left w:val="single" w:sz="8" w:color="424E6A"/>
            </w:tcBorders>
            <w:shd w:val="clear" w:color="auto" w:fill="D9DCE1"/>
          </w:tcPr>
          <w:p>
            <w:pPr>
              <w:ind w:left="60"/>
              <w:spacing w:after="0" w:line="204" w:lineRule="exact"/>
              <w:rPr>
                <w:sz w:val="20"/>
                <w:szCs w:val="20"/>
                <w:color w:val="auto"/>
              </w:rPr>
            </w:pPr>
            <w:r>
              <w:rPr>
                <w:rFonts w:ascii="Arial" w:cs="Arial" w:eastAsia="Arial" w:hAnsi="Arial"/>
                <w:sz w:val="18"/>
                <w:szCs w:val="18"/>
                <w:color w:val="auto"/>
              </w:rPr>
              <w:t>Company Performance</w:t>
            </w:r>
          </w:p>
        </w:tc>
        <w:tc>
          <w:tcPr>
            <w:tcW w:w="320" w:type="dxa"/>
            <w:vAlign w:val="bottom"/>
            <w:shd w:val="clear" w:color="auto" w:fill="D9DCE1"/>
          </w:tcPr>
          <w:p>
            <w:pPr>
              <w:spacing w:after="0"/>
              <w:rPr>
                <w:sz w:val="17"/>
                <w:szCs w:val="17"/>
                <w:color w:val="auto"/>
              </w:rPr>
            </w:pPr>
          </w:p>
        </w:tc>
        <w:tc>
          <w:tcPr>
            <w:tcW w:w="260" w:type="dxa"/>
            <w:vAlign w:val="bottom"/>
            <w:shd w:val="clear" w:color="auto" w:fill="D9DCE1"/>
          </w:tcPr>
          <w:p>
            <w:pPr>
              <w:spacing w:after="0"/>
              <w:rPr>
                <w:sz w:val="17"/>
                <w:szCs w:val="17"/>
                <w:color w:val="auto"/>
              </w:rPr>
            </w:pPr>
          </w:p>
        </w:tc>
        <w:tc>
          <w:tcPr>
            <w:tcW w:w="580" w:type="dxa"/>
            <w:vAlign w:val="bottom"/>
            <w:shd w:val="clear" w:color="auto" w:fill="D9DCE1"/>
          </w:tcPr>
          <w:p>
            <w:pPr>
              <w:spacing w:after="0"/>
              <w:rPr>
                <w:sz w:val="17"/>
                <w:szCs w:val="17"/>
                <w:color w:val="auto"/>
              </w:rPr>
            </w:pPr>
          </w:p>
        </w:tc>
        <w:tc>
          <w:tcPr>
            <w:tcW w:w="460" w:type="dxa"/>
            <w:vAlign w:val="bottom"/>
            <w:shd w:val="clear" w:color="auto" w:fill="D9DCE1"/>
          </w:tcPr>
          <w:p>
            <w:pPr>
              <w:spacing w:after="0"/>
              <w:rPr>
                <w:sz w:val="17"/>
                <w:szCs w:val="17"/>
                <w:color w:val="auto"/>
              </w:rPr>
            </w:pPr>
          </w:p>
        </w:tc>
        <w:tc>
          <w:tcPr>
            <w:tcW w:w="400" w:type="dxa"/>
            <w:vAlign w:val="bottom"/>
            <w:shd w:val="clear" w:color="auto" w:fill="D9DCE1"/>
          </w:tcPr>
          <w:p>
            <w:pPr>
              <w:spacing w:after="0"/>
              <w:rPr>
                <w:sz w:val="17"/>
                <w:szCs w:val="17"/>
                <w:color w:val="auto"/>
              </w:rPr>
            </w:pPr>
          </w:p>
        </w:tc>
        <w:tc>
          <w:tcPr>
            <w:tcW w:w="420" w:type="dxa"/>
            <w:vAlign w:val="bottom"/>
            <w:shd w:val="clear" w:color="auto" w:fill="D9DCE1"/>
          </w:tcPr>
          <w:p>
            <w:pPr>
              <w:spacing w:after="0"/>
              <w:rPr>
                <w:sz w:val="17"/>
                <w:szCs w:val="17"/>
                <w:color w:val="auto"/>
              </w:rPr>
            </w:pPr>
          </w:p>
        </w:tc>
        <w:tc>
          <w:tcPr>
            <w:tcW w:w="300" w:type="dxa"/>
            <w:vAlign w:val="bottom"/>
            <w:shd w:val="clear" w:color="auto" w:fill="D9DCE1"/>
          </w:tcPr>
          <w:p>
            <w:pPr>
              <w:spacing w:after="0"/>
              <w:rPr>
                <w:sz w:val="17"/>
                <w:szCs w:val="17"/>
                <w:color w:val="auto"/>
              </w:rPr>
            </w:pPr>
          </w:p>
        </w:tc>
        <w:tc>
          <w:tcPr>
            <w:tcW w:w="480" w:type="dxa"/>
            <w:vAlign w:val="bottom"/>
            <w:shd w:val="clear" w:color="auto" w:fill="D9DCE1"/>
          </w:tcPr>
          <w:p>
            <w:pPr>
              <w:spacing w:after="0"/>
              <w:rPr>
                <w:sz w:val="17"/>
                <w:szCs w:val="17"/>
                <w:color w:val="auto"/>
              </w:rPr>
            </w:pPr>
          </w:p>
        </w:tc>
        <w:tc>
          <w:tcPr>
            <w:tcW w:w="400" w:type="dxa"/>
            <w:vAlign w:val="bottom"/>
            <w:shd w:val="clear" w:color="auto" w:fill="D9DCE1"/>
          </w:tcPr>
          <w:p>
            <w:pPr>
              <w:spacing w:after="0"/>
              <w:rPr>
                <w:sz w:val="17"/>
                <w:szCs w:val="17"/>
                <w:color w:val="auto"/>
              </w:rPr>
            </w:pPr>
          </w:p>
        </w:tc>
        <w:tc>
          <w:tcPr>
            <w:tcW w:w="460" w:type="dxa"/>
            <w:vAlign w:val="bottom"/>
            <w:shd w:val="clear" w:color="auto" w:fill="D9DCE1"/>
          </w:tcPr>
          <w:p>
            <w:pPr>
              <w:spacing w:after="0"/>
              <w:rPr>
                <w:sz w:val="17"/>
                <w:szCs w:val="17"/>
                <w:color w:val="auto"/>
              </w:rPr>
            </w:pPr>
          </w:p>
        </w:tc>
        <w:tc>
          <w:tcPr>
            <w:tcW w:w="320" w:type="dxa"/>
            <w:vAlign w:val="bottom"/>
            <w:shd w:val="clear" w:color="auto" w:fill="D9DCE1"/>
          </w:tcPr>
          <w:p>
            <w:pPr>
              <w:spacing w:after="0"/>
              <w:rPr>
                <w:sz w:val="17"/>
                <w:szCs w:val="17"/>
                <w:color w:val="auto"/>
              </w:rPr>
            </w:pPr>
          </w:p>
        </w:tc>
        <w:tc>
          <w:tcPr>
            <w:tcW w:w="380" w:type="dxa"/>
            <w:vAlign w:val="bottom"/>
            <w:shd w:val="clear" w:color="auto" w:fill="D9DCE1"/>
          </w:tcPr>
          <w:p>
            <w:pPr>
              <w:spacing w:after="0"/>
              <w:rPr>
                <w:sz w:val="17"/>
                <w:szCs w:val="17"/>
                <w:color w:val="auto"/>
              </w:rPr>
            </w:pPr>
          </w:p>
        </w:tc>
        <w:tc>
          <w:tcPr>
            <w:tcW w:w="400" w:type="dxa"/>
            <w:vAlign w:val="bottom"/>
            <w:shd w:val="clear" w:color="auto" w:fill="D9DCE1"/>
          </w:tcPr>
          <w:p>
            <w:pPr>
              <w:spacing w:after="0"/>
              <w:rPr>
                <w:sz w:val="17"/>
                <w:szCs w:val="17"/>
                <w:color w:val="auto"/>
              </w:rPr>
            </w:pPr>
          </w:p>
        </w:tc>
        <w:tc>
          <w:tcPr>
            <w:tcW w:w="600" w:type="dxa"/>
            <w:vAlign w:val="bottom"/>
            <w:shd w:val="clear" w:color="auto" w:fill="D9DCE1"/>
          </w:tcPr>
          <w:p>
            <w:pPr>
              <w:spacing w:after="0"/>
              <w:rPr>
                <w:sz w:val="17"/>
                <w:szCs w:val="17"/>
                <w:color w:val="auto"/>
              </w:rPr>
            </w:pPr>
          </w:p>
        </w:tc>
        <w:tc>
          <w:tcPr>
            <w:tcW w:w="180" w:type="dxa"/>
            <w:vAlign w:val="bottom"/>
            <w:tcBorders>
              <w:right w:val="single" w:sz="8" w:color="424E6A"/>
            </w:tcBorders>
            <w:shd w:val="clear" w:color="auto" w:fill="D9DCE1"/>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2260" w:type="dxa"/>
            <w:vAlign w:val="bottom"/>
            <w:tcBorders>
              <w:left w:val="single" w:sz="8" w:color="424E6A"/>
              <w:bottom w:val="single" w:sz="8" w:color="424E6A"/>
            </w:tcBorders>
            <w:shd w:val="clear" w:color="auto" w:fill="D9DCE1"/>
          </w:tcPr>
          <w:p>
            <w:pPr>
              <w:ind w:left="240"/>
              <w:spacing w:after="0"/>
              <w:rPr>
                <w:sz w:val="20"/>
                <w:szCs w:val="20"/>
                <w:color w:val="auto"/>
              </w:rPr>
            </w:pPr>
            <w:r>
              <w:rPr>
                <w:rFonts w:ascii="Arial" w:cs="Arial" w:eastAsia="Arial" w:hAnsi="Arial"/>
                <w:sz w:val="18"/>
                <w:szCs w:val="18"/>
                <w:color w:val="auto"/>
              </w:rPr>
              <w:t>Subtotal</w:t>
            </w:r>
          </w:p>
        </w:tc>
        <w:tc>
          <w:tcPr>
            <w:tcW w:w="32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424E6A"/>
            </w:tcBorders>
            <w:shd w:val="clear" w:color="auto" w:fill="D9DCE1"/>
          </w:tcPr>
          <w:p>
            <w:pPr>
              <w:ind w:left="160"/>
              <w:spacing w:after="0"/>
              <w:rPr>
                <w:sz w:val="20"/>
                <w:szCs w:val="20"/>
                <w:color w:val="auto"/>
              </w:rPr>
            </w:pPr>
            <w:r>
              <w:rPr>
                <w:rFonts w:ascii="Arial" w:cs="Arial" w:eastAsia="Arial" w:hAnsi="Arial"/>
                <w:sz w:val="18"/>
                <w:szCs w:val="18"/>
                <w:color w:val="auto"/>
              </w:rPr>
              <w:t>​​ ​ ​</w:t>
            </w:r>
          </w:p>
        </w:tc>
        <w:tc>
          <w:tcPr>
            <w:tcW w:w="460" w:type="dxa"/>
            <w:vAlign w:val="bottom"/>
            <w:tcBorders>
              <w:bottom w:val="single" w:sz="8" w:color="424E6A"/>
            </w:tcBorders>
            <w:shd w:val="clear" w:color="auto" w:fill="D9DCE1"/>
          </w:tcPr>
          <w:p>
            <w:pPr>
              <w:spacing w:after="0"/>
              <w:rPr>
                <w:sz w:val="22"/>
                <w:szCs w:val="22"/>
                <w:color w:val="auto"/>
              </w:rPr>
            </w:pPr>
          </w:p>
        </w:tc>
        <w:tc>
          <w:tcPr>
            <w:tcW w:w="4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 ​​</w:t>
            </w:r>
          </w:p>
        </w:tc>
        <w:tc>
          <w:tcPr>
            <w:tcW w:w="420" w:type="dxa"/>
            <w:vAlign w:val="bottom"/>
            <w:tcBorders>
              <w:bottom w:val="single" w:sz="8" w:color="424E6A"/>
            </w:tcBorders>
            <w:shd w:val="clear" w:color="auto" w:fill="D9DCE1"/>
          </w:tcPr>
          <w:p>
            <w:pPr>
              <w:spacing w:after="0"/>
              <w:rPr>
                <w:sz w:val="22"/>
                <w:szCs w:val="22"/>
                <w:color w:val="auto"/>
              </w:rPr>
            </w:pPr>
          </w:p>
        </w:tc>
        <w:tc>
          <w:tcPr>
            <w:tcW w:w="3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 ​​</w:t>
            </w:r>
          </w:p>
        </w:tc>
        <w:tc>
          <w:tcPr>
            <w:tcW w:w="480" w:type="dxa"/>
            <w:vAlign w:val="bottom"/>
            <w:tcBorders>
              <w:bottom w:val="single" w:sz="8" w:color="424E6A"/>
            </w:tcBorders>
            <w:shd w:val="clear" w:color="auto" w:fill="D9DCE1"/>
          </w:tcPr>
          <w:p>
            <w:pPr>
              <w:spacing w:after="0"/>
              <w:rPr>
                <w:sz w:val="22"/>
                <w:szCs w:val="22"/>
                <w:color w:val="auto"/>
              </w:rPr>
            </w:pPr>
          </w:p>
        </w:tc>
        <w:tc>
          <w:tcPr>
            <w:tcW w:w="40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 ​ ​</w:t>
            </w:r>
          </w:p>
        </w:tc>
        <w:tc>
          <w:tcPr>
            <w:tcW w:w="460" w:type="dxa"/>
            <w:vAlign w:val="bottom"/>
            <w:tcBorders>
              <w:bottom w:val="single" w:sz="8" w:color="424E6A"/>
            </w:tcBorders>
            <w:shd w:val="clear" w:color="auto" w:fill="D9DCE1"/>
          </w:tcPr>
          <w:p>
            <w:pPr>
              <w:spacing w:after="0"/>
              <w:rPr>
                <w:sz w:val="22"/>
                <w:szCs w:val="22"/>
                <w:color w:val="auto"/>
              </w:rPr>
            </w:pPr>
          </w:p>
        </w:tc>
        <w:tc>
          <w:tcPr>
            <w:tcW w:w="320" w:type="dxa"/>
            <w:vAlign w:val="bottom"/>
            <w:tcBorders>
              <w:bottom w:val="single" w:sz="8" w:color="424E6A"/>
            </w:tcBorders>
            <w:shd w:val="clear" w:color="auto" w:fill="D9DCE1"/>
          </w:tcPr>
          <w:p>
            <w:pPr>
              <w:jc w:val="right"/>
              <w:ind w:right="13"/>
              <w:spacing w:after="0"/>
              <w:rPr>
                <w:sz w:val="20"/>
                <w:szCs w:val="20"/>
                <w:color w:val="auto"/>
              </w:rPr>
            </w:pPr>
            <w:r>
              <w:rPr>
                <w:rFonts w:ascii="Arial" w:cs="Arial" w:eastAsia="Arial" w:hAnsi="Arial"/>
                <w:sz w:val="18"/>
                <w:szCs w:val="18"/>
                <w:color w:val="auto"/>
              </w:rPr>
              <w:t>​​ ​</w:t>
            </w:r>
          </w:p>
        </w:tc>
        <w:tc>
          <w:tcPr>
            <w:tcW w:w="38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424E6A"/>
              <w:right w:val="single" w:sz="8" w:color="424E6A"/>
            </w:tcBorders>
            <w:gridSpan w:val="2"/>
            <w:shd w:val="clear" w:color="auto" w:fill="D9DCE1"/>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64"/>
        </w:trPr>
        <w:tc>
          <w:tcPr>
            <w:tcW w:w="226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Adjustment</w:t>
            </w:r>
            <w:r>
              <w:rPr>
                <w:rFonts w:ascii="Arial" w:cs="Arial" w:eastAsia="Arial" w:hAnsi="Arial"/>
                <w:sz w:val="23"/>
                <w:szCs w:val="23"/>
                <w:color w:val="auto"/>
                <w:vertAlign w:val="superscript"/>
              </w:rPr>
              <w:t>(1)</w:t>
            </w:r>
          </w:p>
        </w:tc>
        <w:tc>
          <w:tcPr>
            <w:tcW w:w="320" w:type="dxa"/>
            <w:vAlign w:val="bottom"/>
            <w:tcBorders>
              <w:bottom w:val="single" w:sz="8" w:color="424E6A"/>
            </w:tcBorders>
          </w:tcPr>
          <w:p>
            <w:pPr>
              <w:ind w:left="100"/>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424E6A"/>
            </w:tcBorders>
          </w:tcPr>
          <w:p>
            <w:pPr>
              <w:ind w:left="160"/>
              <w:spacing w:after="0"/>
              <w:rPr>
                <w:sz w:val="20"/>
                <w:szCs w:val="20"/>
                <w:color w:val="auto"/>
              </w:rPr>
            </w:pPr>
            <w:r>
              <w:rPr>
                <w:rFonts w:ascii="Arial" w:cs="Arial" w:eastAsia="Arial" w:hAnsi="Arial"/>
                <w:sz w:val="18"/>
                <w:szCs w:val="18"/>
                <w:color w:val="auto"/>
              </w:rPr>
              <w:t>​​ ​ ​</w:t>
            </w:r>
          </w:p>
        </w:tc>
        <w:tc>
          <w:tcPr>
            <w:tcW w:w="460" w:type="dxa"/>
            <w:vAlign w:val="bottom"/>
            <w:tcBorders>
              <w:bottom w:val="single" w:sz="8" w:color="424E6A"/>
            </w:tcBorders>
          </w:tcPr>
          <w:p>
            <w:pPr>
              <w:spacing w:after="0"/>
              <w:rPr>
                <w:sz w:val="22"/>
                <w:szCs w:val="22"/>
                <w:color w:val="auto"/>
              </w:rPr>
            </w:pPr>
          </w:p>
        </w:tc>
        <w:tc>
          <w:tcPr>
            <w:tcW w:w="4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 ​​</w:t>
            </w:r>
          </w:p>
        </w:tc>
        <w:tc>
          <w:tcPr>
            <w:tcW w:w="420" w:type="dxa"/>
            <w:vAlign w:val="bottom"/>
            <w:tcBorders>
              <w:bottom w:val="single" w:sz="8" w:color="424E6A"/>
            </w:tcBorders>
          </w:tcPr>
          <w:p>
            <w:pPr>
              <w:spacing w:after="0"/>
              <w:rPr>
                <w:sz w:val="22"/>
                <w:szCs w:val="22"/>
                <w:color w:val="auto"/>
              </w:rPr>
            </w:pPr>
          </w:p>
        </w:tc>
        <w:tc>
          <w:tcPr>
            <w:tcW w:w="3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 ​​</w:t>
            </w:r>
          </w:p>
        </w:tc>
        <w:tc>
          <w:tcPr>
            <w:tcW w:w="480" w:type="dxa"/>
            <w:vAlign w:val="bottom"/>
            <w:tcBorders>
              <w:bottom w:val="single" w:sz="8" w:color="424E6A"/>
            </w:tcBorders>
          </w:tcPr>
          <w:p>
            <w:pPr>
              <w:spacing w:after="0"/>
              <w:rPr>
                <w:sz w:val="22"/>
                <w:szCs w:val="22"/>
                <w:color w:val="auto"/>
              </w:rPr>
            </w:pPr>
          </w:p>
        </w:tc>
        <w:tc>
          <w:tcPr>
            <w:tcW w:w="400" w:type="dxa"/>
            <w:vAlign w:val="bottom"/>
            <w:tcBorders>
              <w:bottom w:val="single" w:sz="8" w:color="424E6A"/>
            </w:tcBorders>
          </w:tcPr>
          <w:p>
            <w:pPr>
              <w:ind w:left="20"/>
              <w:spacing w:after="0"/>
              <w:rPr>
                <w:sz w:val="20"/>
                <w:szCs w:val="20"/>
                <w:color w:val="auto"/>
              </w:rPr>
            </w:pPr>
            <w:r>
              <w:rPr>
                <w:rFonts w:ascii="Arial" w:cs="Arial" w:eastAsia="Arial" w:hAnsi="Arial"/>
                <w:sz w:val="18"/>
                <w:szCs w:val="18"/>
                <w:color w:val="auto"/>
              </w:rPr>
              <w:t>​ ​ ​</w:t>
            </w:r>
          </w:p>
        </w:tc>
        <w:tc>
          <w:tcPr>
            <w:tcW w:w="460" w:type="dxa"/>
            <w:vAlign w:val="bottom"/>
            <w:tcBorders>
              <w:bottom w:val="single" w:sz="8" w:color="424E6A"/>
            </w:tcBorders>
          </w:tcPr>
          <w:p>
            <w:pPr>
              <w:spacing w:after="0"/>
              <w:rPr>
                <w:sz w:val="22"/>
                <w:szCs w:val="22"/>
                <w:color w:val="auto"/>
              </w:rPr>
            </w:pPr>
          </w:p>
        </w:tc>
        <w:tc>
          <w:tcPr>
            <w:tcW w:w="320" w:type="dxa"/>
            <w:vAlign w:val="bottom"/>
            <w:tcBorders>
              <w:bottom w:val="single" w:sz="8" w:color="424E6A"/>
            </w:tcBorders>
          </w:tcPr>
          <w:p>
            <w:pPr>
              <w:jc w:val="right"/>
              <w:ind w:right="13"/>
              <w:spacing w:after="0"/>
              <w:rPr>
                <w:sz w:val="20"/>
                <w:szCs w:val="20"/>
                <w:color w:val="auto"/>
              </w:rPr>
            </w:pPr>
            <w:r>
              <w:rPr>
                <w:rFonts w:ascii="Arial" w:cs="Arial" w:eastAsia="Arial" w:hAnsi="Arial"/>
                <w:sz w:val="18"/>
                <w:szCs w:val="18"/>
                <w:color w:val="auto"/>
              </w:rPr>
              <w:t>​​ ​</w:t>
            </w:r>
          </w:p>
        </w:tc>
        <w:tc>
          <w:tcPr>
            <w:tcW w:w="380" w:type="dxa"/>
            <w:vAlign w:val="bottom"/>
            <w:tcBorders>
              <w:bottom w:val="single" w:sz="8" w:color="424E6A"/>
            </w:tcBorders>
          </w:tcPr>
          <w:p>
            <w:pPr>
              <w:ind w:left="1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424E6A"/>
              <w:right w:val="single" w:sz="8" w:color="424E6A"/>
            </w:tcBorders>
            <w:gridSpan w:val="2"/>
          </w:tcPr>
          <w:p>
            <w:pPr>
              <w:jc w:val="right"/>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15%</w:t>
            </w: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5"/>
        </w:trPr>
        <w:tc>
          <w:tcPr>
            <w:tcW w:w="2260" w:type="dxa"/>
            <w:vAlign w:val="bottom"/>
            <w:tcBorders>
              <w:left w:val="single" w:sz="8" w:color="424E6A"/>
            </w:tcBorders>
            <w:shd w:val="clear" w:color="auto" w:fill="D9DCE1"/>
          </w:tcPr>
          <w:p>
            <w:pPr>
              <w:ind w:left="60"/>
              <w:spacing w:after="0"/>
              <w:rPr>
                <w:sz w:val="20"/>
                <w:szCs w:val="20"/>
                <w:color w:val="auto"/>
              </w:rPr>
            </w:pPr>
            <w:r>
              <w:rPr>
                <w:rFonts w:ascii="Arial" w:cs="Arial" w:eastAsia="Arial" w:hAnsi="Arial"/>
                <w:sz w:val="18"/>
                <w:szCs w:val="18"/>
                <w:i w:val="1"/>
                <w:iCs w:val="1"/>
                <w:color w:val="auto"/>
              </w:rPr>
              <w:t>Adjusted Final Company</w:t>
            </w:r>
          </w:p>
        </w:tc>
        <w:tc>
          <w:tcPr>
            <w:tcW w:w="320" w:type="dxa"/>
            <w:vAlign w:val="bottom"/>
            <w:shd w:val="clear" w:color="auto" w:fill="D9DCE1"/>
          </w:tcPr>
          <w:p>
            <w:pPr>
              <w:spacing w:after="0"/>
              <w:rPr>
                <w:sz w:val="18"/>
                <w:szCs w:val="18"/>
                <w:color w:val="auto"/>
              </w:rPr>
            </w:pPr>
          </w:p>
        </w:tc>
        <w:tc>
          <w:tcPr>
            <w:tcW w:w="260" w:type="dxa"/>
            <w:vAlign w:val="bottom"/>
            <w:shd w:val="clear" w:color="auto" w:fill="D9DCE1"/>
          </w:tcPr>
          <w:p>
            <w:pPr>
              <w:spacing w:after="0"/>
              <w:rPr>
                <w:sz w:val="18"/>
                <w:szCs w:val="18"/>
                <w:color w:val="auto"/>
              </w:rPr>
            </w:pPr>
          </w:p>
        </w:tc>
        <w:tc>
          <w:tcPr>
            <w:tcW w:w="580" w:type="dxa"/>
            <w:vAlign w:val="bottom"/>
            <w:shd w:val="clear" w:color="auto" w:fill="D9DCE1"/>
          </w:tcPr>
          <w:p>
            <w:pPr>
              <w:spacing w:after="0"/>
              <w:rPr>
                <w:sz w:val="18"/>
                <w:szCs w:val="18"/>
                <w:color w:val="auto"/>
              </w:rPr>
            </w:pPr>
          </w:p>
        </w:tc>
        <w:tc>
          <w:tcPr>
            <w:tcW w:w="460" w:type="dxa"/>
            <w:vAlign w:val="bottom"/>
            <w:shd w:val="clear" w:color="auto" w:fill="D9DCE1"/>
          </w:tcPr>
          <w:p>
            <w:pPr>
              <w:spacing w:after="0"/>
              <w:rPr>
                <w:sz w:val="18"/>
                <w:szCs w:val="18"/>
                <w:color w:val="auto"/>
              </w:rPr>
            </w:pPr>
          </w:p>
        </w:tc>
        <w:tc>
          <w:tcPr>
            <w:tcW w:w="400" w:type="dxa"/>
            <w:vAlign w:val="bottom"/>
            <w:shd w:val="clear" w:color="auto" w:fill="D9DCE1"/>
          </w:tcPr>
          <w:p>
            <w:pPr>
              <w:spacing w:after="0"/>
              <w:rPr>
                <w:sz w:val="18"/>
                <w:szCs w:val="18"/>
                <w:color w:val="auto"/>
              </w:rPr>
            </w:pPr>
          </w:p>
        </w:tc>
        <w:tc>
          <w:tcPr>
            <w:tcW w:w="420" w:type="dxa"/>
            <w:vAlign w:val="bottom"/>
            <w:shd w:val="clear" w:color="auto" w:fill="D9DCE1"/>
          </w:tcPr>
          <w:p>
            <w:pPr>
              <w:spacing w:after="0"/>
              <w:rPr>
                <w:sz w:val="18"/>
                <w:szCs w:val="18"/>
                <w:color w:val="auto"/>
              </w:rPr>
            </w:pPr>
          </w:p>
        </w:tc>
        <w:tc>
          <w:tcPr>
            <w:tcW w:w="300" w:type="dxa"/>
            <w:vAlign w:val="bottom"/>
            <w:shd w:val="clear" w:color="auto" w:fill="D9DCE1"/>
          </w:tcPr>
          <w:p>
            <w:pPr>
              <w:spacing w:after="0"/>
              <w:rPr>
                <w:sz w:val="18"/>
                <w:szCs w:val="18"/>
                <w:color w:val="auto"/>
              </w:rPr>
            </w:pPr>
          </w:p>
        </w:tc>
        <w:tc>
          <w:tcPr>
            <w:tcW w:w="480" w:type="dxa"/>
            <w:vAlign w:val="bottom"/>
            <w:shd w:val="clear" w:color="auto" w:fill="D9DCE1"/>
          </w:tcPr>
          <w:p>
            <w:pPr>
              <w:spacing w:after="0"/>
              <w:rPr>
                <w:sz w:val="18"/>
                <w:szCs w:val="18"/>
                <w:color w:val="auto"/>
              </w:rPr>
            </w:pPr>
          </w:p>
        </w:tc>
        <w:tc>
          <w:tcPr>
            <w:tcW w:w="400" w:type="dxa"/>
            <w:vAlign w:val="bottom"/>
            <w:shd w:val="clear" w:color="auto" w:fill="D9DCE1"/>
          </w:tcPr>
          <w:p>
            <w:pPr>
              <w:spacing w:after="0"/>
              <w:rPr>
                <w:sz w:val="18"/>
                <w:szCs w:val="18"/>
                <w:color w:val="auto"/>
              </w:rPr>
            </w:pPr>
          </w:p>
        </w:tc>
        <w:tc>
          <w:tcPr>
            <w:tcW w:w="460" w:type="dxa"/>
            <w:vAlign w:val="bottom"/>
            <w:shd w:val="clear" w:color="auto" w:fill="D9DCE1"/>
          </w:tcPr>
          <w:p>
            <w:pPr>
              <w:spacing w:after="0"/>
              <w:rPr>
                <w:sz w:val="18"/>
                <w:szCs w:val="18"/>
                <w:color w:val="auto"/>
              </w:rPr>
            </w:pPr>
          </w:p>
        </w:tc>
        <w:tc>
          <w:tcPr>
            <w:tcW w:w="320" w:type="dxa"/>
            <w:vAlign w:val="bottom"/>
            <w:shd w:val="clear" w:color="auto" w:fill="D9DCE1"/>
          </w:tcPr>
          <w:p>
            <w:pPr>
              <w:spacing w:after="0"/>
              <w:rPr>
                <w:sz w:val="18"/>
                <w:szCs w:val="18"/>
                <w:color w:val="auto"/>
              </w:rPr>
            </w:pPr>
          </w:p>
        </w:tc>
        <w:tc>
          <w:tcPr>
            <w:tcW w:w="380" w:type="dxa"/>
            <w:vAlign w:val="bottom"/>
            <w:shd w:val="clear" w:color="auto" w:fill="D9DCE1"/>
          </w:tcPr>
          <w:p>
            <w:pPr>
              <w:spacing w:after="0"/>
              <w:rPr>
                <w:sz w:val="18"/>
                <w:szCs w:val="18"/>
                <w:color w:val="auto"/>
              </w:rPr>
            </w:pPr>
          </w:p>
        </w:tc>
        <w:tc>
          <w:tcPr>
            <w:tcW w:w="400" w:type="dxa"/>
            <w:vAlign w:val="bottom"/>
            <w:shd w:val="clear" w:color="auto" w:fill="D9DCE1"/>
          </w:tcPr>
          <w:p>
            <w:pPr>
              <w:spacing w:after="0"/>
              <w:rPr>
                <w:sz w:val="18"/>
                <w:szCs w:val="18"/>
                <w:color w:val="auto"/>
              </w:rPr>
            </w:pPr>
          </w:p>
        </w:tc>
        <w:tc>
          <w:tcPr>
            <w:tcW w:w="600" w:type="dxa"/>
            <w:vAlign w:val="bottom"/>
            <w:shd w:val="clear" w:color="auto" w:fill="D9DCE1"/>
          </w:tcPr>
          <w:p>
            <w:pPr>
              <w:spacing w:after="0"/>
              <w:rPr>
                <w:sz w:val="18"/>
                <w:szCs w:val="18"/>
                <w:color w:val="auto"/>
              </w:rPr>
            </w:pPr>
          </w:p>
        </w:tc>
        <w:tc>
          <w:tcPr>
            <w:tcW w:w="180" w:type="dxa"/>
            <w:vAlign w:val="bottom"/>
            <w:tcBorders>
              <w:right w:val="single" w:sz="8" w:color="424E6A"/>
            </w:tcBorders>
            <w:shd w:val="clear" w:color="auto" w:fill="D9DCE1"/>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260" w:type="dxa"/>
            <w:vAlign w:val="bottom"/>
            <w:tcBorders>
              <w:left w:val="single" w:sz="8" w:color="424E6A"/>
            </w:tcBorders>
            <w:shd w:val="clear" w:color="auto" w:fill="D9DCE1"/>
          </w:tcPr>
          <w:p>
            <w:pPr>
              <w:ind w:left="240"/>
              <w:spacing w:after="0" w:line="184" w:lineRule="exact"/>
              <w:rPr>
                <w:sz w:val="20"/>
                <w:szCs w:val="20"/>
                <w:color w:val="auto"/>
              </w:rPr>
            </w:pPr>
            <w:r>
              <w:rPr>
                <w:rFonts w:ascii="Arial" w:cs="Arial" w:eastAsia="Arial" w:hAnsi="Arial"/>
                <w:sz w:val="17"/>
                <w:szCs w:val="17"/>
                <w:i w:val="1"/>
                <w:iCs w:val="1"/>
                <w:color w:val="auto"/>
              </w:rPr>
              <w:t>Performance Score</w:t>
            </w:r>
            <w:r>
              <w:rPr>
                <w:rFonts w:ascii="Arial" w:cs="Arial" w:eastAsia="Arial" w:hAnsi="Arial"/>
                <w:sz w:val="21"/>
                <w:szCs w:val="21"/>
                <w:i w:val="1"/>
                <w:iCs w:val="1"/>
                <w:color w:val="auto"/>
                <w:vertAlign w:val="superscript"/>
              </w:rPr>
              <w:t>(1)</w:t>
            </w:r>
          </w:p>
        </w:tc>
        <w:tc>
          <w:tcPr>
            <w:tcW w:w="580" w:type="dxa"/>
            <w:vAlign w:val="bottom"/>
            <w:gridSpan w:val="2"/>
            <w:vMerge w:val="restart"/>
            <w:shd w:val="clear" w:color="auto" w:fill="D9DCE1"/>
          </w:tcPr>
          <w:p>
            <w:pPr>
              <w:ind w:left="100"/>
              <w:spacing w:after="0"/>
              <w:rPr>
                <w:sz w:val="20"/>
                <w:szCs w:val="20"/>
                <w:color w:val="auto"/>
              </w:rPr>
            </w:pPr>
            <w:r>
              <w:rPr>
                <w:rFonts w:ascii="Arial" w:cs="Arial" w:eastAsia="Arial" w:hAnsi="Arial"/>
                <w:sz w:val="18"/>
                <w:szCs w:val="18"/>
                <w:i w:val="1"/>
                <w:iCs w:val="1"/>
                <w:color w:val="auto"/>
              </w:rPr>
              <w:t>​ ​  ​</w:t>
            </w:r>
          </w:p>
        </w:tc>
        <w:tc>
          <w:tcPr>
            <w:tcW w:w="580" w:type="dxa"/>
            <w:vAlign w:val="bottom"/>
            <w:vMerge w:val="restart"/>
            <w:shd w:val="clear" w:color="auto" w:fill="D9DCE1"/>
          </w:tcPr>
          <w:p>
            <w:pPr>
              <w:ind w:left="160"/>
              <w:spacing w:after="0"/>
              <w:rPr>
                <w:sz w:val="20"/>
                <w:szCs w:val="20"/>
                <w:color w:val="auto"/>
              </w:rPr>
            </w:pPr>
            <w:r>
              <w:rPr>
                <w:rFonts w:ascii="Arial" w:cs="Arial" w:eastAsia="Arial" w:hAnsi="Arial"/>
                <w:sz w:val="18"/>
                <w:szCs w:val="18"/>
                <w:i w:val="1"/>
                <w:iCs w:val="1"/>
                <w:color w:val="auto"/>
              </w:rPr>
              <w:t>​​ ​ ​</w:t>
            </w:r>
          </w:p>
        </w:tc>
        <w:tc>
          <w:tcPr>
            <w:tcW w:w="460" w:type="dxa"/>
            <w:vAlign w:val="bottom"/>
            <w:shd w:val="clear" w:color="auto" w:fill="D9DCE1"/>
          </w:tcPr>
          <w:p>
            <w:pPr>
              <w:spacing w:after="0"/>
              <w:rPr>
                <w:sz w:val="15"/>
                <w:szCs w:val="15"/>
                <w:color w:val="auto"/>
              </w:rPr>
            </w:pPr>
          </w:p>
        </w:tc>
        <w:tc>
          <w:tcPr>
            <w:tcW w:w="400" w:type="dxa"/>
            <w:vAlign w:val="bottom"/>
            <w:vMerge w:val="restart"/>
            <w:shd w:val="clear" w:color="auto" w:fill="D9DCE1"/>
          </w:tcPr>
          <w:p>
            <w:pPr>
              <w:ind w:left="40"/>
              <w:spacing w:after="0"/>
              <w:rPr>
                <w:sz w:val="20"/>
                <w:szCs w:val="20"/>
                <w:color w:val="auto"/>
              </w:rPr>
            </w:pPr>
            <w:r>
              <w:rPr>
                <w:rFonts w:ascii="Arial" w:cs="Arial" w:eastAsia="Arial" w:hAnsi="Arial"/>
                <w:sz w:val="18"/>
                <w:szCs w:val="18"/>
                <w:i w:val="1"/>
                <w:iCs w:val="1"/>
                <w:color w:val="auto"/>
              </w:rPr>
              <w:t>​​ ​​</w:t>
            </w:r>
          </w:p>
        </w:tc>
        <w:tc>
          <w:tcPr>
            <w:tcW w:w="420" w:type="dxa"/>
            <w:vAlign w:val="bottom"/>
            <w:shd w:val="clear" w:color="auto" w:fill="D9DCE1"/>
          </w:tcPr>
          <w:p>
            <w:pPr>
              <w:spacing w:after="0"/>
              <w:rPr>
                <w:sz w:val="15"/>
                <w:szCs w:val="15"/>
                <w:color w:val="auto"/>
              </w:rPr>
            </w:pPr>
          </w:p>
        </w:tc>
        <w:tc>
          <w:tcPr>
            <w:tcW w:w="300" w:type="dxa"/>
            <w:vAlign w:val="bottom"/>
            <w:vMerge w:val="restart"/>
            <w:shd w:val="clear" w:color="auto" w:fill="D9DCE1"/>
          </w:tcPr>
          <w:p>
            <w:pPr>
              <w:ind w:left="40"/>
              <w:spacing w:after="0"/>
              <w:rPr>
                <w:sz w:val="20"/>
                <w:szCs w:val="20"/>
                <w:color w:val="auto"/>
              </w:rPr>
            </w:pPr>
            <w:r>
              <w:rPr>
                <w:rFonts w:ascii="Arial" w:cs="Arial" w:eastAsia="Arial" w:hAnsi="Arial"/>
                <w:sz w:val="18"/>
                <w:szCs w:val="18"/>
                <w:i w:val="1"/>
                <w:iCs w:val="1"/>
                <w:color w:val="auto"/>
              </w:rPr>
              <w:t>​ ​​</w:t>
            </w:r>
          </w:p>
        </w:tc>
        <w:tc>
          <w:tcPr>
            <w:tcW w:w="480" w:type="dxa"/>
            <w:vAlign w:val="bottom"/>
            <w:shd w:val="clear" w:color="auto" w:fill="D9DCE1"/>
          </w:tcPr>
          <w:p>
            <w:pPr>
              <w:spacing w:after="0"/>
              <w:rPr>
                <w:sz w:val="15"/>
                <w:szCs w:val="15"/>
                <w:color w:val="auto"/>
              </w:rPr>
            </w:pPr>
          </w:p>
        </w:tc>
        <w:tc>
          <w:tcPr>
            <w:tcW w:w="400" w:type="dxa"/>
            <w:vAlign w:val="bottom"/>
            <w:vMerge w:val="restart"/>
            <w:shd w:val="clear" w:color="auto" w:fill="D9DCE1"/>
          </w:tcPr>
          <w:p>
            <w:pPr>
              <w:ind w:left="20"/>
              <w:spacing w:after="0"/>
              <w:rPr>
                <w:sz w:val="20"/>
                <w:szCs w:val="20"/>
                <w:color w:val="auto"/>
              </w:rPr>
            </w:pPr>
            <w:r>
              <w:rPr>
                <w:rFonts w:ascii="Arial" w:cs="Arial" w:eastAsia="Arial" w:hAnsi="Arial"/>
                <w:sz w:val="18"/>
                <w:szCs w:val="18"/>
                <w:i w:val="1"/>
                <w:iCs w:val="1"/>
                <w:color w:val="auto"/>
              </w:rPr>
              <w:t>​ ​ ​</w:t>
            </w:r>
          </w:p>
        </w:tc>
        <w:tc>
          <w:tcPr>
            <w:tcW w:w="460" w:type="dxa"/>
            <w:vAlign w:val="bottom"/>
            <w:shd w:val="clear" w:color="auto" w:fill="D9DCE1"/>
          </w:tcPr>
          <w:p>
            <w:pPr>
              <w:spacing w:after="0"/>
              <w:rPr>
                <w:sz w:val="15"/>
                <w:szCs w:val="15"/>
                <w:color w:val="auto"/>
              </w:rPr>
            </w:pPr>
          </w:p>
        </w:tc>
        <w:tc>
          <w:tcPr>
            <w:tcW w:w="320" w:type="dxa"/>
            <w:vAlign w:val="bottom"/>
            <w:vMerge w:val="restart"/>
            <w:shd w:val="clear" w:color="auto" w:fill="D9DCE1"/>
          </w:tcPr>
          <w:p>
            <w:pPr>
              <w:jc w:val="right"/>
              <w:ind w:right="13"/>
              <w:spacing w:after="0"/>
              <w:rPr>
                <w:sz w:val="20"/>
                <w:szCs w:val="20"/>
                <w:color w:val="auto"/>
              </w:rPr>
            </w:pPr>
            <w:r>
              <w:rPr>
                <w:rFonts w:ascii="Arial" w:cs="Arial" w:eastAsia="Arial" w:hAnsi="Arial"/>
                <w:sz w:val="18"/>
                <w:szCs w:val="18"/>
                <w:i w:val="1"/>
                <w:iCs w:val="1"/>
                <w:color w:val="auto"/>
              </w:rPr>
              <w:t>​​ ​</w:t>
            </w:r>
          </w:p>
        </w:tc>
        <w:tc>
          <w:tcPr>
            <w:tcW w:w="380" w:type="dxa"/>
            <w:vAlign w:val="bottom"/>
            <w:vMerge w:val="restart"/>
            <w:shd w:val="clear" w:color="auto" w:fill="D9DCE1"/>
          </w:tcPr>
          <w:p>
            <w:pPr>
              <w:ind w:left="100"/>
              <w:spacing w:after="0"/>
              <w:rPr>
                <w:sz w:val="20"/>
                <w:szCs w:val="20"/>
                <w:color w:val="auto"/>
              </w:rPr>
            </w:pPr>
            <w:r>
              <w:rPr>
                <w:rFonts w:ascii="Arial" w:cs="Arial" w:eastAsia="Arial" w:hAnsi="Arial"/>
                <w:sz w:val="18"/>
                <w:szCs w:val="18"/>
                <w:i w:val="1"/>
                <w:iCs w:val="1"/>
                <w:color w:val="auto"/>
              </w:rPr>
              <w:t>​</w:t>
            </w:r>
          </w:p>
        </w:tc>
        <w:tc>
          <w:tcPr>
            <w:tcW w:w="400" w:type="dxa"/>
            <w:vAlign w:val="bottom"/>
            <w:vMerge w:val="restart"/>
            <w:shd w:val="clear" w:color="auto" w:fill="D9DCE1"/>
          </w:tcPr>
          <w:p>
            <w:pPr>
              <w:jc w:val="right"/>
              <w:spacing w:after="0"/>
              <w:rPr>
                <w:sz w:val="20"/>
                <w:szCs w:val="20"/>
                <w:color w:val="auto"/>
              </w:rPr>
            </w:pPr>
            <w:r>
              <w:rPr>
                <w:rFonts w:ascii="Arial" w:cs="Arial" w:eastAsia="Arial" w:hAnsi="Arial"/>
                <w:sz w:val="18"/>
                <w:szCs w:val="18"/>
                <w:i w:val="1"/>
                <w:iCs w:val="1"/>
                <w:color w:val="auto"/>
              </w:rPr>
              <w:t>​​</w:t>
            </w:r>
          </w:p>
        </w:tc>
        <w:tc>
          <w:tcPr>
            <w:tcW w:w="600" w:type="dxa"/>
            <w:vAlign w:val="bottom"/>
            <w:shd w:val="clear" w:color="auto" w:fill="D9DCE1"/>
          </w:tcPr>
          <w:p>
            <w:pPr>
              <w:jc w:val="right"/>
              <w:spacing w:after="0" w:line="183" w:lineRule="exact"/>
              <w:rPr>
                <w:sz w:val="20"/>
                <w:szCs w:val="20"/>
                <w:color w:val="auto"/>
              </w:rPr>
            </w:pPr>
            <w:r>
              <w:rPr>
                <w:rFonts w:ascii="Arial" w:cs="Arial" w:eastAsia="Arial" w:hAnsi="Arial"/>
                <w:sz w:val="18"/>
                <w:szCs w:val="18"/>
                <w:i w:val="1"/>
                <w:iCs w:val="1"/>
                <w:color w:val="auto"/>
              </w:rPr>
              <w:t>85%</w:t>
            </w:r>
          </w:p>
        </w:tc>
        <w:tc>
          <w:tcPr>
            <w:tcW w:w="180" w:type="dxa"/>
            <w:vAlign w:val="bottom"/>
            <w:tcBorders>
              <w:right w:val="single" w:sz="8" w:color="424E6A"/>
            </w:tcBorders>
            <w:vMerge w:val="restart"/>
            <w:shd w:val="clear" w:color="auto" w:fill="D9DCE1"/>
          </w:tcPr>
          <w:p>
            <w:pPr>
              <w:jc w:val="right"/>
              <w:spacing w:after="0"/>
              <w:rPr>
                <w:sz w:val="20"/>
                <w:szCs w:val="20"/>
                <w:color w:val="auto"/>
              </w:rPr>
            </w:pPr>
            <w:r>
              <w:rPr>
                <w:rFonts w:ascii="Arial" w:cs="Arial" w:eastAsia="Arial" w:hAnsi="Arial"/>
                <w:sz w:val="18"/>
                <w:szCs w:val="18"/>
                <w:i w:val="1"/>
                <w:iCs w:val="1"/>
                <w:color w:val="auto"/>
              </w:rPr>
              <w:t>​ ​</w:t>
            </w:r>
          </w:p>
        </w:tc>
        <w:tc>
          <w:tcPr>
            <w:tcW w:w="0" w:type="dxa"/>
            <w:vAlign w:val="bottom"/>
          </w:tcPr>
          <w:p>
            <w:pPr>
              <w:spacing w:after="0"/>
              <w:rPr>
                <w:sz w:val="1"/>
                <w:szCs w:val="1"/>
                <w:color w:val="auto"/>
              </w:rPr>
            </w:pPr>
          </w:p>
        </w:tc>
      </w:tr>
      <w:tr>
        <w:trPr>
          <w:trHeight w:val="108"/>
        </w:trPr>
        <w:tc>
          <w:tcPr>
            <w:tcW w:w="2260" w:type="dxa"/>
            <w:vAlign w:val="bottom"/>
            <w:tcBorders>
              <w:left w:val="single" w:sz="8" w:color="424E6A"/>
              <w:bottom w:val="single" w:sz="8" w:color="424E6A"/>
            </w:tcBorders>
            <w:shd w:val="clear" w:color="auto" w:fill="D9DCE1"/>
          </w:tcPr>
          <w:p>
            <w:pPr>
              <w:spacing w:after="0"/>
              <w:rPr>
                <w:sz w:val="9"/>
                <w:szCs w:val="9"/>
                <w:color w:val="auto"/>
              </w:rPr>
            </w:pPr>
          </w:p>
        </w:tc>
        <w:tc>
          <w:tcPr>
            <w:tcW w:w="580" w:type="dxa"/>
            <w:vAlign w:val="bottom"/>
            <w:tcBorders>
              <w:bottom w:val="single" w:sz="8" w:color="424E6A"/>
            </w:tcBorders>
            <w:gridSpan w:val="2"/>
            <w:vMerge w:val="continue"/>
            <w:shd w:val="clear" w:color="auto" w:fill="D9DCE1"/>
          </w:tcPr>
          <w:p>
            <w:pPr>
              <w:spacing w:after="0"/>
              <w:rPr>
                <w:sz w:val="9"/>
                <w:szCs w:val="9"/>
                <w:color w:val="auto"/>
              </w:rPr>
            </w:pPr>
          </w:p>
        </w:tc>
        <w:tc>
          <w:tcPr>
            <w:tcW w:w="580" w:type="dxa"/>
            <w:vAlign w:val="bottom"/>
            <w:tcBorders>
              <w:bottom w:val="single" w:sz="8" w:color="424E6A"/>
            </w:tcBorders>
            <w:vMerge w:val="continue"/>
            <w:shd w:val="clear" w:color="auto" w:fill="D9DCE1"/>
          </w:tcPr>
          <w:p>
            <w:pPr>
              <w:spacing w:after="0"/>
              <w:rPr>
                <w:sz w:val="9"/>
                <w:szCs w:val="9"/>
                <w:color w:val="auto"/>
              </w:rPr>
            </w:pPr>
          </w:p>
        </w:tc>
        <w:tc>
          <w:tcPr>
            <w:tcW w:w="460" w:type="dxa"/>
            <w:vAlign w:val="bottom"/>
            <w:tcBorders>
              <w:bottom w:val="single" w:sz="8" w:color="424E6A"/>
            </w:tcBorders>
            <w:shd w:val="clear" w:color="auto" w:fill="D9DCE1"/>
          </w:tcPr>
          <w:p>
            <w:pPr>
              <w:spacing w:after="0"/>
              <w:rPr>
                <w:sz w:val="9"/>
                <w:szCs w:val="9"/>
                <w:color w:val="auto"/>
              </w:rPr>
            </w:pPr>
          </w:p>
        </w:tc>
        <w:tc>
          <w:tcPr>
            <w:tcW w:w="400" w:type="dxa"/>
            <w:vAlign w:val="bottom"/>
            <w:tcBorders>
              <w:bottom w:val="single" w:sz="8" w:color="424E6A"/>
            </w:tcBorders>
            <w:vMerge w:val="continue"/>
            <w:shd w:val="clear" w:color="auto" w:fill="D9DCE1"/>
          </w:tcPr>
          <w:p>
            <w:pPr>
              <w:spacing w:after="0"/>
              <w:rPr>
                <w:sz w:val="9"/>
                <w:szCs w:val="9"/>
                <w:color w:val="auto"/>
              </w:rPr>
            </w:pPr>
          </w:p>
        </w:tc>
        <w:tc>
          <w:tcPr>
            <w:tcW w:w="420" w:type="dxa"/>
            <w:vAlign w:val="bottom"/>
            <w:tcBorders>
              <w:bottom w:val="single" w:sz="8" w:color="424E6A"/>
            </w:tcBorders>
            <w:shd w:val="clear" w:color="auto" w:fill="D9DCE1"/>
          </w:tcPr>
          <w:p>
            <w:pPr>
              <w:spacing w:after="0"/>
              <w:rPr>
                <w:sz w:val="9"/>
                <w:szCs w:val="9"/>
                <w:color w:val="auto"/>
              </w:rPr>
            </w:pPr>
          </w:p>
        </w:tc>
        <w:tc>
          <w:tcPr>
            <w:tcW w:w="300" w:type="dxa"/>
            <w:vAlign w:val="bottom"/>
            <w:tcBorders>
              <w:bottom w:val="single" w:sz="8" w:color="424E6A"/>
            </w:tcBorders>
            <w:vMerge w:val="continue"/>
            <w:shd w:val="clear" w:color="auto" w:fill="D9DCE1"/>
          </w:tcPr>
          <w:p>
            <w:pPr>
              <w:spacing w:after="0"/>
              <w:rPr>
                <w:sz w:val="9"/>
                <w:szCs w:val="9"/>
                <w:color w:val="auto"/>
              </w:rPr>
            </w:pPr>
          </w:p>
        </w:tc>
        <w:tc>
          <w:tcPr>
            <w:tcW w:w="480" w:type="dxa"/>
            <w:vAlign w:val="bottom"/>
            <w:tcBorders>
              <w:bottom w:val="single" w:sz="8" w:color="424E6A"/>
            </w:tcBorders>
            <w:shd w:val="clear" w:color="auto" w:fill="D9DCE1"/>
          </w:tcPr>
          <w:p>
            <w:pPr>
              <w:spacing w:after="0"/>
              <w:rPr>
                <w:sz w:val="9"/>
                <w:szCs w:val="9"/>
                <w:color w:val="auto"/>
              </w:rPr>
            </w:pPr>
          </w:p>
        </w:tc>
        <w:tc>
          <w:tcPr>
            <w:tcW w:w="400" w:type="dxa"/>
            <w:vAlign w:val="bottom"/>
            <w:tcBorders>
              <w:bottom w:val="single" w:sz="8" w:color="424E6A"/>
            </w:tcBorders>
            <w:vMerge w:val="continue"/>
            <w:shd w:val="clear" w:color="auto" w:fill="D9DCE1"/>
          </w:tcPr>
          <w:p>
            <w:pPr>
              <w:spacing w:after="0"/>
              <w:rPr>
                <w:sz w:val="9"/>
                <w:szCs w:val="9"/>
                <w:color w:val="auto"/>
              </w:rPr>
            </w:pPr>
          </w:p>
        </w:tc>
        <w:tc>
          <w:tcPr>
            <w:tcW w:w="460" w:type="dxa"/>
            <w:vAlign w:val="bottom"/>
            <w:tcBorders>
              <w:bottom w:val="single" w:sz="8" w:color="424E6A"/>
            </w:tcBorders>
            <w:shd w:val="clear" w:color="auto" w:fill="D9DCE1"/>
          </w:tcPr>
          <w:p>
            <w:pPr>
              <w:spacing w:after="0"/>
              <w:rPr>
                <w:sz w:val="9"/>
                <w:szCs w:val="9"/>
                <w:color w:val="auto"/>
              </w:rPr>
            </w:pPr>
          </w:p>
        </w:tc>
        <w:tc>
          <w:tcPr>
            <w:tcW w:w="320" w:type="dxa"/>
            <w:vAlign w:val="bottom"/>
            <w:tcBorders>
              <w:bottom w:val="single" w:sz="8" w:color="424E6A"/>
            </w:tcBorders>
            <w:vMerge w:val="continue"/>
            <w:shd w:val="clear" w:color="auto" w:fill="D9DCE1"/>
          </w:tcPr>
          <w:p>
            <w:pPr>
              <w:spacing w:after="0"/>
              <w:rPr>
                <w:sz w:val="9"/>
                <w:szCs w:val="9"/>
                <w:color w:val="auto"/>
              </w:rPr>
            </w:pPr>
          </w:p>
        </w:tc>
        <w:tc>
          <w:tcPr>
            <w:tcW w:w="380" w:type="dxa"/>
            <w:vAlign w:val="bottom"/>
            <w:tcBorders>
              <w:bottom w:val="single" w:sz="8" w:color="424E6A"/>
            </w:tcBorders>
            <w:vMerge w:val="continue"/>
            <w:shd w:val="clear" w:color="auto" w:fill="D9DCE1"/>
          </w:tcPr>
          <w:p>
            <w:pPr>
              <w:spacing w:after="0"/>
              <w:rPr>
                <w:sz w:val="9"/>
                <w:szCs w:val="9"/>
                <w:color w:val="auto"/>
              </w:rPr>
            </w:pPr>
          </w:p>
        </w:tc>
        <w:tc>
          <w:tcPr>
            <w:tcW w:w="400" w:type="dxa"/>
            <w:vAlign w:val="bottom"/>
            <w:tcBorders>
              <w:bottom w:val="single" w:sz="8" w:color="424E6A"/>
            </w:tcBorders>
            <w:vMerge w:val="continue"/>
            <w:shd w:val="clear" w:color="auto" w:fill="D9DCE1"/>
          </w:tcPr>
          <w:p>
            <w:pPr>
              <w:spacing w:after="0"/>
              <w:rPr>
                <w:sz w:val="9"/>
                <w:szCs w:val="9"/>
                <w:color w:val="auto"/>
              </w:rPr>
            </w:pPr>
          </w:p>
        </w:tc>
        <w:tc>
          <w:tcPr>
            <w:tcW w:w="600" w:type="dxa"/>
            <w:vAlign w:val="bottom"/>
            <w:tcBorders>
              <w:bottom w:val="single" w:sz="8" w:color="424E6A"/>
            </w:tcBorders>
            <w:shd w:val="clear" w:color="auto" w:fill="D9DCE1"/>
          </w:tcPr>
          <w:p>
            <w:pPr>
              <w:jc w:val="right"/>
              <w:ind w:right="260"/>
              <w:spacing w:after="0" w:line="108" w:lineRule="exact"/>
              <w:rPr>
                <w:sz w:val="20"/>
                <w:szCs w:val="20"/>
                <w:color w:val="auto"/>
              </w:rPr>
            </w:pPr>
            <w:r>
              <w:rPr>
                <w:rFonts w:ascii="Arial" w:cs="Arial" w:eastAsia="Arial" w:hAnsi="Arial"/>
                <w:sz w:val="12"/>
                <w:szCs w:val="12"/>
                <w:i w:val="1"/>
                <w:iCs w:val="1"/>
                <w:color w:val="auto"/>
              </w:rPr>
              <w:t>​</w:t>
            </w:r>
          </w:p>
        </w:tc>
        <w:tc>
          <w:tcPr>
            <w:tcW w:w="180" w:type="dxa"/>
            <w:vAlign w:val="bottom"/>
            <w:tcBorders>
              <w:bottom w:val="single" w:sz="8" w:color="424E6A"/>
              <w:right w:val="single" w:sz="8" w:color="424E6A"/>
            </w:tcBorders>
            <w:vMerge w:val="continue"/>
            <w:shd w:val="clear" w:color="auto" w:fill="D9DCE1"/>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-1790700</wp:posOffset>
            </wp:positionV>
            <wp:extent cx="342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69" w:lineRule="exact"/>
        <w:rPr>
          <w:sz w:val="20"/>
          <w:szCs w:val="20"/>
          <w:color w:val="auto"/>
        </w:rPr>
      </w:pPr>
    </w:p>
    <w:p>
      <w:pPr>
        <w:ind w:left="1620" w:right="479" w:hanging="360"/>
        <w:spacing w:after="0" w:line="235" w:lineRule="auto"/>
        <w:tabs>
          <w:tab w:leader="none" w:pos="1620" w:val="left"/>
        </w:tabs>
        <w:numPr>
          <w:ilvl w:val="0"/>
          <w:numId w:val="41"/>
        </w:numPr>
        <w:rPr>
          <w:rFonts w:ascii="Arial" w:cs="Arial" w:eastAsia="Arial" w:hAnsi="Arial"/>
          <w:sz w:val="27"/>
          <w:szCs w:val="27"/>
          <w:color w:val="auto"/>
          <w:vertAlign w:val="superscript"/>
        </w:rPr>
      </w:pPr>
      <w:r>
        <w:rPr>
          <w:rFonts w:ascii="Arial" w:cs="Arial" w:eastAsia="Arial" w:hAnsi="Arial"/>
          <w:sz w:val="18"/>
          <w:szCs w:val="18"/>
          <w:color w:val="auto"/>
        </w:rPr>
        <w:t>The Compensation Committee approved a 15 percentage point discretionary increase to the overall weighted Company Performance score considering PAA’s strong performance on HSE metrics and management’s very strong performance with respect to strategic positioning for 2026 during a challenging year. See “2025 Performance Overview and Specific Application of Compensation Elements in 2025” above and “Individual Performance” below for additional discussion of 2025 performance relative to goals and objectives.</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Individual Performance (40% weight)</w:t>
      </w:r>
    </w:p>
    <w:p>
      <w:pPr>
        <w:spacing w:after="0" w:line="156"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As noted above, individual performance accounts for 40% of the annual bonus opportunity for our Named Executive Officers. Each officer’s individual contributions toward satisfaction of company goals and objectives is evaluated and payouts may range from 0-200% of target. During 2025, the executive leadership team executed exceptionally well together and successfully led the organization through a very challenging year, maintained focus on key strategic initiatives and HSE matters and put the company in a very good position heading into 2026. The individual payout scores for our NEOs for 2025 are set forth in the table below and take these factors into account, together with the specific items described for each NEO in the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544195</wp:posOffset>
            </wp:positionV>
            <wp:extent cx="5212080" cy="67125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212080" cy="6712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6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1160" w:type="dxa"/>
            <w:vAlign w:val="bottom"/>
            <w:shd w:val="clear" w:color="auto" w:fill="424E6A"/>
          </w:tcPr>
          <w:p>
            <w:pPr>
              <w:spacing w:after="0"/>
              <w:rPr>
                <w:sz w:val="16"/>
                <w:szCs w:val="16"/>
                <w:color w:val="auto"/>
              </w:rPr>
            </w:pPr>
          </w:p>
        </w:tc>
        <w:tc>
          <w:tcPr>
            <w:tcW w:w="160" w:type="dxa"/>
            <w:vAlign w:val="bottom"/>
            <w:shd w:val="clear" w:color="auto" w:fill="424E6A"/>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424E6A"/>
          </w:tcPr>
          <w:p>
            <w:pPr>
              <w:spacing w:after="0"/>
              <w:rPr>
                <w:sz w:val="16"/>
                <w:szCs w:val="16"/>
                <w:color w:val="auto"/>
              </w:rPr>
            </w:pPr>
          </w:p>
        </w:tc>
        <w:tc>
          <w:tcPr>
            <w:tcW w:w="5040" w:type="dxa"/>
            <w:vAlign w:val="bottom"/>
            <w:shd w:val="clear" w:color="auto" w:fill="424E6A"/>
          </w:tcPr>
          <w:p>
            <w:pPr>
              <w:spacing w:after="0"/>
              <w:rPr>
                <w:sz w:val="16"/>
                <w:szCs w:val="16"/>
                <w:color w:val="auto"/>
              </w:rPr>
            </w:pPr>
          </w:p>
        </w:tc>
        <w:tc>
          <w:tcPr>
            <w:tcW w:w="840" w:type="dxa"/>
            <w:vAlign w:val="bottom"/>
            <w:shd w:val="clear" w:color="auto" w:fill="424E6A"/>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424E6A"/>
          </w:tcPr>
          <w:p>
            <w:pPr>
              <w:ind w:left="100"/>
              <w:spacing w:after="0"/>
              <w:rPr>
                <w:sz w:val="20"/>
                <w:szCs w:val="20"/>
                <w:color w:val="auto"/>
              </w:rPr>
            </w:pPr>
            <w:r>
              <w:rPr>
                <w:rFonts w:ascii="Arial" w:cs="Arial" w:eastAsia="Arial" w:hAnsi="Arial"/>
                <w:sz w:val="14"/>
                <w:szCs w:val="14"/>
                <w:b w:val="1"/>
                <w:bCs w:val="1"/>
                <w:color w:val="FFFFFF"/>
              </w:rPr>
              <w:t>Payout</w:t>
            </w:r>
          </w:p>
        </w:tc>
      </w:tr>
      <w:tr>
        <w:trPr>
          <w:trHeight w:val="171"/>
        </w:trPr>
        <w:tc>
          <w:tcPr>
            <w:tcW w:w="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shd w:val="clear" w:color="auto" w:fill="424E6A"/>
          </w:tcPr>
          <w:p>
            <w:pPr>
              <w:ind w:left="440"/>
              <w:spacing w:after="0"/>
              <w:rPr>
                <w:sz w:val="20"/>
                <w:szCs w:val="20"/>
                <w:color w:val="auto"/>
              </w:rPr>
            </w:pPr>
            <w:r>
              <w:rPr>
                <w:rFonts w:ascii="Arial" w:cs="Arial" w:eastAsia="Arial" w:hAnsi="Arial"/>
                <w:sz w:val="14"/>
                <w:szCs w:val="14"/>
                <w:b w:val="1"/>
                <w:bCs w:val="1"/>
                <w:color w:val="FFFFFF"/>
              </w:rPr>
              <w:t>Name</w:t>
            </w:r>
          </w:p>
        </w:tc>
        <w:tc>
          <w:tcPr>
            <w:tcW w:w="160" w:type="dxa"/>
            <w:vAlign w:val="bottom"/>
            <w:tcBorders>
              <w:bottom w:val="single" w:sz="8" w:color="auto"/>
            </w:tcBorders>
            <w:shd w:val="clear" w:color="auto" w:fill="424E6A"/>
          </w:tcPr>
          <w:p>
            <w:pPr>
              <w:ind w:left="120"/>
              <w:spacing w:after="0"/>
              <w:rPr>
                <w:sz w:val="20"/>
                <w:szCs w:val="20"/>
                <w:color w:val="auto"/>
              </w:rPr>
            </w:pPr>
            <w:r>
              <w:rPr>
                <w:rFonts w:ascii="Arial" w:cs="Arial" w:eastAsia="Arial" w:hAnsi="Arial"/>
                <w:sz w:val="14"/>
                <w:szCs w:val="14"/>
                <w:b w:val="1"/>
                <w:bCs w:val="1"/>
                <w:color w:val="FFFFFF"/>
              </w:rPr>
              <w:t>​</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w:t>
            </w:r>
          </w:p>
        </w:tc>
        <w:tc>
          <w:tcPr>
            <w:tcW w:w="5040" w:type="dxa"/>
            <w:vAlign w:val="bottom"/>
            <w:tcBorders>
              <w:bottom w:val="single" w:sz="8" w:color="auto"/>
            </w:tcBorders>
            <w:shd w:val="clear" w:color="auto" w:fill="424E6A"/>
          </w:tcPr>
          <w:p>
            <w:pPr>
              <w:ind w:left="1560"/>
              <w:spacing w:after="0"/>
              <w:rPr>
                <w:sz w:val="20"/>
                <w:szCs w:val="20"/>
                <w:color w:val="auto"/>
              </w:rPr>
            </w:pPr>
            <w:r>
              <w:rPr>
                <w:rFonts w:ascii="Arial" w:cs="Arial" w:eastAsia="Arial" w:hAnsi="Arial"/>
                <w:sz w:val="14"/>
                <w:szCs w:val="14"/>
                <w:b w:val="1"/>
                <w:bCs w:val="1"/>
                <w:color w:val="FFFFFF"/>
              </w:rPr>
              <w:t>2025 Individual Performance Highlights</w:t>
            </w:r>
          </w:p>
        </w:tc>
        <w:tc>
          <w:tcPr>
            <w:tcW w:w="840" w:type="dxa"/>
            <w:vAlign w:val="bottom"/>
            <w:tcBorders>
              <w:bottom w:val="single" w:sz="8" w:color="auto"/>
            </w:tcBorders>
            <w:shd w:val="clear" w:color="auto" w:fill="424E6A"/>
          </w:tcPr>
          <w:p>
            <w:pPr>
              <w:ind w:left="800"/>
              <w:spacing w:after="0"/>
              <w:rPr>
                <w:sz w:val="20"/>
                <w:szCs w:val="20"/>
                <w:color w:val="auto"/>
              </w:rPr>
            </w:pPr>
            <w:r>
              <w:rPr>
                <w:rFonts w:ascii="Arial" w:cs="Arial" w:eastAsia="Arial" w:hAnsi="Arial"/>
                <w:sz w:val="14"/>
                <w:szCs w:val="14"/>
                <w:b w:val="1"/>
                <w:bCs w:val="1"/>
                <w:color w:val="FFFFFF"/>
              </w:rPr>
              <w:t>​</w:t>
            </w: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 Score</w:t>
            </w:r>
          </w:p>
        </w:tc>
      </w:tr>
      <w:tr>
        <w:trPr>
          <w:trHeight w:val="190"/>
        </w:trPr>
        <w:tc>
          <w:tcPr>
            <w:tcW w:w="20" w:type="dxa"/>
            <w:vAlign w:val="bottom"/>
          </w:tcPr>
          <w:p>
            <w:pPr>
              <w:spacing w:after="0"/>
              <w:rPr>
                <w:sz w:val="16"/>
                <w:szCs w:val="16"/>
                <w:color w:val="auto"/>
              </w:rPr>
            </w:pPr>
          </w:p>
        </w:tc>
        <w:tc>
          <w:tcPr>
            <w:tcW w:w="1160" w:type="dxa"/>
            <w:vAlign w:val="bottom"/>
          </w:tcPr>
          <w:p>
            <w:pPr>
              <w:ind w:left="40"/>
              <w:spacing w:after="0" w:line="190" w:lineRule="exact"/>
              <w:rPr>
                <w:sz w:val="20"/>
                <w:szCs w:val="20"/>
                <w:color w:val="auto"/>
              </w:rPr>
            </w:pPr>
            <w:r>
              <w:rPr>
                <w:rFonts w:ascii="Arial" w:cs="Arial" w:eastAsia="Arial" w:hAnsi="Arial"/>
                <w:sz w:val="17"/>
                <w:szCs w:val="17"/>
                <w:color w:val="auto"/>
              </w:rPr>
              <w:t>Willie Chiang</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40" w:type="dxa"/>
            <w:vAlign w:val="bottom"/>
          </w:tcPr>
          <w:p>
            <w:pPr>
              <w:spacing w:after="0" w:line="190" w:lineRule="exact"/>
              <w:rPr>
                <w:sz w:val="20"/>
                <w:szCs w:val="20"/>
                <w:color w:val="auto"/>
              </w:rPr>
            </w:pPr>
            <w:r>
              <w:rPr>
                <w:rFonts w:ascii="Arial" w:cs="Arial" w:eastAsia="Arial" w:hAnsi="Arial"/>
                <w:sz w:val="17"/>
                <w:szCs w:val="17"/>
                <w:color w:val="auto"/>
              </w:rPr>
              <w:t>• Overall leadership, culture and tone setting</w:t>
            </w:r>
          </w:p>
        </w:tc>
        <w:tc>
          <w:tcPr>
            <w:tcW w:w="1700" w:type="dxa"/>
            <w:vAlign w:val="bottom"/>
            <w:gridSpan w:val="3"/>
          </w:tcPr>
          <w:p>
            <w:pPr>
              <w:ind w:left="960"/>
              <w:spacing w:after="0" w:line="190" w:lineRule="exact"/>
              <w:rPr>
                <w:sz w:val="20"/>
                <w:szCs w:val="20"/>
                <w:color w:val="auto"/>
              </w:rPr>
            </w:pPr>
            <w:r>
              <w:rPr>
                <w:rFonts w:ascii="Arial" w:cs="Arial" w:eastAsia="Arial" w:hAnsi="Arial"/>
                <w:sz w:val="17"/>
                <w:szCs w:val="17"/>
                <w:color w:val="auto"/>
              </w:rPr>
              <w:t>200%</w:t>
            </w:r>
          </w:p>
        </w:tc>
      </w:tr>
    </w:tbl>
    <w:p>
      <w:pPr>
        <w:ind w:left="2880" w:right="1399" w:hanging="162"/>
        <w:spacing w:after="0" w:line="251" w:lineRule="auto"/>
        <w:tabs>
          <w:tab w:leader="none" w:pos="28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Leadership role with respect to key strategic initiatives positioning company for 2025+, including Keyera transaction, EPIC acquisition and streamlining initiative</w:t>
      </w:r>
    </w:p>
    <w:p>
      <w:pPr>
        <w:ind w:left="2880" w:right="1739" w:hanging="162"/>
        <w:spacing w:after="0" w:line="256" w:lineRule="auto"/>
        <w:tabs>
          <w:tab w:leader="none" w:pos="28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Investor and rating agency engagement/messaging, capital allocation/​ discipline, operating excellence</w:t>
      </w:r>
    </w:p>
    <w:p>
      <w:pPr>
        <w:spacing w:after="0" w:line="1" w:lineRule="exact"/>
        <w:rPr>
          <w:rFonts w:ascii="Arial" w:cs="Arial" w:eastAsia="Arial" w:hAnsi="Arial"/>
          <w:sz w:val="17"/>
          <w:szCs w:val="17"/>
          <w:color w:val="auto"/>
        </w:rPr>
      </w:pPr>
    </w:p>
    <w:p>
      <w:pPr>
        <w:ind w:left="2880" w:hanging="162"/>
        <w:spacing w:after="0"/>
        <w:tabs>
          <w:tab w:leader="none" w:pos="28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Ongoing Board initiatives, leadership development/succession</w:t>
      </w:r>
    </w:p>
    <w:p>
      <w:pPr>
        <w:spacing w:after="0" w:line="19"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320" w:type="dxa"/>
            <w:vAlign w:val="bottom"/>
          </w:tcPr>
          <w:p>
            <w:pPr>
              <w:ind w:left="40"/>
              <w:spacing w:after="0"/>
              <w:rPr>
                <w:sz w:val="20"/>
                <w:szCs w:val="20"/>
                <w:color w:val="auto"/>
              </w:rPr>
            </w:pPr>
            <w:r>
              <w:rPr>
                <w:rFonts w:ascii="Arial" w:cs="Arial" w:eastAsia="Arial" w:hAnsi="Arial"/>
                <w:sz w:val="17"/>
                <w:szCs w:val="17"/>
                <w:color w:val="auto"/>
              </w:rPr>
              <w:t>Al Swanson</w:t>
            </w:r>
          </w:p>
        </w:tc>
        <w:tc>
          <w:tcPr>
            <w:tcW w:w="20" w:type="dxa"/>
            <w:vAlign w:val="bottom"/>
          </w:tcPr>
          <w:p>
            <w:pPr>
              <w:spacing w:after="0"/>
              <w:rPr>
                <w:sz w:val="16"/>
                <w:szCs w:val="16"/>
                <w:color w:val="auto"/>
              </w:rPr>
            </w:pPr>
          </w:p>
        </w:tc>
        <w:tc>
          <w:tcPr>
            <w:tcW w:w="5980" w:type="dxa"/>
            <w:vAlign w:val="bottom"/>
          </w:tcPr>
          <w:p>
            <w:pPr>
              <w:ind w:left="100"/>
              <w:spacing w:after="0"/>
              <w:rPr>
                <w:sz w:val="20"/>
                <w:szCs w:val="20"/>
                <w:color w:val="auto"/>
              </w:rPr>
            </w:pPr>
            <w:r>
              <w:rPr>
                <w:rFonts w:ascii="Arial" w:cs="Arial" w:eastAsia="Arial" w:hAnsi="Arial"/>
                <w:sz w:val="17"/>
                <w:szCs w:val="17"/>
                <w:color w:val="auto"/>
              </w:rPr>
              <w:t>• Finance group leadership in dynamic and complex environment</w:t>
            </w:r>
          </w:p>
        </w:tc>
        <w:tc>
          <w:tcPr>
            <w:tcW w:w="860" w:type="dxa"/>
            <w:vAlign w:val="bottom"/>
            <w:gridSpan w:val="2"/>
          </w:tcPr>
          <w:p>
            <w:pPr>
              <w:jc w:val="right"/>
              <w:ind w:right="235"/>
              <w:spacing w:after="0"/>
              <w:rPr>
                <w:sz w:val="20"/>
                <w:szCs w:val="20"/>
                <w:color w:val="auto"/>
              </w:rPr>
            </w:pPr>
            <w:r>
              <w:rPr>
                <w:rFonts w:ascii="Arial" w:cs="Arial" w:eastAsia="Arial" w:hAnsi="Arial"/>
                <w:sz w:val="17"/>
                <w:szCs w:val="17"/>
                <w:color w:val="auto"/>
              </w:rPr>
              <w:t>200%</w:t>
            </w:r>
          </w:p>
        </w:tc>
      </w:tr>
      <w:tr>
        <w:trPr>
          <w:trHeight w:val="203"/>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80" w:type="dxa"/>
            <w:vAlign w:val="bottom"/>
          </w:tcPr>
          <w:p>
            <w:pPr>
              <w:ind w:left="100"/>
              <w:spacing w:after="0"/>
              <w:rPr>
                <w:sz w:val="20"/>
                <w:szCs w:val="20"/>
                <w:color w:val="auto"/>
              </w:rPr>
            </w:pPr>
            <w:r>
              <w:rPr>
                <w:rFonts w:ascii="Arial" w:cs="Arial" w:eastAsia="Arial" w:hAnsi="Arial"/>
                <w:sz w:val="17"/>
                <w:szCs w:val="17"/>
                <w:color w:val="auto"/>
              </w:rPr>
              <w:t>• Driver of organizational focus on maintaining capital discipline, financial</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80" w:type="dxa"/>
            <w:vAlign w:val="bottom"/>
          </w:tcPr>
          <w:p>
            <w:pPr>
              <w:ind w:left="260"/>
              <w:spacing w:after="0"/>
              <w:rPr>
                <w:sz w:val="20"/>
                <w:szCs w:val="20"/>
                <w:color w:val="auto"/>
              </w:rPr>
            </w:pPr>
            <w:r>
              <w:rPr>
                <w:rFonts w:ascii="Arial" w:cs="Arial" w:eastAsia="Arial" w:hAnsi="Arial"/>
                <w:sz w:val="17"/>
                <w:szCs w:val="17"/>
                <w:color w:val="auto"/>
              </w:rPr>
              <w:t>flexibility and strong committed liquidity</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180"/>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80" w:type="dxa"/>
            <w:vAlign w:val="bottom"/>
          </w:tcPr>
          <w:p>
            <w:pPr>
              <w:ind w:left="100"/>
              <w:spacing w:after="0" w:line="180" w:lineRule="exact"/>
              <w:rPr>
                <w:sz w:val="20"/>
                <w:szCs w:val="20"/>
                <w:color w:val="auto"/>
              </w:rPr>
            </w:pPr>
            <w:r>
              <w:rPr>
                <w:rFonts w:ascii="Arial" w:cs="Arial" w:eastAsia="Arial" w:hAnsi="Arial"/>
                <w:sz w:val="17"/>
                <w:szCs w:val="17"/>
                <w:color w:val="auto"/>
              </w:rPr>
              <w:t>• Key role leading financial strategy and capital allocation framework</w:t>
            </w: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80" w:type="dxa"/>
            <w:vAlign w:val="bottom"/>
          </w:tcPr>
          <w:p>
            <w:pPr>
              <w:ind w:left="100"/>
              <w:spacing w:after="0"/>
              <w:rPr>
                <w:sz w:val="20"/>
                <w:szCs w:val="20"/>
                <w:color w:val="auto"/>
              </w:rPr>
            </w:pPr>
            <w:r>
              <w:rPr>
                <w:rFonts w:ascii="Arial" w:cs="Arial" w:eastAsia="Arial" w:hAnsi="Arial"/>
                <w:sz w:val="17"/>
                <w:szCs w:val="17"/>
                <w:color w:val="auto"/>
              </w:rPr>
              <w:t>• Took action to maintain financial flexibility and liquidity, including</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80" w:type="dxa"/>
            <w:vAlign w:val="bottom"/>
          </w:tcPr>
          <w:p>
            <w:pPr>
              <w:ind w:left="260"/>
              <w:spacing w:after="0"/>
              <w:rPr>
                <w:sz w:val="20"/>
                <w:szCs w:val="20"/>
                <w:color w:val="auto"/>
              </w:rPr>
            </w:pPr>
            <w:r>
              <w:rPr>
                <w:rFonts w:ascii="Arial" w:cs="Arial" w:eastAsia="Arial" w:hAnsi="Arial"/>
                <w:sz w:val="17"/>
                <w:szCs w:val="17"/>
                <w:color w:val="auto"/>
              </w:rPr>
              <w:t>repurchasing ~$330MM of Series A preferred units, accessing the debt</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80" w:type="dxa"/>
            <w:vAlign w:val="bottom"/>
          </w:tcPr>
          <w:p>
            <w:pPr>
              <w:ind w:left="260"/>
              <w:spacing w:after="0"/>
              <w:rPr>
                <w:sz w:val="20"/>
                <w:szCs w:val="20"/>
                <w:color w:val="auto"/>
              </w:rPr>
            </w:pPr>
            <w:r>
              <w:rPr>
                <w:rFonts w:ascii="Arial" w:cs="Arial" w:eastAsia="Arial" w:hAnsi="Arial"/>
                <w:sz w:val="17"/>
                <w:szCs w:val="17"/>
                <w:color w:val="auto"/>
              </w:rPr>
              <w:t>capital markets 3 times in 2025 raising $3B and paying down the $1.1B</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2"/>
        </w:trPr>
        <w:tc>
          <w:tcPr>
            <w:tcW w:w="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EPIC term loan by replacing at PAA level with lower rates</w:t>
            </w:r>
          </w:p>
        </w:tc>
        <w:tc>
          <w:tcPr>
            <w:tcW w:w="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180"/>
        </w:trPr>
        <w:tc>
          <w:tcPr>
            <w:tcW w:w="20" w:type="dxa"/>
            <w:vAlign w:val="bottom"/>
          </w:tcPr>
          <w:p>
            <w:pPr>
              <w:spacing w:after="0"/>
              <w:rPr>
                <w:sz w:val="15"/>
                <w:szCs w:val="15"/>
                <w:color w:val="auto"/>
              </w:rPr>
            </w:pPr>
          </w:p>
        </w:tc>
        <w:tc>
          <w:tcPr>
            <w:tcW w:w="1320" w:type="dxa"/>
            <w:vAlign w:val="bottom"/>
            <w:shd w:val="clear" w:color="auto" w:fill="D9DCE1"/>
          </w:tcPr>
          <w:p>
            <w:pPr>
              <w:ind w:left="40"/>
              <w:spacing w:after="0" w:line="180" w:lineRule="exact"/>
              <w:rPr>
                <w:sz w:val="20"/>
                <w:szCs w:val="20"/>
                <w:color w:val="auto"/>
              </w:rPr>
            </w:pPr>
            <w:r>
              <w:rPr>
                <w:rFonts w:ascii="Arial" w:cs="Arial" w:eastAsia="Arial" w:hAnsi="Arial"/>
                <w:sz w:val="17"/>
                <w:szCs w:val="17"/>
                <w:color w:val="auto"/>
              </w:rPr>
              <w:t>Richard McGee</w:t>
            </w:r>
          </w:p>
        </w:tc>
        <w:tc>
          <w:tcPr>
            <w:tcW w:w="20" w:type="dxa"/>
            <w:vAlign w:val="bottom"/>
          </w:tcPr>
          <w:p>
            <w:pPr>
              <w:spacing w:after="0"/>
              <w:rPr>
                <w:sz w:val="15"/>
                <w:szCs w:val="15"/>
                <w:color w:val="auto"/>
              </w:rPr>
            </w:pPr>
          </w:p>
        </w:tc>
        <w:tc>
          <w:tcPr>
            <w:tcW w:w="5980" w:type="dxa"/>
            <w:vAlign w:val="bottom"/>
            <w:shd w:val="clear" w:color="auto" w:fill="D9DCE1"/>
          </w:tcPr>
          <w:p>
            <w:pPr>
              <w:ind w:left="100"/>
              <w:spacing w:after="0" w:line="180" w:lineRule="exact"/>
              <w:rPr>
                <w:sz w:val="20"/>
                <w:szCs w:val="20"/>
                <w:color w:val="auto"/>
              </w:rPr>
            </w:pPr>
            <w:r>
              <w:rPr>
                <w:rFonts w:ascii="Arial" w:cs="Arial" w:eastAsia="Arial" w:hAnsi="Arial"/>
                <w:sz w:val="17"/>
                <w:szCs w:val="17"/>
                <w:color w:val="auto"/>
              </w:rPr>
              <w:t>• Legal/Land and HR group oversight/leadership during very active year</w:t>
            </w:r>
          </w:p>
        </w:tc>
        <w:tc>
          <w:tcPr>
            <w:tcW w:w="20" w:type="dxa"/>
            <w:vAlign w:val="bottom"/>
          </w:tcPr>
          <w:p>
            <w:pPr>
              <w:spacing w:after="0"/>
              <w:rPr>
                <w:sz w:val="15"/>
                <w:szCs w:val="15"/>
                <w:color w:val="auto"/>
              </w:rPr>
            </w:pPr>
          </w:p>
        </w:tc>
        <w:tc>
          <w:tcPr>
            <w:tcW w:w="840" w:type="dxa"/>
            <w:vAlign w:val="bottom"/>
            <w:shd w:val="clear" w:color="auto" w:fill="D9DCE1"/>
          </w:tcPr>
          <w:p>
            <w:pPr>
              <w:jc w:val="right"/>
              <w:ind w:right="235"/>
              <w:spacing w:after="0" w:line="180" w:lineRule="exact"/>
              <w:rPr>
                <w:sz w:val="20"/>
                <w:szCs w:val="20"/>
                <w:color w:val="auto"/>
              </w:rPr>
            </w:pPr>
            <w:r>
              <w:rPr>
                <w:rFonts w:ascii="Arial" w:cs="Arial" w:eastAsia="Arial" w:hAnsi="Arial"/>
                <w:sz w:val="17"/>
                <w:szCs w:val="17"/>
                <w:color w:val="auto"/>
              </w:rPr>
              <w:t>200%</w:t>
            </w:r>
          </w:p>
        </w:tc>
      </w:tr>
      <w:tr>
        <w:trPr>
          <w:trHeight w:val="203"/>
        </w:trPr>
        <w:tc>
          <w:tcPr>
            <w:tcW w:w="20" w:type="dxa"/>
            <w:vAlign w:val="bottom"/>
          </w:tcPr>
          <w:p>
            <w:pPr>
              <w:spacing w:after="0"/>
              <w:rPr>
                <w:sz w:val="17"/>
                <w:szCs w:val="17"/>
                <w:color w:val="auto"/>
              </w:rPr>
            </w:pPr>
          </w:p>
        </w:tc>
        <w:tc>
          <w:tcPr>
            <w:tcW w:w="1320" w:type="dxa"/>
            <w:vAlign w:val="bottom"/>
            <w:shd w:val="clear" w:color="auto" w:fill="D9DCE1"/>
          </w:tcPr>
          <w:p>
            <w:pPr>
              <w:spacing w:after="0"/>
              <w:rPr>
                <w:sz w:val="17"/>
                <w:szCs w:val="17"/>
                <w:color w:val="auto"/>
              </w:rPr>
            </w:pPr>
          </w:p>
        </w:tc>
        <w:tc>
          <w:tcPr>
            <w:tcW w:w="20" w:type="dxa"/>
            <w:vAlign w:val="bottom"/>
          </w:tcPr>
          <w:p>
            <w:pPr>
              <w:spacing w:after="0"/>
              <w:rPr>
                <w:sz w:val="17"/>
                <w:szCs w:val="17"/>
                <w:color w:val="auto"/>
              </w:rPr>
            </w:pPr>
          </w:p>
        </w:tc>
        <w:tc>
          <w:tcPr>
            <w:tcW w:w="5980" w:type="dxa"/>
            <w:vAlign w:val="bottom"/>
            <w:shd w:val="clear" w:color="auto" w:fill="D9DCE1"/>
          </w:tcPr>
          <w:p>
            <w:pPr>
              <w:ind w:left="100"/>
              <w:spacing w:after="0"/>
              <w:rPr>
                <w:sz w:val="20"/>
                <w:szCs w:val="20"/>
                <w:color w:val="auto"/>
              </w:rPr>
            </w:pPr>
            <w:r>
              <w:rPr>
                <w:rFonts w:ascii="Arial" w:cs="Arial" w:eastAsia="Arial" w:hAnsi="Arial"/>
                <w:sz w:val="17"/>
                <w:szCs w:val="17"/>
                <w:color w:val="auto"/>
              </w:rPr>
              <w:t>• Leadership/oversight of legal efforts in support of key acquisition,</w:t>
            </w:r>
          </w:p>
        </w:tc>
        <w:tc>
          <w:tcPr>
            <w:tcW w:w="20" w:type="dxa"/>
            <w:vAlign w:val="bottom"/>
          </w:tcPr>
          <w:p>
            <w:pPr>
              <w:spacing w:after="0"/>
              <w:rPr>
                <w:sz w:val="17"/>
                <w:szCs w:val="17"/>
                <w:color w:val="auto"/>
              </w:rPr>
            </w:pPr>
          </w:p>
        </w:tc>
        <w:tc>
          <w:tcPr>
            <w:tcW w:w="840" w:type="dxa"/>
            <w:vAlign w:val="bottom"/>
            <w:shd w:val="clear" w:color="auto" w:fill="D9DCE1"/>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D9DCE1"/>
          </w:tcPr>
          <w:p>
            <w:pPr>
              <w:spacing w:after="0"/>
              <w:rPr>
                <w:sz w:val="17"/>
                <w:szCs w:val="17"/>
                <w:color w:val="auto"/>
              </w:rPr>
            </w:pPr>
          </w:p>
        </w:tc>
        <w:tc>
          <w:tcPr>
            <w:tcW w:w="20" w:type="dxa"/>
            <w:vAlign w:val="bottom"/>
          </w:tcPr>
          <w:p>
            <w:pPr>
              <w:spacing w:after="0"/>
              <w:rPr>
                <w:sz w:val="17"/>
                <w:szCs w:val="17"/>
                <w:color w:val="auto"/>
              </w:rPr>
            </w:pPr>
          </w:p>
        </w:tc>
        <w:tc>
          <w:tcPr>
            <w:tcW w:w="5980" w:type="dxa"/>
            <w:vAlign w:val="bottom"/>
            <w:shd w:val="clear" w:color="auto" w:fill="D9DCE1"/>
          </w:tcPr>
          <w:p>
            <w:pPr>
              <w:ind w:left="260"/>
              <w:spacing w:after="0"/>
              <w:rPr>
                <w:sz w:val="20"/>
                <w:szCs w:val="20"/>
                <w:color w:val="auto"/>
              </w:rPr>
            </w:pPr>
            <w:r>
              <w:rPr>
                <w:rFonts w:ascii="Arial" w:cs="Arial" w:eastAsia="Arial" w:hAnsi="Arial"/>
                <w:sz w:val="17"/>
                <w:szCs w:val="17"/>
                <w:color w:val="auto"/>
              </w:rPr>
              <w:t>divestiture, JV and other transactions and key commercial arrangements,</w:t>
            </w:r>
          </w:p>
        </w:tc>
        <w:tc>
          <w:tcPr>
            <w:tcW w:w="20" w:type="dxa"/>
            <w:vAlign w:val="bottom"/>
          </w:tcPr>
          <w:p>
            <w:pPr>
              <w:spacing w:after="0"/>
              <w:rPr>
                <w:sz w:val="17"/>
                <w:szCs w:val="17"/>
                <w:color w:val="auto"/>
              </w:rPr>
            </w:pPr>
          </w:p>
        </w:tc>
        <w:tc>
          <w:tcPr>
            <w:tcW w:w="840" w:type="dxa"/>
            <w:vAlign w:val="bottom"/>
            <w:shd w:val="clear" w:color="auto" w:fill="D9DCE1"/>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D9DCE1"/>
          </w:tcPr>
          <w:p>
            <w:pPr>
              <w:spacing w:after="0"/>
              <w:rPr>
                <w:sz w:val="17"/>
                <w:szCs w:val="17"/>
                <w:color w:val="auto"/>
              </w:rPr>
            </w:pPr>
          </w:p>
        </w:tc>
        <w:tc>
          <w:tcPr>
            <w:tcW w:w="20" w:type="dxa"/>
            <w:vAlign w:val="bottom"/>
          </w:tcPr>
          <w:p>
            <w:pPr>
              <w:spacing w:after="0"/>
              <w:rPr>
                <w:sz w:val="17"/>
                <w:szCs w:val="17"/>
                <w:color w:val="auto"/>
              </w:rPr>
            </w:pPr>
          </w:p>
        </w:tc>
        <w:tc>
          <w:tcPr>
            <w:tcW w:w="5980" w:type="dxa"/>
            <w:vAlign w:val="bottom"/>
            <w:shd w:val="clear" w:color="auto" w:fill="D9DCE1"/>
          </w:tcPr>
          <w:p>
            <w:pPr>
              <w:ind w:left="260"/>
              <w:spacing w:after="0"/>
              <w:rPr>
                <w:sz w:val="20"/>
                <w:szCs w:val="20"/>
                <w:color w:val="auto"/>
              </w:rPr>
            </w:pPr>
            <w:r>
              <w:rPr>
                <w:rFonts w:ascii="Arial" w:cs="Arial" w:eastAsia="Arial" w:hAnsi="Arial"/>
                <w:sz w:val="17"/>
                <w:szCs w:val="17"/>
                <w:color w:val="auto"/>
              </w:rPr>
              <w:t>including the Keyera transaction and the EPIC acquisition</w:t>
            </w:r>
          </w:p>
        </w:tc>
        <w:tc>
          <w:tcPr>
            <w:tcW w:w="20" w:type="dxa"/>
            <w:vAlign w:val="bottom"/>
          </w:tcPr>
          <w:p>
            <w:pPr>
              <w:spacing w:after="0"/>
              <w:rPr>
                <w:sz w:val="17"/>
                <w:szCs w:val="17"/>
                <w:color w:val="auto"/>
              </w:rPr>
            </w:pPr>
          </w:p>
        </w:tc>
        <w:tc>
          <w:tcPr>
            <w:tcW w:w="840" w:type="dxa"/>
            <w:vAlign w:val="bottom"/>
            <w:shd w:val="clear" w:color="auto" w:fill="D9DCE1"/>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D9DCE1"/>
          </w:tcPr>
          <w:p>
            <w:pPr>
              <w:spacing w:after="0"/>
              <w:rPr>
                <w:sz w:val="18"/>
                <w:szCs w:val="18"/>
                <w:color w:val="auto"/>
              </w:rPr>
            </w:pPr>
          </w:p>
        </w:tc>
        <w:tc>
          <w:tcPr>
            <w:tcW w:w="20" w:type="dxa"/>
            <w:vAlign w:val="bottom"/>
          </w:tcPr>
          <w:p>
            <w:pPr>
              <w:spacing w:after="0"/>
              <w:rPr>
                <w:sz w:val="18"/>
                <w:szCs w:val="18"/>
                <w:color w:val="auto"/>
              </w:rPr>
            </w:pPr>
          </w:p>
        </w:tc>
        <w:tc>
          <w:tcPr>
            <w:tcW w:w="5980" w:type="dxa"/>
            <w:vAlign w:val="bottom"/>
            <w:shd w:val="clear" w:color="auto" w:fill="D9DCE1"/>
          </w:tcPr>
          <w:p>
            <w:pPr>
              <w:ind w:left="100"/>
              <w:spacing w:after="0"/>
              <w:rPr>
                <w:sz w:val="20"/>
                <w:szCs w:val="20"/>
                <w:color w:val="auto"/>
              </w:rPr>
            </w:pPr>
            <w:r>
              <w:rPr>
                <w:rFonts w:ascii="Arial" w:cs="Arial" w:eastAsia="Arial" w:hAnsi="Arial"/>
                <w:sz w:val="17"/>
                <w:szCs w:val="17"/>
                <w:color w:val="auto"/>
              </w:rPr>
              <w:t>• Oversight of effort to manage/mitigate/resolve Line 901 and other litigation</w:t>
            </w:r>
          </w:p>
        </w:tc>
        <w:tc>
          <w:tcPr>
            <w:tcW w:w="20" w:type="dxa"/>
            <w:vAlign w:val="bottom"/>
          </w:tcPr>
          <w:p>
            <w:pPr>
              <w:spacing w:after="0"/>
              <w:rPr>
                <w:sz w:val="18"/>
                <w:szCs w:val="18"/>
                <w:color w:val="auto"/>
              </w:rPr>
            </w:pPr>
          </w:p>
        </w:tc>
        <w:tc>
          <w:tcPr>
            <w:tcW w:w="840" w:type="dxa"/>
            <w:vAlign w:val="bottom"/>
            <w:shd w:val="clear" w:color="auto" w:fill="D9DCE1"/>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D9DCE1"/>
          </w:tcPr>
          <w:p>
            <w:pPr>
              <w:spacing w:after="0"/>
              <w:rPr>
                <w:sz w:val="18"/>
                <w:szCs w:val="18"/>
                <w:color w:val="auto"/>
              </w:rPr>
            </w:pPr>
          </w:p>
        </w:tc>
        <w:tc>
          <w:tcPr>
            <w:tcW w:w="20" w:type="dxa"/>
            <w:vAlign w:val="bottom"/>
          </w:tcPr>
          <w:p>
            <w:pPr>
              <w:spacing w:after="0"/>
              <w:rPr>
                <w:sz w:val="18"/>
                <w:szCs w:val="18"/>
                <w:color w:val="auto"/>
              </w:rPr>
            </w:pPr>
          </w:p>
        </w:tc>
        <w:tc>
          <w:tcPr>
            <w:tcW w:w="5980" w:type="dxa"/>
            <w:vAlign w:val="bottom"/>
            <w:shd w:val="clear" w:color="auto" w:fill="D9DCE1"/>
          </w:tcPr>
          <w:p>
            <w:pPr>
              <w:ind w:left="260"/>
              <w:spacing w:after="0"/>
              <w:rPr>
                <w:sz w:val="20"/>
                <w:szCs w:val="20"/>
                <w:color w:val="auto"/>
              </w:rPr>
            </w:pPr>
            <w:r>
              <w:rPr>
                <w:rFonts w:ascii="Arial" w:cs="Arial" w:eastAsia="Arial" w:hAnsi="Arial"/>
                <w:sz w:val="17"/>
                <w:szCs w:val="17"/>
                <w:color w:val="auto"/>
              </w:rPr>
              <w:t>exposure</w:t>
            </w:r>
          </w:p>
        </w:tc>
        <w:tc>
          <w:tcPr>
            <w:tcW w:w="20" w:type="dxa"/>
            <w:vAlign w:val="bottom"/>
          </w:tcPr>
          <w:p>
            <w:pPr>
              <w:spacing w:after="0"/>
              <w:rPr>
                <w:sz w:val="18"/>
                <w:szCs w:val="18"/>
                <w:color w:val="auto"/>
              </w:rPr>
            </w:pPr>
          </w:p>
        </w:tc>
        <w:tc>
          <w:tcPr>
            <w:tcW w:w="840" w:type="dxa"/>
            <w:vAlign w:val="bottom"/>
            <w:shd w:val="clear" w:color="auto" w:fill="D9DCE1"/>
          </w:tcPr>
          <w:p>
            <w:pPr>
              <w:spacing w:after="0"/>
              <w:rPr>
                <w:sz w:val="18"/>
                <w:szCs w:val="18"/>
                <w:color w:val="auto"/>
              </w:rPr>
            </w:pPr>
          </w:p>
        </w:tc>
      </w:tr>
      <w:tr>
        <w:trPr>
          <w:trHeight w:val="232"/>
        </w:trPr>
        <w:tc>
          <w:tcPr>
            <w:tcW w:w="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shd w:val="clear" w:color="auto" w:fill="D9DCE1"/>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shd w:val="clear" w:color="auto" w:fill="D9DCE1"/>
          </w:tcPr>
          <w:p>
            <w:pPr>
              <w:ind w:left="100"/>
              <w:spacing w:after="0"/>
              <w:rPr>
                <w:sz w:val="20"/>
                <w:szCs w:val="20"/>
                <w:color w:val="auto"/>
              </w:rPr>
            </w:pPr>
            <w:r>
              <w:rPr>
                <w:rFonts w:ascii="Arial" w:cs="Arial" w:eastAsia="Arial" w:hAnsi="Arial"/>
                <w:sz w:val="17"/>
                <w:szCs w:val="17"/>
                <w:color w:val="auto"/>
              </w:rPr>
              <w:t>• Key role in various board/governance/HR/compensation initiatives</w:t>
            </w:r>
          </w:p>
        </w:tc>
        <w:tc>
          <w:tcPr>
            <w:tcW w:w="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shd w:val="clear" w:color="auto" w:fill="D9DCE1"/>
          </w:tcPr>
          <w:p>
            <w:pPr>
              <w:spacing w:after="0"/>
              <w:rPr>
                <w:sz w:val="20"/>
                <w:szCs w:val="20"/>
                <w:color w:val="auto"/>
              </w:rPr>
            </w:pPr>
          </w:p>
        </w:tc>
      </w:tr>
      <w:tr>
        <w:trPr>
          <w:trHeight w:val="180"/>
        </w:trPr>
        <w:tc>
          <w:tcPr>
            <w:tcW w:w="20" w:type="dxa"/>
            <w:vAlign w:val="bottom"/>
          </w:tcPr>
          <w:p>
            <w:pPr>
              <w:spacing w:after="0"/>
              <w:rPr>
                <w:sz w:val="15"/>
                <w:szCs w:val="15"/>
                <w:color w:val="auto"/>
              </w:rPr>
            </w:pPr>
          </w:p>
        </w:tc>
        <w:tc>
          <w:tcPr>
            <w:tcW w:w="1320" w:type="dxa"/>
            <w:vAlign w:val="bottom"/>
          </w:tcPr>
          <w:p>
            <w:pPr>
              <w:ind w:left="40"/>
              <w:spacing w:after="0" w:line="180" w:lineRule="exact"/>
              <w:rPr>
                <w:sz w:val="20"/>
                <w:szCs w:val="20"/>
                <w:color w:val="auto"/>
              </w:rPr>
            </w:pPr>
            <w:r>
              <w:rPr>
                <w:rFonts w:ascii="Arial" w:cs="Arial" w:eastAsia="Arial" w:hAnsi="Arial"/>
                <w:sz w:val="17"/>
                <w:szCs w:val="17"/>
                <w:color w:val="auto"/>
              </w:rPr>
              <w:t>Chris Chandler</w:t>
            </w:r>
          </w:p>
        </w:tc>
        <w:tc>
          <w:tcPr>
            <w:tcW w:w="20" w:type="dxa"/>
            <w:vAlign w:val="bottom"/>
          </w:tcPr>
          <w:p>
            <w:pPr>
              <w:spacing w:after="0"/>
              <w:rPr>
                <w:sz w:val="15"/>
                <w:szCs w:val="15"/>
                <w:color w:val="auto"/>
              </w:rPr>
            </w:pPr>
          </w:p>
        </w:tc>
        <w:tc>
          <w:tcPr>
            <w:tcW w:w="5980" w:type="dxa"/>
            <w:vAlign w:val="bottom"/>
          </w:tcPr>
          <w:p>
            <w:pPr>
              <w:ind w:left="100"/>
              <w:spacing w:after="0" w:line="180" w:lineRule="exact"/>
              <w:rPr>
                <w:sz w:val="20"/>
                <w:szCs w:val="20"/>
                <w:color w:val="auto"/>
              </w:rPr>
            </w:pPr>
            <w:r>
              <w:rPr>
                <w:rFonts w:ascii="Arial" w:cs="Arial" w:eastAsia="Arial" w:hAnsi="Arial"/>
                <w:sz w:val="17"/>
                <w:szCs w:val="17"/>
                <w:color w:val="auto"/>
              </w:rPr>
              <w:t>• Overall leadership of operations organization</w:t>
            </w:r>
          </w:p>
        </w:tc>
        <w:tc>
          <w:tcPr>
            <w:tcW w:w="860" w:type="dxa"/>
            <w:vAlign w:val="bottom"/>
            <w:gridSpan w:val="2"/>
          </w:tcPr>
          <w:p>
            <w:pPr>
              <w:jc w:val="right"/>
              <w:ind w:right="235"/>
              <w:spacing w:after="0" w:line="180" w:lineRule="exact"/>
              <w:rPr>
                <w:sz w:val="20"/>
                <w:szCs w:val="20"/>
                <w:color w:val="auto"/>
              </w:rPr>
            </w:pPr>
            <w:r>
              <w:rPr>
                <w:rFonts w:ascii="Arial" w:cs="Arial" w:eastAsia="Arial" w:hAnsi="Arial"/>
                <w:sz w:val="17"/>
                <w:szCs w:val="17"/>
                <w:color w:val="auto"/>
              </w:rPr>
              <w:t>200%</w:t>
            </w:r>
          </w:p>
        </w:tc>
      </w:tr>
      <w:tr>
        <w:trPr>
          <w:trHeight w:val="203"/>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80" w:type="dxa"/>
            <w:vAlign w:val="bottom"/>
          </w:tcPr>
          <w:p>
            <w:pPr>
              <w:ind w:left="260"/>
              <w:spacing w:after="0"/>
              <w:rPr>
                <w:sz w:val="20"/>
                <w:szCs w:val="20"/>
                <w:color w:val="auto"/>
              </w:rPr>
            </w:pPr>
            <w:r>
              <w:rPr>
                <w:rFonts w:ascii="Arial" w:cs="Arial" w:eastAsia="Arial" w:hAnsi="Arial"/>
                <w:sz w:val="17"/>
                <w:szCs w:val="17"/>
                <w:color w:val="auto"/>
              </w:rPr>
              <w:t>• Met or exceeded company HSE goals; best ever safety performance and</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80" w:type="dxa"/>
            <w:vAlign w:val="bottom"/>
          </w:tcPr>
          <w:p>
            <w:pPr>
              <w:ind w:left="440"/>
              <w:spacing w:after="0"/>
              <w:rPr>
                <w:sz w:val="20"/>
                <w:szCs w:val="20"/>
                <w:color w:val="auto"/>
              </w:rPr>
            </w:pPr>
            <w:r>
              <w:rPr>
                <w:rFonts w:ascii="Arial" w:cs="Arial" w:eastAsia="Arial" w:hAnsi="Arial"/>
                <w:sz w:val="17"/>
                <w:szCs w:val="17"/>
                <w:color w:val="auto"/>
              </w:rPr>
              <w:t>total release count; no Tier 1 or Tier 2 process safety events</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194"/>
        </w:trPr>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980" w:type="dxa"/>
            <w:vAlign w:val="bottom"/>
          </w:tcPr>
          <w:p>
            <w:pPr>
              <w:ind w:left="260"/>
              <w:spacing w:after="0" w:line="194" w:lineRule="exact"/>
              <w:rPr>
                <w:sz w:val="20"/>
                <w:szCs w:val="20"/>
                <w:color w:val="auto"/>
              </w:rPr>
            </w:pPr>
            <w:r>
              <w:rPr>
                <w:rFonts w:ascii="Arial" w:cs="Arial" w:eastAsia="Arial" w:hAnsi="Arial"/>
                <w:sz w:val="17"/>
                <w:szCs w:val="17"/>
                <w:color w:val="auto"/>
              </w:rPr>
              <w:t>• Implemented AFPM Walk the Line process safety program</w:t>
            </w: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80" w:type="dxa"/>
            <w:vAlign w:val="bottom"/>
          </w:tcPr>
          <w:p>
            <w:pPr>
              <w:ind w:left="260"/>
              <w:spacing w:after="0"/>
              <w:rPr>
                <w:sz w:val="20"/>
                <w:szCs w:val="20"/>
                <w:color w:val="auto"/>
              </w:rPr>
            </w:pPr>
            <w:r>
              <w:rPr>
                <w:rFonts w:ascii="Arial" w:cs="Arial" w:eastAsia="Arial" w:hAnsi="Arial"/>
                <w:sz w:val="17"/>
                <w:szCs w:val="17"/>
                <w:color w:val="auto"/>
              </w:rPr>
              <w:t>• Prepared organization, processes and systems for pending sale of</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80" w:type="dxa"/>
            <w:vAlign w:val="bottom"/>
          </w:tcPr>
          <w:p>
            <w:pPr>
              <w:ind w:left="440"/>
              <w:spacing w:after="0"/>
              <w:rPr>
                <w:sz w:val="20"/>
                <w:szCs w:val="20"/>
                <w:color w:val="auto"/>
              </w:rPr>
            </w:pPr>
            <w:r>
              <w:rPr>
                <w:rFonts w:ascii="Arial" w:cs="Arial" w:eastAsia="Arial" w:hAnsi="Arial"/>
                <w:sz w:val="17"/>
                <w:szCs w:val="17"/>
                <w:color w:val="auto"/>
              </w:rPr>
              <w:t>Canadian NGL business</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80" w:type="dxa"/>
            <w:vAlign w:val="bottom"/>
          </w:tcPr>
          <w:p>
            <w:pPr>
              <w:ind w:left="260"/>
              <w:spacing w:after="0"/>
              <w:rPr>
                <w:sz w:val="20"/>
                <w:szCs w:val="20"/>
                <w:color w:val="auto"/>
              </w:rPr>
            </w:pPr>
            <w:r>
              <w:rPr>
                <w:rFonts w:ascii="Arial" w:cs="Arial" w:eastAsia="Arial" w:hAnsi="Arial"/>
                <w:sz w:val="17"/>
                <w:szCs w:val="17"/>
                <w:color w:val="auto"/>
              </w:rPr>
              <w:t>• Assumed responsibility for Communications and Stakeholder</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80" w:type="dxa"/>
            <w:vAlign w:val="bottom"/>
          </w:tcPr>
          <w:p>
            <w:pPr>
              <w:ind w:left="440"/>
              <w:spacing w:after="0"/>
              <w:rPr>
                <w:sz w:val="20"/>
                <w:szCs w:val="20"/>
                <w:color w:val="auto"/>
              </w:rPr>
            </w:pPr>
            <w:r>
              <w:rPr>
                <w:rFonts w:ascii="Arial" w:cs="Arial" w:eastAsia="Arial" w:hAnsi="Arial"/>
                <w:sz w:val="17"/>
                <w:szCs w:val="17"/>
                <w:color w:val="auto"/>
              </w:rPr>
              <w:t>Engagement groups</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80" w:type="dxa"/>
            <w:vAlign w:val="bottom"/>
          </w:tcPr>
          <w:p>
            <w:pPr>
              <w:ind w:left="100"/>
              <w:spacing w:after="0"/>
              <w:rPr>
                <w:sz w:val="20"/>
                <w:szCs w:val="20"/>
                <w:color w:val="auto"/>
              </w:rPr>
            </w:pPr>
            <w:r>
              <w:rPr>
                <w:rFonts w:ascii="Arial" w:cs="Arial" w:eastAsia="Arial" w:hAnsi="Arial"/>
                <w:sz w:val="17"/>
                <w:szCs w:val="17"/>
                <w:color w:val="auto"/>
              </w:rPr>
              <w:t>• Key leadership role in streamlining initiatives targeting $100MM of</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80" w:type="dxa"/>
            <w:vAlign w:val="bottom"/>
          </w:tcPr>
          <w:p>
            <w:pPr>
              <w:ind w:left="260"/>
              <w:spacing w:after="0"/>
              <w:rPr>
                <w:sz w:val="20"/>
                <w:szCs w:val="20"/>
                <w:color w:val="auto"/>
              </w:rPr>
            </w:pPr>
            <w:r>
              <w:rPr>
                <w:rFonts w:ascii="Arial" w:cs="Arial" w:eastAsia="Arial" w:hAnsi="Arial"/>
                <w:sz w:val="17"/>
                <w:szCs w:val="17"/>
                <w:color w:val="auto"/>
              </w:rPr>
              <w:t>efficiency improvements through 2027 (reducing layers, increasing spans,</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80" w:type="dxa"/>
            <w:vAlign w:val="bottom"/>
          </w:tcPr>
          <w:p>
            <w:pPr>
              <w:ind w:left="260"/>
              <w:spacing w:after="0"/>
              <w:rPr>
                <w:sz w:val="20"/>
                <w:szCs w:val="20"/>
                <w:color w:val="auto"/>
              </w:rPr>
            </w:pPr>
            <w:r>
              <w:rPr>
                <w:rFonts w:ascii="Arial" w:cs="Arial" w:eastAsia="Arial" w:hAnsi="Arial"/>
                <w:sz w:val="17"/>
                <w:szCs w:val="17"/>
                <w:color w:val="auto"/>
              </w:rPr>
              <w:t>adopting career level framework and improving operational processes)</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980" w:type="dxa"/>
            <w:vAlign w:val="bottom"/>
          </w:tcPr>
          <w:p>
            <w:pPr>
              <w:ind w:left="100"/>
              <w:spacing w:after="0" w:line="189" w:lineRule="exact"/>
              <w:rPr>
                <w:sz w:val="20"/>
                <w:szCs w:val="20"/>
                <w:color w:val="auto"/>
              </w:rPr>
            </w:pPr>
            <w:r>
              <w:rPr>
                <w:rFonts w:ascii="Arial" w:cs="Arial" w:eastAsia="Arial" w:hAnsi="Arial"/>
                <w:sz w:val="17"/>
                <w:szCs w:val="17"/>
                <w:color w:val="auto"/>
              </w:rPr>
              <w:t>• Successful integration of six acquisitions totaling $3.7B, including EPIC</w:t>
            </w: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80" w:type="dxa"/>
            <w:vAlign w:val="bottom"/>
          </w:tcPr>
          <w:p>
            <w:pPr>
              <w:ind w:left="100"/>
              <w:spacing w:after="0"/>
              <w:rPr>
                <w:sz w:val="20"/>
                <w:szCs w:val="20"/>
                <w:color w:val="auto"/>
              </w:rPr>
            </w:pPr>
            <w:r>
              <w:rPr>
                <w:rFonts w:ascii="Arial" w:cs="Arial" w:eastAsia="Arial" w:hAnsi="Arial"/>
                <w:sz w:val="17"/>
                <w:szCs w:val="17"/>
                <w:color w:val="auto"/>
              </w:rPr>
              <w:t>• Overall management of large expansion and maintenance capital budgets</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80" w:type="dxa"/>
            <w:vAlign w:val="bottom"/>
          </w:tcPr>
          <w:p>
            <w:pPr>
              <w:ind w:left="260"/>
              <w:spacing w:after="0"/>
              <w:rPr>
                <w:sz w:val="20"/>
                <w:szCs w:val="20"/>
                <w:color w:val="auto"/>
              </w:rPr>
            </w:pPr>
            <w:r>
              <w:rPr>
                <w:rFonts w:ascii="Arial" w:cs="Arial" w:eastAsia="Arial" w:hAnsi="Arial"/>
                <w:sz w:val="17"/>
                <w:szCs w:val="17"/>
                <w:color w:val="auto"/>
              </w:rPr>
              <w:t>and successful completion of two large strategic capital projects despite</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80" w:type="dxa"/>
            <w:vAlign w:val="bottom"/>
          </w:tcPr>
          <w:p>
            <w:pPr>
              <w:ind w:left="260"/>
              <w:spacing w:after="0"/>
              <w:rPr>
                <w:sz w:val="20"/>
                <w:szCs w:val="20"/>
                <w:color w:val="auto"/>
              </w:rPr>
            </w:pPr>
            <w:r>
              <w:rPr>
                <w:rFonts w:ascii="Arial" w:cs="Arial" w:eastAsia="Arial" w:hAnsi="Arial"/>
                <w:sz w:val="17"/>
                <w:szCs w:val="17"/>
                <w:color w:val="auto"/>
              </w:rPr>
              <w:t>cost and scheduling challenges</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9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r>
      <w:tr>
        <w:trPr>
          <w:trHeight w:val="174"/>
        </w:trPr>
        <w:tc>
          <w:tcPr>
            <w:tcW w:w="20" w:type="dxa"/>
            <w:vAlign w:val="bottom"/>
          </w:tcPr>
          <w:p>
            <w:pPr>
              <w:spacing w:after="0"/>
              <w:rPr>
                <w:sz w:val="15"/>
                <w:szCs w:val="15"/>
                <w:color w:val="auto"/>
              </w:rPr>
            </w:pPr>
          </w:p>
        </w:tc>
        <w:tc>
          <w:tcPr>
            <w:tcW w:w="1320" w:type="dxa"/>
            <w:vAlign w:val="bottom"/>
            <w:shd w:val="clear" w:color="auto" w:fill="D9DCE1"/>
          </w:tcPr>
          <w:p>
            <w:pPr>
              <w:ind w:left="40"/>
              <w:spacing w:after="0" w:line="174" w:lineRule="exact"/>
              <w:rPr>
                <w:sz w:val="20"/>
                <w:szCs w:val="20"/>
                <w:color w:val="auto"/>
              </w:rPr>
            </w:pPr>
            <w:r>
              <w:rPr>
                <w:rFonts w:ascii="Arial" w:cs="Arial" w:eastAsia="Arial" w:hAnsi="Arial"/>
                <w:sz w:val="17"/>
                <w:szCs w:val="17"/>
                <w:color w:val="auto"/>
              </w:rPr>
              <w:t>Jeremy Goebel</w:t>
            </w:r>
          </w:p>
        </w:tc>
        <w:tc>
          <w:tcPr>
            <w:tcW w:w="20" w:type="dxa"/>
            <w:vAlign w:val="bottom"/>
          </w:tcPr>
          <w:p>
            <w:pPr>
              <w:spacing w:after="0"/>
              <w:rPr>
                <w:sz w:val="15"/>
                <w:szCs w:val="15"/>
                <w:color w:val="auto"/>
              </w:rPr>
            </w:pPr>
          </w:p>
        </w:tc>
        <w:tc>
          <w:tcPr>
            <w:tcW w:w="5980" w:type="dxa"/>
            <w:vAlign w:val="bottom"/>
            <w:shd w:val="clear" w:color="auto" w:fill="D9DCE1"/>
          </w:tcPr>
          <w:p>
            <w:pPr>
              <w:ind w:left="100"/>
              <w:spacing w:after="0" w:line="174" w:lineRule="exact"/>
              <w:rPr>
                <w:sz w:val="20"/>
                <w:szCs w:val="20"/>
                <w:color w:val="auto"/>
              </w:rPr>
            </w:pPr>
            <w:r>
              <w:rPr>
                <w:rFonts w:ascii="Arial" w:cs="Arial" w:eastAsia="Arial" w:hAnsi="Arial"/>
                <w:sz w:val="17"/>
                <w:szCs w:val="17"/>
                <w:color w:val="auto"/>
              </w:rPr>
              <w:t>• Overall commercial organization leadership</w:t>
            </w:r>
          </w:p>
        </w:tc>
        <w:tc>
          <w:tcPr>
            <w:tcW w:w="20" w:type="dxa"/>
            <w:vAlign w:val="bottom"/>
          </w:tcPr>
          <w:p>
            <w:pPr>
              <w:spacing w:after="0"/>
              <w:rPr>
                <w:sz w:val="15"/>
                <w:szCs w:val="15"/>
                <w:color w:val="auto"/>
              </w:rPr>
            </w:pPr>
          </w:p>
        </w:tc>
        <w:tc>
          <w:tcPr>
            <w:tcW w:w="840" w:type="dxa"/>
            <w:vAlign w:val="bottom"/>
            <w:shd w:val="clear" w:color="auto" w:fill="D9DCE1"/>
          </w:tcPr>
          <w:p>
            <w:pPr>
              <w:jc w:val="right"/>
              <w:ind w:right="235"/>
              <w:spacing w:after="0" w:line="174" w:lineRule="exact"/>
              <w:rPr>
                <w:sz w:val="20"/>
                <w:szCs w:val="20"/>
                <w:color w:val="auto"/>
              </w:rPr>
            </w:pPr>
            <w:r>
              <w:rPr>
                <w:rFonts w:ascii="Arial" w:cs="Arial" w:eastAsia="Arial" w:hAnsi="Arial"/>
                <w:sz w:val="17"/>
                <w:szCs w:val="17"/>
                <w:color w:val="auto"/>
              </w:rPr>
              <w:t>200%</w:t>
            </w:r>
          </w:p>
        </w:tc>
      </w:tr>
      <w:tr>
        <w:trPr>
          <w:trHeight w:val="203"/>
        </w:trPr>
        <w:tc>
          <w:tcPr>
            <w:tcW w:w="20" w:type="dxa"/>
            <w:vAlign w:val="bottom"/>
          </w:tcPr>
          <w:p>
            <w:pPr>
              <w:spacing w:after="0"/>
              <w:rPr>
                <w:sz w:val="17"/>
                <w:szCs w:val="17"/>
                <w:color w:val="auto"/>
              </w:rPr>
            </w:pPr>
          </w:p>
        </w:tc>
        <w:tc>
          <w:tcPr>
            <w:tcW w:w="1320" w:type="dxa"/>
            <w:vAlign w:val="bottom"/>
            <w:shd w:val="clear" w:color="auto" w:fill="D9DCE1"/>
          </w:tcPr>
          <w:p>
            <w:pPr>
              <w:spacing w:after="0"/>
              <w:rPr>
                <w:sz w:val="17"/>
                <w:szCs w:val="17"/>
                <w:color w:val="auto"/>
              </w:rPr>
            </w:pPr>
          </w:p>
        </w:tc>
        <w:tc>
          <w:tcPr>
            <w:tcW w:w="20" w:type="dxa"/>
            <w:vAlign w:val="bottom"/>
          </w:tcPr>
          <w:p>
            <w:pPr>
              <w:spacing w:after="0"/>
              <w:rPr>
                <w:sz w:val="17"/>
                <w:szCs w:val="17"/>
                <w:color w:val="auto"/>
              </w:rPr>
            </w:pPr>
          </w:p>
        </w:tc>
        <w:tc>
          <w:tcPr>
            <w:tcW w:w="5980" w:type="dxa"/>
            <w:vAlign w:val="bottom"/>
            <w:shd w:val="clear" w:color="auto" w:fill="D9DCE1"/>
          </w:tcPr>
          <w:p>
            <w:pPr>
              <w:ind w:left="100"/>
              <w:spacing w:after="0"/>
              <w:rPr>
                <w:sz w:val="20"/>
                <w:szCs w:val="20"/>
                <w:color w:val="auto"/>
              </w:rPr>
            </w:pPr>
            <w:r>
              <w:rPr>
                <w:rFonts w:ascii="Arial" w:cs="Arial" w:eastAsia="Arial" w:hAnsi="Arial"/>
                <w:sz w:val="17"/>
                <w:szCs w:val="17"/>
                <w:color w:val="auto"/>
              </w:rPr>
              <w:t>• Led key commercial strategies that drove financial performance of crude</w:t>
            </w:r>
          </w:p>
        </w:tc>
        <w:tc>
          <w:tcPr>
            <w:tcW w:w="20" w:type="dxa"/>
            <w:vAlign w:val="bottom"/>
          </w:tcPr>
          <w:p>
            <w:pPr>
              <w:spacing w:after="0"/>
              <w:rPr>
                <w:sz w:val="17"/>
                <w:szCs w:val="17"/>
                <w:color w:val="auto"/>
              </w:rPr>
            </w:pPr>
          </w:p>
        </w:tc>
        <w:tc>
          <w:tcPr>
            <w:tcW w:w="840" w:type="dxa"/>
            <w:vAlign w:val="bottom"/>
            <w:shd w:val="clear" w:color="auto" w:fill="D9DCE1"/>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1320" w:type="dxa"/>
            <w:vAlign w:val="bottom"/>
            <w:shd w:val="clear" w:color="auto" w:fill="D9DCE1"/>
          </w:tcPr>
          <w:p>
            <w:pPr>
              <w:spacing w:after="0"/>
              <w:rPr>
                <w:sz w:val="19"/>
                <w:szCs w:val="19"/>
                <w:color w:val="auto"/>
              </w:rPr>
            </w:pPr>
          </w:p>
        </w:tc>
        <w:tc>
          <w:tcPr>
            <w:tcW w:w="20" w:type="dxa"/>
            <w:vAlign w:val="bottom"/>
          </w:tcPr>
          <w:p>
            <w:pPr>
              <w:spacing w:after="0"/>
              <w:rPr>
                <w:sz w:val="19"/>
                <w:szCs w:val="19"/>
                <w:color w:val="auto"/>
              </w:rPr>
            </w:pPr>
          </w:p>
        </w:tc>
        <w:tc>
          <w:tcPr>
            <w:tcW w:w="5980" w:type="dxa"/>
            <w:vAlign w:val="bottom"/>
            <w:shd w:val="clear" w:color="auto" w:fill="D9DCE1"/>
          </w:tcPr>
          <w:p>
            <w:pPr>
              <w:ind w:left="260"/>
              <w:spacing w:after="0"/>
              <w:rPr>
                <w:sz w:val="20"/>
                <w:szCs w:val="20"/>
                <w:color w:val="auto"/>
              </w:rPr>
            </w:pPr>
            <w:r>
              <w:rPr>
                <w:rFonts w:ascii="Arial" w:cs="Arial" w:eastAsia="Arial" w:hAnsi="Arial"/>
                <w:sz w:val="17"/>
                <w:szCs w:val="17"/>
                <w:color w:val="auto"/>
              </w:rPr>
              <w:t>and NGL businesses</w:t>
            </w:r>
          </w:p>
        </w:tc>
        <w:tc>
          <w:tcPr>
            <w:tcW w:w="20" w:type="dxa"/>
            <w:vAlign w:val="bottom"/>
          </w:tcPr>
          <w:p>
            <w:pPr>
              <w:spacing w:after="0"/>
              <w:rPr>
                <w:sz w:val="19"/>
                <w:szCs w:val="19"/>
                <w:color w:val="auto"/>
              </w:rPr>
            </w:pPr>
          </w:p>
        </w:tc>
        <w:tc>
          <w:tcPr>
            <w:tcW w:w="840" w:type="dxa"/>
            <w:vAlign w:val="bottom"/>
            <w:shd w:val="clear" w:color="auto" w:fill="D9DCE1"/>
          </w:tcPr>
          <w:p>
            <w:pPr>
              <w:spacing w:after="0"/>
              <w:rPr>
                <w:sz w:val="19"/>
                <w:szCs w:val="19"/>
                <w:color w:val="auto"/>
              </w:rPr>
            </w:pPr>
          </w:p>
        </w:tc>
      </w:tr>
      <w:tr>
        <w:trPr>
          <w:trHeight w:val="207"/>
        </w:trPr>
        <w:tc>
          <w:tcPr>
            <w:tcW w:w="20" w:type="dxa"/>
            <w:vAlign w:val="bottom"/>
          </w:tcPr>
          <w:p>
            <w:pPr>
              <w:spacing w:after="0"/>
              <w:rPr>
                <w:sz w:val="18"/>
                <w:szCs w:val="18"/>
                <w:color w:val="auto"/>
              </w:rPr>
            </w:pPr>
          </w:p>
        </w:tc>
        <w:tc>
          <w:tcPr>
            <w:tcW w:w="1320" w:type="dxa"/>
            <w:vAlign w:val="bottom"/>
            <w:shd w:val="clear" w:color="auto" w:fill="D9DCE1"/>
          </w:tcPr>
          <w:p>
            <w:pPr>
              <w:spacing w:after="0"/>
              <w:rPr>
                <w:sz w:val="18"/>
                <w:szCs w:val="18"/>
                <w:color w:val="auto"/>
              </w:rPr>
            </w:pPr>
          </w:p>
        </w:tc>
        <w:tc>
          <w:tcPr>
            <w:tcW w:w="20" w:type="dxa"/>
            <w:vAlign w:val="bottom"/>
          </w:tcPr>
          <w:p>
            <w:pPr>
              <w:spacing w:after="0"/>
              <w:rPr>
                <w:sz w:val="18"/>
                <w:szCs w:val="18"/>
                <w:color w:val="auto"/>
              </w:rPr>
            </w:pPr>
          </w:p>
        </w:tc>
        <w:tc>
          <w:tcPr>
            <w:tcW w:w="5980" w:type="dxa"/>
            <w:vAlign w:val="bottom"/>
            <w:shd w:val="clear" w:color="auto" w:fill="D9DCE1"/>
          </w:tcPr>
          <w:p>
            <w:pPr>
              <w:ind w:left="100"/>
              <w:spacing w:after="0"/>
              <w:rPr>
                <w:sz w:val="20"/>
                <w:szCs w:val="20"/>
                <w:color w:val="auto"/>
              </w:rPr>
            </w:pPr>
            <w:r>
              <w:rPr>
                <w:rFonts w:ascii="Arial" w:cs="Arial" w:eastAsia="Arial" w:hAnsi="Arial"/>
                <w:sz w:val="17"/>
                <w:szCs w:val="17"/>
                <w:color w:val="auto"/>
              </w:rPr>
              <w:t>• Led key business development initiatives</w:t>
            </w:r>
          </w:p>
        </w:tc>
        <w:tc>
          <w:tcPr>
            <w:tcW w:w="20" w:type="dxa"/>
            <w:vAlign w:val="bottom"/>
          </w:tcPr>
          <w:p>
            <w:pPr>
              <w:spacing w:after="0"/>
              <w:rPr>
                <w:sz w:val="18"/>
                <w:szCs w:val="18"/>
                <w:color w:val="auto"/>
              </w:rPr>
            </w:pPr>
          </w:p>
        </w:tc>
        <w:tc>
          <w:tcPr>
            <w:tcW w:w="840" w:type="dxa"/>
            <w:vAlign w:val="bottom"/>
            <w:shd w:val="clear" w:color="auto" w:fill="D9DCE1"/>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D9DCE1"/>
          </w:tcPr>
          <w:p>
            <w:pPr>
              <w:spacing w:after="0"/>
              <w:rPr>
                <w:sz w:val="17"/>
                <w:szCs w:val="17"/>
                <w:color w:val="auto"/>
              </w:rPr>
            </w:pPr>
          </w:p>
        </w:tc>
        <w:tc>
          <w:tcPr>
            <w:tcW w:w="20" w:type="dxa"/>
            <w:vAlign w:val="bottom"/>
          </w:tcPr>
          <w:p>
            <w:pPr>
              <w:spacing w:after="0"/>
              <w:rPr>
                <w:sz w:val="17"/>
                <w:szCs w:val="17"/>
                <w:color w:val="auto"/>
              </w:rPr>
            </w:pPr>
          </w:p>
        </w:tc>
        <w:tc>
          <w:tcPr>
            <w:tcW w:w="5980" w:type="dxa"/>
            <w:vAlign w:val="bottom"/>
            <w:shd w:val="clear" w:color="auto" w:fill="D9DCE1"/>
          </w:tcPr>
          <w:p>
            <w:pPr>
              <w:ind w:left="260"/>
              <w:spacing w:after="0"/>
              <w:rPr>
                <w:sz w:val="20"/>
                <w:szCs w:val="20"/>
                <w:color w:val="auto"/>
              </w:rPr>
            </w:pPr>
            <w:r>
              <w:rPr>
                <w:rFonts w:ascii="Arial" w:cs="Arial" w:eastAsia="Arial" w:hAnsi="Arial"/>
                <w:sz w:val="17"/>
                <w:szCs w:val="17"/>
                <w:color w:val="auto"/>
              </w:rPr>
              <w:t>• Acquisition of EPIC for $2.9B over two transactions</w:t>
            </w:r>
          </w:p>
        </w:tc>
        <w:tc>
          <w:tcPr>
            <w:tcW w:w="20" w:type="dxa"/>
            <w:vAlign w:val="bottom"/>
          </w:tcPr>
          <w:p>
            <w:pPr>
              <w:spacing w:after="0"/>
              <w:rPr>
                <w:sz w:val="17"/>
                <w:szCs w:val="17"/>
                <w:color w:val="auto"/>
              </w:rPr>
            </w:pPr>
          </w:p>
        </w:tc>
        <w:tc>
          <w:tcPr>
            <w:tcW w:w="840" w:type="dxa"/>
            <w:vAlign w:val="bottom"/>
            <w:shd w:val="clear" w:color="auto" w:fill="D9DCE1"/>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D9DCE1"/>
          </w:tcPr>
          <w:p>
            <w:pPr>
              <w:spacing w:after="0"/>
              <w:rPr>
                <w:sz w:val="17"/>
                <w:szCs w:val="17"/>
                <w:color w:val="auto"/>
              </w:rPr>
            </w:pPr>
          </w:p>
        </w:tc>
        <w:tc>
          <w:tcPr>
            <w:tcW w:w="20" w:type="dxa"/>
            <w:vAlign w:val="bottom"/>
          </w:tcPr>
          <w:p>
            <w:pPr>
              <w:spacing w:after="0"/>
              <w:rPr>
                <w:sz w:val="17"/>
                <w:szCs w:val="17"/>
                <w:color w:val="auto"/>
              </w:rPr>
            </w:pPr>
          </w:p>
        </w:tc>
        <w:tc>
          <w:tcPr>
            <w:tcW w:w="5980" w:type="dxa"/>
            <w:vAlign w:val="bottom"/>
            <w:shd w:val="clear" w:color="auto" w:fill="D9DCE1"/>
          </w:tcPr>
          <w:p>
            <w:pPr>
              <w:ind w:left="260"/>
              <w:spacing w:after="0"/>
              <w:rPr>
                <w:sz w:val="20"/>
                <w:szCs w:val="20"/>
                <w:color w:val="auto"/>
              </w:rPr>
            </w:pPr>
            <w:r>
              <w:rPr>
                <w:rFonts w:ascii="Arial" w:cs="Arial" w:eastAsia="Arial" w:hAnsi="Arial"/>
                <w:sz w:val="17"/>
                <w:szCs w:val="17"/>
                <w:color w:val="auto"/>
              </w:rPr>
              <w:t>• Acquisition of an additional $800MM of assets/businesses</w:t>
            </w:r>
          </w:p>
        </w:tc>
        <w:tc>
          <w:tcPr>
            <w:tcW w:w="20" w:type="dxa"/>
            <w:vAlign w:val="bottom"/>
          </w:tcPr>
          <w:p>
            <w:pPr>
              <w:spacing w:after="0"/>
              <w:rPr>
                <w:sz w:val="17"/>
                <w:szCs w:val="17"/>
                <w:color w:val="auto"/>
              </w:rPr>
            </w:pPr>
          </w:p>
        </w:tc>
        <w:tc>
          <w:tcPr>
            <w:tcW w:w="840" w:type="dxa"/>
            <w:vAlign w:val="bottom"/>
            <w:shd w:val="clear" w:color="auto" w:fill="D9DCE1"/>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D9DCE1"/>
          </w:tcPr>
          <w:p>
            <w:pPr>
              <w:spacing w:after="0"/>
              <w:rPr>
                <w:sz w:val="18"/>
                <w:szCs w:val="18"/>
                <w:color w:val="auto"/>
              </w:rPr>
            </w:pPr>
          </w:p>
        </w:tc>
        <w:tc>
          <w:tcPr>
            <w:tcW w:w="20" w:type="dxa"/>
            <w:vAlign w:val="bottom"/>
          </w:tcPr>
          <w:p>
            <w:pPr>
              <w:spacing w:after="0"/>
              <w:rPr>
                <w:sz w:val="18"/>
                <w:szCs w:val="18"/>
                <w:color w:val="auto"/>
              </w:rPr>
            </w:pPr>
          </w:p>
        </w:tc>
        <w:tc>
          <w:tcPr>
            <w:tcW w:w="5980" w:type="dxa"/>
            <w:vAlign w:val="bottom"/>
            <w:shd w:val="clear" w:color="auto" w:fill="D9DCE1"/>
          </w:tcPr>
          <w:p>
            <w:pPr>
              <w:ind w:left="260"/>
              <w:spacing w:after="0"/>
              <w:rPr>
                <w:sz w:val="20"/>
                <w:szCs w:val="20"/>
                <w:color w:val="auto"/>
              </w:rPr>
            </w:pPr>
            <w:r>
              <w:rPr>
                <w:rFonts w:ascii="Arial" w:cs="Arial" w:eastAsia="Arial" w:hAnsi="Arial"/>
                <w:sz w:val="17"/>
                <w:szCs w:val="17"/>
                <w:color w:val="auto"/>
              </w:rPr>
              <w:t>• Pending divestiture of Canadian NGL business to Keyera for ~$3.75B</w:t>
            </w:r>
          </w:p>
        </w:tc>
        <w:tc>
          <w:tcPr>
            <w:tcW w:w="20" w:type="dxa"/>
            <w:vAlign w:val="bottom"/>
          </w:tcPr>
          <w:p>
            <w:pPr>
              <w:spacing w:after="0"/>
              <w:rPr>
                <w:sz w:val="18"/>
                <w:szCs w:val="18"/>
                <w:color w:val="auto"/>
              </w:rPr>
            </w:pPr>
          </w:p>
        </w:tc>
        <w:tc>
          <w:tcPr>
            <w:tcW w:w="840" w:type="dxa"/>
            <w:vAlign w:val="bottom"/>
            <w:shd w:val="clear" w:color="auto" w:fill="D9DCE1"/>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1320" w:type="dxa"/>
            <w:vAlign w:val="bottom"/>
            <w:shd w:val="clear" w:color="auto" w:fill="D9DCE1"/>
          </w:tcPr>
          <w:p>
            <w:pPr>
              <w:spacing w:after="0"/>
              <w:rPr>
                <w:sz w:val="15"/>
                <w:szCs w:val="15"/>
                <w:color w:val="auto"/>
              </w:rPr>
            </w:pPr>
          </w:p>
        </w:tc>
        <w:tc>
          <w:tcPr>
            <w:tcW w:w="20" w:type="dxa"/>
            <w:vAlign w:val="bottom"/>
          </w:tcPr>
          <w:p>
            <w:pPr>
              <w:spacing w:after="0"/>
              <w:rPr>
                <w:sz w:val="15"/>
                <w:szCs w:val="15"/>
                <w:color w:val="auto"/>
              </w:rPr>
            </w:pPr>
          </w:p>
        </w:tc>
        <w:tc>
          <w:tcPr>
            <w:tcW w:w="5980" w:type="dxa"/>
            <w:vAlign w:val="bottom"/>
            <w:shd w:val="clear" w:color="auto" w:fill="D9DCE1"/>
          </w:tcPr>
          <w:p>
            <w:pPr>
              <w:ind w:left="260"/>
              <w:spacing w:after="0" w:line="176" w:lineRule="exact"/>
              <w:rPr>
                <w:sz w:val="20"/>
                <w:szCs w:val="20"/>
                <w:color w:val="auto"/>
              </w:rPr>
            </w:pPr>
            <w:r>
              <w:rPr>
                <w:rFonts w:ascii="Arial" w:cs="Arial" w:eastAsia="Arial" w:hAnsi="Arial"/>
                <w:sz w:val="17"/>
                <w:szCs w:val="17"/>
                <w:color w:val="auto"/>
              </w:rPr>
              <w:t>• Increased Permian dedicated acreage by 180,000 acres</w:t>
            </w:r>
          </w:p>
        </w:tc>
        <w:tc>
          <w:tcPr>
            <w:tcW w:w="20" w:type="dxa"/>
            <w:vAlign w:val="bottom"/>
          </w:tcPr>
          <w:p>
            <w:pPr>
              <w:spacing w:after="0"/>
              <w:rPr>
                <w:sz w:val="15"/>
                <w:szCs w:val="15"/>
                <w:color w:val="auto"/>
              </w:rPr>
            </w:pPr>
          </w:p>
        </w:tc>
        <w:tc>
          <w:tcPr>
            <w:tcW w:w="840" w:type="dxa"/>
            <w:vAlign w:val="bottom"/>
            <w:shd w:val="clear" w:color="auto" w:fill="D9DCE1"/>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D9DCE1"/>
          </w:tcPr>
          <w:p>
            <w:pPr>
              <w:spacing w:after="0"/>
              <w:rPr>
                <w:sz w:val="17"/>
                <w:szCs w:val="17"/>
                <w:color w:val="auto"/>
              </w:rPr>
            </w:pPr>
          </w:p>
        </w:tc>
        <w:tc>
          <w:tcPr>
            <w:tcW w:w="20" w:type="dxa"/>
            <w:vAlign w:val="bottom"/>
          </w:tcPr>
          <w:p>
            <w:pPr>
              <w:spacing w:after="0"/>
              <w:rPr>
                <w:sz w:val="17"/>
                <w:szCs w:val="17"/>
                <w:color w:val="auto"/>
              </w:rPr>
            </w:pPr>
          </w:p>
        </w:tc>
        <w:tc>
          <w:tcPr>
            <w:tcW w:w="5980" w:type="dxa"/>
            <w:vAlign w:val="bottom"/>
            <w:shd w:val="clear" w:color="auto" w:fill="D9DCE1"/>
          </w:tcPr>
          <w:p>
            <w:pPr>
              <w:ind w:left="260"/>
              <w:spacing w:after="0"/>
              <w:rPr>
                <w:sz w:val="20"/>
                <w:szCs w:val="20"/>
                <w:color w:val="auto"/>
              </w:rPr>
            </w:pPr>
            <w:r>
              <w:rPr>
                <w:rFonts w:ascii="Arial" w:cs="Arial" w:eastAsia="Arial" w:hAnsi="Arial"/>
                <w:sz w:val="17"/>
                <w:szCs w:val="17"/>
                <w:color w:val="auto"/>
              </w:rPr>
              <w:t>• Drove lease marketing business simplification and long-term margin</w:t>
            </w:r>
          </w:p>
        </w:tc>
        <w:tc>
          <w:tcPr>
            <w:tcW w:w="20" w:type="dxa"/>
            <w:vAlign w:val="bottom"/>
          </w:tcPr>
          <w:p>
            <w:pPr>
              <w:spacing w:after="0"/>
              <w:rPr>
                <w:sz w:val="17"/>
                <w:szCs w:val="17"/>
                <w:color w:val="auto"/>
              </w:rPr>
            </w:pPr>
          </w:p>
        </w:tc>
        <w:tc>
          <w:tcPr>
            <w:tcW w:w="840" w:type="dxa"/>
            <w:vAlign w:val="bottom"/>
            <w:shd w:val="clear" w:color="auto" w:fill="D9DCE1"/>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1320" w:type="dxa"/>
            <w:vAlign w:val="bottom"/>
            <w:shd w:val="clear" w:color="auto" w:fill="D9DCE1"/>
          </w:tcPr>
          <w:p>
            <w:pPr>
              <w:spacing w:after="0"/>
              <w:rPr>
                <w:sz w:val="19"/>
                <w:szCs w:val="19"/>
                <w:color w:val="auto"/>
              </w:rPr>
            </w:pPr>
          </w:p>
        </w:tc>
        <w:tc>
          <w:tcPr>
            <w:tcW w:w="20" w:type="dxa"/>
            <w:vAlign w:val="bottom"/>
          </w:tcPr>
          <w:p>
            <w:pPr>
              <w:spacing w:after="0"/>
              <w:rPr>
                <w:sz w:val="19"/>
                <w:szCs w:val="19"/>
                <w:color w:val="auto"/>
              </w:rPr>
            </w:pPr>
          </w:p>
        </w:tc>
        <w:tc>
          <w:tcPr>
            <w:tcW w:w="5980" w:type="dxa"/>
            <w:vAlign w:val="bottom"/>
            <w:shd w:val="clear" w:color="auto" w:fill="D9DCE1"/>
          </w:tcPr>
          <w:p>
            <w:pPr>
              <w:ind w:left="440"/>
              <w:spacing w:after="0"/>
              <w:rPr>
                <w:sz w:val="20"/>
                <w:szCs w:val="20"/>
                <w:color w:val="auto"/>
              </w:rPr>
            </w:pPr>
            <w:r>
              <w:rPr>
                <w:rFonts w:ascii="Arial" w:cs="Arial" w:eastAsia="Arial" w:hAnsi="Arial"/>
                <w:sz w:val="17"/>
                <w:szCs w:val="17"/>
                <w:color w:val="auto"/>
              </w:rPr>
              <w:t>enhancement initiatives</w:t>
            </w:r>
          </w:p>
        </w:tc>
        <w:tc>
          <w:tcPr>
            <w:tcW w:w="20" w:type="dxa"/>
            <w:vAlign w:val="bottom"/>
          </w:tcPr>
          <w:p>
            <w:pPr>
              <w:spacing w:after="0"/>
              <w:rPr>
                <w:sz w:val="19"/>
                <w:szCs w:val="19"/>
                <w:color w:val="auto"/>
              </w:rPr>
            </w:pPr>
          </w:p>
        </w:tc>
        <w:tc>
          <w:tcPr>
            <w:tcW w:w="840" w:type="dxa"/>
            <w:vAlign w:val="bottom"/>
            <w:shd w:val="clear" w:color="auto" w:fill="D9DCE1"/>
          </w:tcPr>
          <w:p>
            <w:pPr>
              <w:spacing w:after="0"/>
              <w:rPr>
                <w:sz w:val="19"/>
                <w:szCs w:val="19"/>
                <w:color w:val="auto"/>
              </w:rPr>
            </w:pPr>
          </w:p>
        </w:tc>
      </w:tr>
      <w:tr>
        <w:trPr>
          <w:trHeight w:val="207"/>
        </w:trPr>
        <w:tc>
          <w:tcPr>
            <w:tcW w:w="20" w:type="dxa"/>
            <w:vAlign w:val="bottom"/>
          </w:tcPr>
          <w:p>
            <w:pPr>
              <w:spacing w:after="0"/>
              <w:rPr>
                <w:sz w:val="18"/>
                <w:szCs w:val="18"/>
                <w:color w:val="auto"/>
              </w:rPr>
            </w:pPr>
          </w:p>
        </w:tc>
        <w:tc>
          <w:tcPr>
            <w:tcW w:w="1320" w:type="dxa"/>
            <w:vAlign w:val="bottom"/>
            <w:shd w:val="clear" w:color="auto" w:fill="D9DCE1"/>
          </w:tcPr>
          <w:p>
            <w:pPr>
              <w:spacing w:after="0"/>
              <w:rPr>
                <w:sz w:val="18"/>
                <w:szCs w:val="18"/>
                <w:color w:val="auto"/>
              </w:rPr>
            </w:pPr>
          </w:p>
        </w:tc>
        <w:tc>
          <w:tcPr>
            <w:tcW w:w="20" w:type="dxa"/>
            <w:vAlign w:val="bottom"/>
          </w:tcPr>
          <w:p>
            <w:pPr>
              <w:spacing w:after="0"/>
              <w:rPr>
                <w:sz w:val="18"/>
                <w:szCs w:val="18"/>
                <w:color w:val="auto"/>
              </w:rPr>
            </w:pPr>
          </w:p>
        </w:tc>
        <w:tc>
          <w:tcPr>
            <w:tcW w:w="5980" w:type="dxa"/>
            <w:vAlign w:val="bottom"/>
            <w:shd w:val="clear" w:color="auto" w:fill="D9DCE1"/>
          </w:tcPr>
          <w:p>
            <w:pPr>
              <w:ind w:left="100"/>
              <w:spacing w:after="0"/>
              <w:rPr>
                <w:sz w:val="20"/>
                <w:szCs w:val="20"/>
                <w:color w:val="auto"/>
              </w:rPr>
            </w:pPr>
            <w:r>
              <w:rPr>
                <w:rFonts w:ascii="Arial" w:cs="Arial" w:eastAsia="Arial" w:hAnsi="Arial"/>
                <w:sz w:val="17"/>
                <w:szCs w:val="17"/>
                <w:color w:val="auto"/>
              </w:rPr>
              <w:t>• Oversight of emerging energy effort</w:t>
            </w:r>
          </w:p>
        </w:tc>
        <w:tc>
          <w:tcPr>
            <w:tcW w:w="20" w:type="dxa"/>
            <w:vAlign w:val="bottom"/>
          </w:tcPr>
          <w:p>
            <w:pPr>
              <w:spacing w:after="0"/>
              <w:rPr>
                <w:sz w:val="18"/>
                <w:szCs w:val="18"/>
                <w:color w:val="auto"/>
              </w:rPr>
            </w:pPr>
          </w:p>
        </w:tc>
        <w:tc>
          <w:tcPr>
            <w:tcW w:w="840" w:type="dxa"/>
            <w:vAlign w:val="bottom"/>
            <w:shd w:val="clear" w:color="auto" w:fill="D9DCE1"/>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1320" w:type="dxa"/>
            <w:vAlign w:val="bottom"/>
            <w:shd w:val="clear" w:color="auto" w:fill="D9DCE1"/>
          </w:tcPr>
          <w:p>
            <w:pPr>
              <w:spacing w:after="0"/>
              <w:rPr>
                <w:sz w:val="20"/>
                <w:szCs w:val="20"/>
                <w:color w:val="auto"/>
              </w:rPr>
            </w:pPr>
          </w:p>
        </w:tc>
        <w:tc>
          <w:tcPr>
            <w:tcW w:w="20" w:type="dxa"/>
            <w:vAlign w:val="bottom"/>
          </w:tcPr>
          <w:p>
            <w:pPr>
              <w:spacing w:after="0"/>
              <w:rPr>
                <w:sz w:val="20"/>
                <w:szCs w:val="20"/>
                <w:color w:val="auto"/>
              </w:rPr>
            </w:pPr>
          </w:p>
        </w:tc>
        <w:tc>
          <w:tcPr>
            <w:tcW w:w="5980" w:type="dxa"/>
            <w:vAlign w:val="bottom"/>
            <w:shd w:val="clear" w:color="auto" w:fill="D9DCE1"/>
          </w:tcPr>
          <w:p>
            <w:pPr>
              <w:ind w:left="100"/>
              <w:spacing w:after="0"/>
              <w:rPr>
                <w:sz w:val="20"/>
                <w:szCs w:val="20"/>
                <w:color w:val="auto"/>
              </w:rPr>
            </w:pPr>
            <w:r>
              <w:rPr>
                <w:rFonts w:ascii="Arial" w:cs="Arial" w:eastAsia="Arial" w:hAnsi="Arial"/>
                <w:sz w:val="17"/>
                <w:szCs w:val="17"/>
                <w:color w:val="auto"/>
              </w:rPr>
              <w:t>• Significant role in attractive positioning of business for 2026+</w:t>
            </w:r>
          </w:p>
        </w:tc>
        <w:tc>
          <w:tcPr>
            <w:tcW w:w="20" w:type="dxa"/>
            <w:vAlign w:val="bottom"/>
          </w:tcPr>
          <w:p>
            <w:pPr>
              <w:spacing w:after="0"/>
              <w:rPr>
                <w:sz w:val="20"/>
                <w:szCs w:val="20"/>
                <w:color w:val="auto"/>
              </w:rPr>
            </w:pPr>
          </w:p>
        </w:tc>
        <w:tc>
          <w:tcPr>
            <w:tcW w:w="840" w:type="dxa"/>
            <w:vAlign w:val="bottom"/>
            <w:shd w:val="clear" w:color="auto" w:fill="D9DCE1"/>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859" w:firstLine="360"/>
        <w:spacing w:after="0" w:line="318" w:lineRule="auto"/>
        <w:rPr>
          <w:sz w:val="20"/>
          <w:szCs w:val="20"/>
          <w:color w:val="auto"/>
        </w:rPr>
      </w:pPr>
      <w:r>
        <w:rPr>
          <w:rFonts w:ascii="Arial" w:cs="Arial" w:eastAsia="Arial" w:hAnsi="Arial"/>
          <w:sz w:val="17"/>
          <w:szCs w:val="17"/>
          <w:color w:val="auto"/>
        </w:rPr>
        <w:t>After applying the individual performance scores set forth in the table above, the total formulaic bonus payout calculation for our NEOs was approximately 131%, as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2600325</wp:posOffset>
            </wp:positionH>
            <wp:positionV relativeFrom="paragraph">
              <wp:posOffset>77470</wp:posOffset>
            </wp:positionV>
            <wp:extent cx="3411855" cy="514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11855" cy="514350"/>
                    </a:xfrm>
                    <a:prstGeom prst="rect">
                      <a:avLst/>
                    </a:prstGeom>
                    <a:noFill/>
                  </pic:spPr>
                </pic:pic>
              </a:graphicData>
            </a:graphic>
          </wp:anchor>
        </w:drawing>
      </w:r>
    </w:p>
    <w:p>
      <w:pPr>
        <w:spacing w:after="0" w:line="82" w:lineRule="exact"/>
        <w:rPr>
          <w:sz w:val="20"/>
          <w:szCs w:val="20"/>
          <w:color w:val="auto"/>
        </w:rPr>
      </w:pPr>
    </w:p>
    <w:tbl>
      <w:tblPr>
        <w:tblLayout w:type="fixed"/>
        <w:tblInd w:w="1270" w:type="dxa"/>
        <w:tblCellMar>
          <w:top w:w="0" w:type="dxa"/>
          <w:left w:w="0" w:type="dxa"/>
          <w:bottom w:w="0" w:type="dxa"/>
          <w:right w:w="0" w:type="dxa"/>
        </w:tblCellMar>
      </w:tblPr>
      <w:tr>
        <w:trPr>
          <w:trHeight w:val="275"/>
        </w:trPr>
        <w:tc>
          <w:tcPr>
            <w:tcW w:w="1560" w:type="dxa"/>
            <w:vAlign w:val="bottom"/>
            <w:tcBorders>
              <w:top w:val="single" w:sz="8" w:color="424E6A"/>
              <w:left w:val="single" w:sz="8" w:color="424E6A"/>
            </w:tcBorders>
          </w:tcPr>
          <w:p>
            <w:pPr>
              <w:spacing w:after="0"/>
              <w:rPr>
                <w:sz w:val="23"/>
                <w:szCs w:val="23"/>
                <w:color w:val="auto"/>
              </w:rPr>
            </w:pPr>
          </w:p>
        </w:tc>
        <w:tc>
          <w:tcPr>
            <w:tcW w:w="460" w:type="dxa"/>
            <w:vAlign w:val="bottom"/>
            <w:tcBorders>
              <w:top w:val="single" w:sz="8" w:color="424E6A"/>
            </w:tcBorders>
          </w:tcPr>
          <w:p>
            <w:pPr>
              <w:spacing w:after="0"/>
              <w:rPr>
                <w:sz w:val="23"/>
                <w:szCs w:val="23"/>
                <w:color w:val="auto"/>
              </w:rPr>
            </w:pPr>
          </w:p>
        </w:tc>
        <w:tc>
          <w:tcPr>
            <w:tcW w:w="780" w:type="dxa"/>
            <w:vAlign w:val="bottom"/>
            <w:tcBorders>
              <w:top w:val="single" w:sz="8" w:color="424E6A"/>
            </w:tcBorders>
          </w:tcPr>
          <w:p>
            <w:pPr>
              <w:spacing w:after="0"/>
              <w:rPr>
                <w:sz w:val="23"/>
                <w:szCs w:val="23"/>
                <w:color w:val="auto"/>
              </w:rPr>
            </w:pPr>
          </w:p>
        </w:tc>
        <w:tc>
          <w:tcPr>
            <w:tcW w:w="40" w:type="dxa"/>
            <w:vAlign w:val="bottom"/>
            <w:tcBorders>
              <w:top w:val="single" w:sz="8" w:color="424E6A"/>
            </w:tcBorders>
          </w:tcPr>
          <w:p>
            <w:pPr>
              <w:spacing w:after="0"/>
              <w:rPr>
                <w:sz w:val="23"/>
                <w:szCs w:val="23"/>
                <w:color w:val="auto"/>
              </w:rPr>
            </w:pPr>
          </w:p>
        </w:tc>
        <w:tc>
          <w:tcPr>
            <w:tcW w:w="120" w:type="dxa"/>
            <w:vAlign w:val="bottom"/>
            <w:tcBorders>
              <w:top w:val="single" w:sz="8" w:color="424E6A"/>
            </w:tcBorders>
            <w:gridSpan w:val="2"/>
          </w:tcPr>
          <w:p>
            <w:pPr>
              <w:ind w:left="20"/>
              <w:spacing w:after="0"/>
              <w:rPr>
                <w:sz w:val="20"/>
                <w:szCs w:val="20"/>
                <w:color w:val="auto"/>
              </w:rPr>
            </w:pPr>
            <w:r>
              <w:rPr>
                <w:rFonts w:ascii="Arial" w:cs="Arial" w:eastAsia="Arial" w:hAnsi="Arial"/>
                <w:sz w:val="14"/>
                <w:szCs w:val="14"/>
                <w:b w:val="1"/>
                <w:bCs w:val="1"/>
                <w:color w:val="FFFFFF"/>
              </w:rPr>
              <w:t>​</w:t>
            </w:r>
          </w:p>
        </w:tc>
        <w:tc>
          <w:tcPr>
            <w:tcW w:w="1520" w:type="dxa"/>
            <w:vAlign w:val="bottom"/>
            <w:tcBorders>
              <w:top w:val="single" w:sz="8" w:color="424E6A"/>
            </w:tcBorders>
            <w:gridSpan w:val="3"/>
          </w:tcPr>
          <w:p>
            <w:pPr>
              <w:ind w:left="140"/>
              <w:spacing w:after="0"/>
              <w:rPr>
                <w:sz w:val="20"/>
                <w:szCs w:val="20"/>
                <w:color w:val="auto"/>
              </w:rPr>
            </w:pPr>
            <w:r>
              <w:rPr>
                <w:rFonts w:ascii="Arial" w:cs="Arial" w:eastAsia="Arial" w:hAnsi="Arial"/>
                <w:sz w:val="14"/>
                <w:szCs w:val="14"/>
                <w:b w:val="1"/>
                <w:bCs w:val="1"/>
                <w:color w:val="FFFFFF"/>
              </w:rPr>
              <w:t>Company Results</w:t>
            </w:r>
          </w:p>
        </w:tc>
        <w:tc>
          <w:tcPr>
            <w:tcW w:w="220" w:type="dxa"/>
            <w:vAlign w:val="bottom"/>
            <w:tcBorders>
              <w:top w:val="single" w:sz="8" w:color="424E6A"/>
            </w:tcBorders>
          </w:tcPr>
          <w:p>
            <w:pPr>
              <w:jc w:val="right"/>
              <w:ind w:right="8"/>
              <w:spacing w:after="0"/>
              <w:rPr>
                <w:sz w:val="20"/>
                <w:szCs w:val="20"/>
                <w:color w:val="auto"/>
              </w:rPr>
            </w:pPr>
            <w:r>
              <w:rPr>
                <w:rFonts w:ascii="Arial" w:cs="Arial" w:eastAsia="Arial" w:hAnsi="Arial"/>
                <w:sz w:val="14"/>
                <w:szCs w:val="14"/>
                <w:b w:val="1"/>
                <w:bCs w:val="1"/>
                <w:color w:val="FFFFFF"/>
              </w:rPr>
              <w:t>​​</w:t>
            </w:r>
          </w:p>
        </w:tc>
        <w:tc>
          <w:tcPr>
            <w:tcW w:w="1540" w:type="dxa"/>
            <w:vAlign w:val="bottom"/>
            <w:tcBorders>
              <w:top w:val="single" w:sz="8" w:color="424E6A"/>
            </w:tcBorders>
            <w:gridSpan w:val="2"/>
          </w:tcPr>
          <w:p>
            <w:pPr>
              <w:ind w:left="120"/>
              <w:spacing w:after="0"/>
              <w:rPr>
                <w:sz w:val="20"/>
                <w:szCs w:val="20"/>
                <w:color w:val="auto"/>
              </w:rPr>
            </w:pPr>
            <w:r>
              <w:rPr>
                <w:rFonts w:ascii="Arial" w:cs="Arial" w:eastAsia="Arial" w:hAnsi="Arial"/>
                <w:sz w:val="14"/>
                <w:szCs w:val="14"/>
                <w:b w:val="1"/>
                <w:bCs w:val="1"/>
                <w:color w:val="FFFFFF"/>
              </w:rPr>
              <w:t>Individual Results</w:t>
            </w:r>
          </w:p>
        </w:tc>
        <w:tc>
          <w:tcPr>
            <w:tcW w:w="120" w:type="dxa"/>
            <w:vAlign w:val="bottom"/>
            <w:tcBorders>
              <w:top w:val="single" w:sz="8" w:color="424E6A"/>
            </w:tcBorders>
            <w:gridSpan w:val="2"/>
          </w:tcPr>
          <w:p>
            <w:pPr>
              <w:jc w:val="right"/>
              <w:ind w:right="40"/>
              <w:spacing w:after="0"/>
              <w:rPr>
                <w:sz w:val="20"/>
                <w:szCs w:val="20"/>
                <w:color w:val="auto"/>
              </w:rPr>
            </w:pPr>
            <w:r>
              <w:rPr>
                <w:rFonts w:ascii="Arial" w:cs="Arial" w:eastAsia="Arial" w:hAnsi="Arial"/>
                <w:sz w:val="14"/>
                <w:szCs w:val="14"/>
                <w:b w:val="1"/>
                <w:bCs w:val="1"/>
                <w:color w:val="FFFFFF"/>
              </w:rPr>
              <w:t>​</w:t>
            </w:r>
          </w:p>
        </w:tc>
        <w:tc>
          <w:tcPr>
            <w:tcW w:w="800" w:type="dxa"/>
            <w:vAlign w:val="bottom"/>
            <w:tcBorders>
              <w:top w:val="single" w:sz="8" w:color="424E6A"/>
            </w:tcBorders>
          </w:tcPr>
          <w:p>
            <w:pPr>
              <w:jc w:val="center"/>
              <w:ind w:right="25"/>
              <w:spacing w:after="0"/>
              <w:rPr>
                <w:sz w:val="20"/>
                <w:szCs w:val="20"/>
                <w:color w:val="auto"/>
              </w:rPr>
            </w:pPr>
            <w:r>
              <w:rPr>
                <w:rFonts w:ascii="Arial" w:cs="Arial" w:eastAsia="Arial" w:hAnsi="Arial"/>
                <w:sz w:val="14"/>
                <w:szCs w:val="14"/>
                <w:b w:val="1"/>
                <w:bCs w:val="1"/>
                <w:color w:val="FFFFFF"/>
              </w:rPr>
              <w:t>Percent of</w:t>
            </w:r>
          </w:p>
        </w:tc>
        <w:tc>
          <w:tcPr>
            <w:tcW w:w="1060" w:type="dxa"/>
            <w:vAlign w:val="bottom"/>
            <w:tcBorders>
              <w:top w:val="single" w:sz="8" w:color="424E6A"/>
            </w:tcBorders>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1560" w:type="dxa"/>
            <w:vAlign w:val="bottom"/>
            <w:tcBorders>
              <w:left w:val="single" w:sz="8" w:color="424E6A"/>
            </w:tcBorders>
          </w:tcPr>
          <w:p>
            <w:pPr>
              <w:spacing w:after="0"/>
              <w:rPr>
                <w:sz w:val="4"/>
                <w:szCs w:val="4"/>
                <w:color w:val="auto"/>
              </w:rPr>
            </w:pPr>
          </w:p>
        </w:tc>
        <w:tc>
          <w:tcPr>
            <w:tcW w:w="1240" w:type="dxa"/>
            <w:vAlign w:val="bottom"/>
            <w:gridSpan w:val="2"/>
            <w:vMerge w:val="restart"/>
          </w:tcPr>
          <w:p>
            <w:pPr>
              <w:jc w:val="center"/>
              <w:ind w:left="183"/>
              <w:spacing w:after="0" w:line="148" w:lineRule="exact"/>
              <w:rPr>
                <w:sz w:val="20"/>
                <w:szCs w:val="20"/>
                <w:color w:val="auto"/>
              </w:rPr>
            </w:pPr>
            <w:r>
              <w:rPr>
                <w:rFonts w:ascii="Arial" w:cs="Arial" w:eastAsia="Arial" w:hAnsi="Arial"/>
                <w:sz w:val="14"/>
                <w:szCs w:val="14"/>
                <w:b w:val="1"/>
                <w:bCs w:val="1"/>
                <w:color w:val="FFFFFF"/>
              </w:rPr>
              <w:t>2025 Target</w:t>
            </w:r>
          </w:p>
        </w:tc>
        <w:tc>
          <w:tcPr>
            <w:tcW w:w="4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vMerge w:val="restart"/>
          </w:tcPr>
          <w:p>
            <w:pPr>
              <w:jc w:val="center"/>
              <w:ind w:right="25"/>
              <w:spacing w:after="0" w:line="148" w:lineRule="exact"/>
              <w:rPr>
                <w:sz w:val="20"/>
                <w:szCs w:val="20"/>
                <w:color w:val="auto"/>
              </w:rPr>
            </w:pPr>
            <w:r>
              <w:rPr>
                <w:rFonts w:ascii="Arial" w:cs="Arial" w:eastAsia="Arial" w:hAnsi="Arial"/>
                <w:sz w:val="14"/>
                <w:szCs w:val="14"/>
                <w:b w:val="1"/>
                <w:bCs w:val="1"/>
                <w:color w:val="FFFFFF"/>
                <w:w w:val="98"/>
              </w:rPr>
              <w:t>Target</w:t>
            </w:r>
          </w:p>
        </w:tc>
        <w:tc>
          <w:tcPr>
            <w:tcW w:w="1060" w:type="dxa"/>
            <w:vAlign w:val="bottom"/>
            <w:vMerge w:val="restart"/>
          </w:tcPr>
          <w:p>
            <w:pPr>
              <w:jc w:val="center"/>
              <w:spacing w:after="0" w:line="148" w:lineRule="exact"/>
              <w:rPr>
                <w:sz w:val="20"/>
                <w:szCs w:val="20"/>
                <w:color w:val="auto"/>
              </w:rPr>
            </w:pPr>
            <w:r>
              <w:rPr>
                <w:rFonts w:ascii="Arial" w:cs="Arial" w:eastAsia="Arial" w:hAnsi="Arial"/>
                <w:sz w:val="14"/>
                <w:szCs w:val="14"/>
                <w:b w:val="1"/>
                <w:bCs w:val="1"/>
                <w:color w:val="FFFFFF"/>
              </w:rPr>
              <w:t>2025 Actual</w:t>
            </w:r>
          </w:p>
        </w:tc>
        <w:tc>
          <w:tcPr>
            <w:tcW w:w="0" w:type="dxa"/>
            <w:vAlign w:val="bottom"/>
          </w:tcPr>
          <w:p>
            <w:pPr>
              <w:spacing w:after="0"/>
              <w:rPr>
                <w:sz w:val="1"/>
                <w:szCs w:val="1"/>
                <w:color w:val="auto"/>
              </w:rPr>
            </w:pPr>
          </w:p>
        </w:tc>
      </w:tr>
      <w:tr>
        <w:trPr>
          <w:trHeight w:val="79"/>
        </w:trPr>
        <w:tc>
          <w:tcPr>
            <w:tcW w:w="1560" w:type="dxa"/>
            <w:vAlign w:val="bottom"/>
            <w:tcBorders>
              <w:left w:val="single" w:sz="8" w:color="424E6A"/>
            </w:tcBorders>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shd w:val="clear" w:color="auto" w:fill="424E6A"/>
          </w:tcPr>
          <w:p>
            <w:pPr>
              <w:spacing w:after="0"/>
              <w:rPr>
                <w:sz w:val="6"/>
                <w:szCs w:val="6"/>
                <w:color w:val="auto"/>
              </w:rPr>
            </w:pPr>
          </w:p>
        </w:tc>
        <w:tc>
          <w:tcPr>
            <w:tcW w:w="620" w:type="dxa"/>
            <w:vAlign w:val="bottom"/>
            <w:tcBorders>
              <w:right w:val="single" w:sz="8" w:color="424E6A"/>
            </w:tcBorders>
            <w:shd w:val="clear" w:color="auto" w:fill="424E6A"/>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020" w:type="dxa"/>
            <w:vAlign w:val="bottom"/>
            <w:tcBorders>
              <w:left w:val="single" w:sz="8" w:color="424E6A"/>
            </w:tcBorders>
            <w:gridSpan w:val="2"/>
            <w:vMerge w:val="restart"/>
          </w:tcPr>
          <w:p>
            <w:pPr>
              <w:ind w:left="60"/>
              <w:spacing w:after="0"/>
              <w:rPr>
                <w:sz w:val="20"/>
                <w:szCs w:val="20"/>
                <w:color w:val="auto"/>
              </w:rPr>
            </w:pPr>
            <w:r>
              <w:rPr>
                <w:rFonts w:ascii="Arial" w:cs="Arial" w:eastAsia="Arial" w:hAnsi="Arial"/>
                <w:sz w:val="14"/>
                <w:szCs w:val="14"/>
                <w:b w:val="1"/>
                <w:bCs w:val="1"/>
                <w:color w:val="FFFFFF"/>
              </w:rPr>
              <w:t xml:space="preserve">Named Executive Officer </w:t>
            </w:r>
            <w:r>
              <w:rPr>
                <w:rFonts w:ascii="Arial" w:cs="Arial" w:eastAsia="Arial" w:hAnsi="Arial"/>
                <w:sz w:val="28"/>
                <w:szCs w:val="28"/>
                <w:b w:val="1"/>
                <w:bCs w:val="1"/>
                <w:color w:val="FFFFFF"/>
                <w:vertAlign w:val="subscript"/>
              </w:rPr>
              <w:t>​​</w:t>
            </w:r>
          </w:p>
        </w:tc>
        <w:tc>
          <w:tcPr>
            <w:tcW w:w="780" w:type="dxa"/>
            <w:vAlign w:val="bottom"/>
          </w:tcPr>
          <w:p>
            <w:pPr>
              <w:jc w:val="center"/>
              <w:ind w:right="116"/>
              <w:spacing w:after="0" w:line="158" w:lineRule="exact"/>
              <w:rPr>
                <w:sz w:val="20"/>
                <w:szCs w:val="20"/>
                <w:color w:val="auto"/>
              </w:rPr>
            </w:pPr>
            <w:r>
              <w:rPr>
                <w:rFonts w:ascii="Arial" w:cs="Arial" w:eastAsia="Arial" w:hAnsi="Arial"/>
                <w:sz w:val="14"/>
                <w:szCs w:val="14"/>
                <w:b w:val="1"/>
                <w:bCs w:val="1"/>
                <w:color w:val="FFFFFF"/>
              </w:rPr>
              <w:t>Bonus</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Borders>
              <w:right w:val="single" w:sz="8" w:color="424E6A"/>
            </w:tcBorders>
            <w:gridSpan w:val="2"/>
            <w:shd w:val="clear" w:color="auto" w:fill="424E6A"/>
          </w:tcPr>
          <w:p>
            <w:pPr>
              <w:spacing w:after="0" w:line="158" w:lineRule="exact"/>
              <w:rPr>
                <w:sz w:val="20"/>
                <w:szCs w:val="20"/>
                <w:color w:val="auto"/>
              </w:rPr>
            </w:pPr>
            <w:r>
              <w:rPr>
                <w:rFonts w:ascii="Arial" w:cs="Arial" w:eastAsia="Arial" w:hAnsi="Arial"/>
                <w:sz w:val="14"/>
                <w:szCs w:val="14"/>
                <w:b w:val="1"/>
                <w:bCs w:val="1"/>
                <w:color w:val="FFFFFF"/>
              </w:rPr>
              <w:t>Company</w:t>
            </w: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8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FFFFFF"/>
              </w:rPr>
              <w:t>Individual</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center"/>
              <w:ind w:right="25"/>
              <w:spacing w:after="0" w:line="158" w:lineRule="exact"/>
              <w:rPr>
                <w:sz w:val="20"/>
                <w:szCs w:val="20"/>
                <w:color w:val="auto"/>
              </w:rPr>
            </w:pPr>
            <w:r>
              <w:rPr>
                <w:rFonts w:ascii="Arial" w:cs="Arial" w:eastAsia="Arial" w:hAnsi="Arial"/>
                <w:sz w:val="14"/>
                <w:szCs w:val="14"/>
                <w:b w:val="1"/>
                <w:bCs w:val="1"/>
                <w:color w:val="FFFFFF"/>
              </w:rPr>
              <w:t>Bonus</w:t>
            </w:r>
          </w:p>
        </w:tc>
        <w:tc>
          <w:tcPr>
            <w:tcW w:w="1060" w:type="dxa"/>
            <w:vAlign w:val="bottom"/>
          </w:tcPr>
          <w:p>
            <w:pPr>
              <w:jc w:val="center"/>
              <w:spacing w:after="0" w:line="158" w:lineRule="exact"/>
              <w:rPr>
                <w:sz w:val="20"/>
                <w:szCs w:val="20"/>
                <w:color w:val="auto"/>
              </w:rPr>
            </w:pPr>
            <w:r>
              <w:rPr>
                <w:rFonts w:ascii="Arial" w:cs="Arial" w:eastAsia="Arial" w:hAnsi="Arial"/>
                <w:sz w:val="14"/>
                <w:szCs w:val="14"/>
                <w:b w:val="1"/>
                <w:bCs w:val="1"/>
                <w:color w:val="FFFFFF"/>
              </w:rPr>
              <w:t>Bonus</w:t>
            </w:r>
          </w:p>
        </w:tc>
        <w:tc>
          <w:tcPr>
            <w:tcW w:w="0" w:type="dxa"/>
            <w:vAlign w:val="bottom"/>
          </w:tcPr>
          <w:p>
            <w:pPr>
              <w:spacing w:after="0"/>
              <w:rPr>
                <w:sz w:val="1"/>
                <w:szCs w:val="1"/>
                <w:color w:val="auto"/>
              </w:rPr>
            </w:pPr>
          </w:p>
        </w:tc>
      </w:tr>
      <w:tr>
        <w:trPr>
          <w:trHeight w:val="216"/>
        </w:trPr>
        <w:tc>
          <w:tcPr>
            <w:tcW w:w="2020" w:type="dxa"/>
            <w:vAlign w:val="bottom"/>
            <w:tcBorders>
              <w:left w:val="single" w:sz="8" w:color="424E6A"/>
              <w:bottom w:val="single" w:sz="8" w:color="424E6A"/>
            </w:tcBorders>
            <w:gridSpan w:val="2"/>
            <w:vMerge w:val="continue"/>
          </w:tcPr>
          <w:p>
            <w:pPr>
              <w:spacing w:after="0"/>
              <w:rPr>
                <w:sz w:val="18"/>
                <w:szCs w:val="18"/>
                <w:color w:val="auto"/>
              </w:rPr>
            </w:pPr>
          </w:p>
        </w:tc>
        <w:tc>
          <w:tcPr>
            <w:tcW w:w="780" w:type="dxa"/>
            <w:vAlign w:val="bottom"/>
            <w:tcBorders>
              <w:bottom w:val="single" w:sz="8" w:color="424E6A"/>
            </w:tcBorders>
          </w:tcPr>
          <w:p>
            <w:pPr>
              <w:jc w:val="center"/>
              <w:ind w:right="76"/>
              <w:spacing w:after="0"/>
              <w:rPr>
                <w:sz w:val="20"/>
                <w:szCs w:val="20"/>
                <w:color w:val="auto"/>
              </w:rPr>
            </w:pPr>
            <w:r>
              <w:rPr>
                <w:rFonts w:ascii="Arial" w:cs="Arial" w:eastAsia="Arial" w:hAnsi="Arial"/>
                <w:sz w:val="14"/>
                <w:szCs w:val="14"/>
                <w:b w:val="1"/>
                <w:bCs w:val="1"/>
                <w:color w:val="FFFFFF"/>
              </w:rPr>
              <w:t>Amount</w:t>
            </w:r>
          </w:p>
        </w:tc>
        <w:tc>
          <w:tcPr>
            <w:tcW w:w="80" w:type="dxa"/>
            <w:vAlign w:val="bottom"/>
            <w:tcBorders>
              <w:bottom w:val="single" w:sz="8" w:color="424E6A"/>
            </w:tcBorders>
            <w:gridSpan w:val="2"/>
          </w:tcPr>
          <w:p>
            <w:pPr>
              <w:ind w:left="2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424E6A"/>
          </w:tcPr>
          <w:p>
            <w:pPr>
              <w:spacing w:after="0"/>
              <w:rPr>
                <w:sz w:val="18"/>
                <w:szCs w:val="18"/>
                <w:color w:val="auto"/>
              </w:rPr>
            </w:pPr>
          </w:p>
        </w:tc>
        <w:tc>
          <w:tcPr>
            <w:tcW w:w="620" w:type="dxa"/>
            <w:vAlign w:val="bottom"/>
            <w:tcBorders>
              <w:bottom w:val="single" w:sz="8" w:color="424E6A"/>
              <w:righ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Score</w:t>
            </w:r>
          </w:p>
        </w:tc>
        <w:tc>
          <w:tcPr>
            <w:tcW w:w="900" w:type="dxa"/>
            <w:vAlign w:val="bottom"/>
            <w:tcBorders>
              <w:bottom w:val="single" w:sz="8" w:color="424E6A"/>
            </w:tcBorders>
            <w:gridSpan w:val="2"/>
          </w:tcPr>
          <w:p>
            <w:pPr>
              <w:ind w:left="20"/>
              <w:spacing w:after="0" w:line="216"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 </w:t>
            </w: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Weight </w:t>
            </w:r>
            <w:r>
              <w:rPr>
                <w:rFonts w:ascii="Arial" w:cs="Arial" w:eastAsia="Arial" w:hAnsi="Arial"/>
                <w:sz w:val="25"/>
                <w:szCs w:val="25"/>
                <w:b w:val="1"/>
                <w:bCs w:val="1"/>
                <w:color w:val="FFFFFF"/>
                <w:vertAlign w:val="subscript"/>
              </w:rPr>
              <w:t>​​</w:t>
            </w:r>
          </w:p>
        </w:tc>
        <w:tc>
          <w:tcPr>
            <w:tcW w:w="220" w:type="dxa"/>
            <w:vAlign w:val="bottom"/>
            <w:tcBorders>
              <w:bottom w:val="single" w:sz="8" w:color="424E6A"/>
            </w:tcBorders>
          </w:tcPr>
          <w:p>
            <w:pPr>
              <w:jc w:val="right"/>
              <w:ind w:right="8"/>
              <w:spacing w:after="0"/>
              <w:rPr>
                <w:sz w:val="20"/>
                <w:szCs w:val="20"/>
                <w:color w:val="auto"/>
              </w:rPr>
            </w:pPr>
            <w:r>
              <w:rPr>
                <w:rFonts w:ascii="Arial" w:cs="Arial" w:eastAsia="Arial" w:hAnsi="Arial"/>
                <w:sz w:val="14"/>
                <w:szCs w:val="14"/>
                <w:b w:val="1"/>
                <w:bCs w:val="1"/>
                <w:color w:val="FFFFFF"/>
              </w:rPr>
              <w:t>​​</w:t>
            </w:r>
          </w:p>
        </w:tc>
        <w:tc>
          <w:tcPr>
            <w:tcW w:w="1540" w:type="dxa"/>
            <w:vAlign w:val="bottom"/>
            <w:tcBorders>
              <w:bottom w:val="single" w:sz="8" w:color="424E6A"/>
            </w:tcBorders>
            <w:gridSpan w:val="2"/>
          </w:tcPr>
          <w:p>
            <w:pPr>
              <w:ind w:left="60"/>
              <w:spacing w:after="0" w:line="216" w:lineRule="exact"/>
              <w:rPr>
                <w:sz w:val="20"/>
                <w:szCs w:val="20"/>
                <w:color w:val="auto"/>
              </w:rPr>
            </w:pPr>
            <w:r>
              <w:rPr>
                <w:rFonts w:ascii="Arial" w:cs="Arial" w:eastAsia="Arial" w:hAnsi="Arial"/>
                <w:sz w:val="13"/>
                <w:szCs w:val="13"/>
                <w:b w:val="1"/>
                <w:bCs w:val="1"/>
                <w:color w:val="FFFFFF"/>
              </w:rPr>
              <w:t xml:space="preserve">Score  </w:t>
            </w: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 </w:t>
            </w: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Weight </w:t>
            </w:r>
            <w:r>
              <w:rPr>
                <w:rFonts w:ascii="Arial" w:cs="Arial" w:eastAsia="Arial" w:hAnsi="Arial"/>
                <w:sz w:val="25"/>
                <w:szCs w:val="25"/>
                <w:b w:val="1"/>
                <w:bCs w:val="1"/>
                <w:color w:val="FFFFFF"/>
                <w:vertAlign w:val="subscript"/>
              </w:rPr>
              <w:t>​​</w:t>
            </w:r>
          </w:p>
        </w:tc>
        <w:tc>
          <w:tcPr>
            <w:tcW w:w="120" w:type="dxa"/>
            <w:vAlign w:val="bottom"/>
            <w:tcBorders>
              <w:bottom w:val="single" w:sz="8" w:color="424E6A"/>
            </w:tcBorders>
            <w:gridSpan w:val="2"/>
          </w:tcPr>
          <w:p>
            <w:pPr>
              <w:jc w:val="right"/>
              <w:ind w:right="40"/>
              <w:spacing w:after="0"/>
              <w:rPr>
                <w:sz w:val="20"/>
                <w:szCs w:val="20"/>
                <w:color w:val="auto"/>
              </w:rPr>
            </w:pPr>
            <w:r>
              <w:rPr>
                <w:rFonts w:ascii="Arial" w:cs="Arial" w:eastAsia="Arial" w:hAnsi="Arial"/>
                <w:sz w:val="14"/>
                <w:szCs w:val="14"/>
                <w:b w:val="1"/>
                <w:bCs w:val="1"/>
                <w:color w:val="FFFFFF"/>
              </w:rPr>
              <w:t>​</w:t>
            </w:r>
          </w:p>
        </w:tc>
        <w:tc>
          <w:tcPr>
            <w:tcW w:w="800" w:type="dxa"/>
            <w:vAlign w:val="bottom"/>
            <w:tcBorders>
              <w:bottom w:val="single" w:sz="8" w:color="424E6A"/>
            </w:tcBorders>
          </w:tcPr>
          <w:p>
            <w:pPr>
              <w:jc w:val="center"/>
              <w:spacing w:after="0"/>
              <w:rPr>
                <w:sz w:val="20"/>
                <w:szCs w:val="20"/>
                <w:color w:val="auto"/>
              </w:rPr>
            </w:pPr>
            <w:r>
              <w:rPr>
                <w:rFonts w:ascii="Arial" w:cs="Arial" w:eastAsia="Arial" w:hAnsi="Arial"/>
                <w:sz w:val="14"/>
                <w:szCs w:val="14"/>
                <w:b w:val="1"/>
                <w:bCs w:val="1"/>
                <w:color w:val="FFFFFF"/>
              </w:rPr>
              <w:t>Earned</w:t>
            </w:r>
          </w:p>
        </w:tc>
        <w:tc>
          <w:tcPr>
            <w:tcW w:w="1060" w:type="dxa"/>
            <w:vAlign w:val="bottom"/>
            <w:tcBorders>
              <w:bottom w:val="single" w:sz="8" w:color="424E6A"/>
            </w:tcBorders>
          </w:tcPr>
          <w:p>
            <w:pPr>
              <w:jc w:val="center"/>
              <w:spacing w:after="0"/>
              <w:rPr>
                <w:sz w:val="20"/>
                <w:szCs w:val="20"/>
                <w:color w:val="auto"/>
              </w:rPr>
            </w:pPr>
            <w:r>
              <w:rPr>
                <w:rFonts w:ascii="Arial" w:cs="Arial" w:eastAsia="Arial" w:hAnsi="Arial"/>
                <w:sz w:val="14"/>
                <w:szCs w:val="14"/>
                <w:b w:val="1"/>
                <w:bCs w:val="1"/>
                <w:color w:val="FFFFFF"/>
                <w:w w:val="95"/>
              </w:rPr>
              <w:t>Amount</w:t>
            </w:r>
            <w:r>
              <w:rPr>
                <w:rFonts w:ascii="Arial" w:cs="Arial" w:eastAsia="Arial" w:hAnsi="Arial"/>
                <w:sz w:val="17"/>
                <w:szCs w:val="17"/>
                <w:b w:val="1"/>
                <w:bCs w:val="1"/>
                <w:color w:val="FFFFFF"/>
                <w:w w:val="95"/>
                <w:vertAlign w:val="superscript"/>
              </w:rPr>
              <w:t>(1)</w:t>
            </w:r>
          </w:p>
        </w:tc>
        <w:tc>
          <w:tcPr>
            <w:tcW w:w="0" w:type="dxa"/>
            <w:vAlign w:val="bottom"/>
          </w:tcPr>
          <w:p>
            <w:pPr>
              <w:spacing w:after="0"/>
              <w:rPr>
                <w:sz w:val="1"/>
                <w:szCs w:val="1"/>
                <w:color w:val="auto"/>
              </w:rPr>
            </w:pPr>
          </w:p>
        </w:tc>
      </w:tr>
      <w:tr>
        <w:trPr>
          <w:trHeight w:val="250"/>
        </w:trPr>
        <w:tc>
          <w:tcPr>
            <w:tcW w:w="1560" w:type="dxa"/>
            <w:vAlign w:val="bottom"/>
            <w:tcBorders>
              <w:left w:val="single" w:sz="8" w:color="D9DCE1"/>
              <w:bottom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Willie Chiang</w:t>
            </w:r>
          </w:p>
        </w:tc>
        <w:tc>
          <w:tcPr>
            <w:tcW w:w="1400" w:type="dxa"/>
            <w:vAlign w:val="bottom"/>
            <w:tcBorders>
              <w:bottom w:val="single" w:sz="8" w:color="424E6A"/>
            </w:tcBorders>
            <w:gridSpan w:val="5"/>
            <w:shd w:val="clear" w:color="auto" w:fill="D9DCE1"/>
          </w:tcPr>
          <w:p>
            <w:pPr>
              <w:ind w:left="2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$2,250,000 </w:t>
            </w:r>
            <w:r>
              <w:rPr>
                <w:rFonts w:ascii="Arial" w:cs="Arial" w:eastAsia="Arial" w:hAnsi="Arial"/>
                <w:sz w:val="28"/>
                <w:szCs w:val="28"/>
                <w:color w:val="auto"/>
                <w:vertAlign w:val="subscript"/>
              </w:rPr>
              <w:t>​​</w:t>
            </w:r>
          </w:p>
        </w:tc>
        <w:tc>
          <w:tcPr>
            <w:tcW w:w="960" w:type="dxa"/>
            <w:vAlign w:val="bottom"/>
            <w:tcBorders>
              <w:bottom w:val="single" w:sz="8" w:color="424E6A"/>
            </w:tcBorders>
            <w:gridSpan w:val="2"/>
            <w:shd w:val="clear" w:color="auto" w:fill="D9DCE1"/>
          </w:tcPr>
          <w:p>
            <w:pPr>
              <w:ind w:left="16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85%</w:t>
            </w:r>
            <w:r>
              <w:rPr>
                <w:rFonts w:ascii="Arial" w:cs="Arial" w:eastAsia="Arial" w:hAnsi="Arial"/>
                <w:sz w:val="15"/>
                <w:szCs w:val="15"/>
                <w:color w:val="auto"/>
              </w:rPr>
              <w:t xml:space="preserve">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w:t>
            </w:r>
          </w:p>
        </w:tc>
        <w:tc>
          <w:tcPr>
            <w:tcW w:w="780" w:type="dxa"/>
            <w:vAlign w:val="bottom"/>
            <w:tcBorders>
              <w:bottom w:val="single" w:sz="8" w:color="424E6A"/>
            </w:tcBorders>
            <w:gridSpan w:val="2"/>
            <w:shd w:val="clear" w:color="auto" w:fill="D9DCE1"/>
          </w:tcPr>
          <w:p>
            <w:pPr>
              <w:jc w:val="right"/>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60%</w:t>
            </w: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960" w:type="dxa"/>
            <w:vAlign w:val="bottom"/>
            <w:tcBorders>
              <w:bottom w:val="single" w:sz="8" w:color="424E6A"/>
            </w:tcBorders>
            <w:shd w:val="clear" w:color="auto" w:fill="D9DCE1"/>
          </w:tcPr>
          <w:p>
            <w:pPr>
              <w:ind w:left="1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200%</w:t>
            </w:r>
            <w:r>
              <w:rPr>
                <w:rFonts w:ascii="Arial" w:cs="Arial" w:eastAsia="Arial" w:hAnsi="Arial"/>
                <w:sz w:val="15"/>
                <w:szCs w:val="15"/>
                <w:color w:val="auto"/>
              </w:rPr>
              <w:t xml:space="preserve">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w:t>
            </w:r>
          </w:p>
        </w:tc>
        <w:tc>
          <w:tcPr>
            <w:tcW w:w="700" w:type="dxa"/>
            <w:vAlign w:val="bottom"/>
            <w:tcBorders>
              <w:bottom w:val="single" w:sz="8" w:color="424E6A"/>
            </w:tcBorders>
            <w:gridSpan w:val="3"/>
            <w:shd w:val="clear" w:color="auto" w:fill="D9DCE1"/>
          </w:tcPr>
          <w:p>
            <w:pPr>
              <w:jc w:val="right"/>
              <w:ind w:right="2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40%</w:t>
            </w: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1860" w:type="dxa"/>
            <w:vAlign w:val="bottom"/>
            <w:tcBorders>
              <w:bottom w:val="single" w:sz="8" w:color="424E6A"/>
              <w:right w:val="single" w:sz="8" w:color="424E6A"/>
            </w:tcBorders>
            <w:gridSpan w:val="2"/>
            <w:shd w:val="clear" w:color="auto" w:fill="D9DCE1"/>
          </w:tcPr>
          <w:p>
            <w:pPr>
              <w:ind w:left="2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131% </w:t>
            </w:r>
            <w:r>
              <w:rPr>
                <w:rFonts w:ascii="Arial" w:cs="Arial" w:eastAsia="Arial" w:hAnsi="Arial"/>
                <w:sz w:val="28"/>
                <w:szCs w:val="28"/>
                <w:color w:val="auto"/>
                <w:vertAlign w:val="subscript"/>
              </w:rPr>
              <w:t>​ ​</w:t>
            </w:r>
            <w:r>
              <w:rPr>
                <w:rFonts w:ascii="Arial" w:cs="Arial" w:eastAsia="Arial" w:hAnsi="Arial"/>
                <w:sz w:val="15"/>
                <w:szCs w:val="15"/>
                <w:color w:val="auto"/>
              </w:rPr>
              <w:t>$2,950,000</w:t>
            </w:r>
          </w:p>
        </w:tc>
        <w:tc>
          <w:tcPr>
            <w:tcW w:w="0" w:type="dxa"/>
            <w:vAlign w:val="bottom"/>
          </w:tcPr>
          <w:p>
            <w:pPr>
              <w:spacing w:after="0"/>
              <w:rPr>
                <w:sz w:val="1"/>
                <w:szCs w:val="1"/>
                <w:color w:val="auto"/>
              </w:rPr>
            </w:pPr>
          </w:p>
        </w:tc>
      </w:tr>
      <w:tr>
        <w:trPr>
          <w:trHeight w:val="250"/>
        </w:trPr>
        <w:tc>
          <w:tcPr>
            <w:tcW w:w="156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Al Swanson</w:t>
            </w:r>
          </w:p>
        </w:tc>
        <w:tc>
          <w:tcPr>
            <w:tcW w:w="460" w:type="dxa"/>
            <w:vAlign w:val="bottom"/>
            <w:tcBorders>
              <w:bottom w:val="single" w:sz="8" w:color="424E6A"/>
            </w:tcBorders>
          </w:tcPr>
          <w:p>
            <w:pPr>
              <w:ind w:left="2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78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855,000</w:t>
            </w:r>
          </w:p>
        </w:tc>
        <w:tc>
          <w:tcPr>
            <w:tcW w:w="160" w:type="dxa"/>
            <w:vAlign w:val="bottom"/>
            <w:tcBorders>
              <w:bottom w:val="single" w:sz="8" w:color="424E6A"/>
            </w:tcBorders>
            <w:gridSpan w:val="3"/>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424E6A"/>
            </w:tcBorders>
            <w:gridSpan w:val="2"/>
          </w:tcPr>
          <w:p>
            <w:pPr>
              <w:ind w:left="16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85%</w:t>
            </w:r>
            <w:r>
              <w:rPr>
                <w:rFonts w:ascii="Arial" w:cs="Arial" w:eastAsia="Arial" w:hAnsi="Arial"/>
                <w:sz w:val="15"/>
                <w:szCs w:val="15"/>
                <w:color w:val="auto"/>
              </w:rPr>
              <w:t xml:space="preserve">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w:t>
            </w:r>
          </w:p>
        </w:tc>
        <w:tc>
          <w:tcPr>
            <w:tcW w:w="780" w:type="dxa"/>
            <w:vAlign w:val="bottom"/>
            <w:tcBorders>
              <w:bottom w:val="single" w:sz="8" w:color="424E6A"/>
            </w:tcBorders>
            <w:gridSpan w:val="2"/>
          </w:tcPr>
          <w:p>
            <w:pPr>
              <w:jc w:val="right"/>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60%</w:t>
            </w: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960" w:type="dxa"/>
            <w:vAlign w:val="bottom"/>
            <w:tcBorders>
              <w:bottom w:val="single" w:sz="8" w:color="424E6A"/>
            </w:tcBorders>
          </w:tcPr>
          <w:p>
            <w:pPr>
              <w:ind w:left="1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200%</w:t>
            </w:r>
            <w:r>
              <w:rPr>
                <w:rFonts w:ascii="Arial" w:cs="Arial" w:eastAsia="Arial" w:hAnsi="Arial"/>
                <w:sz w:val="15"/>
                <w:szCs w:val="15"/>
                <w:color w:val="auto"/>
              </w:rPr>
              <w:t xml:space="preserve">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w:t>
            </w:r>
          </w:p>
        </w:tc>
        <w:tc>
          <w:tcPr>
            <w:tcW w:w="700" w:type="dxa"/>
            <w:vAlign w:val="bottom"/>
            <w:tcBorders>
              <w:bottom w:val="single" w:sz="8" w:color="424E6A"/>
            </w:tcBorders>
            <w:gridSpan w:val="3"/>
          </w:tcPr>
          <w:p>
            <w:pPr>
              <w:jc w:val="right"/>
              <w:ind w:right="2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40%</w:t>
            </w: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1860" w:type="dxa"/>
            <w:vAlign w:val="bottom"/>
            <w:tcBorders>
              <w:bottom w:val="single" w:sz="8" w:color="424E6A"/>
              <w:right w:val="single" w:sz="8" w:color="424E6A"/>
            </w:tcBorders>
            <w:gridSpan w:val="2"/>
          </w:tcPr>
          <w:p>
            <w:pPr>
              <w:ind w:left="2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131% </w:t>
            </w:r>
            <w:r>
              <w:rPr>
                <w:rFonts w:ascii="Arial" w:cs="Arial" w:eastAsia="Arial" w:hAnsi="Arial"/>
                <w:sz w:val="28"/>
                <w:szCs w:val="28"/>
                <w:color w:val="auto"/>
                <w:vertAlign w:val="subscript"/>
              </w:rPr>
              <w:t>​ ​</w:t>
            </w:r>
            <w:r>
              <w:rPr>
                <w:rFonts w:ascii="Arial" w:cs="Arial" w:eastAsia="Arial" w:hAnsi="Arial"/>
                <w:sz w:val="15"/>
                <w:szCs w:val="15"/>
                <w:color w:val="auto"/>
              </w:rPr>
              <w:t>$1,125,000</w:t>
            </w:r>
          </w:p>
        </w:tc>
        <w:tc>
          <w:tcPr>
            <w:tcW w:w="0" w:type="dxa"/>
            <w:vAlign w:val="bottom"/>
          </w:tcPr>
          <w:p>
            <w:pPr>
              <w:spacing w:after="0"/>
              <w:rPr>
                <w:sz w:val="1"/>
                <w:szCs w:val="1"/>
                <w:color w:val="auto"/>
              </w:rPr>
            </w:pPr>
          </w:p>
        </w:tc>
      </w:tr>
      <w:tr>
        <w:trPr>
          <w:trHeight w:val="250"/>
        </w:trPr>
        <w:tc>
          <w:tcPr>
            <w:tcW w:w="1560" w:type="dxa"/>
            <w:vAlign w:val="bottom"/>
            <w:tcBorders>
              <w:left w:val="single" w:sz="8" w:color="D9DCE1"/>
              <w:bottom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Richard McGee</w:t>
            </w:r>
          </w:p>
        </w:tc>
        <w:tc>
          <w:tcPr>
            <w:tcW w:w="460" w:type="dxa"/>
            <w:vAlign w:val="bottom"/>
            <w:tcBorders>
              <w:bottom w:val="single" w:sz="8" w:color="424E6A"/>
            </w:tcBorders>
            <w:shd w:val="clear" w:color="auto" w:fill="D9DCE1"/>
          </w:tcPr>
          <w:p>
            <w:pPr>
              <w:ind w:left="2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7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885,000</w:t>
            </w:r>
          </w:p>
        </w:tc>
        <w:tc>
          <w:tcPr>
            <w:tcW w:w="160" w:type="dxa"/>
            <w:vAlign w:val="bottom"/>
            <w:tcBorders>
              <w:bottom w:val="single" w:sz="8" w:color="424E6A"/>
            </w:tcBorders>
            <w:gridSpan w:val="3"/>
            <w:shd w:val="clear" w:color="auto" w:fill="D9DCE1"/>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424E6A"/>
              <w:right w:val="single" w:sz="8" w:color="D9DCE1"/>
            </w:tcBorders>
            <w:shd w:val="clear" w:color="auto" w:fill="D9DCE1"/>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85%</w:t>
            </w:r>
          </w:p>
        </w:tc>
        <w:tc>
          <w:tcPr>
            <w:tcW w:w="340" w:type="dxa"/>
            <w:vAlign w:val="bottom"/>
            <w:tcBorders>
              <w:bottom w:val="single" w:sz="8" w:color="424E6A"/>
            </w:tcBorders>
            <w:shd w:val="clear" w:color="auto" w:fill="D9DCE1"/>
          </w:tcPr>
          <w:p>
            <w:pPr>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w:t>
            </w:r>
          </w:p>
        </w:tc>
        <w:tc>
          <w:tcPr>
            <w:tcW w:w="780" w:type="dxa"/>
            <w:vAlign w:val="bottom"/>
            <w:tcBorders>
              <w:bottom w:val="single" w:sz="8" w:color="424E6A"/>
            </w:tcBorders>
            <w:gridSpan w:val="2"/>
            <w:shd w:val="clear" w:color="auto" w:fill="D9DCE1"/>
          </w:tcPr>
          <w:p>
            <w:pPr>
              <w:jc w:val="right"/>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60%</w:t>
            </w: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960" w:type="dxa"/>
            <w:vAlign w:val="bottom"/>
            <w:tcBorders>
              <w:bottom w:val="single" w:sz="8" w:color="424E6A"/>
            </w:tcBorders>
            <w:shd w:val="clear" w:color="auto" w:fill="D9DCE1"/>
          </w:tcPr>
          <w:p>
            <w:pPr>
              <w:ind w:left="1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200%</w:t>
            </w:r>
            <w:r>
              <w:rPr>
                <w:rFonts w:ascii="Arial" w:cs="Arial" w:eastAsia="Arial" w:hAnsi="Arial"/>
                <w:sz w:val="15"/>
                <w:szCs w:val="15"/>
                <w:color w:val="auto"/>
              </w:rPr>
              <w:t xml:space="preserve">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w:t>
            </w:r>
          </w:p>
        </w:tc>
        <w:tc>
          <w:tcPr>
            <w:tcW w:w="700" w:type="dxa"/>
            <w:vAlign w:val="bottom"/>
            <w:tcBorders>
              <w:bottom w:val="single" w:sz="8" w:color="424E6A"/>
            </w:tcBorders>
            <w:gridSpan w:val="3"/>
            <w:shd w:val="clear" w:color="auto" w:fill="D9DCE1"/>
          </w:tcPr>
          <w:p>
            <w:pPr>
              <w:jc w:val="right"/>
              <w:ind w:right="2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40%</w:t>
            </w: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1860" w:type="dxa"/>
            <w:vAlign w:val="bottom"/>
            <w:tcBorders>
              <w:bottom w:val="single" w:sz="8" w:color="424E6A"/>
              <w:right w:val="single" w:sz="8" w:color="424E6A"/>
            </w:tcBorders>
            <w:gridSpan w:val="2"/>
            <w:shd w:val="clear" w:color="auto" w:fill="D9DCE1"/>
          </w:tcPr>
          <w:p>
            <w:pPr>
              <w:ind w:left="2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131% </w:t>
            </w:r>
            <w:r>
              <w:rPr>
                <w:rFonts w:ascii="Arial" w:cs="Arial" w:eastAsia="Arial" w:hAnsi="Arial"/>
                <w:sz w:val="28"/>
                <w:szCs w:val="28"/>
                <w:color w:val="auto"/>
                <w:vertAlign w:val="subscript"/>
              </w:rPr>
              <w:t>​ ​</w:t>
            </w:r>
            <w:r>
              <w:rPr>
                <w:rFonts w:ascii="Arial" w:cs="Arial" w:eastAsia="Arial" w:hAnsi="Arial"/>
                <w:sz w:val="15"/>
                <w:szCs w:val="15"/>
                <w:color w:val="auto"/>
              </w:rPr>
              <w:t>$1,160,000</w:t>
            </w:r>
          </w:p>
        </w:tc>
        <w:tc>
          <w:tcPr>
            <w:tcW w:w="0" w:type="dxa"/>
            <w:vAlign w:val="bottom"/>
          </w:tcPr>
          <w:p>
            <w:pPr>
              <w:spacing w:after="0"/>
              <w:rPr>
                <w:sz w:val="1"/>
                <w:szCs w:val="1"/>
                <w:color w:val="auto"/>
              </w:rPr>
            </w:pPr>
          </w:p>
        </w:tc>
      </w:tr>
      <w:tr>
        <w:trPr>
          <w:trHeight w:val="250"/>
        </w:trPr>
        <w:tc>
          <w:tcPr>
            <w:tcW w:w="156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Chris Chandler</w:t>
            </w:r>
          </w:p>
        </w:tc>
        <w:tc>
          <w:tcPr>
            <w:tcW w:w="460" w:type="dxa"/>
            <w:vAlign w:val="bottom"/>
            <w:tcBorders>
              <w:bottom w:val="single" w:sz="8" w:color="424E6A"/>
            </w:tcBorders>
          </w:tcPr>
          <w:p>
            <w:pPr>
              <w:ind w:left="2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78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938,000</w:t>
            </w:r>
          </w:p>
        </w:tc>
        <w:tc>
          <w:tcPr>
            <w:tcW w:w="160" w:type="dxa"/>
            <w:vAlign w:val="bottom"/>
            <w:tcBorders>
              <w:bottom w:val="single" w:sz="8" w:color="424E6A"/>
            </w:tcBorders>
            <w:gridSpan w:val="3"/>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424E6A"/>
            </w:tcBorders>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85%</w:t>
            </w:r>
          </w:p>
        </w:tc>
        <w:tc>
          <w:tcPr>
            <w:tcW w:w="340" w:type="dxa"/>
            <w:vAlign w:val="bottom"/>
            <w:tcBorders>
              <w:bottom w:val="single" w:sz="8" w:color="424E6A"/>
            </w:tcBorders>
          </w:tcPr>
          <w:p>
            <w:pPr>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w:t>
            </w:r>
          </w:p>
        </w:tc>
        <w:tc>
          <w:tcPr>
            <w:tcW w:w="780" w:type="dxa"/>
            <w:vAlign w:val="bottom"/>
            <w:tcBorders>
              <w:bottom w:val="single" w:sz="8" w:color="424E6A"/>
            </w:tcBorders>
            <w:gridSpan w:val="2"/>
          </w:tcPr>
          <w:p>
            <w:pPr>
              <w:jc w:val="right"/>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60%</w:t>
            </w: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960" w:type="dxa"/>
            <w:vAlign w:val="bottom"/>
            <w:tcBorders>
              <w:bottom w:val="single" w:sz="8" w:color="424E6A"/>
            </w:tcBorders>
          </w:tcPr>
          <w:p>
            <w:pPr>
              <w:ind w:left="1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200%</w:t>
            </w:r>
            <w:r>
              <w:rPr>
                <w:rFonts w:ascii="Arial" w:cs="Arial" w:eastAsia="Arial" w:hAnsi="Arial"/>
                <w:sz w:val="15"/>
                <w:szCs w:val="15"/>
                <w:color w:val="auto"/>
              </w:rPr>
              <w:t xml:space="preserve">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w:t>
            </w:r>
          </w:p>
        </w:tc>
        <w:tc>
          <w:tcPr>
            <w:tcW w:w="700" w:type="dxa"/>
            <w:vAlign w:val="bottom"/>
            <w:tcBorders>
              <w:bottom w:val="single" w:sz="8" w:color="424E6A"/>
            </w:tcBorders>
            <w:gridSpan w:val="3"/>
          </w:tcPr>
          <w:p>
            <w:pPr>
              <w:jc w:val="right"/>
              <w:ind w:right="2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40%</w:t>
            </w: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1860" w:type="dxa"/>
            <w:vAlign w:val="bottom"/>
            <w:tcBorders>
              <w:bottom w:val="single" w:sz="8" w:color="424E6A"/>
              <w:right w:val="single" w:sz="8" w:color="424E6A"/>
            </w:tcBorders>
            <w:gridSpan w:val="2"/>
          </w:tcPr>
          <w:p>
            <w:pPr>
              <w:ind w:left="2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131% </w:t>
            </w:r>
            <w:r>
              <w:rPr>
                <w:rFonts w:ascii="Arial" w:cs="Arial" w:eastAsia="Arial" w:hAnsi="Arial"/>
                <w:sz w:val="28"/>
                <w:szCs w:val="28"/>
                <w:color w:val="auto"/>
                <w:vertAlign w:val="subscript"/>
              </w:rPr>
              <w:t>​ ​</w:t>
            </w:r>
            <w:r>
              <w:rPr>
                <w:rFonts w:ascii="Arial" w:cs="Arial" w:eastAsia="Arial" w:hAnsi="Arial"/>
                <w:sz w:val="15"/>
                <w:szCs w:val="15"/>
                <w:color w:val="auto"/>
              </w:rPr>
              <w:t>$1,230,000</w:t>
            </w:r>
          </w:p>
        </w:tc>
        <w:tc>
          <w:tcPr>
            <w:tcW w:w="0" w:type="dxa"/>
            <w:vAlign w:val="bottom"/>
          </w:tcPr>
          <w:p>
            <w:pPr>
              <w:spacing w:after="0"/>
              <w:rPr>
                <w:sz w:val="1"/>
                <w:szCs w:val="1"/>
                <w:color w:val="auto"/>
              </w:rPr>
            </w:pPr>
          </w:p>
        </w:tc>
      </w:tr>
      <w:tr>
        <w:trPr>
          <w:trHeight w:val="263"/>
        </w:trPr>
        <w:tc>
          <w:tcPr>
            <w:tcW w:w="1560" w:type="dxa"/>
            <w:vAlign w:val="bottom"/>
            <w:tcBorders>
              <w:left w:val="single" w:sz="8" w:color="D9DCE1"/>
              <w:bottom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Jeremy Goebel</w:t>
            </w:r>
          </w:p>
        </w:tc>
        <w:tc>
          <w:tcPr>
            <w:tcW w:w="460" w:type="dxa"/>
            <w:vAlign w:val="bottom"/>
            <w:tcBorders>
              <w:bottom w:val="single" w:sz="8" w:color="424E6A"/>
            </w:tcBorders>
            <w:shd w:val="clear" w:color="auto" w:fill="D9DCE1"/>
          </w:tcPr>
          <w:p>
            <w:pPr>
              <w:ind w:left="24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7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938,000</w:t>
            </w:r>
          </w:p>
        </w:tc>
        <w:tc>
          <w:tcPr>
            <w:tcW w:w="160" w:type="dxa"/>
            <w:vAlign w:val="bottom"/>
            <w:tcBorders>
              <w:bottom w:val="single" w:sz="8" w:color="424E6A"/>
            </w:tcBorders>
            <w:gridSpan w:val="3"/>
            <w:shd w:val="clear" w:color="auto" w:fill="D9DCE1"/>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424E6A"/>
              <w:right w:val="single" w:sz="8" w:color="D9DCE1"/>
            </w:tcBorders>
            <w:shd w:val="clear" w:color="auto" w:fill="D9DCE1"/>
          </w:tcPr>
          <w:p>
            <w:pPr>
              <w:ind w:left="1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85%</w:t>
            </w:r>
          </w:p>
        </w:tc>
        <w:tc>
          <w:tcPr>
            <w:tcW w:w="340" w:type="dxa"/>
            <w:vAlign w:val="bottom"/>
            <w:tcBorders>
              <w:bottom w:val="single" w:sz="8" w:color="424E6A"/>
            </w:tcBorders>
            <w:shd w:val="clear" w:color="auto" w:fill="D9DCE1"/>
          </w:tcPr>
          <w:p>
            <w:pPr>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x</w:t>
            </w:r>
            <w:r>
              <w:rPr>
                <w:rFonts w:ascii="Arial" w:cs="Arial" w:eastAsia="Arial" w:hAnsi="Arial"/>
                <w:sz w:val="16"/>
                <w:szCs w:val="16"/>
                <w:color w:val="auto"/>
              </w:rPr>
              <w:t xml:space="preserve"> ​​</w:t>
            </w:r>
          </w:p>
        </w:tc>
        <w:tc>
          <w:tcPr>
            <w:tcW w:w="780" w:type="dxa"/>
            <w:vAlign w:val="bottom"/>
            <w:tcBorders>
              <w:bottom w:val="single" w:sz="8" w:color="424E6A"/>
            </w:tcBorders>
            <w:gridSpan w:val="2"/>
            <w:shd w:val="clear" w:color="auto" w:fill="D9DCE1"/>
          </w:tcPr>
          <w:p>
            <w:pPr>
              <w:jc w:val="right"/>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60%</w:t>
            </w:r>
            <w:r>
              <w:rPr>
                <w:rFonts w:ascii="Arial" w:cs="Arial" w:eastAsia="Arial" w:hAnsi="Arial"/>
                <w:sz w:val="16"/>
                <w:szCs w:val="16"/>
                <w:color w:val="auto"/>
              </w:rPr>
              <w:t>​​​</w:t>
            </w:r>
            <w:r>
              <w:rPr>
                <w:rFonts w:ascii="Arial" w:cs="Arial" w:eastAsia="Arial" w:hAnsi="Arial"/>
                <w:sz w:val="30"/>
                <w:szCs w:val="30"/>
                <w:color w:val="auto"/>
                <w:vertAlign w:val="superscript"/>
              </w:rPr>
              <w:t>+</w:t>
            </w:r>
            <w:r>
              <w:rPr>
                <w:rFonts w:ascii="Arial" w:cs="Arial" w:eastAsia="Arial" w:hAnsi="Arial"/>
                <w:sz w:val="16"/>
                <w:szCs w:val="16"/>
                <w:color w:val="auto"/>
              </w:rPr>
              <w:t xml:space="preserve"> ​​</w:t>
            </w:r>
          </w:p>
        </w:tc>
        <w:tc>
          <w:tcPr>
            <w:tcW w:w="960" w:type="dxa"/>
            <w:vAlign w:val="bottom"/>
            <w:tcBorders>
              <w:bottom w:val="single" w:sz="8" w:color="424E6A"/>
            </w:tcBorders>
            <w:shd w:val="clear" w:color="auto" w:fill="D9DCE1"/>
          </w:tcPr>
          <w:p>
            <w:pPr>
              <w:ind w:left="10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200%</w:t>
            </w:r>
            <w:r>
              <w:rPr>
                <w:rFonts w:ascii="Arial" w:cs="Arial" w:eastAsia="Arial" w:hAnsi="Arial"/>
                <w:sz w:val="16"/>
                <w:szCs w:val="16"/>
                <w:color w:val="auto"/>
              </w:rPr>
              <w:t xml:space="preserve"> ​​​</w:t>
            </w:r>
            <w:r>
              <w:rPr>
                <w:rFonts w:ascii="Arial" w:cs="Arial" w:eastAsia="Arial" w:hAnsi="Arial"/>
                <w:sz w:val="30"/>
                <w:szCs w:val="30"/>
                <w:color w:val="auto"/>
                <w:vertAlign w:val="superscript"/>
              </w:rPr>
              <w:t>x</w:t>
            </w:r>
            <w:r>
              <w:rPr>
                <w:rFonts w:ascii="Arial" w:cs="Arial" w:eastAsia="Arial" w:hAnsi="Arial"/>
                <w:sz w:val="16"/>
                <w:szCs w:val="16"/>
                <w:color w:val="auto"/>
              </w:rPr>
              <w:t xml:space="preserve"> ​​</w:t>
            </w:r>
          </w:p>
        </w:tc>
        <w:tc>
          <w:tcPr>
            <w:tcW w:w="700" w:type="dxa"/>
            <w:vAlign w:val="bottom"/>
            <w:tcBorders>
              <w:bottom w:val="single" w:sz="8" w:color="424E6A"/>
            </w:tcBorders>
            <w:gridSpan w:val="3"/>
            <w:shd w:val="clear" w:color="auto" w:fill="D9DCE1"/>
          </w:tcPr>
          <w:p>
            <w:pPr>
              <w:jc w:val="right"/>
              <w:ind w:right="2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40%</w:t>
            </w:r>
            <w:r>
              <w:rPr>
                <w:rFonts w:ascii="Arial" w:cs="Arial" w:eastAsia="Arial" w:hAnsi="Arial"/>
                <w:sz w:val="16"/>
                <w:szCs w:val="16"/>
                <w:color w:val="auto"/>
              </w:rPr>
              <w:t>​​​</w:t>
            </w:r>
            <w:r>
              <w:rPr>
                <w:rFonts w:ascii="Arial" w:cs="Arial" w:eastAsia="Arial" w:hAnsi="Arial"/>
                <w:sz w:val="30"/>
                <w:szCs w:val="30"/>
                <w:color w:val="auto"/>
                <w:vertAlign w:val="superscript"/>
              </w:rPr>
              <w:t>=</w:t>
            </w:r>
            <w:r>
              <w:rPr>
                <w:rFonts w:ascii="Arial" w:cs="Arial" w:eastAsia="Arial" w:hAnsi="Arial"/>
                <w:sz w:val="16"/>
                <w:szCs w:val="16"/>
                <w:color w:val="auto"/>
              </w:rPr>
              <w:t xml:space="preserve"> ​</w:t>
            </w:r>
          </w:p>
        </w:tc>
        <w:tc>
          <w:tcPr>
            <w:tcW w:w="1860" w:type="dxa"/>
            <w:vAlign w:val="bottom"/>
            <w:tcBorders>
              <w:bottom w:val="single" w:sz="8" w:color="424E6A"/>
              <w:right w:val="single" w:sz="8" w:color="424E6A"/>
            </w:tcBorders>
            <w:gridSpan w:val="2"/>
            <w:shd w:val="clear" w:color="auto" w:fill="D9DCE1"/>
          </w:tcPr>
          <w:p>
            <w:pPr>
              <w:ind w:left="20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131% </w:t>
            </w:r>
            <w:r>
              <w:rPr>
                <w:rFonts w:ascii="Arial" w:cs="Arial" w:eastAsia="Arial" w:hAnsi="Arial"/>
                <w:sz w:val="30"/>
                <w:szCs w:val="30"/>
                <w:color w:val="auto"/>
                <w:vertAlign w:val="subscript"/>
              </w:rPr>
              <w:t>​ ​</w:t>
            </w:r>
            <w:r>
              <w:rPr>
                <w:rFonts w:ascii="Arial" w:cs="Arial" w:eastAsia="Arial" w:hAnsi="Arial"/>
                <w:sz w:val="16"/>
                <w:szCs w:val="16"/>
                <w:color w:val="auto"/>
              </w:rPr>
              <w:t>$1,230,000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-1379220</wp:posOffset>
            </wp:positionV>
            <wp:extent cx="1791335" cy="5060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91335" cy="506095"/>
                    </a:xfrm>
                    <a:prstGeom prst="rect">
                      <a:avLst/>
                    </a:prstGeom>
                    <a:noFill/>
                  </pic:spPr>
                </pic:pic>
              </a:graphicData>
            </a:graphic>
          </wp:anchor>
        </w:drawing>
      </w:r>
    </w:p>
    <w:p>
      <w:pPr>
        <w:spacing w:after="0" w:line="92" w:lineRule="exact"/>
        <w:rPr>
          <w:sz w:val="20"/>
          <w:szCs w:val="20"/>
          <w:color w:val="auto"/>
        </w:rPr>
      </w:pPr>
    </w:p>
    <w:p>
      <w:pPr>
        <w:ind w:left="1620" w:hanging="360"/>
        <w:spacing w:after="0"/>
        <w:tabs>
          <w:tab w:leader="none" w:pos="1620" w:val="left"/>
        </w:tabs>
        <w:numPr>
          <w:ilvl w:val="0"/>
          <w:numId w:val="43"/>
        </w:numPr>
        <w:rPr>
          <w:rFonts w:ascii="Arial" w:cs="Arial" w:eastAsia="Arial" w:hAnsi="Arial"/>
          <w:sz w:val="27"/>
          <w:szCs w:val="27"/>
          <w:color w:val="auto"/>
          <w:vertAlign w:val="superscript"/>
        </w:rPr>
      </w:pPr>
      <w:r>
        <w:rPr>
          <w:rFonts w:ascii="Arial" w:cs="Arial" w:eastAsia="Arial" w:hAnsi="Arial"/>
          <w:sz w:val="18"/>
          <w:szCs w:val="18"/>
          <w:color w:val="auto"/>
        </w:rPr>
        <w:t>Final amounts paid were rounded to the nearest multiple of $5,000.</w:t>
      </w:r>
    </w:p>
    <w:p>
      <w:pPr>
        <w:spacing w:after="0" w:line="20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Long-Term Incentive Awards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Regular Annual Long-Term Incentive Awards.</w:t>
      </w:r>
    </w:p>
    <w:p>
      <w:pPr>
        <w:spacing w:after="0" w:line="156"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Based on Meridian’s compensation comparison study and as part of the market-based review by the Compensation Committee in January 2025, the regular annual LTIP target for Mr. Chiang was increased from 750% to 850%. No changes were made to the annual LTIP targets for the other NEOs. The 2025 annual LTIP targets for the Named Executive Officers, expressed as a percentage of base salary, and the value of the 2025 regular annual LTIP awards to the Named Executive Officers are set forth in the table below:</w:t>
      </w:r>
    </w:p>
    <w:p>
      <w:pPr>
        <w:spacing w:after="0" w:line="160" w:lineRule="exact"/>
        <w:rPr>
          <w:sz w:val="20"/>
          <w:szCs w:val="20"/>
          <w:color w:val="auto"/>
        </w:rPr>
      </w:pPr>
    </w:p>
    <w:tbl>
      <w:tblPr>
        <w:tblLayout w:type="fixed"/>
        <w:tblInd w:w="1270" w:type="dxa"/>
        <w:tblCellMar>
          <w:top w:w="0" w:type="dxa"/>
          <w:left w:w="0" w:type="dxa"/>
          <w:bottom w:w="0" w:type="dxa"/>
          <w:right w:w="0" w:type="dxa"/>
        </w:tblCellMar>
      </w:tblPr>
      <w:tr>
        <w:trPr>
          <w:trHeight w:val="247"/>
        </w:trPr>
        <w:tc>
          <w:tcPr>
            <w:tcW w:w="1580" w:type="dxa"/>
            <w:vAlign w:val="bottom"/>
            <w:tcBorders>
              <w:left w:val="single" w:sz="8" w:color="424E6A"/>
              <w:right w:val="single" w:sz="8" w:color="424E6A"/>
            </w:tcBorders>
            <w:shd w:val="clear" w:color="auto" w:fill="424E6A"/>
          </w:tcPr>
          <w:p>
            <w:pPr>
              <w:spacing w:after="0"/>
              <w:rPr>
                <w:sz w:val="21"/>
                <w:szCs w:val="21"/>
                <w:color w:val="auto"/>
              </w:rPr>
            </w:pPr>
          </w:p>
        </w:tc>
        <w:tc>
          <w:tcPr>
            <w:tcW w:w="11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Annual LTIP</w:t>
            </w:r>
          </w:p>
        </w:tc>
        <w:tc>
          <w:tcPr>
            <w:tcW w:w="140" w:type="dxa"/>
            <w:vAlign w:val="bottom"/>
            <w:tcBorders>
              <w:right w:val="single" w:sz="8" w:color="424E6A"/>
            </w:tcBorders>
            <w:shd w:val="clear" w:color="auto" w:fill="424E6A"/>
          </w:tcPr>
          <w:p>
            <w:pPr>
              <w:spacing w:after="0"/>
              <w:rPr>
                <w:sz w:val="21"/>
                <w:szCs w:val="21"/>
                <w:color w:val="auto"/>
              </w:rPr>
            </w:pPr>
          </w:p>
        </w:tc>
        <w:tc>
          <w:tcPr>
            <w:tcW w:w="1180" w:type="dxa"/>
            <w:vAlign w:val="bottom"/>
            <w:shd w:val="clear" w:color="auto" w:fill="424E6A"/>
          </w:tcPr>
          <w:p>
            <w:pPr>
              <w:spacing w:after="0"/>
              <w:rPr>
                <w:sz w:val="21"/>
                <w:szCs w:val="21"/>
                <w:color w:val="auto"/>
              </w:rPr>
            </w:pPr>
          </w:p>
        </w:tc>
        <w:tc>
          <w:tcPr>
            <w:tcW w:w="140" w:type="dxa"/>
            <w:vAlign w:val="bottom"/>
            <w:tcBorders>
              <w:right w:val="single" w:sz="8" w:color="424E6A"/>
            </w:tcBorders>
            <w:shd w:val="clear" w:color="auto" w:fill="424E6A"/>
          </w:tcPr>
          <w:p>
            <w:pPr>
              <w:spacing w:after="0"/>
              <w:rPr>
                <w:sz w:val="21"/>
                <w:szCs w:val="21"/>
                <w:color w:val="auto"/>
              </w:rPr>
            </w:pPr>
          </w:p>
        </w:tc>
        <w:tc>
          <w:tcPr>
            <w:tcW w:w="120" w:type="dxa"/>
            <w:vAlign w:val="bottom"/>
            <w:shd w:val="clear" w:color="auto" w:fill="424E6A"/>
          </w:tcPr>
          <w:p>
            <w:pPr>
              <w:spacing w:after="0"/>
              <w:rPr>
                <w:sz w:val="21"/>
                <w:szCs w:val="21"/>
                <w:color w:val="auto"/>
              </w:rPr>
            </w:pPr>
          </w:p>
        </w:tc>
        <w:tc>
          <w:tcPr>
            <w:tcW w:w="1060" w:type="dxa"/>
            <w:vAlign w:val="bottom"/>
            <w:shd w:val="clear" w:color="auto" w:fill="424E6A"/>
          </w:tcPr>
          <w:p>
            <w:pPr>
              <w:spacing w:after="0"/>
              <w:rPr>
                <w:sz w:val="21"/>
                <w:szCs w:val="21"/>
                <w:color w:val="auto"/>
              </w:rPr>
            </w:pPr>
          </w:p>
        </w:tc>
        <w:tc>
          <w:tcPr>
            <w:tcW w:w="160" w:type="dxa"/>
            <w:vAlign w:val="bottom"/>
            <w:tcBorders>
              <w:right w:val="single" w:sz="8" w:color="424E6A"/>
            </w:tcBorders>
            <w:shd w:val="clear" w:color="auto" w:fill="424E6A"/>
          </w:tcPr>
          <w:p>
            <w:pPr>
              <w:spacing w:after="0"/>
              <w:rPr>
                <w:sz w:val="21"/>
                <w:szCs w:val="21"/>
                <w:color w:val="auto"/>
              </w:rPr>
            </w:pPr>
          </w:p>
        </w:tc>
        <w:tc>
          <w:tcPr>
            <w:tcW w:w="120" w:type="dxa"/>
            <w:vAlign w:val="bottom"/>
            <w:shd w:val="clear" w:color="auto" w:fill="424E6A"/>
          </w:tcPr>
          <w:p>
            <w:pPr>
              <w:spacing w:after="0"/>
              <w:rPr>
                <w:sz w:val="21"/>
                <w:szCs w:val="21"/>
                <w:color w:val="auto"/>
              </w:rPr>
            </w:pPr>
          </w:p>
        </w:tc>
        <w:tc>
          <w:tcPr>
            <w:tcW w:w="1080" w:type="dxa"/>
            <w:vAlign w:val="bottom"/>
            <w:shd w:val="clear" w:color="auto" w:fill="424E6A"/>
          </w:tcPr>
          <w:p>
            <w:pPr>
              <w:spacing w:after="0"/>
              <w:rPr>
                <w:sz w:val="21"/>
                <w:szCs w:val="21"/>
                <w:color w:val="auto"/>
              </w:rPr>
            </w:pPr>
          </w:p>
        </w:tc>
        <w:tc>
          <w:tcPr>
            <w:tcW w:w="160" w:type="dxa"/>
            <w:vAlign w:val="bottom"/>
            <w:tcBorders>
              <w:right w:val="single" w:sz="8" w:color="424E6A"/>
            </w:tcBorders>
            <w:shd w:val="clear" w:color="auto" w:fill="424E6A"/>
          </w:tcPr>
          <w:p>
            <w:pPr>
              <w:spacing w:after="0"/>
              <w:rPr>
                <w:sz w:val="21"/>
                <w:szCs w:val="21"/>
                <w:color w:val="auto"/>
              </w:rPr>
            </w:pPr>
          </w:p>
        </w:tc>
        <w:tc>
          <w:tcPr>
            <w:tcW w:w="100" w:type="dxa"/>
            <w:vAlign w:val="bottom"/>
            <w:shd w:val="clear" w:color="auto" w:fill="424E6A"/>
          </w:tcPr>
          <w:p>
            <w:pPr>
              <w:spacing w:after="0"/>
              <w:rPr>
                <w:sz w:val="21"/>
                <w:szCs w:val="21"/>
                <w:color w:val="auto"/>
              </w:rPr>
            </w:pPr>
          </w:p>
        </w:tc>
        <w:tc>
          <w:tcPr>
            <w:tcW w:w="1200" w:type="dxa"/>
            <w:vAlign w:val="bottom"/>
            <w:tcBorders>
              <w:right w:val="single" w:sz="8" w:color="424E6A"/>
            </w:tcBorders>
            <w:shd w:val="clear" w:color="auto" w:fill="424E6A"/>
          </w:tcPr>
          <w:p>
            <w:pPr>
              <w:spacing w:after="0"/>
              <w:rPr>
                <w:sz w:val="21"/>
                <w:szCs w:val="21"/>
                <w:color w:val="auto"/>
              </w:rPr>
            </w:pPr>
          </w:p>
        </w:tc>
      </w:tr>
      <w:tr>
        <w:trPr>
          <w:trHeight w:val="162"/>
        </w:trPr>
        <w:tc>
          <w:tcPr>
            <w:tcW w:w="1580" w:type="dxa"/>
            <w:vAlign w:val="bottom"/>
            <w:tcBorders>
              <w:left w:val="single" w:sz="8" w:color="424E6A"/>
              <w:right w:val="single" w:sz="8" w:color="424E6A"/>
            </w:tcBorders>
            <w:shd w:val="clear" w:color="auto" w:fill="424E6A"/>
          </w:tcPr>
          <w:p>
            <w:pPr>
              <w:spacing w:after="0"/>
              <w:rPr>
                <w:sz w:val="14"/>
                <w:szCs w:val="14"/>
                <w:color w:val="auto"/>
              </w:rPr>
            </w:pPr>
          </w:p>
        </w:tc>
        <w:tc>
          <w:tcPr>
            <w:tcW w:w="1180" w:type="dxa"/>
            <w:vAlign w:val="bottom"/>
            <w:shd w:val="clear" w:color="auto" w:fill="424E6A"/>
          </w:tcPr>
          <w:p>
            <w:pPr>
              <w:jc w:val="center"/>
              <w:ind w:left="5"/>
              <w:spacing w:after="0"/>
              <w:rPr>
                <w:sz w:val="20"/>
                <w:szCs w:val="20"/>
                <w:color w:val="auto"/>
              </w:rPr>
            </w:pPr>
            <w:r>
              <w:rPr>
                <w:rFonts w:ascii="Arial" w:cs="Arial" w:eastAsia="Arial" w:hAnsi="Arial"/>
                <w:sz w:val="14"/>
                <w:szCs w:val="14"/>
                <w:b w:val="1"/>
                <w:bCs w:val="1"/>
                <w:color w:val="FFFFFF"/>
              </w:rPr>
              <w:t>Award Target</w:t>
            </w:r>
          </w:p>
        </w:tc>
        <w:tc>
          <w:tcPr>
            <w:tcW w:w="140" w:type="dxa"/>
            <w:vAlign w:val="bottom"/>
            <w:tcBorders>
              <w:right w:val="single" w:sz="8" w:color="424E6A"/>
            </w:tcBorders>
            <w:shd w:val="clear" w:color="auto" w:fill="424E6A"/>
          </w:tcPr>
          <w:p>
            <w:pPr>
              <w:spacing w:after="0"/>
              <w:rPr>
                <w:sz w:val="14"/>
                <w:szCs w:val="14"/>
                <w:color w:val="auto"/>
              </w:rPr>
            </w:pPr>
          </w:p>
        </w:tc>
        <w:tc>
          <w:tcPr>
            <w:tcW w:w="1180" w:type="dxa"/>
            <w:vAlign w:val="bottom"/>
            <w:shd w:val="clear" w:color="auto" w:fill="424E6A"/>
          </w:tcPr>
          <w:p>
            <w:pPr>
              <w:spacing w:after="0"/>
              <w:rPr>
                <w:sz w:val="14"/>
                <w:szCs w:val="14"/>
                <w:color w:val="auto"/>
              </w:rPr>
            </w:pPr>
          </w:p>
        </w:tc>
        <w:tc>
          <w:tcPr>
            <w:tcW w:w="140" w:type="dxa"/>
            <w:vAlign w:val="bottom"/>
            <w:tcBorders>
              <w:right w:val="single" w:sz="8" w:color="424E6A"/>
            </w:tcBorders>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1060" w:type="dxa"/>
            <w:vAlign w:val="bottom"/>
            <w:shd w:val="clear" w:color="auto" w:fill="424E6A"/>
          </w:tcPr>
          <w:p>
            <w:pPr>
              <w:spacing w:after="0"/>
              <w:rPr>
                <w:sz w:val="14"/>
                <w:szCs w:val="14"/>
                <w:color w:val="auto"/>
              </w:rPr>
            </w:pPr>
          </w:p>
        </w:tc>
        <w:tc>
          <w:tcPr>
            <w:tcW w:w="160" w:type="dxa"/>
            <w:vAlign w:val="bottom"/>
            <w:tcBorders>
              <w:right w:val="single" w:sz="8" w:color="424E6A"/>
            </w:tcBorders>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1080" w:type="dxa"/>
            <w:vAlign w:val="bottom"/>
            <w:shd w:val="clear" w:color="auto" w:fill="424E6A"/>
          </w:tcPr>
          <w:p>
            <w:pPr>
              <w:spacing w:after="0"/>
              <w:rPr>
                <w:sz w:val="14"/>
                <w:szCs w:val="14"/>
                <w:color w:val="auto"/>
              </w:rPr>
            </w:pPr>
          </w:p>
        </w:tc>
        <w:tc>
          <w:tcPr>
            <w:tcW w:w="16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200" w:type="dxa"/>
            <w:vAlign w:val="bottom"/>
            <w:tcBorders>
              <w:right w:val="single" w:sz="8" w:color="424E6A"/>
            </w:tcBorders>
            <w:shd w:val="clear" w:color="auto" w:fill="424E6A"/>
          </w:tcPr>
          <w:p>
            <w:pPr>
              <w:jc w:val="center"/>
              <w:ind w:right="38"/>
              <w:spacing w:after="0"/>
              <w:rPr>
                <w:sz w:val="20"/>
                <w:szCs w:val="20"/>
                <w:color w:val="auto"/>
              </w:rPr>
            </w:pPr>
            <w:r>
              <w:rPr>
                <w:rFonts w:ascii="Arial" w:cs="Arial" w:eastAsia="Arial" w:hAnsi="Arial"/>
                <w:sz w:val="14"/>
                <w:szCs w:val="14"/>
                <w:b w:val="1"/>
                <w:bCs w:val="1"/>
                <w:color w:val="FFFFFF"/>
              </w:rPr>
              <w:t>Performance-</w:t>
            </w:r>
          </w:p>
        </w:tc>
      </w:tr>
      <w:tr>
        <w:trPr>
          <w:trHeight w:val="162"/>
        </w:trPr>
        <w:tc>
          <w:tcPr>
            <w:tcW w:w="1580" w:type="dxa"/>
            <w:vAlign w:val="bottom"/>
            <w:tcBorders>
              <w:left w:val="single" w:sz="8" w:color="424E6A"/>
              <w:right w:val="single" w:sz="8" w:color="424E6A"/>
            </w:tcBorders>
            <w:shd w:val="clear" w:color="auto" w:fill="424E6A"/>
          </w:tcPr>
          <w:p>
            <w:pPr>
              <w:spacing w:after="0"/>
              <w:rPr>
                <w:sz w:val="14"/>
                <w:szCs w:val="14"/>
                <w:color w:val="auto"/>
              </w:rPr>
            </w:pPr>
          </w:p>
        </w:tc>
        <w:tc>
          <w:tcPr>
            <w:tcW w:w="1180" w:type="dxa"/>
            <w:vAlign w:val="bottom"/>
            <w:shd w:val="clear" w:color="auto" w:fill="424E6A"/>
          </w:tcPr>
          <w:p>
            <w:pPr>
              <w:jc w:val="center"/>
              <w:ind w:left="5"/>
              <w:spacing w:after="0"/>
              <w:rPr>
                <w:sz w:val="20"/>
                <w:szCs w:val="20"/>
                <w:color w:val="auto"/>
              </w:rPr>
            </w:pPr>
            <w:r>
              <w:rPr>
                <w:rFonts w:ascii="Arial" w:cs="Arial" w:eastAsia="Arial" w:hAnsi="Arial"/>
                <w:sz w:val="14"/>
                <w:szCs w:val="14"/>
                <w:b w:val="1"/>
                <w:bCs w:val="1"/>
                <w:color w:val="FFFFFF"/>
              </w:rPr>
              <w:t>Value (as</w:t>
            </w:r>
          </w:p>
        </w:tc>
        <w:tc>
          <w:tcPr>
            <w:tcW w:w="140" w:type="dxa"/>
            <w:vAlign w:val="bottom"/>
            <w:tcBorders>
              <w:right w:val="single" w:sz="8" w:color="424E6A"/>
            </w:tcBorders>
            <w:shd w:val="clear" w:color="auto" w:fill="424E6A"/>
          </w:tcPr>
          <w:p>
            <w:pPr>
              <w:spacing w:after="0"/>
              <w:rPr>
                <w:sz w:val="14"/>
                <w:szCs w:val="14"/>
                <w:color w:val="auto"/>
              </w:rPr>
            </w:pPr>
          </w:p>
        </w:tc>
        <w:tc>
          <w:tcPr>
            <w:tcW w:w="1180" w:type="dxa"/>
            <w:vAlign w:val="bottom"/>
            <w:shd w:val="clear" w:color="auto" w:fill="424E6A"/>
          </w:tcPr>
          <w:p>
            <w:pPr>
              <w:ind w:left="200"/>
              <w:spacing w:after="0"/>
              <w:rPr>
                <w:sz w:val="20"/>
                <w:szCs w:val="20"/>
                <w:color w:val="auto"/>
              </w:rPr>
            </w:pPr>
            <w:r>
              <w:rPr>
                <w:rFonts w:ascii="Arial" w:cs="Arial" w:eastAsia="Arial" w:hAnsi="Arial"/>
                <w:sz w:val="14"/>
                <w:szCs w:val="14"/>
                <w:b w:val="1"/>
                <w:bCs w:val="1"/>
                <w:color w:val="FFFFFF"/>
              </w:rPr>
              <w:t>2025 Annual</w:t>
            </w:r>
          </w:p>
        </w:tc>
        <w:tc>
          <w:tcPr>
            <w:tcW w:w="140" w:type="dxa"/>
            <w:vAlign w:val="bottom"/>
            <w:tcBorders>
              <w:right w:val="single" w:sz="8" w:color="424E6A"/>
            </w:tcBorders>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10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2025 Annual</w:t>
            </w:r>
          </w:p>
        </w:tc>
        <w:tc>
          <w:tcPr>
            <w:tcW w:w="160" w:type="dxa"/>
            <w:vAlign w:val="bottom"/>
            <w:tcBorders>
              <w:right w:val="single" w:sz="8" w:color="424E6A"/>
            </w:tcBorders>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10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Time-Based</w:t>
            </w:r>
          </w:p>
        </w:tc>
        <w:tc>
          <w:tcPr>
            <w:tcW w:w="16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200" w:type="dxa"/>
            <w:vAlign w:val="bottom"/>
            <w:tcBorders>
              <w:right w:val="single" w:sz="8" w:color="424E6A"/>
            </w:tcBorders>
            <w:shd w:val="clear" w:color="auto" w:fill="424E6A"/>
          </w:tcPr>
          <w:p>
            <w:pPr>
              <w:jc w:val="center"/>
              <w:ind w:right="58"/>
              <w:spacing w:after="0"/>
              <w:rPr>
                <w:sz w:val="20"/>
                <w:szCs w:val="20"/>
                <w:color w:val="auto"/>
              </w:rPr>
            </w:pPr>
            <w:r>
              <w:rPr>
                <w:rFonts w:ascii="Arial" w:cs="Arial" w:eastAsia="Arial" w:hAnsi="Arial"/>
                <w:sz w:val="14"/>
                <w:szCs w:val="14"/>
                <w:b w:val="1"/>
                <w:bCs w:val="1"/>
                <w:color w:val="FFFFFF"/>
                <w:w w:val="99"/>
              </w:rPr>
              <w:t>Based</w:t>
            </w:r>
          </w:p>
        </w:tc>
      </w:tr>
      <w:tr>
        <w:trPr>
          <w:trHeight w:val="162"/>
        </w:trPr>
        <w:tc>
          <w:tcPr>
            <w:tcW w:w="1580" w:type="dxa"/>
            <w:vAlign w:val="bottom"/>
            <w:tcBorders>
              <w:left w:val="single" w:sz="8" w:color="424E6A"/>
              <w:righ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Named Executive</w:t>
            </w:r>
          </w:p>
        </w:tc>
        <w:tc>
          <w:tcPr>
            <w:tcW w:w="1180" w:type="dxa"/>
            <w:vAlign w:val="bottom"/>
            <w:shd w:val="clear" w:color="auto" w:fill="424E6A"/>
          </w:tcPr>
          <w:p>
            <w:pPr>
              <w:jc w:val="center"/>
              <w:ind w:left="5"/>
              <w:spacing w:after="0"/>
              <w:rPr>
                <w:sz w:val="20"/>
                <w:szCs w:val="20"/>
                <w:color w:val="auto"/>
              </w:rPr>
            </w:pPr>
            <w:r>
              <w:rPr>
                <w:rFonts w:ascii="Arial" w:cs="Arial" w:eastAsia="Arial" w:hAnsi="Arial"/>
                <w:sz w:val="14"/>
                <w:szCs w:val="14"/>
                <w:b w:val="1"/>
                <w:bCs w:val="1"/>
                <w:color w:val="FFFFFF"/>
              </w:rPr>
              <w:t>a percentage of</w:t>
            </w:r>
          </w:p>
        </w:tc>
        <w:tc>
          <w:tcPr>
            <w:tcW w:w="140" w:type="dxa"/>
            <w:vAlign w:val="bottom"/>
            <w:tcBorders>
              <w:right w:val="single" w:sz="8" w:color="424E6A"/>
            </w:tcBorders>
            <w:shd w:val="clear" w:color="auto" w:fill="424E6A"/>
          </w:tcPr>
          <w:p>
            <w:pPr>
              <w:spacing w:after="0"/>
              <w:rPr>
                <w:sz w:val="14"/>
                <w:szCs w:val="14"/>
                <w:color w:val="auto"/>
              </w:rPr>
            </w:pPr>
          </w:p>
        </w:tc>
        <w:tc>
          <w:tcPr>
            <w:tcW w:w="11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LTIP Award</w:t>
            </w:r>
          </w:p>
        </w:tc>
        <w:tc>
          <w:tcPr>
            <w:tcW w:w="140" w:type="dxa"/>
            <w:vAlign w:val="bottom"/>
            <w:tcBorders>
              <w:right w:val="single" w:sz="8" w:color="424E6A"/>
            </w:tcBorders>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10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Phantom Units</w:t>
            </w:r>
          </w:p>
        </w:tc>
        <w:tc>
          <w:tcPr>
            <w:tcW w:w="160" w:type="dxa"/>
            <w:vAlign w:val="bottom"/>
            <w:tcBorders>
              <w:right w:val="single" w:sz="8" w:color="424E6A"/>
            </w:tcBorders>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10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Phantom Units</w:t>
            </w:r>
          </w:p>
        </w:tc>
        <w:tc>
          <w:tcPr>
            <w:tcW w:w="16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200" w:type="dxa"/>
            <w:vAlign w:val="bottom"/>
            <w:tcBorders>
              <w:right w:val="single" w:sz="8" w:color="424E6A"/>
            </w:tcBorders>
            <w:shd w:val="clear" w:color="auto" w:fill="424E6A"/>
          </w:tcPr>
          <w:p>
            <w:pPr>
              <w:jc w:val="center"/>
              <w:ind w:right="58"/>
              <w:spacing w:after="0"/>
              <w:rPr>
                <w:sz w:val="20"/>
                <w:szCs w:val="20"/>
                <w:color w:val="auto"/>
              </w:rPr>
            </w:pPr>
            <w:r>
              <w:rPr>
                <w:rFonts w:ascii="Arial" w:cs="Arial" w:eastAsia="Arial" w:hAnsi="Arial"/>
                <w:sz w:val="14"/>
                <w:szCs w:val="14"/>
                <w:b w:val="1"/>
                <w:bCs w:val="1"/>
                <w:color w:val="FFFFFF"/>
              </w:rPr>
              <w:t>Phantom Units</w:t>
            </w:r>
          </w:p>
        </w:tc>
      </w:tr>
      <w:tr>
        <w:trPr>
          <w:trHeight w:val="212"/>
        </w:trPr>
        <w:tc>
          <w:tcPr>
            <w:tcW w:w="1580" w:type="dxa"/>
            <w:vAlign w:val="bottom"/>
            <w:tcBorders>
              <w:left w:val="single" w:sz="8" w:color="424E6A"/>
              <w:righ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Officer</w:t>
            </w:r>
          </w:p>
        </w:tc>
        <w:tc>
          <w:tcPr>
            <w:tcW w:w="1180" w:type="dxa"/>
            <w:vAlign w:val="bottom"/>
            <w:shd w:val="clear" w:color="auto" w:fill="424E6A"/>
          </w:tcPr>
          <w:p>
            <w:pPr>
              <w:jc w:val="center"/>
              <w:ind w:left="25"/>
              <w:spacing w:after="0"/>
              <w:rPr>
                <w:sz w:val="20"/>
                <w:szCs w:val="20"/>
                <w:color w:val="auto"/>
              </w:rPr>
            </w:pPr>
            <w:r>
              <w:rPr>
                <w:rFonts w:ascii="Arial" w:cs="Arial" w:eastAsia="Arial" w:hAnsi="Arial"/>
                <w:sz w:val="14"/>
                <w:szCs w:val="14"/>
                <w:b w:val="1"/>
                <w:bCs w:val="1"/>
                <w:color w:val="FFFFFF"/>
              </w:rPr>
              <w:t>base salary)</w:t>
            </w:r>
          </w:p>
        </w:tc>
        <w:tc>
          <w:tcPr>
            <w:tcW w:w="140" w:type="dxa"/>
            <w:vAlign w:val="bottom"/>
            <w:tcBorders>
              <w:right w:val="single" w:sz="8" w:color="424E6A"/>
            </w:tcBorders>
            <w:shd w:val="clear" w:color="auto" w:fill="424E6A"/>
          </w:tcPr>
          <w:p>
            <w:pPr>
              <w:spacing w:after="0"/>
              <w:rPr>
                <w:sz w:val="18"/>
                <w:szCs w:val="18"/>
                <w:color w:val="auto"/>
              </w:rPr>
            </w:pPr>
          </w:p>
        </w:tc>
        <w:tc>
          <w:tcPr>
            <w:tcW w:w="1180" w:type="dxa"/>
            <w:vAlign w:val="bottom"/>
            <w:shd w:val="clear" w:color="auto" w:fill="424E6A"/>
          </w:tcPr>
          <w:p>
            <w:pPr>
              <w:jc w:val="center"/>
              <w:ind w:left="5"/>
              <w:spacing w:after="0"/>
              <w:rPr>
                <w:sz w:val="20"/>
                <w:szCs w:val="20"/>
                <w:color w:val="auto"/>
              </w:rPr>
            </w:pPr>
            <w:r>
              <w:rPr>
                <w:rFonts w:ascii="Arial" w:cs="Arial" w:eastAsia="Arial" w:hAnsi="Arial"/>
                <w:sz w:val="14"/>
                <w:szCs w:val="14"/>
                <w:b w:val="1"/>
                <w:bCs w:val="1"/>
                <w:color w:val="FFFFFF"/>
              </w:rPr>
              <w:t>Target Value ($)</w:t>
            </w:r>
          </w:p>
        </w:tc>
        <w:tc>
          <w:tcPr>
            <w:tcW w:w="26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10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4"/>
              </w:rPr>
              <w:t>Granted</w:t>
            </w:r>
            <w:r>
              <w:rPr>
                <w:rFonts w:ascii="Arial" w:cs="Arial" w:eastAsia="Arial" w:hAnsi="Arial"/>
                <w:sz w:val="17"/>
                <w:szCs w:val="17"/>
                <w:b w:val="1"/>
                <w:bCs w:val="1"/>
                <w:color w:val="FFFFFF"/>
                <w:w w:val="94"/>
                <w:vertAlign w:val="superscript"/>
              </w:rPr>
              <w:t>(1)</w:t>
            </w:r>
          </w:p>
        </w:tc>
        <w:tc>
          <w:tcPr>
            <w:tcW w:w="28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10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(50%)</w:t>
            </w:r>
          </w:p>
        </w:tc>
        <w:tc>
          <w:tcPr>
            <w:tcW w:w="26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1200" w:type="dxa"/>
            <w:vAlign w:val="bottom"/>
            <w:tcBorders>
              <w:right w:val="single" w:sz="8" w:color="424E6A"/>
            </w:tcBorders>
            <w:shd w:val="clear" w:color="auto" w:fill="424E6A"/>
          </w:tcPr>
          <w:p>
            <w:pPr>
              <w:jc w:val="center"/>
              <w:ind w:right="18"/>
              <w:spacing w:after="0"/>
              <w:rPr>
                <w:sz w:val="20"/>
                <w:szCs w:val="20"/>
                <w:color w:val="auto"/>
              </w:rPr>
            </w:pPr>
            <w:r>
              <w:rPr>
                <w:rFonts w:ascii="Arial" w:cs="Arial" w:eastAsia="Arial" w:hAnsi="Arial"/>
                <w:sz w:val="14"/>
                <w:szCs w:val="14"/>
                <w:b w:val="1"/>
                <w:bCs w:val="1"/>
                <w:color w:val="FFFFFF"/>
              </w:rPr>
              <w:t>(50%)</w:t>
            </w:r>
          </w:p>
        </w:tc>
      </w:tr>
      <w:tr>
        <w:trPr>
          <w:trHeight w:val="256"/>
        </w:trPr>
        <w:tc>
          <w:tcPr>
            <w:tcW w:w="1580" w:type="dxa"/>
            <w:vAlign w:val="bottom"/>
            <w:tcBorders>
              <w:left w:val="single" w:sz="8" w:color="424E6A"/>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Willie Chiang</w:t>
            </w:r>
          </w:p>
        </w:tc>
        <w:tc>
          <w:tcPr>
            <w:tcW w:w="1180" w:type="dxa"/>
            <w:vAlign w:val="bottom"/>
            <w:tcBorders>
              <w:bottom w:val="single" w:sz="8" w:color="424E6A"/>
            </w:tcBorders>
            <w:shd w:val="clear" w:color="auto" w:fill="D9DCE1"/>
          </w:tcPr>
          <w:p>
            <w:pPr>
              <w:ind w:left="48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850%</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424E6A"/>
            </w:tcBorders>
            <w:shd w:val="clear" w:color="auto" w:fill="D9DCE1"/>
          </w:tcPr>
          <w:p>
            <w:pPr>
              <w:jc w:val="center"/>
              <w:ind w:left="25"/>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$7,650,000</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24E6A"/>
            </w:tcBorders>
            <w:shd w:val="clear" w:color="auto" w:fill="D9DCE1"/>
          </w:tcPr>
          <w:p>
            <w:pPr>
              <w:jc w:val="cente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417,350</w:t>
            </w:r>
          </w:p>
        </w:tc>
        <w:tc>
          <w:tcPr>
            <w:tcW w:w="16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424E6A"/>
            </w:tcBorders>
            <w:shd w:val="clear" w:color="auto" w:fill="D9DCE1"/>
          </w:tcPr>
          <w:p>
            <w:pPr>
              <w:jc w:val="cente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208,675</w:t>
            </w:r>
          </w:p>
        </w:tc>
        <w:tc>
          <w:tcPr>
            <w:tcW w:w="16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208,675</w:t>
            </w:r>
          </w:p>
        </w:tc>
      </w:tr>
      <w:tr>
        <w:trPr>
          <w:trHeight w:val="250"/>
        </w:trPr>
        <w:tc>
          <w:tcPr>
            <w:tcW w:w="1580" w:type="dxa"/>
            <w:vAlign w:val="bottom"/>
            <w:tcBorders>
              <w:left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8"/>
                <w:szCs w:val="18"/>
                <w:color w:val="auto"/>
              </w:rPr>
              <w:t>Al Swanson</w:t>
            </w:r>
          </w:p>
        </w:tc>
        <w:tc>
          <w:tcPr>
            <w:tcW w:w="1180" w:type="dxa"/>
            <w:vAlign w:val="bottom"/>
            <w:tcBorders>
              <w:bottom w:val="single" w:sz="8" w:color="424E6A"/>
            </w:tcBorders>
          </w:tcPr>
          <w:p>
            <w:pPr>
              <w:ind w:left="4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350%</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424E6A"/>
            </w:tcBorders>
          </w:tcPr>
          <w:p>
            <w:pPr>
              <w:jc w:val="center"/>
              <w:ind w:left="25"/>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$1,995,000</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108,850</w:t>
            </w:r>
          </w:p>
        </w:tc>
        <w:tc>
          <w:tcPr>
            <w:tcW w:w="16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54,425</w:t>
            </w:r>
          </w:p>
        </w:tc>
        <w:tc>
          <w:tcPr>
            <w:tcW w:w="16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54,425</w:t>
            </w:r>
          </w:p>
        </w:tc>
      </w:tr>
      <w:tr>
        <w:trPr>
          <w:trHeight w:val="250"/>
        </w:trPr>
        <w:tc>
          <w:tcPr>
            <w:tcW w:w="1580" w:type="dxa"/>
            <w:vAlign w:val="bottom"/>
            <w:tcBorders>
              <w:left w:val="single" w:sz="8" w:color="424E6A"/>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Richard McGee</w:t>
            </w:r>
          </w:p>
        </w:tc>
        <w:tc>
          <w:tcPr>
            <w:tcW w:w="1180" w:type="dxa"/>
            <w:vAlign w:val="bottom"/>
            <w:tcBorders>
              <w:bottom w:val="single" w:sz="8" w:color="424E6A"/>
            </w:tcBorders>
            <w:shd w:val="clear" w:color="auto" w:fill="D9DCE1"/>
          </w:tcPr>
          <w:p>
            <w:pPr>
              <w:ind w:left="4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350%</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424E6A"/>
            </w:tcBorders>
            <w:shd w:val="clear" w:color="auto" w:fill="D9DCE1"/>
          </w:tcPr>
          <w:p>
            <w:pPr>
              <w:jc w:val="center"/>
              <w:ind w:left="25"/>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$2,065,000</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24E6A"/>
            </w:tcBorders>
            <w:shd w:val="clear" w:color="auto" w:fill="D9DCE1"/>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112,650</w:t>
            </w:r>
          </w:p>
        </w:tc>
        <w:tc>
          <w:tcPr>
            <w:tcW w:w="16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424E6A"/>
            </w:tcBorders>
            <w:shd w:val="clear" w:color="auto" w:fill="D9DCE1"/>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56,325</w:t>
            </w:r>
          </w:p>
        </w:tc>
        <w:tc>
          <w:tcPr>
            <w:tcW w:w="16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56,325</w:t>
            </w:r>
          </w:p>
        </w:tc>
      </w:tr>
      <w:tr>
        <w:trPr>
          <w:trHeight w:val="250"/>
        </w:trPr>
        <w:tc>
          <w:tcPr>
            <w:tcW w:w="1580" w:type="dxa"/>
            <w:vAlign w:val="bottom"/>
            <w:tcBorders>
              <w:left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8"/>
                <w:szCs w:val="18"/>
                <w:color w:val="auto"/>
              </w:rPr>
              <w:t>Chris Chandler</w:t>
            </w:r>
          </w:p>
        </w:tc>
        <w:tc>
          <w:tcPr>
            <w:tcW w:w="1180" w:type="dxa"/>
            <w:vAlign w:val="bottom"/>
            <w:tcBorders>
              <w:bottom w:val="single" w:sz="8" w:color="424E6A"/>
            </w:tcBorders>
          </w:tcPr>
          <w:p>
            <w:pPr>
              <w:ind w:left="4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425%</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424E6A"/>
            </w:tcBorders>
          </w:tcPr>
          <w:p>
            <w:pPr>
              <w:jc w:val="center"/>
              <w:ind w:left="25"/>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$2,656,000</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144,900</w:t>
            </w:r>
          </w:p>
        </w:tc>
        <w:tc>
          <w:tcPr>
            <w:tcW w:w="16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72,450</w:t>
            </w:r>
          </w:p>
        </w:tc>
        <w:tc>
          <w:tcPr>
            <w:tcW w:w="16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72,450</w:t>
            </w:r>
          </w:p>
        </w:tc>
      </w:tr>
      <w:tr>
        <w:trPr>
          <w:trHeight w:val="250"/>
        </w:trPr>
        <w:tc>
          <w:tcPr>
            <w:tcW w:w="1580" w:type="dxa"/>
            <w:vAlign w:val="bottom"/>
            <w:tcBorders>
              <w:left w:val="single" w:sz="8" w:color="424E6A"/>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Jeremy Goebel</w:t>
            </w:r>
          </w:p>
        </w:tc>
        <w:tc>
          <w:tcPr>
            <w:tcW w:w="1180" w:type="dxa"/>
            <w:vAlign w:val="bottom"/>
            <w:tcBorders>
              <w:bottom w:val="single" w:sz="8" w:color="424E6A"/>
            </w:tcBorders>
            <w:shd w:val="clear" w:color="auto" w:fill="D9DCE1"/>
          </w:tcPr>
          <w:p>
            <w:pPr>
              <w:ind w:left="4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425%</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424E6A"/>
            </w:tcBorders>
            <w:shd w:val="clear" w:color="auto" w:fill="D9DCE1"/>
          </w:tcPr>
          <w:p>
            <w:pPr>
              <w:jc w:val="center"/>
              <w:ind w:left="25"/>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$2,656,000</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24E6A"/>
            </w:tcBorders>
            <w:shd w:val="clear" w:color="auto" w:fill="D9DCE1"/>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144,900</w:t>
            </w:r>
          </w:p>
        </w:tc>
        <w:tc>
          <w:tcPr>
            <w:tcW w:w="16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424E6A"/>
            </w:tcBorders>
            <w:shd w:val="clear" w:color="auto" w:fill="D9DCE1"/>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72,450</w:t>
            </w:r>
          </w:p>
        </w:tc>
        <w:tc>
          <w:tcPr>
            <w:tcW w:w="16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72,450</w:t>
            </w:r>
          </w:p>
        </w:tc>
      </w:tr>
    </w:tbl>
    <w:p>
      <w:pPr>
        <w:spacing w:after="0" w:line="157" w:lineRule="exact"/>
        <w:rPr>
          <w:sz w:val="20"/>
          <w:szCs w:val="20"/>
          <w:color w:val="auto"/>
        </w:rPr>
      </w:pPr>
    </w:p>
    <w:p>
      <w:pPr>
        <w:ind w:left="1620" w:right="819" w:hanging="360"/>
        <w:spacing w:after="0" w:line="222" w:lineRule="auto"/>
        <w:tabs>
          <w:tab w:leader="none" w:pos="1620" w:val="left"/>
        </w:tabs>
        <w:numPr>
          <w:ilvl w:val="0"/>
          <w:numId w:val="44"/>
        </w:numPr>
        <w:rPr>
          <w:rFonts w:ascii="Arial" w:cs="Arial" w:eastAsia="Arial" w:hAnsi="Arial"/>
          <w:sz w:val="27"/>
          <w:szCs w:val="27"/>
          <w:color w:val="auto"/>
          <w:vertAlign w:val="superscript"/>
        </w:rPr>
      </w:pPr>
      <w:r>
        <w:rPr>
          <w:rFonts w:ascii="Arial" w:cs="Arial" w:eastAsia="Arial" w:hAnsi="Arial"/>
          <w:sz w:val="18"/>
          <w:szCs w:val="18"/>
          <w:color w:val="auto"/>
        </w:rPr>
        <w:t>Based on a volume weighted average price per unit for the 10-trading day period beginning five days before and ending five days after the ex-dividend date for the August 2025 distribution ($18.33).</w:t>
      </w:r>
    </w:p>
    <w:p>
      <w:pPr>
        <w:spacing w:after="0" w:line="126"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8"/>
          <w:szCs w:val="18"/>
          <w:color w:val="auto"/>
        </w:rPr>
        <w:t>The 2025 time-based phantom units will vest (become payable 1-for-1 in PAA common units) on the August 2028 distribution date. The performance-based phantom units will potentially vest on the August 2028 distribution date at a scaled payout range of between 0% to 200% based on:</w:t>
      </w:r>
    </w:p>
    <w:p>
      <w:pPr>
        <w:spacing w:after="0" w:line="90" w:lineRule="exact"/>
        <w:rPr>
          <w:sz w:val="20"/>
          <w:szCs w:val="20"/>
          <w:color w:val="auto"/>
        </w:rPr>
      </w:pPr>
    </w:p>
    <w:p>
      <w:pPr>
        <w:ind w:left="1980" w:right="499" w:hanging="360"/>
        <w:spacing w:after="0" w:line="259"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Relative TSR with Negative TSR Modifier (50% weighting)</w:t>
      </w:r>
      <w:r>
        <w:rPr>
          <w:rFonts w:ascii="Arial" w:cs="Arial" w:eastAsia="Arial" w:hAnsi="Arial"/>
          <w:sz w:val="18"/>
          <w:szCs w:val="18"/>
          <w:color w:val="auto"/>
        </w:rPr>
        <w:t xml:space="preserve">: PAA’s TSR measured over the three-year period ending June 30, 2028 compared to the TSR of the TSR Comparator Peer Group identified on page </w:t>
      </w:r>
      <w:r>
        <w:rPr>
          <w:rFonts w:ascii="Arial" w:cs="Arial" w:eastAsia="Arial" w:hAnsi="Arial"/>
          <w:sz w:val="18"/>
          <w:szCs w:val="18"/>
          <w:u w:val="single" w:color="auto"/>
          <w:color w:val="0000EE"/>
        </w:rPr>
        <w:t>31</w:t>
      </w:r>
      <w:r>
        <w:rPr>
          <w:rFonts w:ascii="Arial" w:cs="Arial" w:eastAsia="Arial" w:hAnsi="Arial"/>
          <w:sz w:val="18"/>
          <w:szCs w:val="18"/>
          <w:color w:val="auto"/>
        </w:rPr>
        <w:t xml:space="preserve"> (if PAA’s relative TSR results in a payout of over 100%, but actual TSR is negative, the payout on this portion of the award will be reduced by 25 basis points, but not below 100%); and</w:t>
      </w:r>
    </w:p>
    <w:p>
      <w:pPr>
        <w:spacing w:after="0" w:line="111" w:lineRule="exact"/>
        <w:rPr>
          <w:rFonts w:ascii="Arial" w:cs="Arial" w:eastAsia="Arial" w:hAnsi="Arial"/>
          <w:sz w:val="18"/>
          <w:szCs w:val="18"/>
          <w:color w:val="auto"/>
        </w:rPr>
      </w:pPr>
    </w:p>
    <w:p>
      <w:pPr>
        <w:ind w:left="1980" w:right="479" w:hanging="360"/>
        <w:spacing w:after="0" w:line="262"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DCF per CUE with Leverage Modifier (50% weighting)</w:t>
      </w:r>
      <w:r>
        <w:rPr>
          <w:rFonts w:ascii="Arial" w:cs="Arial" w:eastAsia="Arial" w:hAnsi="Arial"/>
          <w:sz w:val="18"/>
          <w:szCs w:val="18"/>
          <w:color w:val="auto"/>
        </w:rPr>
        <w:t>: PAA achieving cumulative DCF per CUE of $8.40 over the three-year period ending June 30, 2028 (payout may be decreased by 25 basis points if PAA’s leverage ratio as of June 30, 2028 is higher than the leverage ratio that equals the upper end of our then applicable leverage guidance range).</w:t>
      </w:r>
    </w:p>
    <w:p>
      <w:pPr>
        <w:sectPr>
          <w:pgSz w:w="11900" w:h="16838" w:orient="portrait"/>
          <w:cols w:equalWidth="0" w:num="1">
            <w:col w:w="9879"/>
          </w:cols>
          <w:pgMar w:left="580" w:top="97" w:right="1440" w:bottom="1440" w:gutter="0" w:footer="0" w:header="0"/>
        </w:sectPr>
      </w:pP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59" w:firstLine="360"/>
        <w:spacing w:after="0" w:line="266" w:lineRule="auto"/>
        <w:rPr>
          <w:sz w:val="20"/>
          <w:szCs w:val="20"/>
          <w:color w:val="auto"/>
        </w:rPr>
      </w:pPr>
      <w:r>
        <w:rPr>
          <w:rFonts w:ascii="Arial" w:cs="Arial" w:eastAsia="Arial" w:hAnsi="Arial"/>
          <w:sz w:val="18"/>
          <w:szCs w:val="18"/>
          <w:color w:val="auto"/>
        </w:rPr>
        <w:t>DERs associated with the time-based phantom units will accrue for the first year and such accrued amount will be paid in cash in a lump sum on the August 2026 distribution date; beginning in November 2026, DERs on such time-based phantom units will be paid quarterly until the associated phantom units vest. DERs associated with the performance-based phantom units will accrue during the three-year performance period and be paid in cash in a lump sum on the August 2028 distribution date with respect to the number of such phantom units, if any, that vest on such date. See the “Grants of Plan Based Awards” table” and the “Outstanding Equity Awards at Fiscal Year-End” table below for additional information regarding the 2025 annual grants.</w:t>
      </w:r>
    </w:p>
    <w:p>
      <w:pPr>
        <w:spacing w:after="0" w:line="19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Other Long-Term Incentive Award Actions</w:t>
      </w:r>
    </w:p>
    <w:p>
      <w:pPr>
        <w:spacing w:after="0" w:line="142"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i w:val="1"/>
          <w:iCs w:val="1"/>
          <w:u w:val="single" w:color="auto"/>
          <w:color w:val="auto"/>
        </w:rPr>
        <w:t>Extension of CEO 2018 Promotional Grant</w:t>
      </w:r>
      <w:r>
        <w:rPr>
          <w:rFonts w:ascii="Arial" w:cs="Arial" w:eastAsia="Arial" w:hAnsi="Arial"/>
          <w:sz w:val="18"/>
          <w:szCs w:val="18"/>
          <w:color w:val="auto"/>
        </w:rPr>
        <w:t>. To support the retention of Mr. Chiang as CEO for up to</w:t>
      </w:r>
      <w:r>
        <w:rPr>
          <w:rFonts w:ascii="Arial" w:cs="Arial" w:eastAsia="Arial" w:hAnsi="Arial"/>
          <w:sz w:val="18"/>
          <w:szCs w:val="18"/>
          <w:i w:val="1"/>
          <w:iCs w:val="1"/>
          <w:color w:val="auto"/>
        </w:rPr>
        <w:t xml:space="preserve"> </w:t>
      </w:r>
      <w:r>
        <w:rPr>
          <w:rFonts w:ascii="Arial" w:cs="Arial" w:eastAsia="Arial" w:hAnsi="Arial"/>
          <w:sz w:val="18"/>
          <w:szCs w:val="18"/>
          <w:color w:val="auto"/>
        </w:rPr>
        <w:t>five more years, continued execution of key strategic initiatives and the development of potential successors, the Board approved an extension of the existing long-term incentive award granted to</w:t>
      </w:r>
    </w:p>
    <w:p>
      <w:pPr>
        <w:spacing w:after="0" w:line="1" w:lineRule="exact"/>
        <w:rPr>
          <w:sz w:val="20"/>
          <w:szCs w:val="20"/>
          <w:color w:val="auto"/>
        </w:rPr>
      </w:pPr>
    </w:p>
    <w:p>
      <w:pPr>
        <w:ind w:left="1260" w:right="519"/>
        <w:spacing w:after="0" w:line="253" w:lineRule="auto"/>
        <w:rPr>
          <w:sz w:val="20"/>
          <w:szCs w:val="20"/>
          <w:color w:val="auto"/>
        </w:rPr>
      </w:pPr>
      <w:r>
        <w:rPr>
          <w:rFonts w:ascii="Arial" w:cs="Arial" w:eastAsia="Arial" w:hAnsi="Arial"/>
          <w:sz w:val="18"/>
          <w:szCs w:val="18"/>
          <w:color w:val="auto"/>
        </w:rPr>
        <w:t>Mr. Chiang in August 2018 in connection with his promotion to CEO (the “2018 Promotional Grant”). Upon the recommendation of the Compensation Committee, the Board extended the expiration date of the 2018 Promotional Grant by five years. Specifically, the amendment extends the expiration date from October 2025 to October 2030. The remaining terms of the original grant, including the number of units, vesting terms and other provisions, were not changed as a result of the amendment. See the “Outstanding Equity Awards at Fiscal Year-End” table below for additional information regarding Mr. Chiang’s 2018 Promotional Grant.</w:t>
      </w:r>
    </w:p>
    <w:p>
      <w:pPr>
        <w:spacing w:after="0" w:line="115"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i w:val="1"/>
          <w:iCs w:val="1"/>
          <w:u w:val="single" w:color="auto"/>
          <w:color w:val="auto"/>
        </w:rPr>
        <w:t>Special Retention Grants</w:t>
      </w:r>
      <w:r>
        <w:rPr>
          <w:rFonts w:ascii="Arial" w:cs="Arial" w:eastAsia="Arial" w:hAnsi="Arial"/>
          <w:sz w:val="18"/>
          <w:szCs w:val="18"/>
          <w:color w:val="auto"/>
        </w:rPr>
        <w:t>. To provide incremental retention incentive for Messrs. Goebel and</w:t>
      </w:r>
      <w:r>
        <w:rPr>
          <w:rFonts w:ascii="Arial" w:cs="Arial" w:eastAsia="Arial" w:hAnsi="Arial"/>
          <w:sz w:val="18"/>
          <w:szCs w:val="18"/>
          <w:i w:val="1"/>
          <w:iCs w:val="1"/>
          <w:color w:val="auto"/>
        </w:rPr>
        <w:t xml:space="preserve"> </w:t>
      </w:r>
      <w:r>
        <w:rPr>
          <w:rFonts w:ascii="Arial" w:cs="Arial" w:eastAsia="Arial" w:hAnsi="Arial"/>
          <w:sz w:val="18"/>
          <w:szCs w:val="18"/>
          <w:color w:val="auto"/>
        </w:rPr>
        <w:t>Chandler, proven leaders who are critical to the future leadership and success of Plains, the Board approved, upon the recommendation of the Compensation Committee, grants of special retention long-term incentive awards as follows: (i) for Mr. Goebel, a five-year award in the amount of 545,550 phantom units (the “Goebel Grant”), and (ii) for Mr. Chandler, a three-year award in the amount of 327,350 phantom units (the “Chandler Grant” and together with the Goebel Grant, the “2025 Special Retention Grants”). The 2025 Special Retention Grants are intended to provide each of Messrs. Goebel and Chandler the incentive to remain with PAA to drive key initiatives and support long-term succession planning. The terms of the 2025 Special Retention Grants are summarized below:</w:t>
      </w:r>
    </w:p>
    <w:p>
      <w:pPr>
        <w:spacing w:after="0" w:line="73" w:lineRule="exact"/>
        <w:rPr>
          <w:sz w:val="20"/>
          <w:szCs w:val="20"/>
          <w:color w:val="auto"/>
        </w:rPr>
      </w:pPr>
    </w:p>
    <w:p>
      <w:pPr>
        <w:ind w:left="1800" w:right="419" w:hanging="180"/>
        <w:spacing w:after="0" w:line="262"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Goebel Grant will vest (become payable in PAA common units) on the August 2030 distribution date assuming continued service through such date, and the Chandler Grant will vest (become payable in PAA common units) on the August 2028 distribution date assuming continued service through such date.</w:t>
      </w:r>
    </w:p>
    <w:p>
      <w:pPr>
        <w:spacing w:after="0" w:line="81" w:lineRule="exact"/>
        <w:rPr>
          <w:rFonts w:ascii="Arial" w:cs="Arial" w:eastAsia="Arial" w:hAnsi="Arial"/>
          <w:sz w:val="18"/>
          <w:szCs w:val="18"/>
          <w:color w:val="auto"/>
        </w:rPr>
      </w:pPr>
    </w:p>
    <w:p>
      <w:pPr>
        <w:ind w:left="1800" w:hanging="180"/>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DERs associated with the Goebel Grant will vest as follows:</w:t>
      </w:r>
    </w:p>
    <w:p>
      <w:pPr>
        <w:spacing w:after="0" w:line="117" w:lineRule="exact"/>
        <w:rPr>
          <w:rFonts w:ascii="Arial" w:cs="Arial" w:eastAsia="Arial" w:hAnsi="Arial"/>
          <w:sz w:val="18"/>
          <w:szCs w:val="18"/>
          <w:color w:val="auto"/>
        </w:rPr>
      </w:pPr>
    </w:p>
    <w:p>
      <w:pPr>
        <w:ind w:left="2160" w:right="459" w:hanging="180"/>
        <w:spacing w:after="0" w:line="268" w:lineRule="auto"/>
        <w:tabs>
          <w:tab w:leader="none" w:pos="21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20% will accrue for the first year and will be paid in lump sum on the August 2026 distribution date; beginning in November 2026, this portion of the DERs will be paid quarterly until the phantom units vest or terminate.</w:t>
      </w:r>
    </w:p>
    <w:p>
      <w:pPr>
        <w:spacing w:after="0" w:line="76" w:lineRule="exact"/>
        <w:rPr>
          <w:rFonts w:ascii="Arial" w:cs="Arial" w:eastAsia="Arial" w:hAnsi="Arial"/>
          <w:sz w:val="18"/>
          <w:szCs w:val="18"/>
          <w:color w:val="auto"/>
        </w:rPr>
      </w:pPr>
    </w:p>
    <w:p>
      <w:pPr>
        <w:ind w:left="2160" w:right="639" w:hanging="180"/>
        <w:spacing w:after="0" w:line="262" w:lineRule="auto"/>
        <w:tabs>
          <w:tab w:leader="none" w:pos="21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Beginning with the August 2026 distribution date, an additional 20% of the DERs will vest each year on the August distribution date (such that 100% of the DERs will have vested by the August 2029 distribution date) and will be paid quarterly until the phantom units vest or terminate.</w:t>
      </w:r>
    </w:p>
    <w:p>
      <w:pPr>
        <w:spacing w:after="0" w:line="81" w:lineRule="exact"/>
        <w:rPr>
          <w:rFonts w:ascii="Arial" w:cs="Arial" w:eastAsia="Arial" w:hAnsi="Arial"/>
          <w:sz w:val="18"/>
          <w:szCs w:val="18"/>
          <w:color w:val="auto"/>
        </w:rPr>
      </w:pPr>
    </w:p>
    <w:p>
      <w:pPr>
        <w:ind w:left="1800" w:hanging="180"/>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DERs associated with the Chandler Grant will vest as follows:</w:t>
      </w:r>
    </w:p>
    <w:p>
      <w:pPr>
        <w:spacing w:after="0" w:line="117" w:lineRule="exact"/>
        <w:rPr>
          <w:rFonts w:ascii="Arial" w:cs="Arial" w:eastAsia="Arial" w:hAnsi="Arial"/>
          <w:sz w:val="18"/>
          <w:szCs w:val="18"/>
          <w:color w:val="auto"/>
        </w:rPr>
      </w:pPr>
    </w:p>
    <w:p>
      <w:pPr>
        <w:ind w:left="2160" w:right="479" w:hanging="180"/>
        <w:spacing w:after="0" w:line="268" w:lineRule="auto"/>
        <w:tabs>
          <w:tab w:leader="none" w:pos="21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One-third will accrue for the first year and will be paid in lump sum on the August 2026 distribution date; beginning in November 2026, this portion of the DERs will be paid quarterly until the phantom units vest or terminate.</w:t>
      </w:r>
    </w:p>
    <w:p>
      <w:pPr>
        <w:spacing w:after="0" w:line="76" w:lineRule="exact"/>
        <w:rPr>
          <w:rFonts w:ascii="Arial" w:cs="Arial" w:eastAsia="Arial" w:hAnsi="Arial"/>
          <w:sz w:val="18"/>
          <w:szCs w:val="18"/>
          <w:color w:val="auto"/>
        </w:rPr>
      </w:pPr>
    </w:p>
    <w:p>
      <w:pPr>
        <w:ind w:left="2160" w:right="419" w:hanging="180"/>
        <w:spacing w:after="0" w:line="262" w:lineRule="auto"/>
        <w:tabs>
          <w:tab w:leader="none" w:pos="21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Beginning with the August 2026 distribution date, an additional one-third of the DERs will vest each year on the August distribution date (such that 100% of the DERs will have vested by the August 2027 distribution date) and will be paid quarterly until the phantom units vest or terminate.</w:t>
      </w: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Compensation Related Matters</w:t>
      </w:r>
    </w:p>
    <w:p>
      <w:pPr>
        <w:spacing w:after="0" w:line="156" w:lineRule="exact"/>
        <w:rPr>
          <w:sz w:val="20"/>
          <w:szCs w:val="20"/>
          <w:color w:val="auto"/>
        </w:rPr>
      </w:pPr>
    </w:p>
    <w:p>
      <w:pPr>
        <w:ind w:left="1260" w:right="419" w:firstLine="360"/>
        <w:spacing w:after="0" w:line="256" w:lineRule="auto"/>
        <w:rPr>
          <w:sz w:val="20"/>
          <w:szCs w:val="20"/>
          <w:color w:val="auto"/>
        </w:rPr>
      </w:pPr>
      <w:r>
        <w:rPr>
          <w:rFonts w:ascii="Arial" w:cs="Arial" w:eastAsia="Arial" w:hAnsi="Arial"/>
          <w:sz w:val="18"/>
          <w:szCs w:val="18"/>
          <w:i w:val="1"/>
          <w:iCs w:val="1"/>
          <w:color w:val="auto"/>
        </w:rPr>
        <w:t xml:space="preserve">Equity Ownership. </w:t>
      </w:r>
      <w:r>
        <w:rPr>
          <w:rFonts w:ascii="Arial" w:cs="Arial" w:eastAsia="Arial" w:hAnsi="Arial"/>
          <w:sz w:val="18"/>
          <w:szCs w:val="18"/>
          <w:color w:val="auto"/>
        </w:rPr>
        <w:t>Our Named Executive Officers and directors collectively own substantial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in PAA and PAGP including unvested long-term equity awards. As of March 23, 2026, the Named Executive Officers beneficially owned, in the aggregate, approximately 10.9 million units of equity interests in PAA and/or PAGP (including unvested long-term equity awards) with an approximate market value of $238 million, and all executive officers and directors beneficially owned, in the aggregate, approximately 57.8 million units of equity interests in PAA and/or PAGP with an approximate market value of $1.3 billion.</w:t>
      </w:r>
    </w:p>
    <w:p>
      <w:pPr>
        <w:spacing w:after="0" w:line="115"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i w:val="1"/>
          <w:iCs w:val="1"/>
          <w:color w:val="auto"/>
        </w:rPr>
        <w:t xml:space="preserve">Equity Ownership Guidelines. </w:t>
      </w:r>
      <w:r>
        <w:rPr>
          <w:rFonts w:ascii="Arial" w:cs="Arial" w:eastAsia="Arial" w:hAnsi="Arial"/>
          <w:sz w:val="18"/>
          <w:szCs w:val="18"/>
          <w:color w:val="auto"/>
        </w:rPr>
        <w:t>We maintain Equity Ownership Guidelines to further align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of our executive officers and directors with the interests of our unitholders by requiring each to achieve and maintain a minimum equity ownership level. Under these guidelines, each executive officer and director is expected to continuously own PAA and/or PAGP securities with a value equal to a specified multiple of his or her base salary or annual cash retainer as follows:</w:t>
      </w:r>
    </w:p>
    <w:p>
      <w:pPr>
        <w:spacing w:after="0" w:line="158" w:lineRule="exact"/>
        <w:rPr>
          <w:sz w:val="20"/>
          <w:szCs w:val="20"/>
          <w:color w:val="auto"/>
        </w:rPr>
      </w:pPr>
    </w:p>
    <w:tbl>
      <w:tblPr>
        <w:tblLayout w:type="fixed"/>
        <w:tblInd w:w="1630" w:type="dxa"/>
        <w:tblCellMar>
          <w:top w:w="0" w:type="dxa"/>
          <w:left w:w="0" w:type="dxa"/>
          <w:bottom w:w="0" w:type="dxa"/>
          <w:right w:w="0" w:type="dxa"/>
        </w:tblCellMar>
      </w:tblPr>
      <w:tr>
        <w:trPr>
          <w:trHeight w:val="247"/>
        </w:trPr>
        <w:tc>
          <w:tcPr>
            <w:tcW w:w="2180" w:type="dxa"/>
            <w:vAlign w:val="bottom"/>
            <w:tcBorders>
              <w:left w:val="single" w:sz="8" w:color="424E6A"/>
            </w:tcBorders>
            <w:shd w:val="clear" w:color="auto" w:fill="424E6A"/>
          </w:tcPr>
          <w:p>
            <w:pPr>
              <w:spacing w:after="0"/>
              <w:rPr>
                <w:sz w:val="21"/>
                <w:szCs w:val="21"/>
                <w:color w:val="auto"/>
              </w:rPr>
            </w:pPr>
          </w:p>
        </w:tc>
        <w:tc>
          <w:tcPr>
            <w:tcW w:w="1460" w:type="dxa"/>
            <w:vAlign w:val="bottom"/>
            <w:tcBorders>
              <w:right w:val="single" w:sz="8" w:color="424E6A"/>
            </w:tcBorders>
            <w:shd w:val="clear" w:color="auto" w:fill="424E6A"/>
          </w:tcPr>
          <w:p>
            <w:pPr>
              <w:spacing w:after="0"/>
              <w:rPr>
                <w:sz w:val="21"/>
                <w:szCs w:val="21"/>
                <w:color w:val="auto"/>
              </w:rPr>
            </w:pPr>
          </w:p>
        </w:tc>
        <w:tc>
          <w:tcPr>
            <w:tcW w:w="560" w:type="dxa"/>
            <w:vAlign w:val="bottom"/>
            <w:shd w:val="clear" w:color="auto" w:fill="424E6A"/>
          </w:tcPr>
          <w:p>
            <w:pPr>
              <w:spacing w:after="0"/>
              <w:rPr>
                <w:sz w:val="21"/>
                <w:szCs w:val="21"/>
                <w:color w:val="auto"/>
              </w:rPr>
            </w:pPr>
          </w:p>
        </w:tc>
        <w:tc>
          <w:tcPr>
            <w:tcW w:w="27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Multiple of Base Salary or</w:t>
            </w:r>
          </w:p>
        </w:tc>
        <w:tc>
          <w:tcPr>
            <w:tcW w:w="560" w:type="dxa"/>
            <w:vAlign w:val="bottom"/>
            <w:tcBorders>
              <w:right w:val="single" w:sz="8" w:color="424E6A"/>
            </w:tcBorders>
            <w:shd w:val="clear" w:color="auto" w:fill="424E6A"/>
          </w:tcPr>
          <w:p>
            <w:pPr>
              <w:spacing w:after="0"/>
              <w:rPr>
                <w:sz w:val="21"/>
                <w:szCs w:val="21"/>
                <w:color w:val="auto"/>
              </w:rPr>
            </w:pPr>
          </w:p>
        </w:tc>
      </w:tr>
      <w:tr>
        <w:trPr>
          <w:trHeight w:val="212"/>
        </w:trPr>
        <w:tc>
          <w:tcPr>
            <w:tcW w:w="2180" w:type="dxa"/>
            <w:vAlign w:val="bottom"/>
            <w:tcBorders>
              <w:left w:val="single" w:sz="8" w:color="424E6A"/>
            </w:tcBorders>
            <w:shd w:val="clear" w:color="auto" w:fill="424E6A"/>
          </w:tcPr>
          <w:p>
            <w:pPr>
              <w:ind w:left="2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Title</w:t>
            </w:r>
          </w:p>
        </w:tc>
        <w:tc>
          <w:tcPr>
            <w:tcW w:w="2020" w:type="dxa"/>
            <w:vAlign w:val="bottom"/>
            <w:gridSpan w:val="2"/>
            <w:shd w:val="clear" w:color="auto" w:fill="424E6A"/>
          </w:tcPr>
          <w:p>
            <w:pPr>
              <w:jc w:val="center"/>
              <w:ind w:left="733"/>
              <w:spacing w:after="0"/>
              <w:rPr>
                <w:sz w:val="20"/>
                <w:szCs w:val="20"/>
                <w:color w:val="auto"/>
              </w:rPr>
            </w:pPr>
            <w:r>
              <w:rPr>
                <w:rFonts w:ascii="Arial" w:cs="Arial" w:eastAsia="Arial" w:hAnsi="Arial"/>
                <w:sz w:val="14"/>
                <w:szCs w:val="14"/>
                <w:b w:val="1"/>
                <w:bCs w:val="1"/>
                <w:color w:val="FFFFFF"/>
              </w:rPr>
              <w:t>​ ​</w:t>
            </w:r>
          </w:p>
        </w:tc>
        <w:tc>
          <w:tcPr>
            <w:tcW w:w="27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Annual Cash Retainer</w:t>
            </w:r>
          </w:p>
        </w:tc>
        <w:tc>
          <w:tcPr>
            <w:tcW w:w="560" w:type="dxa"/>
            <w:vAlign w:val="bottom"/>
            <w:tcBorders>
              <w:right w:val="single" w:sz="8" w:color="424E6A"/>
            </w:tcBorders>
            <w:shd w:val="clear" w:color="auto" w:fill="424E6A"/>
          </w:tcPr>
          <w:p>
            <w:pPr>
              <w:ind w:left="500"/>
              <w:spacing w:after="0"/>
              <w:rPr>
                <w:sz w:val="20"/>
                <w:szCs w:val="20"/>
                <w:color w:val="auto"/>
              </w:rPr>
            </w:pPr>
            <w:r>
              <w:rPr>
                <w:rFonts w:ascii="Arial" w:cs="Arial" w:eastAsia="Arial" w:hAnsi="Arial"/>
                <w:sz w:val="14"/>
                <w:szCs w:val="14"/>
                <w:b w:val="1"/>
                <w:bCs w:val="1"/>
                <w:color w:val="FFFFFF"/>
              </w:rPr>
              <w:t>​</w:t>
            </w:r>
          </w:p>
        </w:tc>
      </w:tr>
      <w:tr>
        <w:trPr>
          <w:trHeight w:val="256"/>
        </w:trPr>
        <w:tc>
          <w:tcPr>
            <w:tcW w:w="2180" w:type="dxa"/>
            <w:vAlign w:val="bottom"/>
            <w:tcBorders>
              <w:left w:val="single" w:sz="8" w:color="424E6A"/>
              <w:bottom w:val="single" w:sz="8" w:color="424E6A"/>
            </w:tcBorders>
            <w:shd w:val="clear" w:color="auto" w:fill="D9DCE1"/>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CEO</w:t>
            </w:r>
          </w:p>
        </w:tc>
        <w:tc>
          <w:tcPr>
            <w:tcW w:w="1460" w:type="dxa"/>
            <w:vAlign w:val="bottom"/>
            <w:tcBorders>
              <w:bottom w:val="single" w:sz="8" w:color="424E6A"/>
              <w:right w:val="single" w:sz="8" w:color="424E6A"/>
            </w:tcBorders>
            <w:shd w:val="clear" w:color="auto" w:fill="D9DCE1"/>
          </w:tcPr>
          <w:p>
            <w:pPr>
              <w:jc w:val="center"/>
              <w:ind w:left="1293"/>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424E6A"/>
            </w:tcBorders>
            <w:shd w:val="clear" w:color="auto" w:fill="D9DCE1"/>
          </w:tcPr>
          <w:p>
            <w:pPr>
              <w:jc w:val="center"/>
              <w:spacing w:after="0"/>
              <w:rPr>
                <w:sz w:val="20"/>
                <w:szCs w:val="20"/>
                <w:color w:val="auto"/>
              </w:rPr>
            </w:pPr>
            <w:r>
              <w:rPr>
                <w:rFonts w:ascii="Arial" w:cs="Arial" w:eastAsia="Arial" w:hAnsi="Arial"/>
                <w:sz w:val="18"/>
                <w:szCs w:val="18"/>
                <w:color w:val="auto"/>
              </w:rPr>
              <w:t>​6x</w:t>
            </w:r>
          </w:p>
        </w:tc>
        <w:tc>
          <w:tcPr>
            <w:tcW w:w="560" w:type="dxa"/>
            <w:vAlign w:val="bottom"/>
            <w:tcBorders>
              <w:bottom w:val="single" w:sz="8" w:color="424E6A"/>
              <w:right w:val="single" w:sz="8" w:color="424E6A"/>
            </w:tcBorders>
            <w:shd w:val="clear" w:color="auto" w:fill="D9DCE1"/>
          </w:tcPr>
          <w:p>
            <w:pPr>
              <w:ind w:left="500"/>
              <w:spacing w:after="0"/>
              <w:rPr>
                <w:sz w:val="20"/>
                <w:szCs w:val="20"/>
                <w:color w:val="auto"/>
              </w:rPr>
            </w:pPr>
            <w:r>
              <w:rPr>
                <w:rFonts w:ascii="Arial" w:cs="Arial" w:eastAsia="Arial" w:hAnsi="Arial"/>
                <w:sz w:val="18"/>
                <w:szCs w:val="18"/>
                <w:color w:val="auto"/>
              </w:rPr>
              <w:t>​​</w:t>
            </w:r>
          </w:p>
        </w:tc>
      </w:tr>
      <w:tr>
        <w:trPr>
          <w:trHeight w:val="250"/>
        </w:trPr>
        <w:tc>
          <w:tcPr>
            <w:tcW w:w="2180" w:type="dxa"/>
            <w:vAlign w:val="bottom"/>
            <w:tcBorders>
              <w:left w:val="single" w:sz="8" w:color="424E6A"/>
              <w:bottom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President</w:t>
            </w:r>
          </w:p>
        </w:tc>
        <w:tc>
          <w:tcPr>
            <w:tcW w:w="1460" w:type="dxa"/>
            <w:vAlign w:val="bottom"/>
            <w:tcBorders>
              <w:bottom w:val="single" w:sz="8" w:color="424E6A"/>
              <w:right w:val="single" w:sz="8" w:color="424E6A"/>
            </w:tcBorders>
          </w:tcPr>
          <w:p>
            <w:pPr>
              <w:jc w:val="center"/>
              <w:ind w:left="1293"/>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rPr>
              <w:t>​5x</w:t>
            </w:r>
          </w:p>
        </w:tc>
        <w:tc>
          <w:tcPr>
            <w:tcW w:w="560" w:type="dxa"/>
            <w:vAlign w:val="bottom"/>
            <w:tcBorders>
              <w:bottom w:val="single" w:sz="8" w:color="424E6A"/>
              <w:right w:val="single" w:sz="8" w:color="424E6A"/>
            </w:tcBorders>
          </w:tcPr>
          <w:p>
            <w:pPr>
              <w:ind w:left="500"/>
              <w:spacing w:after="0"/>
              <w:rPr>
                <w:sz w:val="20"/>
                <w:szCs w:val="20"/>
                <w:color w:val="auto"/>
              </w:rPr>
            </w:pPr>
            <w:r>
              <w:rPr>
                <w:rFonts w:ascii="Arial" w:cs="Arial" w:eastAsia="Arial" w:hAnsi="Arial"/>
                <w:sz w:val="18"/>
                <w:szCs w:val="18"/>
                <w:color w:val="auto"/>
              </w:rPr>
              <w:t>​​</w:t>
            </w:r>
          </w:p>
        </w:tc>
      </w:tr>
      <w:tr>
        <w:trPr>
          <w:trHeight w:val="250"/>
        </w:trPr>
        <w:tc>
          <w:tcPr>
            <w:tcW w:w="2180" w:type="dxa"/>
            <w:vAlign w:val="bottom"/>
            <w:tcBorders>
              <w:left w:val="single" w:sz="8" w:color="424E6A"/>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EVP</w:t>
            </w:r>
          </w:p>
        </w:tc>
        <w:tc>
          <w:tcPr>
            <w:tcW w:w="1460" w:type="dxa"/>
            <w:vAlign w:val="bottom"/>
            <w:tcBorders>
              <w:bottom w:val="single" w:sz="8" w:color="424E6A"/>
              <w:right w:val="single" w:sz="8" w:color="424E6A"/>
            </w:tcBorders>
            <w:shd w:val="clear" w:color="auto" w:fill="D9DCE1"/>
          </w:tcPr>
          <w:p>
            <w:pPr>
              <w:jc w:val="center"/>
              <w:ind w:left="1293"/>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424E6A"/>
            </w:tcBorders>
            <w:shd w:val="clear" w:color="auto" w:fill="D9DCE1"/>
          </w:tcPr>
          <w:p>
            <w:pPr>
              <w:jc w:val="center"/>
              <w:spacing w:after="0"/>
              <w:rPr>
                <w:sz w:val="20"/>
                <w:szCs w:val="20"/>
                <w:color w:val="auto"/>
              </w:rPr>
            </w:pPr>
            <w:r>
              <w:rPr>
                <w:rFonts w:ascii="Arial" w:cs="Arial" w:eastAsia="Arial" w:hAnsi="Arial"/>
                <w:sz w:val="18"/>
                <w:szCs w:val="18"/>
                <w:color w:val="auto"/>
              </w:rPr>
              <w:t>​3x</w:t>
            </w:r>
          </w:p>
        </w:tc>
        <w:tc>
          <w:tcPr>
            <w:tcW w:w="560" w:type="dxa"/>
            <w:vAlign w:val="bottom"/>
            <w:tcBorders>
              <w:bottom w:val="single" w:sz="8" w:color="424E6A"/>
              <w:right w:val="single" w:sz="8" w:color="424E6A"/>
            </w:tcBorders>
            <w:shd w:val="clear" w:color="auto" w:fill="D9DCE1"/>
          </w:tcPr>
          <w:p>
            <w:pPr>
              <w:ind w:left="500"/>
              <w:spacing w:after="0"/>
              <w:rPr>
                <w:sz w:val="20"/>
                <w:szCs w:val="20"/>
                <w:color w:val="auto"/>
              </w:rPr>
            </w:pPr>
            <w:r>
              <w:rPr>
                <w:rFonts w:ascii="Arial" w:cs="Arial" w:eastAsia="Arial" w:hAnsi="Arial"/>
                <w:sz w:val="18"/>
                <w:szCs w:val="18"/>
                <w:color w:val="auto"/>
              </w:rPr>
              <w:t>​​</w:t>
            </w:r>
          </w:p>
        </w:tc>
      </w:tr>
      <w:tr>
        <w:trPr>
          <w:trHeight w:val="250"/>
        </w:trPr>
        <w:tc>
          <w:tcPr>
            <w:tcW w:w="2180" w:type="dxa"/>
            <w:vAlign w:val="bottom"/>
            <w:tcBorders>
              <w:left w:val="single" w:sz="8" w:color="424E6A"/>
              <w:bottom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SVP</w:t>
            </w:r>
          </w:p>
        </w:tc>
        <w:tc>
          <w:tcPr>
            <w:tcW w:w="1460" w:type="dxa"/>
            <w:vAlign w:val="bottom"/>
            <w:tcBorders>
              <w:bottom w:val="single" w:sz="8" w:color="424E6A"/>
              <w:right w:val="single" w:sz="8" w:color="424E6A"/>
            </w:tcBorders>
          </w:tcPr>
          <w:p>
            <w:pPr>
              <w:jc w:val="center"/>
              <w:ind w:left="1293"/>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rPr>
              <w:t>​1x</w:t>
            </w:r>
          </w:p>
        </w:tc>
        <w:tc>
          <w:tcPr>
            <w:tcW w:w="560" w:type="dxa"/>
            <w:vAlign w:val="bottom"/>
            <w:tcBorders>
              <w:bottom w:val="single" w:sz="8" w:color="424E6A"/>
              <w:right w:val="single" w:sz="8" w:color="424E6A"/>
            </w:tcBorders>
          </w:tcPr>
          <w:p>
            <w:pPr>
              <w:ind w:left="500"/>
              <w:spacing w:after="0"/>
              <w:rPr>
                <w:sz w:val="20"/>
                <w:szCs w:val="20"/>
                <w:color w:val="auto"/>
              </w:rPr>
            </w:pPr>
            <w:r>
              <w:rPr>
                <w:rFonts w:ascii="Arial" w:cs="Arial" w:eastAsia="Arial" w:hAnsi="Arial"/>
                <w:sz w:val="18"/>
                <w:szCs w:val="18"/>
                <w:color w:val="auto"/>
              </w:rPr>
              <w:t>​​</w:t>
            </w:r>
          </w:p>
        </w:tc>
      </w:tr>
      <w:tr>
        <w:trPr>
          <w:trHeight w:val="250"/>
        </w:trPr>
        <w:tc>
          <w:tcPr>
            <w:tcW w:w="2180" w:type="dxa"/>
            <w:vAlign w:val="bottom"/>
            <w:tcBorders>
              <w:left w:val="single" w:sz="8" w:color="424E6A"/>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Director</w:t>
            </w:r>
          </w:p>
        </w:tc>
        <w:tc>
          <w:tcPr>
            <w:tcW w:w="1460" w:type="dxa"/>
            <w:vAlign w:val="bottom"/>
            <w:tcBorders>
              <w:bottom w:val="single" w:sz="8" w:color="424E6A"/>
              <w:right w:val="single" w:sz="8" w:color="424E6A"/>
            </w:tcBorders>
            <w:shd w:val="clear" w:color="auto" w:fill="D9DCE1"/>
          </w:tcPr>
          <w:p>
            <w:pPr>
              <w:jc w:val="center"/>
              <w:ind w:left="1293"/>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424E6A"/>
            </w:tcBorders>
            <w:shd w:val="clear" w:color="auto" w:fill="D9DCE1"/>
          </w:tcPr>
          <w:p>
            <w:pPr>
              <w:jc w:val="center"/>
              <w:spacing w:after="0"/>
              <w:rPr>
                <w:sz w:val="20"/>
                <w:szCs w:val="20"/>
                <w:color w:val="auto"/>
              </w:rPr>
            </w:pPr>
            <w:r>
              <w:rPr>
                <w:rFonts w:ascii="Arial" w:cs="Arial" w:eastAsia="Arial" w:hAnsi="Arial"/>
                <w:sz w:val="18"/>
                <w:szCs w:val="18"/>
                <w:color w:val="auto"/>
              </w:rPr>
              <w:t>​5x</w:t>
            </w:r>
          </w:p>
        </w:tc>
        <w:tc>
          <w:tcPr>
            <w:tcW w:w="560" w:type="dxa"/>
            <w:vAlign w:val="bottom"/>
            <w:tcBorders>
              <w:bottom w:val="single" w:sz="8" w:color="424E6A"/>
              <w:right w:val="single" w:sz="8" w:color="424E6A"/>
            </w:tcBorders>
            <w:shd w:val="clear" w:color="auto" w:fill="D9DCE1"/>
          </w:tcPr>
          <w:p>
            <w:pPr>
              <w:ind w:left="500"/>
              <w:spacing w:after="0"/>
              <w:rPr>
                <w:sz w:val="20"/>
                <w:szCs w:val="20"/>
                <w:color w:val="auto"/>
              </w:rPr>
            </w:pPr>
            <w:r>
              <w:rPr>
                <w:rFonts w:ascii="Arial" w:cs="Arial" w:eastAsia="Arial" w:hAnsi="Arial"/>
                <w:sz w:val="18"/>
                <w:szCs w:val="18"/>
                <w:color w:val="auto"/>
              </w:rPr>
              <w:t>​​</w:t>
            </w:r>
          </w:p>
        </w:tc>
      </w:tr>
    </w:tbl>
    <w:p>
      <w:pPr>
        <w:spacing w:after="0" w:line="130" w:lineRule="exact"/>
        <w:rPr>
          <w:sz w:val="20"/>
          <w:szCs w:val="20"/>
          <w:color w:val="auto"/>
        </w:rPr>
      </w:pPr>
    </w:p>
    <w:p>
      <w:pPr>
        <w:ind w:left="1260" w:right="419" w:firstLine="360"/>
        <w:spacing w:after="0" w:line="271" w:lineRule="auto"/>
        <w:rPr>
          <w:sz w:val="20"/>
          <w:szCs w:val="20"/>
          <w:color w:val="auto"/>
        </w:rPr>
      </w:pPr>
      <w:r>
        <w:rPr>
          <w:rFonts w:ascii="Arial" w:cs="Arial" w:eastAsia="Arial" w:hAnsi="Arial"/>
          <w:sz w:val="17"/>
          <w:szCs w:val="17"/>
          <w:color w:val="auto"/>
        </w:rPr>
        <w:t>Executive officers and directors are expected to meet these guidelines within five years after the later of becoming subject to the guidelines or the date of adoption of the guidelines. The compliance date for current executive officers and directors was November 2025, except for Mr. McCarthy whose compliance date is August 2026 and Ms. DeSanctis whose compliance date is August 2027. All current executive officers and directors are either on track to meet or have already met the applicable guidelines on their respective compliance dates. As of December 31, 2025, each Named Executive Officer held PAA and/or PAGP securities having a value in excess of 14 times their respective base salary. Executive officers and directors are required to hold 100% of units/shares acquired upon vesting of phantom units or phantom shares until ownership guidelines are met (“hold until met” requirement).</w:t>
      </w:r>
    </w:p>
    <w:p>
      <w:pPr>
        <w:spacing w:after="0" w:line="93"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i w:val="1"/>
          <w:iCs w:val="1"/>
          <w:color w:val="auto"/>
        </w:rPr>
        <w:t xml:space="preserve">Anti-Hedging and Pledging Policies. </w:t>
      </w:r>
      <w:r>
        <w:rPr>
          <w:rFonts w:ascii="Arial" w:cs="Arial" w:eastAsia="Arial" w:hAnsi="Arial"/>
          <w:sz w:val="18"/>
          <w:szCs w:val="18"/>
          <w:color w:val="auto"/>
        </w:rPr>
        <w:t>We have policies and procedures in place that prohibit our</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and officers, including our Named Executive Officers, from using puts, calls, options or other derivative securities to hedge the economic risk of their equity ownership in us, and from engaging in other types of hedging transactions, including prepaid variable forwards, equity swaps, collars and exchange funds. Our policies also prohibit pledging company securities or holding such securities as marginable securities in a margin account.</w:t>
      </w:r>
    </w:p>
    <w:p>
      <w:pPr>
        <w:spacing w:after="0" w:line="115"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i w:val="1"/>
          <w:iCs w:val="1"/>
          <w:color w:val="auto"/>
        </w:rPr>
        <w:t>Insider Trading Policies</w:t>
      </w:r>
      <w:r>
        <w:rPr>
          <w:rFonts w:ascii="Arial" w:cs="Arial" w:eastAsia="Arial" w:hAnsi="Arial"/>
          <w:sz w:val="18"/>
          <w:szCs w:val="18"/>
          <w:color w:val="auto"/>
        </w:rPr>
        <w:t>. We are committed to promoting high standards of ethical business conduct</w:t>
      </w:r>
      <w:r>
        <w:rPr>
          <w:rFonts w:ascii="Arial" w:cs="Arial" w:eastAsia="Arial" w:hAnsi="Arial"/>
          <w:sz w:val="18"/>
          <w:szCs w:val="18"/>
          <w:i w:val="1"/>
          <w:iCs w:val="1"/>
          <w:color w:val="auto"/>
        </w:rPr>
        <w:t xml:space="preserve"> </w:t>
      </w:r>
      <w:r>
        <w:rPr>
          <w:rFonts w:ascii="Arial" w:cs="Arial" w:eastAsia="Arial" w:hAnsi="Arial"/>
          <w:sz w:val="18"/>
          <w:szCs w:val="18"/>
          <w:color w:val="auto"/>
        </w:rPr>
        <w:t>and compliance with applicable laws, rules and regulations. As part of this commitment, we have adopted Insider Trading Policies governing the purchase, sale, gifting and other dispositions of our securities by our directors, officers and employees. We believe that our Insider Trading Policies are reasonably designed to promote compliance with insider trading laws, rules and regulations, and applicable stock exchange listing standards. Copies of our Insider Trading Policies were filed as Exhibits 19.1 and 19.2 to our 2024 Annual Report. In addition, with regard to the Company’s trading in its own securities, it is the Company’s policy and practice to comply with U.S. federal securities laws as well as applicable stock exchange rules and regulations.</w:t>
      </w:r>
    </w:p>
    <w:p>
      <w:pPr>
        <w:spacing w:after="0" w:line="113" w:lineRule="exact"/>
        <w:rPr>
          <w:sz w:val="20"/>
          <w:szCs w:val="20"/>
          <w:color w:val="auto"/>
        </w:rPr>
      </w:pPr>
    </w:p>
    <w:p>
      <w:pPr>
        <w:ind w:left="1260" w:right="479" w:firstLine="360"/>
        <w:spacing w:after="0" w:line="278" w:lineRule="auto"/>
        <w:rPr>
          <w:sz w:val="20"/>
          <w:szCs w:val="20"/>
          <w:color w:val="auto"/>
        </w:rPr>
      </w:pPr>
      <w:r>
        <w:rPr>
          <w:rFonts w:ascii="Arial" w:cs="Arial" w:eastAsia="Arial" w:hAnsi="Arial"/>
          <w:sz w:val="17"/>
          <w:szCs w:val="17"/>
          <w:i w:val="1"/>
          <w:iCs w:val="1"/>
          <w:color w:val="auto"/>
        </w:rPr>
        <w:t xml:space="preserve">Clawback Policy. </w:t>
      </w:r>
      <w:r>
        <w:rPr>
          <w:rFonts w:ascii="Arial" w:cs="Arial" w:eastAsia="Arial" w:hAnsi="Arial"/>
          <w:sz w:val="17"/>
          <w:szCs w:val="17"/>
          <w:color w:val="auto"/>
        </w:rPr>
        <w:t>Since November 2020, we have had in place a Clawback Policy to further align</w:t>
      </w:r>
      <w:r>
        <w:rPr>
          <w:rFonts w:ascii="Arial" w:cs="Arial" w:eastAsia="Arial" w:hAnsi="Arial"/>
          <w:sz w:val="17"/>
          <w:szCs w:val="17"/>
          <w:i w:val="1"/>
          <w:iCs w:val="1"/>
          <w:color w:val="auto"/>
        </w:rPr>
        <w:t xml:space="preserve"> </w:t>
      </w:r>
      <w:r>
        <w:rPr>
          <w:rFonts w:ascii="Arial" w:cs="Arial" w:eastAsia="Arial" w:hAnsi="Arial"/>
          <w:sz w:val="17"/>
          <w:szCs w:val="17"/>
          <w:color w:val="auto"/>
        </w:rPr>
        <w:t>the interests of our executive officers with the interests of our unitholders, incentivize appropriate behaviors and discourage excessive risk taking. The Clawback Policy was amended and restated in November 2023 to conform to Nasdaq listing standards adopted pursuant to the Dodd-Frank Wall Street Reform and Consumer Protection Act. As amended and restated, the Clawback Policy includes the</w:t>
      </w:r>
    </w:p>
    <w:p>
      <w:pPr>
        <w:sectPr>
          <w:pgSz w:w="11900" w:h="16838" w:orient="portrait"/>
          <w:cols w:equalWidth="0" w:num="1">
            <w:col w:w="9879"/>
          </w:cols>
          <w:pgMar w:left="580" w:top="97" w:right="1440" w:bottom="1440" w:gutter="0" w:footer="0" w:header="0"/>
        </w:sectPr>
      </w:pP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following clawback triggers and related recoveries:</w:t>
      </w:r>
    </w:p>
    <w:p>
      <w:pPr>
        <w:spacing w:after="0" w:line="117" w:lineRule="exact"/>
        <w:rPr>
          <w:sz w:val="20"/>
          <w:szCs w:val="20"/>
          <w:color w:val="auto"/>
        </w:rPr>
      </w:pPr>
    </w:p>
    <w:p>
      <w:pPr>
        <w:ind w:left="1800" w:right="899" w:hanging="180"/>
        <w:spacing w:after="0" w:line="318" w:lineRule="auto"/>
        <w:tabs>
          <w:tab w:leader="none" w:pos="18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Material financial restatements that result in over-payment of incentive-based compensation (Company must seek recovery of any excess compensation awarded or paid); and</w:t>
      </w:r>
    </w:p>
    <w:p>
      <w:pPr>
        <w:spacing w:after="0" w:line="21" w:lineRule="exact"/>
        <w:rPr>
          <w:rFonts w:ascii="Arial" w:cs="Arial" w:eastAsia="Arial" w:hAnsi="Arial"/>
          <w:sz w:val="17"/>
          <w:szCs w:val="17"/>
          <w:color w:val="auto"/>
        </w:rPr>
      </w:pPr>
    </w:p>
    <w:p>
      <w:pPr>
        <w:ind w:left="1800" w:right="439" w:hanging="180"/>
        <w:spacing w:after="0" w:line="262" w:lineRule="auto"/>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Detrimental conduct that results in significant financial, reputational or other harm to the Company (Company may seek recovery or forfeiture of any performance-based compensation or time-based equity awards granted or paid during the 3-year period prior to discovery of the misconduct).</w:t>
      </w:r>
    </w:p>
    <w:p>
      <w:pPr>
        <w:spacing w:after="0" w:line="68"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i w:val="1"/>
          <w:iCs w:val="1"/>
          <w:color w:val="auto"/>
        </w:rPr>
        <w:t xml:space="preserve">Change in Control and Other Accelerated Vesting Triggers. </w:t>
      </w:r>
      <w:r>
        <w:rPr>
          <w:rFonts w:ascii="Arial" w:cs="Arial" w:eastAsia="Arial" w:hAnsi="Arial"/>
          <w:sz w:val="18"/>
          <w:szCs w:val="18"/>
          <w:color w:val="auto"/>
        </w:rPr>
        <w:t>Our long-term incentive plan grants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for accelerated vesting upon a change of control (as defined in such agreements), but such vesting becomes operative only if the change in control is accompanied by a “change in status”. We believe this “double trigger” arrangement is appropriate because it provides assurance to the executive but does not offer a windfall to the executive when there has been no real change in employment status in connection with a change of control. The provision of severance or equity acceleration for certain terminations and change of control transactions helps to create a retention tool by assuring the executive that the benefit of the employment arrangement will be at least partially realized despite the occurrence of an event that could materially alter the employment arrangement. Our long-term incentive plan grants for our NEOs also provide for accelerated vesting in the event their employment is terminated as a result of death, disability, termination without cause or retirement on terms and timing that are approved by the CEO (or by the Board in the case of the CEO). See “— Potential Payments Upon Termination or Change-in-Control.”</w:t>
      </w:r>
    </w:p>
    <w:p>
      <w:pPr>
        <w:spacing w:after="0" w:line="70" w:lineRule="exact"/>
        <w:rPr>
          <w:sz w:val="20"/>
          <w:szCs w:val="20"/>
          <w:color w:val="auto"/>
        </w:rPr>
      </w:pPr>
    </w:p>
    <w:p>
      <w:pPr>
        <w:jc w:val="center"/>
        <w:ind w:right="-680"/>
        <w:spacing w:after="0"/>
        <w:rPr>
          <w:sz w:val="20"/>
          <w:szCs w:val="20"/>
          <w:color w:val="auto"/>
        </w:rPr>
      </w:pPr>
      <w:r>
        <w:rPr>
          <w:rFonts w:ascii="Arial" w:cs="Arial" w:eastAsia="Arial" w:hAnsi="Arial"/>
          <w:sz w:val="18"/>
          <w:szCs w:val="18"/>
          <w:i w:val="1"/>
          <w:iCs w:val="1"/>
          <w:color w:val="auto"/>
        </w:rPr>
        <w:t xml:space="preserve">Section 162(m). </w:t>
      </w:r>
      <w:r>
        <w:rPr>
          <w:rFonts w:ascii="Arial" w:cs="Arial" w:eastAsia="Arial" w:hAnsi="Arial"/>
          <w:sz w:val="18"/>
          <w:szCs w:val="18"/>
          <w:color w:val="auto"/>
        </w:rPr>
        <w:t>With respect to the deduction limitations under Section 162(m) of the Internal</w:t>
      </w:r>
    </w:p>
    <w:p>
      <w:pPr>
        <w:spacing w:after="0" w:line="14" w:lineRule="exact"/>
        <w:rPr>
          <w:sz w:val="20"/>
          <w:szCs w:val="20"/>
          <w:color w:val="auto"/>
        </w:rPr>
      </w:pPr>
    </w:p>
    <w:p>
      <w:pPr>
        <w:ind w:left="1260" w:right="559"/>
        <w:spacing w:after="0" w:line="266" w:lineRule="auto"/>
        <w:rPr>
          <w:sz w:val="20"/>
          <w:szCs w:val="20"/>
          <w:color w:val="auto"/>
        </w:rPr>
      </w:pPr>
      <w:r>
        <w:rPr>
          <w:rFonts w:ascii="Arial" w:cs="Arial" w:eastAsia="Arial" w:hAnsi="Arial"/>
          <w:sz w:val="18"/>
          <w:szCs w:val="18"/>
          <w:color w:val="auto"/>
        </w:rPr>
        <w:t>Revenue Code, we are a limited partnership and do not fall within the definition of a “corporation” under Section 162(m).</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Relation of Compensation Policies and Practices to Risk Management</w:t>
      </w:r>
    </w:p>
    <w:p>
      <w:pPr>
        <w:spacing w:after="0" w:line="117"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7"/>
          <w:szCs w:val="17"/>
          <w:color w:val="auto"/>
        </w:rPr>
        <w:t>Our compensation policies and practices are designed to provide rewards for short-term and long-term performance, both on an individual basis and at the entity level. In general, optimal financial and operational performance, particularly in a competitive business, requires some degree of risk-taking. Accordingly, the use of compensation as an incentive for performance can foster the potential for management and others to take unnecessary or excessive risks to reach targeted performance thresholds. For us, such risks would primarily attach to certain commercial merchant activities as well as to the execution of investment capital projects and acquisitions and the realization of associated returns.</w:t>
      </w:r>
    </w:p>
    <w:p>
      <w:pPr>
        <w:spacing w:after="0" w:line="53" w:lineRule="exact"/>
        <w:rPr>
          <w:sz w:val="20"/>
          <w:szCs w:val="20"/>
          <w:color w:val="auto"/>
        </w:rPr>
      </w:pPr>
    </w:p>
    <w:p>
      <w:pPr>
        <w:ind w:left="1260" w:right="599" w:firstLine="360"/>
        <w:spacing w:after="0" w:line="271" w:lineRule="auto"/>
        <w:rPr>
          <w:sz w:val="20"/>
          <w:szCs w:val="20"/>
          <w:color w:val="auto"/>
        </w:rPr>
      </w:pPr>
      <w:r>
        <w:rPr>
          <w:rFonts w:ascii="Arial" w:cs="Arial" w:eastAsia="Arial" w:hAnsi="Arial"/>
          <w:sz w:val="17"/>
          <w:szCs w:val="17"/>
          <w:color w:val="auto"/>
        </w:rPr>
        <w:t>From a risk management perspective, our policy is to conduct our commercial activities within pre-defined risk parameters that are closely monitored and are structured in a manner intended to control and minimize the potential for unwarranted risk-taking. We also routinely monitor and measure the execution and performance of investment capital projects and acquisitions relative to expectations.</w:t>
      </w:r>
    </w:p>
    <w:p>
      <w:pPr>
        <w:spacing w:after="0" w:line="62" w:lineRule="exact"/>
        <w:rPr>
          <w:sz w:val="20"/>
          <w:szCs w:val="20"/>
          <w:color w:val="auto"/>
        </w:rPr>
      </w:pPr>
    </w:p>
    <w:p>
      <w:pPr>
        <w:ind w:left="1260" w:right="459" w:firstLine="360"/>
        <w:spacing w:after="0" w:line="244" w:lineRule="auto"/>
        <w:rPr>
          <w:sz w:val="20"/>
          <w:szCs w:val="20"/>
          <w:color w:val="auto"/>
        </w:rPr>
      </w:pPr>
      <w:r>
        <w:rPr>
          <w:rFonts w:ascii="Arial" w:cs="Arial" w:eastAsia="Arial" w:hAnsi="Arial"/>
          <w:sz w:val="18"/>
          <w:szCs w:val="18"/>
          <w:color w:val="auto"/>
        </w:rPr>
        <w:t>Our compensation arrangements contain a number of design elements that serve to minimize the incentive for unwarranted risk-taking to achieve short-term, unsustainable results, including splitting the awards into a number of tranches and delaying the vesting date for various tranches, in addition to subjecting such awards to forfeiture for terminations related to violations of our risk management policies and practices or of our Code of Business Conduct. In addition, the vesting criteria for long-term incentive awards are typically based on both the passage of time and the achievement of performance thresholds associated with achieving specified long-term financial goals. Also, the fact that we utilize a variety of metrics in connection with our incentive arrangements (both short and long term), including a leverage modifier in the case of our long-term incentive plan grants, provides a structural mitigant against excessive risk taking to achieve performance targets.</w:t>
      </w:r>
    </w:p>
    <w:p>
      <w:pPr>
        <w:spacing w:after="0" w:line="69" w:lineRule="exact"/>
        <w:rPr>
          <w:sz w:val="20"/>
          <w:szCs w:val="20"/>
          <w:color w:val="auto"/>
        </w:rPr>
      </w:pPr>
    </w:p>
    <w:p>
      <w:pPr>
        <w:ind w:left="1260" w:right="419" w:firstLine="360"/>
        <w:spacing w:after="0" w:line="247" w:lineRule="auto"/>
        <w:rPr>
          <w:sz w:val="20"/>
          <w:szCs w:val="20"/>
          <w:color w:val="auto"/>
        </w:rPr>
      </w:pPr>
      <w:r>
        <w:rPr>
          <w:rFonts w:ascii="Arial" w:cs="Arial" w:eastAsia="Arial" w:hAnsi="Arial"/>
          <w:sz w:val="18"/>
          <w:szCs w:val="18"/>
          <w:color w:val="auto"/>
        </w:rPr>
        <w:t>In combination with our risk-management practices and the processes employed by the Compensation Committee and the Board, we believe there is an adequate level of oversight with respect to the degree of risk being taken by management to achieve short- and long-term performance goals and we believe that risks arising from our compensation policies and practices for employees are not reasonably likely to have a material adverse effect on us.</w:t>
      </w: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Summary Compensation Table</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sets forth certain compensation information for our Named Executive Officers.</w:t>
      </w:r>
    </w:p>
    <w:p>
      <w:pPr>
        <w:spacing w:after="0" w:line="203" w:lineRule="exact"/>
        <w:rPr>
          <w:sz w:val="20"/>
          <w:szCs w:val="20"/>
          <w:color w:val="auto"/>
        </w:rPr>
      </w:pPr>
    </w:p>
    <w:tbl>
      <w:tblPr>
        <w:tblLayout w:type="fixed"/>
        <w:tblInd w:w="1270" w:type="dxa"/>
        <w:tblCellMar>
          <w:top w:w="0" w:type="dxa"/>
          <w:left w:w="0" w:type="dxa"/>
          <w:bottom w:w="0" w:type="dxa"/>
          <w:right w:w="0" w:type="dxa"/>
        </w:tblCellMar>
      </w:tblPr>
      <w:tr>
        <w:trPr>
          <w:trHeight w:val="247"/>
        </w:trPr>
        <w:tc>
          <w:tcPr>
            <w:tcW w:w="2820" w:type="dxa"/>
            <w:vAlign w:val="bottom"/>
            <w:tcBorders>
              <w:left w:val="single" w:sz="8" w:color="424E6A"/>
              <w:right w:val="single" w:sz="8" w:color="424E6A"/>
            </w:tcBorders>
            <w:shd w:val="clear" w:color="auto" w:fill="424E6A"/>
          </w:tcPr>
          <w:p>
            <w:pPr>
              <w:spacing w:after="0"/>
              <w:rPr>
                <w:sz w:val="21"/>
                <w:szCs w:val="21"/>
                <w:color w:val="auto"/>
              </w:rPr>
            </w:pPr>
          </w:p>
        </w:tc>
        <w:tc>
          <w:tcPr>
            <w:tcW w:w="500" w:type="dxa"/>
            <w:vAlign w:val="bottom"/>
            <w:tcBorders>
              <w:right w:val="single" w:sz="8" w:color="424E6A"/>
            </w:tcBorders>
            <w:shd w:val="clear" w:color="auto" w:fill="424E6A"/>
          </w:tcPr>
          <w:p>
            <w:pPr>
              <w:spacing w:after="0"/>
              <w:rPr>
                <w:sz w:val="21"/>
                <w:szCs w:val="21"/>
                <w:color w:val="auto"/>
              </w:rPr>
            </w:pPr>
          </w:p>
        </w:tc>
        <w:tc>
          <w:tcPr>
            <w:tcW w:w="720" w:type="dxa"/>
            <w:vAlign w:val="bottom"/>
            <w:tcBorders>
              <w:right w:val="single" w:sz="8" w:color="424E6A"/>
            </w:tcBorders>
            <w:shd w:val="clear" w:color="auto" w:fill="424E6A"/>
          </w:tcPr>
          <w:p>
            <w:pPr>
              <w:spacing w:after="0"/>
              <w:rPr>
                <w:sz w:val="21"/>
                <w:szCs w:val="21"/>
                <w:color w:val="auto"/>
              </w:rPr>
            </w:pPr>
          </w:p>
        </w:tc>
        <w:tc>
          <w:tcPr>
            <w:tcW w:w="860" w:type="dxa"/>
            <w:vAlign w:val="bottom"/>
            <w:tcBorders>
              <w:right w:val="single" w:sz="8" w:color="424E6A"/>
            </w:tcBorders>
            <w:shd w:val="clear" w:color="auto" w:fill="424E6A"/>
          </w:tcPr>
          <w:p>
            <w:pPr>
              <w:spacing w:after="0"/>
              <w:rPr>
                <w:sz w:val="21"/>
                <w:szCs w:val="21"/>
                <w:color w:val="auto"/>
              </w:rPr>
            </w:pPr>
          </w:p>
        </w:tc>
        <w:tc>
          <w:tcPr>
            <w:tcW w:w="10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Non-Equity</w:t>
            </w:r>
          </w:p>
        </w:tc>
        <w:tc>
          <w:tcPr>
            <w:tcW w:w="100" w:type="dxa"/>
            <w:vAlign w:val="bottom"/>
            <w:tcBorders>
              <w:right w:val="single" w:sz="8" w:color="424E6A"/>
            </w:tcBorders>
            <w:shd w:val="clear" w:color="auto" w:fill="424E6A"/>
          </w:tcPr>
          <w:p>
            <w:pPr>
              <w:spacing w:after="0"/>
              <w:rPr>
                <w:sz w:val="21"/>
                <w:szCs w:val="21"/>
                <w:color w:val="auto"/>
              </w:rPr>
            </w:pPr>
          </w:p>
        </w:tc>
        <w:tc>
          <w:tcPr>
            <w:tcW w:w="1080" w:type="dxa"/>
            <w:vAlign w:val="bottom"/>
            <w:shd w:val="clear" w:color="auto" w:fill="424E6A"/>
          </w:tcPr>
          <w:p>
            <w:pPr>
              <w:spacing w:after="0"/>
              <w:rPr>
                <w:sz w:val="21"/>
                <w:szCs w:val="21"/>
                <w:color w:val="auto"/>
              </w:rPr>
            </w:pPr>
          </w:p>
        </w:tc>
        <w:tc>
          <w:tcPr>
            <w:tcW w:w="100" w:type="dxa"/>
            <w:vAlign w:val="bottom"/>
            <w:tcBorders>
              <w:right w:val="single" w:sz="8" w:color="424E6A"/>
            </w:tcBorders>
            <w:shd w:val="clear" w:color="auto" w:fill="424E6A"/>
          </w:tcPr>
          <w:p>
            <w:pPr>
              <w:spacing w:after="0"/>
              <w:rPr>
                <w:sz w:val="21"/>
                <w:szCs w:val="21"/>
                <w:color w:val="auto"/>
              </w:rPr>
            </w:pPr>
          </w:p>
        </w:tc>
        <w:tc>
          <w:tcPr>
            <w:tcW w:w="200" w:type="dxa"/>
            <w:vAlign w:val="bottom"/>
            <w:shd w:val="clear" w:color="auto" w:fill="424E6A"/>
          </w:tcPr>
          <w:p>
            <w:pPr>
              <w:spacing w:after="0"/>
              <w:rPr>
                <w:sz w:val="21"/>
                <w:szCs w:val="21"/>
                <w:color w:val="auto"/>
              </w:rPr>
            </w:pPr>
          </w:p>
        </w:tc>
        <w:tc>
          <w:tcPr>
            <w:tcW w:w="780" w:type="dxa"/>
            <w:vAlign w:val="bottom"/>
            <w:tcBorders>
              <w:right w:val="single" w:sz="8" w:color="424E6A"/>
            </w:tcBorders>
            <w:shd w:val="clear" w:color="auto" w:fill="424E6A"/>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820" w:type="dxa"/>
            <w:vAlign w:val="bottom"/>
            <w:tcBorders>
              <w:left w:val="single" w:sz="8" w:color="424E6A"/>
              <w:right w:val="single" w:sz="8" w:color="424E6A"/>
            </w:tcBorders>
            <w:shd w:val="clear" w:color="auto" w:fill="424E6A"/>
          </w:tcPr>
          <w:p>
            <w:pPr>
              <w:spacing w:after="0"/>
              <w:rPr>
                <w:sz w:val="14"/>
                <w:szCs w:val="14"/>
                <w:color w:val="auto"/>
              </w:rPr>
            </w:pPr>
          </w:p>
        </w:tc>
        <w:tc>
          <w:tcPr>
            <w:tcW w:w="500" w:type="dxa"/>
            <w:vAlign w:val="bottom"/>
            <w:tcBorders>
              <w:right w:val="single" w:sz="8" w:color="424E6A"/>
            </w:tcBorders>
            <w:shd w:val="clear" w:color="auto" w:fill="424E6A"/>
          </w:tcPr>
          <w:p>
            <w:pPr>
              <w:spacing w:after="0"/>
              <w:rPr>
                <w:sz w:val="14"/>
                <w:szCs w:val="14"/>
                <w:color w:val="auto"/>
              </w:rPr>
            </w:pPr>
          </w:p>
        </w:tc>
        <w:tc>
          <w:tcPr>
            <w:tcW w:w="720" w:type="dxa"/>
            <w:vAlign w:val="bottom"/>
            <w:tcBorders>
              <w:right w:val="single" w:sz="8" w:color="424E6A"/>
            </w:tcBorders>
            <w:shd w:val="clear" w:color="auto" w:fill="424E6A"/>
          </w:tcPr>
          <w:p>
            <w:pPr>
              <w:spacing w:after="0"/>
              <w:rPr>
                <w:sz w:val="14"/>
                <w:szCs w:val="14"/>
                <w:color w:val="auto"/>
              </w:rPr>
            </w:pPr>
          </w:p>
        </w:tc>
        <w:tc>
          <w:tcPr>
            <w:tcW w:w="860" w:type="dxa"/>
            <w:vAlign w:val="bottom"/>
            <w:tcBorders>
              <w:right w:val="single" w:sz="8" w:color="424E6A"/>
            </w:tcBorders>
            <w:shd w:val="clear" w:color="auto" w:fill="424E6A"/>
          </w:tcPr>
          <w:p>
            <w:pPr>
              <w:spacing w:after="0"/>
              <w:rPr>
                <w:sz w:val="14"/>
                <w:szCs w:val="14"/>
                <w:color w:val="auto"/>
              </w:rPr>
            </w:pPr>
          </w:p>
        </w:tc>
        <w:tc>
          <w:tcPr>
            <w:tcW w:w="10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Incentive</w:t>
            </w:r>
          </w:p>
        </w:tc>
        <w:tc>
          <w:tcPr>
            <w:tcW w:w="100" w:type="dxa"/>
            <w:vAlign w:val="bottom"/>
            <w:tcBorders>
              <w:right w:val="single" w:sz="8" w:color="424E6A"/>
            </w:tcBorders>
            <w:shd w:val="clear" w:color="auto" w:fill="424E6A"/>
          </w:tcPr>
          <w:p>
            <w:pPr>
              <w:spacing w:after="0"/>
              <w:rPr>
                <w:sz w:val="14"/>
                <w:szCs w:val="14"/>
                <w:color w:val="auto"/>
              </w:rPr>
            </w:pPr>
          </w:p>
        </w:tc>
        <w:tc>
          <w:tcPr>
            <w:tcW w:w="1080" w:type="dxa"/>
            <w:vAlign w:val="bottom"/>
            <w:shd w:val="clear" w:color="auto" w:fill="424E6A"/>
          </w:tcPr>
          <w:p>
            <w:pPr>
              <w:spacing w:after="0"/>
              <w:rPr>
                <w:sz w:val="14"/>
                <w:szCs w:val="14"/>
                <w:color w:val="auto"/>
              </w:rPr>
            </w:pPr>
          </w:p>
        </w:tc>
        <w:tc>
          <w:tcPr>
            <w:tcW w:w="100" w:type="dxa"/>
            <w:vAlign w:val="bottom"/>
            <w:tcBorders>
              <w:right w:val="single" w:sz="8" w:color="424E6A"/>
            </w:tcBorders>
            <w:shd w:val="clear" w:color="auto" w:fill="424E6A"/>
          </w:tcPr>
          <w:p>
            <w:pPr>
              <w:spacing w:after="0"/>
              <w:rPr>
                <w:sz w:val="14"/>
                <w:szCs w:val="14"/>
                <w:color w:val="auto"/>
              </w:rPr>
            </w:pPr>
          </w:p>
        </w:tc>
        <w:tc>
          <w:tcPr>
            <w:tcW w:w="200" w:type="dxa"/>
            <w:vAlign w:val="bottom"/>
            <w:shd w:val="clear" w:color="auto" w:fill="424E6A"/>
          </w:tcPr>
          <w:p>
            <w:pPr>
              <w:spacing w:after="0"/>
              <w:rPr>
                <w:sz w:val="14"/>
                <w:szCs w:val="14"/>
                <w:color w:val="auto"/>
              </w:rPr>
            </w:pPr>
          </w:p>
        </w:tc>
        <w:tc>
          <w:tcPr>
            <w:tcW w:w="78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Borders>
              <w:left w:val="single" w:sz="8" w:color="424E6A"/>
              <w:right w:val="single" w:sz="8" w:color="424E6A"/>
            </w:tcBorders>
            <w:shd w:val="clear" w:color="auto" w:fill="424E6A"/>
          </w:tcPr>
          <w:p>
            <w:pPr>
              <w:spacing w:after="0"/>
              <w:rPr>
                <w:sz w:val="14"/>
                <w:szCs w:val="14"/>
                <w:color w:val="auto"/>
              </w:rPr>
            </w:pPr>
          </w:p>
        </w:tc>
        <w:tc>
          <w:tcPr>
            <w:tcW w:w="500" w:type="dxa"/>
            <w:vAlign w:val="bottom"/>
            <w:tcBorders>
              <w:right w:val="single" w:sz="8" w:color="424E6A"/>
            </w:tcBorders>
            <w:shd w:val="clear" w:color="auto" w:fill="424E6A"/>
          </w:tcPr>
          <w:p>
            <w:pPr>
              <w:spacing w:after="0"/>
              <w:rPr>
                <w:sz w:val="14"/>
                <w:szCs w:val="14"/>
                <w:color w:val="auto"/>
              </w:rPr>
            </w:pPr>
          </w:p>
        </w:tc>
        <w:tc>
          <w:tcPr>
            <w:tcW w:w="720" w:type="dxa"/>
            <w:vAlign w:val="bottom"/>
            <w:tcBorders>
              <w:right w:val="single" w:sz="8" w:color="424E6A"/>
            </w:tcBorders>
            <w:shd w:val="clear" w:color="auto" w:fill="424E6A"/>
          </w:tcPr>
          <w:p>
            <w:pPr>
              <w:spacing w:after="0"/>
              <w:rPr>
                <w:sz w:val="14"/>
                <w:szCs w:val="14"/>
                <w:color w:val="auto"/>
              </w:rPr>
            </w:pPr>
          </w:p>
        </w:tc>
        <w:tc>
          <w:tcPr>
            <w:tcW w:w="86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Stock</w:t>
            </w:r>
          </w:p>
        </w:tc>
        <w:tc>
          <w:tcPr>
            <w:tcW w:w="10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Plan</w:t>
            </w:r>
          </w:p>
        </w:tc>
        <w:tc>
          <w:tcPr>
            <w:tcW w:w="100" w:type="dxa"/>
            <w:vAlign w:val="bottom"/>
            <w:tcBorders>
              <w:right w:val="single" w:sz="8" w:color="424E6A"/>
            </w:tcBorders>
            <w:shd w:val="clear" w:color="auto" w:fill="424E6A"/>
          </w:tcPr>
          <w:p>
            <w:pPr>
              <w:spacing w:after="0"/>
              <w:rPr>
                <w:sz w:val="14"/>
                <w:szCs w:val="14"/>
                <w:color w:val="auto"/>
              </w:rPr>
            </w:pPr>
          </w:p>
        </w:tc>
        <w:tc>
          <w:tcPr>
            <w:tcW w:w="10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All Other</w:t>
            </w:r>
          </w:p>
        </w:tc>
        <w:tc>
          <w:tcPr>
            <w:tcW w:w="100" w:type="dxa"/>
            <w:vAlign w:val="bottom"/>
            <w:tcBorders>
              <w:right w:val="single" w:sz="8" w:color="424E6A"/>
            </w:tcBorders>
            <w:shd w:val="clear" w:color="auto" w:fill="424E6A"/>
          </w:tcPr>
          <w:p>
            <w:pPr>
              <w:spacing w:after="0"/>
              <w:rPr>
                <w:sz w:val="14"/>
                <w:szCs w:val="14"/>
                <w:color w:val="auto"/>
              </w:rPr>
            </w:pPr>
          </w:p>
        </w:tc>
        <w:tc>
          <w:tcPr>
            <w:tcW w:w="200" w:type="dxa"/>
            <w:vAlign w:val="bottom"/>
            <w:shd w:val="clear" w:color="auto" w:fill="424E6A"/>
          </w:tcPr>
          <w:p>
            <w:pPr>
              <w:spacing w:after="0"/>
              <w:rPr>
                <w:sz w:val="14"/>
                <w:szCs w:val="14"/>
                <w:color w:val="auto"/>
              </w:rPr>
            </w:pPr>
          </w:p>
        </w:tc>
        <w:tc>
          <w:tcPr>
            <w:tcW w:w="78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Borders>
              <w:left w:val="single" w:sz="8" w:color="424E6A"/>
              <w:righ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Name and Current</w:t>
            </w:r>
          </w:p>
        </w:tc>
        <w:tc>
          <w:tcPr>
            <w:tcW w:w="500" w:type="dxa"/>
            <w:vAlign w:val="bottom"/>
            <w:tcBorders>
              <w:right w:val="single" w:sz="8" w:color="424E6A"/>
            </w:tcBorders>
            <w:shd w:val="clear" w:color="auto" w:fill="424E6A"/>
          </w:tcPr>
          <w:p>
            <w:pPr>
              <w:spacing w:after="0"/>
              <w:rPr>
                <w:sz w:val="14"/>
                <w:szCs w:val="14"/>
                <w:color w:val="auto"/>
              </w:rPr>
            </w:pPr>
          </w:p>
        </w:tc>
        <w:tc>
          <w:tcPr>
            <w:tcW w:w="720" w:type="dxa"/>
            <w:vAlign w:val="bottom"/>
            <w:tcBorders>
              <w:right w:val="single" w:sz="8" w:color="424E6A"/>
            </w:tcBorders>
            <w:shd w:val="clear" w:color="auto" w:fill="424E6A"/>
          </w:tcPr>
          <w:p>
            <w:pPr>
              <w:ind w:left="120"/>
              <w:spacing w:after="0"/>
              <w:rPr>
                <w:sz w:val="20"/>
                <w:szCs w:val="20"/>
                <w:color w:val="auto"/>
              </w:rPr>
            </w:pPr>
            <w:r>
              <w:rPr>
                <w:rFonts w:ascii="Arial" w:cs="Arial" w:eastAsia="Arial" w:hAnsi="Arial"/>
                <w:sz w:val="14"/>
                <w:szCs w:val="14"/>
                <w:b w:val="1"/>
                <w:bCs w:val="1"/>
                <w:color w:val="FFFFFF"/>
              </w:rPr>
              <w:t>Salary</w:t>
            </w:r>
          </w:p>
        </w:tc>
        <w:tc>
          <w:tcPr>
            <w:tcW w:w="86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Awards</w:t>
            </w:r>
          </w:p>
        </w:tc>
        <w:tc>
          <w:tcPr>
            <w:tcW w:w="10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Compensation</w:t>
            </w:r>
          </w:p>
        </w:tc>
        <w:tc>
          <w:tcPr>
            <w:tcW w:w="100" w:type="dxa"/>
            <w:vAlign w:val="bottom"/>
            <w:tcBorders>
              <w:right w:val="single" w:sz="8" w:color="424E6A"/>
            </w:tcBorders>
            <w:shd w:val="clear" w:color="auto" w:fill="424E6A"/>
          </w:tcPr>
          <w:p>
            <w:pPr>
              <w:spacing w:after="0"/>
              <w:rPr>
                <w:sz w:val="14"/>
                <w:szCs w:val="14"/>
                <w:color w:val="auto"/>
              </w:rPr>
            </w:pPr>
          </w:p>
        </w:tc>
        <w:tc>
          <w:tcPr>
            <w:tcW w:w="10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Compensation</w:t>
            </w:r>
          </w:p>
        </w:tc>
        <w:tc>
          <w:tcPr>
            <w:tcW w:w="100" w:type="dxa"/>
            <w:vAlign w:val="bottom"/>
            <w:tcBorders>
              <w:right w:val="single" w:sz="8" w:color="424E6A"/>
            </w:tcBorders>
            <w:shd w:val="clear" w:color="auto" w:fill="424E6A"/>
          </w:tcPr>
          <w:p>
            <w:pPr>
              <w:spacing w:after="0"/>
              <w:rPr>
                <w:sz w:val="14"/>
                <w:szCs w:val="14"/>
                <w:color w:val="auto"/>
              </w:rPr>
            </w:pPr>
          </w:p>
        </w:tc>
        <w:tc>
          <w:tcPr>
            <w:tcW w:w="200" w:type="dxa"/>
            <w:vAlign w:val="bottom"/>
            <w:shd w:val="clear" w:color="auto" w:fill="424E6A"/>
          </w:tcPr>
          <w:p>
            <w:pPr>
              <w:spacing w:after="0"/>
              <w:rPr>
                <w:sz w:val="14"/>
                <w:szCs w:val="14"/>
                <w:color w:val="auto"/>
              </w:rPr>
            </w:pPr>
          </w:p>
        </w:tc>
        <w:tc>
          <w:tcPr>
            <w:tcW w:w="780" w:type="dxa"/>
            <w:vAlign w:val="bottom"/>
            <w:tcBorders>
              <w:right w:val="single" w:sz="8" w:color="424E6A"/>
            </w:tcBorders>
            <w:shd w:val="clear" w:color="auto" w:fill="424E6A"/>
          </w:tcPr>
          <w:p>
            <w:pPr>
              <w:jc w:val="center"/>
              <w:ind w:right="188"/>
              <w:spacing w:after="0"/>
              <w:rPr>
                <w:sz w:val="20"/>
                <w:szCs w:val="20"/>
                <w:color w:val="auto"/>
              </w:rPr>
            </w:pPr>
            <w:r>
              <w:rPr>
                <w:rFonts w:ascii="Arial" w:cs="Arial" w:eastAsia="Arial" w:hAnsi="Arial"/>
                <w:sz w:val="14"/>
                <w:szCs w:val="14"/>
                <w:b w:val="1"/>
                <w:bCs w:val="1"/>
                <w:color w:val="FFFFFF"/>
                <w:w w:val="95"/>
              </w:rPr>
              <w:t>Total</w:t>
            </w:r>
          </w:p>
        </w:tc>
        <w:tc>
          <w:tcPr>
            <w:tcW w:w="0" w:type="dxa"/>
            <w:vAlign w:val="bottom"/>
          </w:tcPr>
          <w:p>
            <w:pPr>
              <w:spacing w:after="0"/>
              <w:rPr>
                <w:sz w:val="1"/>
                <w:szCs w:val="1"/>
                <w:color w:val="auto"/>
              </w:rPr>
            </w:pPr>
          </w:p>
        </w:tc>
      </w:tr>
      <w:tr>
        <w:trPr>
          <w:trHeight w:val="212"/>
        </w:trPr>
        <w:tc>
          <w:tcPr>
            <w:tcW w:w="2820" w:type="dxa"/>
            <w:vAlign w:val="bottom"/>
            <w:tcBorders>
              <w:left w:val="single" w:sz="8" w:color="424E6A"/>
              <w:righ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Principal Position</w:t>
            </w:r>
          </w:p>
        </w:tc>
        <w:tc>
          <w:tcPr>
            <w:tcW w:w="500" w:type="dxa"/>
            <w:vAlign w:val="bottom"/>
            <w:tcBorders>
              <w:right w:val="single" w:sz="8" w:color="424E6A"/>
            </w:tcBorders>
            <w:shd w:val="clear" w:color="auto" w:fill="424E6A"/>
          </w:tcPr>
          <w:p>
            <w:pPr>
              <w:ind w:left="80"/>
              <w:spacing w:after="0"/>
              <w:rPr>
                <w:sz w:val="20"/>
                <w:szCs w:val="20"/>
                <w:color w:val="auto"/>
              </w:rPr>
            </w:pPr>
            <w:r>
              <w:rPr>
                <w:rFonts w:ascii="Arial" w:cs="Arial" w:eastAsia="Arial" w:hAnsi="Arial"/>
                <w:sz w:val="14"/>
                <w:szCs w:val="14"/>
                <w:b w:val="1"/>
                <w:bCs w:val="1"/>
                <w:color w:val="FFFFFF"/>
              </w:rPr>
              <w:t>Year</w:t>
            </w:r>
          </w:p>
        </w:tc>
        <w:tc>
          <w:tcPr>
            <w:tcW w:w="720" w:type="dxa"/>
            <w:vAlign w:val="bottom"/>
            <w:tcBorders>
              <w:right w:val="single" w:sz="8" w:color="424E6A"/>
            </w:tcBorders>
            <w:shd w:val="clear" w:color="auto" w:fill="424E6A"/>
          </w:tcPr>
          <w:p>
            <w:pPr>
              <w:ind w:left="20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8"/>
                <w:szCs w:val="8"/>
                <w:b w:val="1"/>
                <w:bCs w:val="1"/>
                <w:color w:val="FFFFFF"/>
              </w:rPr>
              <w:t>(1)</w:t>
            </w:r>
          </w:p>
        </w:tc>
        <w:tc>
          <w:tcPr>
            <w:tcW w:w="860" w:type="dxa"/>
            <w:vAlign w:val="bottom"/>
            <w:tcBorders>
              <w:right w:val="single" w:sz="8" w:color="424E6A"/>
            </w:tcBorders>
            <w:shd w:val="clear" w:color="auto" w:fill="424E6A"/>
          </w:tcPr>
          <w:p>
            <w:pPr>
              <w:jc w:val="center"/>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8"/>
                <w:szCs w:val="8"/>
                <w:b w:val="1"/>
                <w:bCs w:val="1"/>
                <w:color w:val="FFFFFF"/>
              </w:rPr>
              <w:t>(2)</w:t>
            </w:r>
          </w:p>
        </w:tc>
        <w:tc>
          <w:tcPr>
            <w:tcW w:w="1060" w:type="dxa"/>
            <w:vAlign w:val="bottom"/>
            <w:shd w:val="clear" w:color="auto" w:fill="424E6A"/>
          </w:tcPr>
          <w:p>
            <w:pPr>
              <w:jc w:val="center"/>
              <w:ind w:left="29"/>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8"/>
                <w:szCs w:val="8"/>
                <w:b w:val="1"/>
                <w:bCs w:val="1"/>
                <w:color w:val="FFFFFF"/>
              </w:rPr>
              <w:t>(3)</w:t>
            </w:r>
          </w:p>
        </w:tc>
        <w:tc>
          <w:tcPr>
            <w:tcW w:w="100" w:type="dxa"/>
            <w:vAlign w:val="bottom"/>
            <w:tcBorders>
              <w:right w:val="single" w:sz="8" w:color="424E6A"/>
            </w:tcBorders>
            <w:shd w:val="clear" w:color="auto" w:fill="424E6A"/>
          </w:tcPr>
          <w:p>
            <w:pPr>
              <w:spacing w:after="0"/>
              <w:rPr>
                <w:sz w:val="18"/>
                <w:szCs w:val="18"/>
                <w:color w:val="auto"/>
              </w:rPr>
            </w:pPr>
          </w:p>
        </w:tc>
        <w:tc>
          <w:tcPr>
            <w:tcW w:w="1080" w:type="dxa"/>
            <w:vAlign w:val="bottom"/>
            <w:shd w:val="clear" w:color="auto" w:fill="424E6A"/>
          </w:tcPr>
          <w:p>
            <w:pPr>
              <w:jc w:val="center"/>
              <w:ind w:left="9"/>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8"/>
                <w:szCs w:val="8"/>
                <w:b w:val="1"/>
                <w:bCs w:val="1"/>
                <w:color w:val="FFFFFF"/>
              </w:rPr>
              <w:t>(4)</w:t>
            </w:r>
          </w:p>
        </w:tc>
        <w:tc>
          <w:tcPr>
            <w:tcW w:w="300" w:type="dxa"/>
            <w:vAlign w:val="bottom"/>
            <w:gridSpan w:val="2"/>
            <w:shd w:val="clear" w:color="auto" w:fill="424E6A"/>
          </w:tcPr>
          <w:p>
            <w:pPr>
              <w:ind w:left="40"/>
              <w:spacing w:after="0"/>
              <w:rPr>
                <w:sz w:val="20"/>
                <w:szCs w:val="20"/>
                <w:color w:val="auto"/>
              </w:rPr>
            </w:pPr>
            <w:r>
              <w:rPr>
                <w:rFonts w:ascii="Arial" w:cs="Arial" w:eastAsia="Arial" w:hAnsi="Arial"/>
                <w:sz w:val="14"/>
                <w:szCs w:val="14"/>
                <w:b w:val="1"/>
                <w:bCs w:val="1"/>
                <w:color w:val="FFFFFF"/>
              </w:rPr>
              <w:t>​ ​</w:t>
            </w:r>
          </w:p>
        </w:tc>
        <w:tc>
          <w:tcPr>
            <w:tcW w:w="780" w:type="dxa"/>
            <w:vAlign w:val="bottom"/>
            <w:tcBorders>
              <w:right w:val="single" w:sz="8" w:color="424E6A"/>
            </w:tcBorders>
            <w:shd w:val="clear" w:color="auto" w:fill="424E6A"/>
          </w:tcPr>
          <w:p>
            <w:pPr>
              <w:jc w:val="right"/>
              <w:ind w:right="3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43"/>
        </w:trPr>
        <w:tc>
          <w:tcPr>
            <w:tcW w:w="2820" w:type="dxa"/>
            <w:vAlign w:val="bottom"/>
            <w:tcBorders>
              <w:left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6"/>
                <w:szCs w:val="16"/>
                <w:color w:val="auto"/>
              </w:rPr>
              <w:t>Willie Chiang,</w:t>
            </w:r>
          </w:p>
        </w:tc>
        <w:tc>
          <w:tcPr>
            <w:tcW w:w="500" w:type="dxa"/>
            <w:vAlign w:val="bottom"/>
            <w:tcBorders>
              <w:bottom w:val="single" w:sz="8" w:color="424E6A"/>
              <w:right w:val="single" w:sz="8" w:color="424E6A"/>
            </w:tcBorders>
          </w:tcPr>
          <w:p>
            <w:pPr>
              <w:ind w:left="4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2025</w:t>
            </w:r>
          </w:p>
        </w:tc>
        <w:tc>
          <w:tcPr>
            <w:tcW w:w="720" w:type="dxa"/>
            <w:vAlign w:val="bottom"/>
            <w:tcBorders>
              <w:bottom w:val="single" w:sz="8" w:color="424E6A"/>
              <w:right w:val="single" w:sz="8" w:color="424E6A"/>
            </w:tcBorders>
          </w:tcPr>
          <w:p>
            <w:pPr>
              <w:ind w:left="4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887,500</w:t>
            </w:r>
          </w:p>
        </w:tc>
        <w:tc>
          <w:tcPr>
            <w:tcW w:w="860" w:type="dxa"/>
            <w:vAlign w:val="bottom"/>
            <w:tcBorders>
              <w:bottom w:val="single" w:sz="8" w:color="424E6A"/>
              <w:right w:val="single" w:sz="8" w:color="424E6A"/>
            </w:tcBorders>
          </w:tcPr>
          <w:p>
            <w:pPr>
              <w:ind w:left="6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8,435,827</w:t>
            </w:r>
          </w:p>
        </w:tc>
        <w:tc>
          <w:tcPr>
            <w:tcW w:w="1060" w:type="dxa"/>
            <w:vAlign w:val="bottom"/>
            <w:tcBorders>
              <w:bottom w:val="single" w:sz="8" w:color="424E6A"/>
            </w:tcBorders>
          </w:tcPr>
          <w:p>
            <w:pPr>
              <w:ind w:left="20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2,950,000</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424E6A"/>
            </w:tcBorders>
          </w:tcPr>
          <w:p>
            <w:pPr>
              <w:ind w:left="32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21,840</w:t>
            </w:r>
          </w:p>
        </w:tc>
        <w:tc>
          <w:tcPr>
            <w:tcW w:w="10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424E6A"/>
              <w:right w:val="single" w:sz="8" w:color="424E6A"/>
            </w:tcBorders>
            <w:gridSpan w:val="2"/>
          </w:tcPr>
          <w:p>
            <w:pPr>
              <w:ind w:left="2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12,295,167</w:t>
            </w:r>
          </w:p>
        </w:tc>
        <w:tc>
          <w:tcPr>
            <w:tcW w:w="0" w:type="dxa"/>
            <w:vAlign w:val="bottom"/>
          </w:tcPr>
          <w:p>
            <w:pPr>
              <w:spacing w:after="0"/>
              <w:rPr>
                <w:sz w:val="1"/>
                <w:szCs w:val="1"/>
                <w:color w:val="auto"/>
              </w:rPr>
            </w:pPr>
          </w:p>
        </w:tc>
      </w:tr>
      <w:tr>
        <w:trPr>
          <w:trHeight w:val="237"/>
        </w:trPr>
        <w:tc>
          <w:tcPr>
            <w:tcW w:w="2820" w:type="dxa"/>
            <w:vAlign w:val="bottom"/>
            <w:tcBorders>
              <w:left w:val="single" w:sz="8" w:color="424E6A"/>
              <w:right w:val="single" w:sz="8" w:color="424E6A"/>
            </w:tcBorders>
          </w:tcPr>
          <w:p>
            <w:pPr>
              <w:ind w:left="220"/>
              <w:spacing w:after="0"/>
              <w:rPr>
                <w:sz w:val="20"/>
                <w:szCs w:val="20"/>
                <w:color w:val="auto"/>
              </w:rPr>
            </w:pPr>
            <w:r>
              <w:rPr>
                <w:rFonts w:ascii="Arial" w:cs="Arial" w:eastAsia="Arial" w:hAnsi="Arial"/>
                <w:sz w:val="16"/>
                <w:szCs w:val="16"/>
                <w:color w:val="auto"/>
              </w:rPr>
              <w:t>Chairman, Chief Executive</w:t>
            </w:r>
          </w:p>
        </w:tc>
        <w:tc>
          <w:tcPr>
            <w:tcW w:w="500" w:type="dxa"/>
            <w:vAlign w:val="bottom"/>
            <w:tcBorders>
              <w:right w:val="single" w:sz="8" w:color="424E6A"/>
            </w:tcBorders>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2024</w:t>
            </w:r>
          </w:p>
        </w:tc>
        <w:tc>
          <w:tcPr>
            <w:tcW w:w="720" w:type="dxa"/>
            <w:vAlign w:val="bottom"/>
            <w:tcBorders>
              <w:right w:val="single" w:sz="8" w:color="424E6A"/>
            </w:tcBorders>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837,500</w:t>
            </w:r>
          </w:p>
        </w:tc>
        <w:tc>
          <w:tcPr>
            <w:tcW w:w="860" w:type="dxa"/>
            <w:vAlign w:val="bottom"/>
            <w:tcBorders>
              <w:right w:val="single" w:sz="8" w:color="424E6A"/>
            </w:tcBorders>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4,657,905</w:t>
            </w:r>
          </w:p>
        </w:tc>
        <w:tc>
          <w:tcPr>
            <w:tcW w:w="1060" w:type="dxa"/>
            <w:vAlign w:val="bottom"/>
          </w:tcPr>
          <w:p>
            <w:pPr>
              <w:ind w:left="2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2,995,000</w:t>
            </w:r>
          </w:p>
        </w:tc>
        <w:tc>
          <w:tcPr>
            <w:tcW w:w="100" w:type="dxa"/>
            <w:vAlign w:val="bottom"/>
            <w:tcBorders>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ind w:left="3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21,540</w:t>
            </w:r>
          </w:p>
        </w:tc>
        <w:tc>
          <w:tcPr>
            <w:tcW w:w="100" w:type="dxa"/>
            <w:vAlign w:val="bottom"/>
            <w:tcBorders>
              <w:right w:val="single" w:sz="8" w:color="424E6A"/>
            </w:tcBorders>
          </w:tcPr>
          <w:p>
            <w:pPr>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424E6A"/>
            </w:tcBorders>
            <w:gridSpan w:val="2"/>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8,511,945</w:t>
            </w:r>
          </w:p>
        </w:tc>
        <w:tc>
          <w:tcPr>
            <w:tcW w:w="0" w:type="dxa"/>
            <w:vAlign w:val="bottom"/>
          </w:tcPr>
          <w:p>
            <w:pPr>
              <w:spacing w:after="0"/>
              <w:rPr>
                <w:sz w:val="1"/>
                <w:szCs w:val="1"/>
                <w:color w:val="auto"/>
              </w:rPr>
            </w:pPr>
          </w:p>
        </w:tc>
      </w:tr>
      <w:tr>
        <w:trPr>
          <w:trHeight w:val="27"/>
        </w:trPr>
        <w:tc>
          <w:tcPr>
            <w:tcW w:w="2820" w:type="dxa"/>
            <w:vAlign w:val="bottom"/>
            <w:tcBorders>
              <w:left w:val="single" w:sz="8" w:color="424E6A"/>
              <w:right w:val="single" w:sz="8" w:color="424E6A"/>
            </w:tcBorders>
            <w:vMerge w:val="restart"/>
          </w:tcPr>
          <w:p>
            <w:pPr>
              <w:ind w:left="220"/>
              <w:spacing w:after="0"/>
              <w:rPr>
                <w:sz w:val="20"/>
                <w:szCs w:val="20"/>
                <w:color w:val="auto"/>
              </w:rPr>
            </w:pPr>
            <w:r>
              <w:rPr>
                <w:rFonts w:ascii="Arial" w:cs="Arial" w:eastAsia="Arial" w:hAnsi="Arial"/>
                <w:sz w:val="16"/>
                <w:szCs w:val="16"/>
                <w:color w:val="auto"/>
              </w:rPr>
              <w:t>Officer and President</w:t>
            </w:r>
          </w:p>
        </w:tc>
        <w:tc>
          <w:tcPr>
            <w:tcW w:w="500" w:type="dxa"/>
            <w:vAlign w:val="bottom"/>
            <w:tcBorders>
              <w:bottom w:val="single" w:sz="8" w:color="424E6A"/>
              <w:right w:val="single" w:sz="8" w:color="424E6A"/>
            </w:tcBorders>
          </w:tcPr>
          <w:p>
            <w:pPr>
              <w:spacing w:after="0"/>
              <w:rPr>
                <w:sz w:val="2"/>
                <w:szCs w:val="2"/>
                <w:color w:val="auto"/>
              </w:rPr>
            </w:pPr>
          </w:p>
        </w:tc>
        <w:tc>
          <w:tcPr>
            <w:tcW w:w="720" w:type="dxa"/>
            <w:vAlign w:val="bottom"/>
            <w:tcBorders>
              <w:bottom w:val="single" w:sz="8" w:color="424E6A"/>
              <w:right w:val="single" w:sz="8" w:color="424E6A"/>
            </w:tcBorders>
          </w:tcPr>
          <w:p>
            <w:pPr>
              <w:spacing w:after="0"/>
              <w:rPr>
                <w:sz w:val="2"/>
                <w:szCs w:val="2"/>
                <w:color w:val="auto"/>
              </w:rPr>
            </w:pPr>
          </w:p>
        </w:tc>
        <w:tc>
          <w:tcPr>
            <w:tcW w:w="860" w:type="dxa"/>
            <w:vAlign w:val="bottom"/>
            <w:tcBorders>
              <w:bottom w:val="single" w:sz="8" w:color="424E6A"/>
              <w:right w:val="single" w:sz="8" w:color="424E6A"/>
            </w:tcBorders>
          </w:tcPr>
          <w:p>
            <w:pPr>
              <w:spacing w:after="0"/>
              <w:rPr>
                <w:sz w:val="2"/>
                <w:szCs w:val="2"/>
                <w:color w:val="auto"/>
              </w:rPr>
            </w:pPr>
          </w:p>
        </w:tc>
        <w:tc>
          <w:tcPr>
            <w:tcW w:w="1060" w:type="dxa"/>
            <w:vAlign w:val="bottom"/>
            <w:tcBorders>
              <w:bottom w:val="single" w:sz="8" w:color="424E6A"/>
            </w:tcBorders>
          </w:tcPr>
          <w:p>
            <w:pPr>
              <w:spacing w:after="0"/>
              <w:rPr>
                <w:sz w:val="2"/>
                <w:szCs w:val="2"/>
                <w:color w:val="auto"/>
              </w:rPr>
            </w:pPr>
          </w:p>
        </w:tc>
        <w:tc>
          <w:tcPr>
            <w:tcW w:w="100" w:type="dxa"/>
            <w:vAlign w:val="bottom"/>
            <w:tcBorders>
              <w:bottom w:val="single" w:sz="8" w:color="424E6A"/>
              <w:right w:val="single" w:sz="8" w:color="424E6A"/>
            </w:tcBorders>
          </w:tcPr>
          <w:p>
            <w:pPr>
              <w:spacing w:after="0"/>
              <w:rPr>
                <w:sz w:val="2"/>
                <w:szCs w:val="2"/>
                <w:color w:val="auto"/>
              </w:rPr>
            </w:pPr>
          </w:p>
        </w:tc>
        <w:tc>
          <w:tcPr>
            <w:tcW w:w="1080" w:type="dxa"/>
            <w:vAlign w:val="bottom"/>
            <w:tcBorders>
              <w:bottom w:val="single" w:sz="8" w:color="424E6A"/>
            </w:tcBorders>
          </w:tcPr>
          <w:p>
            <w:pPr>
              <w:spacing w:after="0"/>
              <w:rPr>
                <w:sz w:val="2"/>
                <w:szCs w:val="2"/>
                <w:color w:val="auto"/>
              </w:rPr>
            </w:pPr>
          </w:p>
        </w:tc>
        <w:tc>
          <w:tcPr>
            <w:tcW w:w="100" w:type="dxa"/>
            <w:vAlign w:val="bottom"/>
            <w:tcBorders>
              <w:bottom w:val="single" w:sz="8" w:color="424E6A"/>
              <w:right w:val="single" w:sz="8" w:color="424E6A"/>
            </w:tcBorders>
          </w:tcPr>
          <w:p>
            <w:pPr>
              <w:spacing w:after="0"/>
              <w:rPr>
                <w:sz w:val="2"/>
                <w:szCs w:val="2"/>
                <w:color w:val="auto"/>
              </w:rPr>
            </w:pPr>
          </w:p>
        </w:tc>
        <w:tc>
          <w:tcPr>
            <w:tcW w:w="200" w:type="dxa"/>
            <w:vAlign w:val="bottom"/>
            <w:tcBorders>
              <w:bottom w:val="single" w:sz="8" w:color="424E6A"/>
            </w:tcBorders>
          </w:tcPr>
          <w:p>
            <w:pPr>
              <w:spacing w:after="0"/>
              <w:rPr>
                <w:sz w:val="2"/>
                <w:szCs w:val="2"/>
                <w:color w:val="auto"/>
              </w:rPr>
            </w:pPr>
          </w:p>
        </w:tc>
        <w:tc>
          <w:tcPr>
            <w:tcW w:w="780" w:type="dxa"/>
            <w:vAlign w:val="bottom"/>
            <w:tcBorders>
              <w:bottom w:val="single" w:sz="8" w:color="424E6A"/>
              <w:right w:val="single" w:sz="8" w:color="424E6A"/>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820" w:type="dxa"/>
            <w:vAlign w:val="bottom"/>
            <w:tcBorders>
              <w:left w:val="single" w:sz="8" w:color="424E6A"/>
              <w:right w:val="single" w:sz="8" w:color="424E6A"/>
            </w:tcBorders>
            <w:vMerge w:val="continue"/>
          </w:tcPr>
          <w:p>
            <w:pPr>
              <w:spacing w:after="0"/>
              <w:rPr>
                <w:sz w:val="14"/>
                <w:szCs w:val="14"/>
                <w:color w:val="auto"/>
              </w:rPr>
            </w:pPr>
          </w:p>
        </w:tc>
        <w:tc>
          <w:tcPr>
            <w:tcW w:w="500" w:type="dxa"/>
            <w:vAlign w:val="bottom"/>
            <w:tcBorders>
              <w:right w:val="single" w:sz="8" w:color="424E6A"/>
            </w:tcBorders>
            <w:vMerge w:val="restart"/>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2023</w:t>
            </w:r>
          </w:p>
        </w:tc>
        <w:tc>
          <w:tcPr>
            <w:tcW w:w="720" w:type="dxa"/>
            <w:vAlign w:val="bottom"/>
            <w:tcBorders>
              <w:right w:val="single" w:sz="8" w:color="424E6A"/>
            </w:tcBorders>
            <w:vMerge w:val="restart"/>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800,000</w:t>
            </w:r>
          </w:p>
        </w:tc>
        <w:tc>
          <w:tcPr>
            <w:tcW w:w="860" w:type="dxa"/>
            <w:vAlign w:val="bottom"/>
            <w:tcBorders>
              <w:right w:val="single" w:sz="8" w:color="424E6A"/>
            </w:tcBorders>
            <w:vMerge w:val="restart"/>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3,658,279</w:t>
            </w:r>
          </w:p>
        </w:tc>
        <w:tc>
          <w:tcPr>
            <w:tcW w:w="1060" w:type="dxa"/>
            <w:vAlign w:val="bottom"/>
            <w:vMerge w:val="restart"/>
          </w:tcPr>
          <w:p>
            <w:pPr>
              <w:ind w:left="2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2,975,000</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ind w:left="3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20,640</w:t>
            </w:r>
          </w:p>
        </w:tc>
        <w:tc>
          <w:tcPr>
            <w:tcW w:w="100" w:type="dxa"/>
            <w:vAlign w:val="bottom"/>
            <w:tcBorders>
              <w:right w:val="single" w:sz="8" w:color="424E6A"/>
            </w:tcBorders>
            <w:vMerge w:val="restart"/>
          </w:tcPr>
          <w:p>
            <w:pPr>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424E6A"/>
            </w:tcBorders>
            <w:gridSpan w:val="2"/>
            <w:vMerge w:val="restart"/>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7,453,919</w:t>
            </w:r>
          </w:p>
        </w:tc>
        <w:tc>
          <w:tcPr>
            <w:tcW w:w="0" w:type="dxa"/>
            <w:vAlign w:val="bottom"/>
          </w:tcPr>
          <w:p>
            <w:pPr>
              <w:spacing w:after="0"/>
              <w:rPr>
                <w:sz w:val="1"/>
                <w:szCs w:val="1"/>
                <w:color w:val="auto"/>
              </w:rPr>
            </w:pPr>
          </w:p>
        </w:tc>
      </w:tr>
      <w:tr>
        <w:trPr>
          <w:trHeight w:val="69"/>
        </w:trPr>
        <w:tc>
          <w:tcPr>
            <w:tcW w:w="2820" w:type="dxa"/>
            <w:vAlign w:val="bottom"/>
            <w:tcBorders>
              <w:left w:val="single" w:sz="8" w:color="424E6A"/>
              <w:bottom w:val="single" w:sz="8" w:color="424E6A"/>
              <w:right w:val="single" w:sz="8" w:color="424E6A"/>
            </w:tcBorders>
          </w:tcPr>
          <w:p>
            <w:pPr>
              <w:spacing w:after="0"/>
              <w:rPr>
                <w:sz w:val="5"/>
                <w:szCs w:val="5"/>
                <w:color w:val="auto"/>
              </w:rPr>
            </w:pPr>
          </w:p>
        </w:tc>
        <w:tc>
          <w:tcPr>
            <w:tcW w:w="500" w:type="dxa"/>
            <w:vAlign w:val="bottom"/>
            <w:tcBorders>
              <w:bottom w:val="single" w:sz="8" w:color="424E6A"/>
              <w:right w:val="single" w:sz="8" w:color="424E6A"/>
            </w:tcBorders>
            <w:vMerge w:val="continue"/>
          </w:tcPr>
          <w:p>
            <w:pPr>
              <w:spacing w:after="0"/>
              <w:rPr>
                <w:sz w:val="5"/>
                <w:szCs w:val="5"/>
                <w:color w:val="auto"/>
              </w:rPr>
            </w:pPr>
          </w:p>
        </w:tc>
        <w:tc>
          <w:tcPr>
            <w:tcW w:w="720" w:type="dxa"/>
            <w:vAlign w:val="bottom"/>
            <w:tcBorders>
              <w:bottom w:val="single" w:sz="8" w:color="424E6A"/>
              <w:right w:val="single" w:sz="8" w:color="424E6A"/>
            </w:tcBorders>
            <w:vMerge w:val="continue"/>
          </w:tcPr>
          <w:p>
            <w:pPr>
              <w:spacing w:after="0"/>
              <w:rPr>
                <w:sz w:val="5"/>
                <w:szCs w:val="5"/>
                <w:color w:val="auto"/>
              </w:rPr>
            </w:pPr>
          </w:p>
        </w:tc>
        <w:tc>
          <w:tcPr>
            <w:tcW w:w="860" w:type="dxa"/>
            <w:vAlign w:val="bottom"/>
            <w:tcBorders>
              <w:bottom w:val="single" w:sz="8" w:color="424E6A"/>
              <w:right w:val="single" w:sz="8" w:color="424E6A"/>
            </w:tcBorders>
            <w:vMerge w:val="continue"/>
          </w:tcPr>
          <w:p>
            <w:pPr>
              <w:spacing w:after="0"/>
              <w:rPr>
                <w:sz w:val="5"/>
                <w:szCs w:val="5"/>
                <w:color w:val="auto"/>
              </w:rPr>
            </w:pPr>
          </w:p>
        </w:tc>
        <w:tc>
          <w:tcPr>
            <w:tcW w:w="1060" w:type="dxa"/>
            <w:vAlign w:val="bottom"/>
            <w:tcBorders>
              <w:bottom w:val="single" w:sz="8" w:color="424E6A"/>
            </w:tcBorders>
            <w:vMerge w:val="continue"/>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1080" w:type="dxa"/>
            <w:vAlign w:val="bottom"/>
            <w:tcBorders>
              <w:bottom w:val="single" w:sz="8" w:color="424E6A"/>
            </w:tcBorders>
            <w:vMerge w:val="continue"/>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980" w:type="dxa"/>
            <w:vAlign w:val="bottom"/>
            <w:tcBorders>
              <w:bottom w:val="single" w:sz="8" w:color="424E6A"/>
              <w:right w:val="single" w:sz="8" w:color="424E6A"/>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2820" w:type="dxa"/>
            <w:vAlign w:val="bottom"/>
            <w:tcBorders>
              <w:left w:val="single" w:sz="8" w:color="424E6A"/>
              <w:bottom w:val="single" w:sz="8" w:color="D9DCE1"/>
              <w:right w:val="single" w:sz="8" w:color="424E6A"/>
            </w:tcBorders>
            <w:shd w:val="clear" w:color="auto" w:fill="D9DCE1"/>
          </w:tcPr>
          <w:p>
            <w:pPr>
              <w:spacing w:after="0"/>
              <w:rPr>
                <w:sz w:val="24"/>
                <w:szCs w:val="24"/>
                <w:color w:val="auto"/>
              </w:rPr>
            </w:pPr>
          </w:p>
        </w:tc>
        <w:tc>
          <w:tcPr>
            <w:tcW w:w="500" w:type="dxa"/>
            <w:vAlign w:val="bottom"/>
            <w:tcBorders>
              <w:bottom w:val="single" w:sz="8" w:color="D9DCE1"/>
              <w:right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720" w:type="dxa"/>
            <w:vAlign w:val="bottom"/>
            <w:tcBorders>
              <w:bottom w:val="single" w:sz="8" w:color="D9DCE1"/>
              <w:right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860" w:type="dxa"/>
            <w:vAlign w:val="bottom"/>
            <w:tcBorders>
              <w:bottom w:val="single" w:sz="8" w:color="D9DCE1"/>
              <w:right w:val="single" w:sz="8" w:color="424E6A"/>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1060" w:type="dxa"/>
            <w:vAlign w:val="bottom"/>
            <w:tcBorders>
              <w:bottom w:val="single" w:sz="8" w:color="D9DCE1"/>
            </w:tcBorders>
            <w:shd w:val="clear" w:color="auto" w:fill="D9DCE1"/>
          </w:tcPr>
          <w:p>
            <w:pPr>
              <w:ind w:left="20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1080" w:type="dxa"/>
            <w:vAlign w:val="bottom"/>
            <w:tcBorders>
              <w:bottom w:val="single" w:sz="8" w:color="D9DCE1"/>
            </w:tcBorders>
            <w:shd w:val="clear" w:color="auto" w:fill="D9DCE1"/>
          </w:tcPr>
          <w:p>
            <w:pPr>
              <w:ind w:left="32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D9DCE1"/>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780" w:type="dxa"/>
            <w:vAlign w:val="bottom"/>
            <w:tcBorders>
              <w:bottom w:val="single" w:sz="8" w:color="D9DCE1"/>
              <w:right w:val="single" w:sz="8" w:color="424E6A"/>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820" w:type="dxa"/>
            <w:vAlign w:val="bottom"/>
            <w:tcBorders>
              <w:top w:val="single" w:sz="8" w:color="424E6A"/>
              <w:left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6"/>
                <w:szCs w:val="16"/>
                <w:color w:val="auto"/>
              </w:rPr>
              <w:t>Al Swanson,</w:t>
            </w:r>
          </w:p>
        </w:tc>
        <w:tc>
          <w:tcPr>
            <w:tcW w:w="500" w:type="dxa"/>
            <w:vAlign w:val="bottom"/>
            <w:tcBorders>
              <w:top w:val="single" w:sz="8" w:color="424E6A"/>
              <w:bottom w:val="single" w:sz="8" w:color="424E6A"/>
              <w:right w:val="single" w:sz="8" w:color="424E6A"/>
            </w:tcBorders>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2025</w:t>
            </w:r>
          </w:p>
        </w:tc>
        <w:tc>
          <w:tcPr>
            <w:tcW w:w="720" w:type="dxa"/>
            <w:vAlign w:val="bottom"/>
            <w:tcBorders>
              <w:top w:val="single" w:sz="8" w:color="424E6A"/>
              <w:bottom w:val="single" w:sz="8" w:color="424E6A"/>
              <w:right w:val="single" w:sz="8" w:color="424E6A"/>
            </w:tcBorders>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565,000</w:t>
            </w:r>
          </w:p>
        </w:tc>
        <w:tc>
          <w:tcPr>
            <w:tcW w:w="860" w:type="dxa"/>
            <w:vAlign w:val="bottom"/>
            <w:tcBorders>
              <w:top w:val="single" w:sz="8" w:color="424E6A"/>
              <w:bottom w:val="single" w:sz="8" w:color="424E6A"/>
              <w:right w:val="single" w:sz="8" w:color="424E6A"/>
            </w:tcBorders>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1,444,984</w:t>
            </w:r>
          </w:p>
        </w:tc>
        <w:tc>
          <w:tcPr>
            <w:tcW w:w="1060" w:type="dxa"/>
            <w:vAlign w:val="bottom"/>
            <w:tcBorders>
              <w:top w:val="single" w:sz="8" w:color="424E6A"/>
              <w:bottom w:val="single" w:sz="8" w:color="424E6A"/>
            </w:tcBorders>
          </w:tcPr>
          <w:p>
            <w:pPr>
              <w:ind w:left="2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1,125,000</w:t>
            </w:r>
          </w:p>
        </w:tc>
        <w:tc>
          <w:tcPr>
            <w:tcW w:w="10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424E6A"/>
              <w:bottom w:val="single" w:sz="8" w:color="424E6A"/>
            </w:tcBorders>
          </w:tcPr>
          <w:p>
            <w:pPr>
              <w:ind w:left="3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21,840</w:t>
            </w:r>
          </w:p>
        </w:tc>
        <w:tc>
          <w:tcPr>
            <w:tcW w:w="100" w:type="dxa"/>
            <w:vAlign w:val="bottom"/>
            <w:tcBorders>
              <w:top w:val="single" w:sz="8" w:color="424E6A"/>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424E6A"/>
              <w:bottom w:val="single" w:sz="8" w:color="424E6A"/>
              <w:right w:val="single" w:sz="8" w:color="424E6A"/>
            </w:tcBorders>
            <w:gridSpan w:val="2"/>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3,156,824</w:t>
            </w:r>
          </w:p>
        </w:tc>
        <w:tc>
          <w:tcPr>
            <w:tcW w:w="0" w:type="dxa"/>
            <w:vAlign w:val="bottom"/>
          </w:tcPr>
          <w:p>
            <w:pPr>
              <w:spacing w:after="0"/>
              <w:rPr>
                <w:sz w:val="1"/>
                <w:szCs w:val="1"/>
                <w:color w:val="auto"/>
              </w:rPr>
            </w:pPr>
          </w:p>
        </w:tc>
      </w:tr>
      <w:tr>
        <w:trPr>
          <w:trHeight w:val="237"/>
        </w:trPr>
        <w:tc>
          <w:tcPr>
            <w:tcW w:w="2820" w:type="dxa"/>
            <w:vAlign w:val="bottom"/>
            <w:tcBorders>
              <w:left w:val="single" w:sz="8" w:color="424E6A"/>
              <w:right w:val="single" w:sz="8" w:color="424E6A"/>
            </w:tcBorders>
          </w:tcPr>
          <w:p>
            <w:pPr>
              <w:ind w:left="220"/>
              <w:spacing w:after="0"/>
              <w:rPr>
                <w:sz w:val="20"/>
                <w:szCs w:val="20"/>
                <w:color w:val="auto"/>
              </w:rPr>
            </w:pPr>
            <w:r>
              <w:rPr>
                <w:rFonts w:ascii="Arial" w:cs="Arial" w:eastAsia="Arial" w:hAnsi="Arial"/>
                <w:sz w:val="16"/>
                <w:szCs w:val="16"/>
                <w:color w:val="auto"/>
              </w:rPr>
              <w:t>Executive Vice President and</w:t>
            </w:r>
          </w:p>
        </w:tc>
        <w:tc>
          <w:tcPr>
            <w:tcW w:w="500" w:type="dxa"/>
            <w:vAlign w:val="bottom"/>
            <w:tcBorders>
              <w:right w:val="single" w:sz="8" w:color="424E6A"/>
            </w:tcBorders>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2024</w:t>
            </w:r>
          </w:p>
        </w:tc>
        <w:tc>
          <w:tcPr>
            <w:tcW w:w="720" w:type="dxa"/>
            <w:vAlign w:val="bottom"/>
            <w:tcBorders>
              <w:right w:val="single" w:sz="8" w:color="424E6A"/>
            </w:tcBorders>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550,000</w:t>
            </w:r>
          </w:p>
        </w:tc>
        <w:tc>
          <w:tcPr>
            <w:tcW w:w="860" w:type="dxa"/>
            <w:vAlign w:val="bottom"/>
            <w:tcBorders>
              <w:right w:val="single" w:sz="8" w:color="424E6A"/>
            </w:tcBorders>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1,406,160</w:t>
            </w:r>
          </w:p>
        </w:tc>
        <w:tc>
          <w:tcPr>
            <w:tcW w:w="1060" w:type="dxa"/>
            <w:vAlign w:val="bottom"/>
          </w:tcPr>
          <w:p>
            <w:pPr>
              <w:ind w:left="2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1,150,000</w:t>
            </w:r>
          </w:p>
        </w:tc>
        <w:tc>
          <w:tcPr>
            <w:tcW w:w="100" w:type="dxa"/>
            <w:vAlign w:val="bottom"/>
            <w:tcBorders>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ind w:left="3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21,540</w:t>
            </w:r>
          </w:p>
        </w:tc>
        <w:tc>
          <w:tcPr>
            <w:tcW w:w="100" w:type="dxa"/>
            <w:vAlign w:val="bottom"/>
            <w:tcBorders>
              <w:right w:val="single" w:sz="8" w:color="424E6A"/>
            </w:tcBorders>
          </w:tcPr>
          <w:p>
            <w:pPr>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424E6A"/>
            </w:tcBorders>
            <w:gridSpan w:val="2"/>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3,127,700</w:t>
            </w:r>
          </w:p>
        </w:tc>
        <w:tc>
          <w:tcPr>
            <w:tcW w:w="0" w:type="dxa"/>
            <w:vAlign w:val="bottom"/>
          </w:tcPr>
          <w:p>
            <w:pPr>
              <w:spacing w:after="0"/>
              <w:rPr>
                <w:sz w:val="1"/>
                <w:szCs w:val="1"/>
                <w:color w:val="auto"/>
              </w:rPr>
            </w:pPr>
          </w:p>
        </w:tc>
      </w:tr>
      <w:tr>
        <w:trPr>
          <w:trHeight w:val="27"/>
        </w:trPr>
        <w:tc>
          <w:tcPr>
            <w:tcW w:w="2820" w:type="dxa"/>
            <w:vAlign w:val="bottom"/>
            <w:tcBorders>
              <w:left w:val="single" w:sz="8" w:color="424E6A"/>
              <w:right w:val="single" w:sz="8" w:color="424E6A"/>
            </w:tcBorders>
            <w:vMerge w:val="restart"/>
          </w:tcPr>
          <w:p>
            <w:pPr>
              <w:ind w:left="220"/>
              <w:spacing w:after="0"/>
              <w:rPr>
                <w:sz w:val="20"/>
                <w:szCs w:val="20"/>
                <w:color w:val="auto"/>
              </w:rPr>
            </w:pPr>
            <w:r>
              <w:rPr>
                <w:rFonts w:ascii="Arial" w:cs="Arial" w:eastAsia="Arial" w:hAnsi="Arial"/>
                <w:sz w:val="16"/>
                <w:szCs w:val="16"/>
                <w:color w:val="auto"/>
              </w:rPr>
              <w:t>Chief Financial Officer</w:t>
            </w:r>
          </w:p>
        </w:tc>
        <w:tc>
          <w:tcPr>
            <w:tcW w:w="500" w:type="dxa"/>
            <w:vAlign w:val="bottom"/>
            <w:tcBorders>
              <w:bottom w:val="single" w:sz="8" w:color="424E6A"/>
              <w:right w:val="single" w:sz="8" w:color="424E6A"/>
            </w:tcBorders>
          </w:tcPr>
          <w:p>
            <w:pPr>
              <w:spacing w:after="0"/>
              <w:rPr>
                <w:sz w:val="2"/>
                <w:szCs w:val="2"/>
                <w:color w:val="auto"/>
              </w:rPr>
            </w:pPr>
          </w:p>
        </w:tc>
        <w:tc>
          <w:tcPr>
            <w:tcW w:w="720" w:type="dxa"/>
            <w:vAlign w:val="bottom"/>
            <w:tcBorders>
              <w:bottom w:val="single" w:sz="8" w:color="424E6A"/>
              <w:right w:val="single" w:sz="8" w:color="424E6A"/>
            </w:tcBorders>
          </w:tcPr>
          <w:p>
            <w:pPr>
              <w:spacing w:after="0"/>
              <w:rPr>
                <w:sz w:val="2"/>
                <w:szCs w:val="2"/>
                <w:color w:val="auto"/>
              </w:rPr>
            </w:pPr>
          </w:p>
        </w:tc>
        <w:tc>
          <w:tcPr>
            <w:tcW w:w="860" w:type="dxa"/>
            <w:vAlign w:val="bottom"/>
            <w:tcBorders>
              <w:bottom w:val="single" w:sz="8" w:color="424E6A"/>
              <w:right w:val="single" w:sz="8" w:color="424E6A"/>
            </w:tcBorders>
          </w:tcPr>
          <w:p>
            <w:pPr>
              <w:spacing w:after="0"/>
              <w:rPr>
                <w:sz w:val="2"/>
                <w:szCs w:val="2"/>
                <w:color w:val="auto"/>
              </w:rPr>
            </w:pPr>
          </w:p>
        </w:tc>
        <w:tc>
          <w:tcPr>
            <w:tcW w:w="1060" w:type="dxa"/>
            <w:vAlign w:val="bottom"/>
            <w:tcBorders>
              <w:bottom w:val="single" w:sz="8" w:color="424E6A"/>
            </w:tcBorders>
          </w:tcPr>
          <w:p>
            <w:pPr>
              <w:spacing w:after="0"/>
              <w:rPr>
                <w:sz w:val="2"/>
                <w:szCs w:val="2"/>
                <w:color w:val="auto"/>
              </w:rPr>
            </w:pPr>
          </w:p>
        </w:tc>
        <w:tc>
          <w:tcPr>
            <w:tcW w:w="100" w:type="dxa"/>
            <w:vAlign w:val="bottom"/>
            <w:tcBorders>
              <w:bottom w:val="single" w:sz="8" w:color="424E6A"/>
              <w:right w:val="single" w:sz="8" w:color="424E6A"/>
            </w:tcBorders>
          </w:tcPr>
          <w:p>
            <w:pPr>
              <w:spacing w:after="0"/>
              <w:rPr>
                <w:sz w:val="2"/>
                <w:szCs w:val="2"/>
                <w:color w:val="auto"/>
              </w:rPr>
            </w:pPr>
          </w:p>
        </w:tc>
        <w:tc>
          <w:tcPr>
            <w:tcW w:w="1080" w:type="dxa"/>
            <w:vAlign w:val="bottom"/>
            <w:tcBorders>
              <w:bottom w:val="single" w:sz="8" w:color="424E6A"/>
            </w:tcBorders>
          </w:tcPr>
          <w:p>
            <w:pPr>
              <w:spacing w:after="0"/>
              <w:rPr>
                <w:sz w:val="2"/>
                <w:szCs w:val="2"/>
                <w:color w:val="auto"/>
              </w:rPr>
            </w:pPr>
          </w:p>
        </w:tc>
        <w:tc>
          <w:tcPr>
            <w:tcW w:w="100" w:type="dxa"/>
            <w:vAlign w:val="bottom"/>
            <w:tcBorders>
              <w:bottom w:val="single" w:sz="8" w:color="424E6A"/>
              <w:right w:val="single" w:sz="8" w:color="424E6A"/>
            </w:tcBorders>
          </w:tcPr>
          <w:p>
            <w:pPr>
              <w:spacing w:after="0"/>
              <w:rPr>
                <w:sz w:val="2"/>
                <w:szCs w:val="2"/>
                <w:color w:val="auto"/>
              </w:rPr>
            </w:pPr>
          </w:p>
        </w:tc>
        <w:tc>
          <w:tcPr>
            <w:tcW w:w="200" w:type="dxa"/>
            <w:vAlign w:val="bottom"/>
            <w:tcBorders>
              <w:bottom w:val="single" w:sz="8" w:color="424E6A"/>
            </w:tcBorders>
          </w:tcPr>
          <w:p>
            <w:pPr>
              <w:spacing w:after="0"/>
              <w:rPr>
                <w:sz w:val="2"/>
                <w:szCs w:val="2"/>
                <w:color w:val="auto"/>
              </w:rPr>
            </w:pPr>
          </w:p>
        </w:tc>
        <w:tc>
          <w:tcPr>
            <w:tcW w:w="780" w:type="dxa"/>
            <w:vAlign w:val="bottom"/>
            <w:tcBorders>
              <w:bottom w:val="single" w:sz="8" w:color="424E6A"/>
              <w:right w:val="single" w:sz="8" w:color="424E6A"/>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820" w:type="dxa"/>
            <w:vAlign w:val="bottom"/>
            <w:tcBorders>
              <w:left w:val="single" w:sz="8" w:color="424E6A"/>
              <w:right w:val="single" w:sz="8" w:color="424E6A"/>
            </w:tcBorders>
            <w:vMerge w:val="continue"/>
          </w:tcPr>
          <w:p>
            <w:pPr>
              <w:spacing w:after="0"/>
              <w:rPr>
                <w:sz w:val="14"/>
                <w:szCs w:val="14"/>
                <w:color w:val="auto"/>
              </w:rPr>
            </w:pPr>
          </w:p>
        </w:tc>
        <w:tc>
          <w:tcPr>
            <w:tcW w:w="500" w:type="dxa"/>
            <w:vAlign w:val="bottom"/>
            <w:tcBorders>
              <w:right w:val="single" w:sz="8" w:color="424E6A"/>
            </w:tcBorders>
            <w:vMerge w:val="restart"/>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2023</w:t>
            </w:r>
          </w:p>
        </w:tc>
        <w:tc>
          <w:tcPr>
            <w:tcW w:w="720" w:type="dxa"/>
            <w:vAlign w:val="bottom"/>
            <w:tcBorders>
              <w:right w:val="single" w:sz="8" w:color="424E6A"/>
            </w:tcBorders>
            <w:vMerge w:val="restart"/>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550,000</w:t>
            </w:r>
          </w:p>
        </w:tc>
        <w:tc>
          <w:tcPr>
            <w:tcW w:w="860" w:type="dxa"/>
            <w:vAlign w:val="bottom"/>
            <w:tcBorders>
              <w:right w:val="single" w:sz="8" w:color="424E6A"/>
            </w:tcBorders>
            <w:vMerge w:val="restart"/>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1,153,018</w:t>
            </w:r>
          </w:p>
        </w:tc>
        <w:tc>
          <w:tcPr>
            <w:tcW w:w="1060" w:type="dxa"/>
            <w:vAlign w:val="bottom"/>
            <w:vMerge w:val="restart"/>
          </w:tcPr>
          <w:p>
            <w:pPr>
              <w:ind w:left="2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1,180,000</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ind w:left="3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20,640</w:t>
            </w:r>
          </w:p>
        </w:tc>
        <w:tc>
          <w:tcPr>
            <w:tcW w:w="100" w:type="dxa"/>
            <w:vAlign w:val="bottom"/>
            <w:tcBorders>
              <w:right w:val="single" w:sz="8" w:color="424E6A"/>
            </w:tcBorders>
            <w:vMerge w:val="restart"/>
          </w:tcPr>
          <w:p>
            <w:pPr>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424E6A"/>
            </w:tcBorders>
            <w:gridSpan w:val="2"/>
            <w:vMerge w:val="restart"/>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2,903,658</w:t>
            </w:r>
          </w:p>
        </w:tc>
        <w:tc>
          <w:tcPr>
            <w:tcW w:w="0" w:type="dxa"/>
            <w:vAlign w:val="bottom"/>
          </w:tcPr>
          <w:p>
            <w:pPr>
              <w:spacing w:after="0"/>
              <w:rPr>
                <w:sz w:val="1"/>
                <w:szCs w:val="1"/>
                <w:color w:val="auto"/>
              </w:rPr>
            </w:pPr>
          </w:p>
        </w:tc>
      </w:tr>
      <w:tr>
        <w:trPr>
          <w:trHeight w:val="69"/>
        </w:trPr>
        <w:tc>
          <w:tcPr>
            <w:tcW w:w="2820" w:type="dxa"/>
            <w:vAlign w:val="bottom"/>
            <w:tcBorders>
              <w:left w:val="single" w:sz="8" w:color="424E6A"/>
              <w:bottom w:val="single" w:sz="8" w:color="424E6A"/>
              <w:right w:val="single" w:sz="8" w:color="424E6A"/>
            </w:tcBorders>
          </w:tcPr>
          <w:p>
            <w:pPr>
              <w:spacing w:after="0"/>
              <w:rPr>
                <w:sz w:val="5"/>
                <w:szCs w:val="5"/>
                <w:color w:val="auto"/>
              </w:rPr>
            </w:pPr>
          </w:p>
        </w:tc>
        <w:tc>
          <w:tcPr>
            <w:tcW w:w="500" w:type="dxa"/>
            <w:vAlign w:val="bottom"/>
            <w:tcBorders>
              <w:bottom w:val="single" w:sz="8" w:color="424E6A"/>
              <w:right w:val="single" w:sz="8" w:color="424E6A"/>
            </w:tcBorders>
            <w:vMerge w:val="continue"/>
          </w:tcPr>
          <w:p>
            <w:pPr>
              <w:spacing w:after="0"/>
              <w:rPr>
                <w:sz w:val="5"/>
                <w:szCs w:val="5"/>
                <w:color w:val="auto"/>
              </w:rPr>
            </w:pPr>
          </w:p>
        </w:tc>
        <w:tc>
          <w:tcPr>
            <w:tcW w:w="720" w:type="dxa"/>
            <w:vAlign w:val="bottom"/>
            <w:tcBorders>
              <w:bottom w:val="single" w:sz="8" w:color="424E6A"/>
              <w:right w:val="single" w:sz="8" w:color="424E6A"/>
            </w:tcBorders>
            <w:vMerge w:val="continue"/>
          </w:tcPr>
          <w:p>
            <w:pPr>
              <w:spacing w:after="0"/>
              <w:rPr>
                <w:sz w:val="5"/>
                <w:szCs w:val="5"/>
                <w:color w:val="auto"/>
              </w:rPr>
            </w:pPr>
          </w:p>
        </w:tc>
        <w:tc>
          <w:tcPr>
            <w:tcW w:w="860" w:type="dxa"/>
            <w:vAlign w:val="bottom"/>
            <w:tcBorders>
              <w:bottom w:val="single" w:sz="8" w:color="424E6A"/>
              <w:right w:val="single" w:sz="8" w:color="424E6A"/>
            </w:tcBorders>
            <w:vMerge w:val="continue"/>
          </w:tcPr>
          <w:p>
            <w:pPr>
              <w:spacing w:after="0"/>
              <w:rPr>
                <w:sz w:val="5"/>
                <w:szCs w:val="5"/>
                <w:color w:val="auto"/>
              </w:rPr>
            </w:pPr>
          </w:p>
        </w:tc>
        <w:tc>
          <w:tcPr>
            <w:tcW w:w="1060" w:type="dxa"/>
            <w:vAlign w:val="bottom"/>
            <w:tcBorders>
              <w:bottom w:val="single" w:sz="8" w:color="424E6A"/>
            </w:tcBorders>
            <w:vMerge w:val="continue"/>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1080" w:type="dxa"/>
            <w:vAlign w:val="bottom"/>
            <w:tcBorders>
              <w:bottom w:val="single" w:sz="8" w:color="424E6A"/>
            </w:tcBorders>
            <w:vMerge w:val="continue"/>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980" w:type="dxa"/>
            <w:vAlign w:val="bottom"/>
            <w:tcBorders>
              <w:bottom w:val="single" w:sz="8" w:color="424E6A"/>
              <w:right w:val="single" w:sz="8" w:color="424E6A"/>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2820" w:type="dxa"/>
            <w:vAlign w:val="bottom"/>
            <w:tcBorders>
              <w:left w:val="single" w:sz="8" w:color="424E6A"/>
              <w:bottom w:val="single" w:sz="8" w:color="D9DCE1"/>
              <w:right w:val="single" w:sz="8" w:color="424E6A"/>
            </w:tcBorders>
            <w:shd w:val="clear" w:color="auto" w:fill="D9DCE1"/>
          </w:tcPr>
          <w:p>
            <w:pPr>
              <w:spacing w:after="0"/>
              <w:rPr>
                <w:sz w:val="24"/>
                <w:szCs w:val="24"/>
                <w:color w:val="auto"/>
              </w:rPr>
            </w:pPr>
          </w:p>
        </w:tc>
        <w:tc>
          <w:tcPr>
            <w:tcW w:w="500" w:type="dxa"/>
            <w:vAlign w:val="bottom"/>
            <w:tcBorders>
              <w:bottom w:val="single" w:sz="8" w:color="D9DCE1"/>
              <w:right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720" w:type="dxa"/>
            <w:vAlign w:val="bottom"/>
            <w:tcBorders>
              <w:bottom w:val="single" w:sz="8" w:color="D9DCE1"/>
              <w:right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860" w:type="dxa"/>
            <w:vAlign w:val="bottom"/>
            <w:tcBorders>
              <w:bottom w:val="single" w:sz="8" w:color="D9DCE1"/>
              <w:right w:val="single" w:sz="8" w:color="424E6A"/>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1060" w:type="dxa"/>
            <w:vAlign w:val="bottom"/>
            <w:tcBorders>
              <w:bottom w:val="single" w:sz="8" w:color="D9DCE1"/>
            </w:tcBorders>
            <w:shd w:val="clear" w:color="auto" w:fill="D9DCE1"/>
          </w:tcPr>
          <w:p>
            <w:pPr>
              <w:ind w:left="20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1080" w:type="dxa"/>
            <w:vAlign w:val="bottom"/>
            <w:tcBorders>
              <w:bottom w:val="single" w:sz="8" w:color="D9DCE1"/>
            </w:tcBorders>
            <w:shd w:val="clear" w:color="auto" w:fill="D9DCE1"/>
          </w:tcPr>
          <w:p>
            <w:pPr>
              <w:ind w:left="32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D9DCE1"/>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780" w:type="dxa"/>
            <w:vAlign w:val="bottom"/>
            <w:tcBorders>
              <w:bottom w:val="single" w:sz="8" w:color="D9DCE1"/>
              <w:right w:val="single" w:sz="8" w:color="424E6A"/>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820" w:type="dxa"/>
            <w:vAlign w:val="bottom"/>
            <w:tcBorders>
              <w:top w:val="single" w:sz="8" w:color="424E6A"/>
              <w:left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6"/>
                <w:szCs w:val="16"/>
                <w:color w:val="auto"/>
              </w:rPr>
              <w:t>Richard McGee,</w:t>
            </w:r>
          </w:p>
        </w:tc>
        <w:tc>
          <w:tcPr>
            <w:tcW w:w="500" w:type="dxa"/>
            <w:vAlign w:val="bottom"/>
            <w:tcBorders>
              <w:top w:val="single" w:sz="8" w:color="424E6A"/>
              <w:bottom w:val="single" w:sz="8" w:color="424E6A"/>
              <w:right w:val="single" w:sz="8" w:color="424E6A"/>
            </w:tcBorders>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2025</w:t>
            </w:r>
          </w:p>
        </w:tc>
        <w:tc>
          <w:tcPr>
            <w:tcW w:w="720" w:type="dxa"/>
            <w:vAlign w:val="bottom"/>
            <w:tcBorders>
              <w:top w:val="single" w:sz="8" w:color="424E6A"/>
              <w:bottom w:val="single" w:sz="8" w:color="424E6A"/>
              <w:right w:val="single" w:sz="8" w:color="424E6A"/>
            </w:tcBorders>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580,000</w:t>
            </w:r>
          </w:p>
        </w:tc>
        <w:tc>
          <w:tcPr>
            <w:tcW w:w="860" w:type="dxa"/>
            <w:vAlign w:val="bottom"/>
            <w:tcBorders>
              <w:top w:val="single" w:sz="8" w:color="424E6A"/>
              <w:bottom w:val="single" w:sz="8" w:color="424E6A"/>
              <w:right w:val="single" w:sz="8" w:color="424E6A"/>
            </w:tcBorders>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1,495,429</w:t>
            </w:r>
          </w:p>
        </w:tc>
        <w:tc>
          <w:tcPr>
            <w:tcW w:w="1060" w:type="dxa"/>
            <w:vAlign w:val="bottom"/>
            <w:tcBorders>
              <w:top w:val="single" w:sz="8" w:color="424E6A"/>
              <w:bottom w:val="single" w:sz="8" w:color="424E6A"/>
            </w:tcBorders>
          </w:tcPr>
          <w:p>
            <w:pPr>
              <w:ind w:left="2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1,160,000</w:t>
            </w:r>
          </w:p>
        </w:tc>
        <w:tc>
          <w:tcPr>
            <w:tcW w:w="10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424E6A"/>
              <w:bottom w:val="single" w:sz="8" w:color="424E6A"/>
            </w:tcBorders>
          </w:tcPr>
          <w:p>
            <w:pPr>
              <w:ind w:left="3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21,840</w:t>
            </w:r>
          </w:p>
        </w:tc>
        <w:tc>
          <w:tcPr>
            <w:tcW w:w="100" w:type="dxa"/>
            <w:vAlign w:val="bottom"/>
            <w:tcBorders>
              <w:top w:val="single" w:sz="8" w:color="424E6A"/>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424E6A"/>
              <w:bottom w:val="single" w:sz="8" w:color="424E6A"/>
              <w:right w:val="single" w:sz="8" w:color="424E6A"/>
            </w:tcBorders>
            <w:gridSpan w:val="2"/>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3,257,269</w:t>
            </w:r>
          </w:p>
        </w:tc>
        <w:tc>
          <w:tcPr>
            <w:tcW w:w="0" w:type="dxa"/>
            <w:vAlign w:val="bottom"/>
          </w:tcPr>
          <w:p>
            <w:pPr>
              <w:spacing w:after="0"/>
              <w:rPr>
                <w:sz w:val="1"/>
                <w:szCs w:val="1"/>
                <w:color w:val="auto"/>
              </w:rPr>
            </w:pPr>
          </w:p>
        </w:tc>
      </w:tr>
      <w:tr>
        <w:trPr>
          <w:trHeight w:val="237"/>
        </w:trPr>
        <w:tc>
          <w:tcPr>
            <w:tcW w:w="2820" w:type="dxa"/>
            <w:vAlign w:val="bottom"/>
            <w:tcBorders>
              <w:left w:val="single" w:sz="8" w:color="424E6A"/>
              <w:right w:val="single" w:sz="8" w:color="424E6A"/>
            </w:tcBorders>
          </w:tcPr>
          <w:p>
            <w:pPr>
              <w:ind w:left="220"/>
              <w:spacing w:after="0"/>
              <w:rPr>
                <w:sz w:val="20"/>
                <w:szCs w:val="20"/>
                <w:color w:val="auto"/>
              </w:rPr>
            </w:pPr>
            <w:r>
              <w:rPr>
                <w:rFonts w:ascii="Arial" w:cs="Arial" w:eastAsia="Arial" w:hAnsi="Arial"/>
                <w:sz w:val="16"/>
                <w:szCs w:val="16"/>
                <w:color w:val="auto"/>
              </w:rPr>
              <w:t>Executive Vice President,</w:t>
            </w:r>
          </w:p>
        </w:tc>
        <w:tc>
          <w:tcPr>
            <w:tcW w:w="500" w:type="dxa"/>
            <w:vAlign w:val="bottom"/>
            <w:tcBorders>
              <w:right w:val="single" w:sz="8" w:color="424E6A"/>
            </w:tcBorders>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2024</w:t>
            </w:r>
          </w:p>
        </w:tc>
        <w:tc>
          <w:tcPr>
            <w:tcW w:w="720" w:type="dxa"/>
            <w:vAlign w:val="bottom"/>
            <w:tcBorders>
              <w:right w:val="single" w:sz="8" w:color="424E6A"/>
            </w:tcBorders>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550,000</w:t>
            </w:r>
          </w:p>
        </w:tc>
        <w:tc>
          <w:tcPr>
            <w:tcW w:w="860" w:type="dxa"/>
            <w:vAlign w:val="bottom"/>
            <w:tcBorders>
              <w:right w:val="single" w:sz="8" w:color="424E6A"/>
            </w:tcBorders>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1,406,160</w:t>
            </w:r>
          </w:p>
        </w:tc>
        <w:tc>
          <w:tcPr>
            <w:tcW w:w="1060" w:type="dxa"/>
            <w:vAlign w:val="bottom"/>
          </w:tcPr>
          <w:p>
            <w:pPr>
              <w:ind w:left="2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1,100,000</w:t>
            </w:r>
          </w:p>
        </w:tc>
        <w:tc>
          <w:tcPr>
            <w:tcW w:w="100" w:type="dxa"/>
            <w:vAlign w:val="bottom"/>
            <w:tcBorders>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ind w:left="3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21,540</w:t>
            </w:r>
          </w:p>
        </w:tc>
        <w:tc>
          <w:tcPr>
            <w:tcW w:w="100" w:type="dxa"/>
            <w:vAlign w:val="bottom"/>
            <w:tcBorders>
              <w:right w:val="single" w:sz="8" w:color="424E6A"/>
            </w:tcBorders>
          </w:tcPr>
          <w:p>
            <w:pPr>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424E6A"/>
            </w:tcBorders>
            <w:gridSpan w:val="2"/>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3,077,700</w:t>
            </w:r>
          </w:p>
        </w:tc>
        <w:tc>
          <w:tcPr>
            <w:tcW w:w="0" w:type="dxa"/>
            <w:vAlign w:val="bottom"/>
          </w:tcPr>
          <w:p>
            <w:pPr>
              <w:spacing w:after="0"/>
              <w:rPr>
                <w:sz w:val="1"/>
                <w:szCs w:val="1"/>
                <w:color w:val="auto"/>
              </w:rPr>
            </w:pPr>
          </w:p>
        </w:tc>
      </w:tr>
      <w:tr>
        <w:trPr>
          <w:trHeight w:val="27"/>
        </w:trPr>
        <w:tc>
          <w:tcPr>
            <w:tcW w:w="2820" w:type="dxa"/>
            <w:vAlign w:val="bottom"/>
            <w:tcBorders>
              <w:left w:val="single" w:sz="8" w:color="424E6A"/>
              <w:right w:val="single" w:sz="8" w:color="424E6A"/>
            </w:tcBorders>
            <w:vMerge w:val="restart"/>
          </w:tcPr>
          <w:p>
            <w:pPr>
              <w:ind w:left="220"/>
              <w:spacing w:after="0"/>
              <w:rPr>
                <w:sz w:val="20"/>
                <w:szCs w:val="20"/>
                <w:color w:val="auto"/>
              </w:rPr>
            </w:pPr>
            <w:r>
              <w:rPr>
                <w:rFonts w:ascii="Arial" w:cs="Arial" w:eastAsia="Arial" w:hAnsi="Arial"/>
                <w:sz w:val="16"/>
                <w:szCs w:val="16"/>
                <w:color w:val="auto"/>
              </w:rPr>
              <w:t>General Counsel and Secretary</w:t>
            </w:r>
          </w:p>
        </w:tc>
        <w:tc>
          <w:tcPr>
            <w:tcW w:w="500" w:type="dxa"/>
            <w:vAlign w:val="bottom"/>
            <w:tcBorders>
              <w:bottom w:val="single" w:sz="8" w:color="424E6A"/>
              <w:right w:val="single" w:sz="8" w:color="424E6A"/>
            </w:tcBorders>
          </w:tcPr>
          <w:p>
            <w:pPr>
              <w:spacing w:after="0"/>
              <w:rPr>
                <w:sz w:val="2"/>
                <w:szCs w:val="2"/>
                <w:color w:val="auto"/>
              </w:rPr>
            </w:pPr>
          </w:p>
        </w:tc>
        <w:tc>
          <w:tcPr>
            <w:tcW w:w="720" w:type="dxa"/>
            <w:vAlign w:val="bottom"/>
            <w:tcBorders>
              <w:bottom w:val="single" w:sz="8" w:color="424E6A"/>
              <w:right w:val="single" w:sz="8" w:color="424E6A"/>
            </w:tcBorders>
          </w:tcPr>
          <w:p>
            <w:pPr>
              <w:spacing w:after="0"/>
              <w:rPr>
                <w:sz w:val="2"/>
                <w:szCs w:val="2"/>
                <w:color w:val="auto"/>
              </w:rPr>
            </w:pPr>
          </w:p>
        </w:tc>
        <w:tc>
          <w:tcPr>
            <w:tcW w:w="860" w:type="dxa"/>
            <w:vAlign w:val="bottom"/>
            <w:tcBorders>
              <w:bottom w:val="single" w:sz="8" w:color="424E6A"/>
              <w:right w:val="single" w:sz="8" w:color="424E6A"/>
            </w:tcBorders>
          </w:tcPr>
          <w:p>
            <w:pPr>
              <w:spacing w:after="0"/>
              <w:rPr>
                <w:sz w:val="2"/>
                <w:szCs w:val="2"/>
                <w:color w:val="auto"/>
              </w:rPr>
            </w:pPr>
          </w:p>
        </w:tc>
        <w:tc>
          <w:tcPr>
            <w:tcW w:w="1060" w:type="dxa"/>
            <w:vAlign w:val="bottom"/>
            <w:tcBorders>
              <w:bottom w:val="single" w:sz="8" w:color="424E6A"/>
            </w:tcBorders>
          </w:tcPr>
          <w:p>
            <w:pPr>
              <w:spacing w:after="0"/>
              <w:rPr>
                <w:sz w:val="2"/>
                <w:szCs w:val="2"/>
                <w:color w:val="auto"/>
              </w:rPr>
            </w:pPr>
          </w:p>
        </w:tc>
        <w:tc>
          <w:tcPr>
            <w:tcW w:w="100" w:type="dxa"/>
            <w:vAlign w:val="bottom"/>
            <w:tcBorders>
              <w:bottom w:val="single" w:sz="8" w:color="424E6A"/>
              <w:right w:val="single" w:sz="8" w:color="424E6A"/>
            </w:tcBorders>
          </w:tcPr>
          <w:p>
            <w:pPr>
              <w:spacing w:after="0"/>
              <w:rPr>
                <w:sz w:val="2"/>
                <w:szCs w:val="2"/>
                <w:color w:val="auto"/>
              </w:rPr>
            </w:pPr>
          </w:p>
        </w:tc>
        <w:tc>
          <w:tcPr>
            <w:tcW w:w="1080" w:type="dxa"/>
            <w:vAlign w:val="bottom"/>
            <w:tcBorders>
              <w:bottom w:val="single" w:sz="8" w:color="424E6A"/>
            </w:tcBorders>
          </w:tcPr>
          <w:p>
            <w:pPr>
              <w:spacing w:after="0"/>
              <w:rPr>
                <w:sz w:val="2"/>
                <w:szCs w:val="2"/>
                <w:color w:val="auto"/>
              </w:rPr>
            </w:pPr>
          </w:p>
        </w:tc>
        <w:tc>
          <w:tcPr>
            <w:tcW w:w="100" w:type="dxa"/>
            <w:vAlign w:val="bottom"/>
            <w:tcBorders>
              <w:bottom w:val="single" w:sz="8" w:color="424E6A"/>
              <w:right w:val="single" w:sz="8" w:color="424E6A"/>
            </w:tcBorders>
          </w:tcPr>
          <w:p>
            <w:pPr>
              <w:spacing w:after="0"/>
              <w:rPr>
                <w:sz w:val="2"/>
                <w:szCs w:val="2"/>
                <w:color w:val="auto"/>
              </w:rPr>
            </w:pPr>
          </w:p>
        </w:tc>
        <w:tc>
          <w:tcPr>
            <w:tcW w:w="200" w:type="dxa"/>
            <w:vAlign w:val="bottom"/>
            <w:tcBorders>
              <w:bottom w:val="single" w:sz="8" w:color="424E6A"/>
            </w:tcBorders>
          </w:tcPr>
          <w:p>
            <w:pPr>
              <w:spacing w:after="0"/>
              <w:rPr>
                <w:sz w:val="2"/>
                <w:szCs w:val="2"/>
                <w:color w:val="auto"/>
              </w:rPr>
            </w:pPr>
          </w:p>
        </w:tc>
        <w:tc>
          <w:tcPr>
            <w:tcW w:w="780" w:type="dxa"/>
            <w:vAlign w:val="bottom"/>
            <w:tcBorders>
              <w:bottom w:val="single" w:sz="8" w:color="424E6A"/>
              <w:right w:val="single" w:sz="8" w:color="424E6A"/>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820" w:type="dxa"/>
            <w:vAlign w:val="bottom"/>
            <w:tcBorders>
              <w:left w:val="single" w:sz="8" w:color="424E6A"/>
              <w:right w:val="single" w:sz="8" w:color="424E6A"/>
            </w:tcBorders>
            <w:vMerge w:val="continue"/>
          </w:tcPr>
          <w:p>
            <w:pPr>
              <w:spacing w:after="0"/>
              <w:rPr>
                <w:sz w:val="14"/>
                <w:szCs w:val="14"/>
                <w:color w:val="auto"/>
              </w:rPr>
            </w:pPr>
          </w:p>
        </w:tc>
        <w:tc>
          <w:tcPr>
            <w:tcW w:w="500" w:type="dxa"/>
            <w:vAlign w:val="bottom"/>
            <w:tcBorders>
              <w:right w:val="single" w:sz="8" w:color="424E6A"/>
            </w:tcBorders>
            <w:vMerge w:val="restart"/>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2023</w:t>
            </w:r>
          </w:p>
        </w:tc>
        <w:tc>
          <w:tcPr>
            <w:tcW w:w="720" w:type="dxa"/>
            <w:vAlign w:val="bottom"/>
            <w:tcBorders>
              <w:right w:val="single" w:sz="8" w:color="424E6A"/>
            </w:tcBorders>
            <w:vMerge w:val="restart"/>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550,000</w:t>
            </w:r>
          </w:p>
        </w:tc>
        <w:tc>
          <w:tcPr>
            <w:tcW w:w="860" w:type="dxa"/>
            <w:vAlign w:val="bottom"/>
            <w:tcBorders>
              <w:right w:val="single" w:sz="8" w:color="424E6A"/>
            </w:tcBorders>
            <w:vMerge w:val="restart"/>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1,153,018</w:t>
            </w:r>
          </w:p>
        </w:tc>
        <w:tc>
          <w:tcPr>
            <w:tcW w:w="1060" w:type="dxa"/>
            <w:vAlign w:val="bottom"/>
            <w:vMerge w:val="restart"/>
          </w:tcPr>
          <w:p>
            <w:pPr>
              <w:ind w:left="2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1,180,000</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ind w:left="3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20,640</w:t>
            </w:r>
          </w:p>
        </w:tc>
        <w:tc>
          <w:tcPr>
            <w:tcW w:w="100" w:type="dxa"/>
            <w:vAlign w:val="bottom"/>
            <w:tcBorders>
              <w:right w:val="single" w:sz="8" w:color="424E6A"/>
            </w:tcBorders>
            <w:vMerge w:val="restart"/>
          </w:tcPr>
          <w:p>
            <w:pPr>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424E6A"/>
            </w:tcBorders>
            <w:gridSpan w:val="2"/>
            <w:vMerge w:val="restart"/>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2,903,658</w:t>
            </w:r>
          </w:p>
        </w:tc>
        <w:tc>
          <w:tcPr>
            <w:tcW w:w="0" w:type="dxa"/>
            <w:vAlign w:val="bottom"/>
          </w:tcPr>
          <w:p>
            <w:pPr>
              <w:spacing w:after="0"/>
              <w:rPr>
                <w:sz w:val="1"/>
                <w:szCs w:val="1"/>
                <w:color w:val="auto"/>
              </w:rPr>
            </w:pPr>
          </w:p>
        </w:tc>
      </w:tr>
      <w:tr>
        <w:trPr>
          <w:trHeight w:val="69"/>
        </w:trPr>
        <w:tc>
          <w:tcPr>
            <w:tcW w:w="2820" w:type="dxa"/>
            <w:vAlign w:val="bottom"/>
            <w:tcBorders>
              <w:left w:val="single" w:sz="8" w:color="424E6A"/>
              <w:bottom w:val="single" w:sz="8" w:color="424E6A"/>
              <w:right w:val="single" w:sz="8" w:color="424E6A"/>
            </w:tcBorders>
          </w:tcPr>
          <w:p>
            <w:pPr>
              <w:spacing w:after="0"/>
              <w:rPr>
                <w:sz w:val="5"/>
                <w:szCs w:val="5"/>
                <w:color w:val="auto"/>
              </w:rPr>
            </w:pPr>
          </w:p>
        </w:tc>
        <w:tc>
          <w:tcPr>
            <w:tcW w:w="500" w:type="dxa"/>
            <w:vAlign w:val="bottom"/>
            <w:tcBorders>
              <w:bottom w:val="single" w:sz="8" w:color="424E6A"/>
              <w:right w:val="single" w:sz="8" w:color="424E6A"/>
            </w:tcBorders>
            <w:vMerge w:val="continue"/>
          </w:tcPr>
          <w:p>
            <w:pPr>
              <w:spacing w:after="0"/>
              <w:rPr>
                <w:sz w:val="5"/>
                <w:szCs w:val="5"/>
                <w:color w:val="auto"/>
              </w:rPr>
            </w:pPr>
          </w:p>
        </w:tc>
        <w:tc>
          <w:tcPr>
            <w:tcW w:w="720" w:type="dxa"/>
            <w:vAlign w:val="bottom"/>
            <w:tcBorders>
              <w:bottom w:val="single" w:sz="8" w:color="424E6A"/>
              <w:right w:val="single" w:sz="8" w:color="424E6A"/>
            </w:tcBorders>
            <w:vMerge w:val="continue"/>
          </w:tcPr>
          <w:p>
            <w:pPr>
              <w:spacing w:after="0"/>
              <w:rPr>
                <w:sz w:val="5"/>
                <w:szCs w:val="5"/>
                <w:color w:val="auto"/>
              </w:rPr>
            </w:pPr>
          </w:p>
        </w:tc>
        <w:tc>
          <w:tcPr>
            <w:tcW w:w="860" w:type="dxa"/>
            <w:vAlign w:val="bottom"/>
            <w:tcBorders>
              <w:bottom w:val="single" w:sz="8" w:color="424E6A"/>
              <w:right w:val="single" w:sz="8" w:color="424E6A"/>
            </w:tcBorders>
            <w:vMerge w:val="continue"/>
          </w:tcPr>
          <w:p>
            <w:pPr>
              <w:spacing w:after="0"/>
              <w:rPr>
                <w:sz w:val="5"/>
                <w:szCs w:val="5"/>
                <w:color w:val="auto"/>
              </w:rPr>
            </w:pPr>
          </w:p>
        </w:tc>
        <w:tc>
          <w:tcPr>
            <w:tcW w:w="1060" w:type="dxa"/>
            <w:vAlign w:val="bottom"/>
            <w:tcBorders>
              <w:bottom w:val="single" w:sz="8" w:color="424E6A"/>
            </w:tcBorders>
            <w:vMerge w:val="continue"/>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1080" w:type="dxa"/>
            <w:vAlign w:val="bottom"/>
            <w:tcBorders>
              <w:bottom w:val="single" w:sz="8" w:color="424E6A"/>
            </w:tcBorders>
            <w:vMerge w:val="continue"/>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980" w:type="dxa"/>
            <w:vAlign w:val="bottom"/>
            <w:tcBorders>
              <w:bottom w:val="single" w:sz="8" w:color="424E6A"/>
              <w:right w:val="single" w:sz="8" w:color="424E6A"/>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2820" w:type="dxa"/>
            <w:vAlign w:val="bottom"/>
            <w:tcBorders>
              <w:left w:val="single" w:sz="8" w:color="424E6A"/>
              <w:bottom w:val="single" w:sz="8" w:color="D9DCE1"/>
              <w:right w:val="single" w:sz="8" w:color="424E6A"/>
            </w:tcBorders>
            <w:shd w:val="clear" w:color="auto" w:fill="D9DCE1"/>
          </w:tcPr>
          <w:p>
            <w:pPr>
              <w:spacing w:after="0"/>
              <w:rPr>
                <w:sz w:val="24"/>
                <w:szCs w:val="24"/>
                <w:color w:val="auto"/>
              </w:rPr>
            </w:pPr>
          </w:p>
        </w:tc>
        <w:tc>
          <w:tcPr>
            <w:tcW w:w="500" w:type="dxa"/>
            <w:vAlign w:val="bottom"/>
            <w:tcBorders>
              <w:bottom w:val="single" w:sz="8" w:color="D9DCE1"/>
              <w:right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720" w:type="dxa"/>
            <w:vAlign w:val="bottom"/>
            <w:tcBorders>
              <w:bottom w:val="single" w:sz="8" w:color="D9DCE1"/>
              <w:right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860" w:type="dxa"/>
            <w:vAlign w:val="bottom"/>
            <w:tcBorders>
              <w:bottom w:val="single" w:sz="8" w:color="D9DCE1"/>
              <w:right w:val="single" w:sz="8" w:color="424E6A"/>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1060" w:type="dxa"/>
            <w:vAlign w:val="bottom"/>
            <w:tcBorders>
              <w:bottom w:val="single" w:sz="8" w:color="D9DCE1"/>
            </w:tcBorders>
            <w:shd w:val="clear" w:color="auto" w:fill="D9DCE1"/>
          </w:tcPr>
          <w:p>
            <w:pPr>
              <w:ind w:left="20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1080" w:type="dxa"/>
            <w:vAlign w:val="bottom"/>
            <w:tcBorders>
              <w:bottom w:val="single" w:sz="8" w:color="D9DCE1"/>
            </w:tcBorders>
            <w:shd w:val="clear" w:color="auto" w:fill="D9DCE1"/>
          </w:tcPr>
          <w:p>
            <w:pPr>
              <w:ind w:left="32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D9DCE1"/>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780" w:type="dxa"/>
            <w:vAlign w:val="bottom"/>
            <w:tcBorders>
              <w:bottom w:val="single" w:sz="8" w:color="D9DCE1"/>
              <w:right w:val="single" w:sz="8" w:color="424E6A"/>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424E6A"/>
              <w:left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6"/>
                <w:szCs w:val="16"/>
                <w:color w:val="auto"/>
              </w:rPr>
              <w:t>Chris Chandler,</w:t>
            </w:r>
          </w:p>
        </w:tc>
        <w:tc>
          <w:tcPr>
            <w:tcW w:w="500" w:type="dxa"/>
            <w:vAlign w:val="bottom"/>
            <w:tcBorders>
              <w:top w:val="single" w:sz="8" w:color="424E6A"/>
              <w:bottom w:val="single" w:sz="8" w:color="424E6A"/>
              <w:right w:val="single" w:sz="8" w:color="424E6A"/>
            </w:tcBorders>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2025</w:t>
            </w:r>
          </w:p>
        </w:tc>
        <w:tc>
          <w:tcPr>
            <w:tcW w:w="720" w:type="dxa"/>
            <w:vAlign w:val="bottom"/>
            <w:tcBorders>
              <w:top w:val="single" w:sz="8" w:color="424E6A"/>
              <w:bottom w:val="single" w:sz="8" w:color="424E6A"/>
              <w:right w:val="single" w:sz="8" w:color="424E6A"/>
            </w:tcBorders>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618,750</w:t>
            </w:r>
          </w:p>
        </w:tc>
        <w:tc>
          <w:tcPr>
            <w:tcW w:w="860" w:type="dxa"/>
            <w:vAlign w:val="bottom"/>
            <w:tcBorders>
              <w:top w:val="single" w:sz="8" w:color="424E6A"/>
              <w:bottom w:val="single" w:sz="8" w:color="424E6A"/>
              <w:right w:val="single" w:sz="8" w:color="424E6A"/>
            </w:tcBorders>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7,187,300</w:t>
            </w:r>
          </w:p>
        </w:tc>
        <w:tc>
          <w:tcPr>
            <w:tcW w:w="1060" w:type="dxa"/>
            <w:vAlign w:val="bottom"/>
            <w:tcBorders>
              <w:top w:val="single" w:sz="8" w:color="424E6A"/>
              <w:bottom w:val="single" w:sz="8" w:color="424E6A"/>
            </w:tcBorders>
          </w:tcPr>
          <w:p>
            <w:pPr>
              <w:ind w:left="2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1,230,000</w:t>
            </w:r>
          </w:p>
        </w:tc>
        <w:tc>
          <w:tcPr>
            <w:tcW w:w="10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424E6A"/>
              <w:bottom w:val="single" w:sz="8" w:color="424E6A"/>
            </w:tcBorders>
          </w:tcPr>
          <w:p>
            <w:pPr>
              <w:ind w:left="3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21,840</w:t>
            </w:r>
          </w:p>
        </w:tc>
        <w:tc>
          <w:tcPr>
            <w:tcW w:w="100" w:type="dxa"/>
            <w:vAlign w:val="bottom"/>
            <w:tcBorders>
              <w:top w:val="single" w:sz="8" w:color="424E6A"/>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424E6A"/>
              <w:bottom w:val="single" w:sz="8" w:color="424E6A"/>
              <w:right w:val="single" w:sz="8" w:color="424E6A"/>
            </w:tcBorders>
            <w:gridSpan w:val="2"/>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9,057,890</w:t>
            </w:r>
          </w:p>
        </w:tc>
        <w:tc>
          <w:tcPr>
            <w:tcW w:w="0" w:type="dxa"/>
            <w:vAlign w:val="bottom"/>
          </w:tcPr>
          <w:p>
            <w:pPr>
              <w:spacing w:after="0"/>
              <w:rPr>
                <w:sz w:val="1"/>
                <w:szCs w:val="1"/>
                <w:color w:val="auto"/>
              </w:rPr>
            </w:pPr>
          </w:p>
        </w:tc>
      </w:tr>
      <w:tr>
        <w:trPr>
          <w:trHeight w:val="236"/>
        </w:trPr>
        <w:tc>
          <w:tcPr>
            <w:tcW w:w="2820" w:type="dxa"/>
            <w:vAlign w:val="bottom"/>
            <w:tcBorders>
              <w:left w:val="single" w:sz="8" w:color="424E6A"/>
              <w:right w:val="single" w:sz="8" w:color="424E6A"/>
            </w:tcBorders>
          </w:tcPr>
          <w:p>
            <w:pPr>
              <w:ind w:left="220"/>
              <w:spacing w:after="0"/>
              <w:rPr>
                <w:sz w:val="20"/>
                <w:szCs w:val="20"/>
                <w:color w:val="auto"/>
              </w:rPr>
            </w:pPr>
            <w:r>
              <w:rPr>
                <w:rFonts w:ascii="Arial" w:cs="Arial" w:eastAsia="Arial" w:hAnsi="Arial"/>
                <w:sz w:val="16"/>
                <w:szCs w:val="16"/>
                <w:color w:val="auto"/>
              </w:rPr>
              <w:t>Executive Vice President and</w:t>
            </w:r>
          </w:p>
        </w:tc>
        <w:tc>
          <w:tcPr>
            <w:tcW w:w="500" w:type="dxa"/>
            <w:vAlign w:val="bottom"/>
            <w:tcBorders>
              <w:right w:val="single" w:sz="8" w:color="424E6A"/>
            </w:tcBorders>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2024</w:t>
            </w:r>
          </w:p>
        </w:tc>
        <w:tc>
          <w:tcPr>
            <w:tcW w:w="720" w:type="dxa"/>
            <w:vAlign w:val="bottom"/>
            <w:tcBorders>
              <w:right w:val="single" w:sz="8" w:color="424E6A"/>
            </w:tcBorders>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600,000</w:t>
            </w:r>
          </w:p>
        </w:tc>
        <w:tc>
          <w:tcPr>
            <w:tcW w:w="860" w:type="dxa"/>
            <w:vAlign w:val="bottom"/>
            <w:tcBorders>
              <w:right w:val="single" w:sz="8" w:color="424E6A"/>
            </w:tcBorders>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1,863,162</w:t>
            </w:r>
          </w:p>
        </w:tc>
        <w:tc>
          <w:tcPr>
            <w:tcW w:w="1060" w:type="dxa"/>
            <w:vAlign w:val="bottom"/>
          </w:tcPr>
          <w:p>
            <w:pPr>
              <w:ind w:left="2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1,325,000</w:t>
            </w:r>
          </w:p>
        </w:tc>
        <w:tc>
          <w:tcPr>
            <w:tcW w:w="100" w:type="dxa"/>
            <w:vAlign w:val="bottom"/>
            <w:tcBorders>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ind w:left="3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21,540</w:t>
            </w:r>
          </w:p>
        </w:tc>
        <w:tc>
          <w:tcPr>
            <w:tcW w:w="100" w:type="dxa"/>
            <w:vAlign w:val="bottom"/>
            <w:tcBorders>
              <w:right w:val="single" w:sz="8" w:color="424E6A"/>
            </w:tcBorders>
          </w:tcPr>
          <w:p>
            <w:pPr>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424E6A"/>
            </w:tcBorders>
            <w:gridSpan w:val="2"/>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3,809,702</w:t>
            </w:r>
          </w:p>
        </w:tc>
        <w:tc>
          <w:tcPr>
            <w:tcW w:w="0" w:type="dxa"/>
            <w:vAlign w:val="bottom"/>
          </w:tcPr>
          <w:p>
            <w:pPr>
              <w:spacing w:after="0"/>
              <w:rPr>
                <w:sz w:val="1"/>
                <w:szCs w:val="1"/>
                <w:color w:val="auto"/>
              </w:rPr>
            </w:pPr>
          </w:p>
        </w:tc>
      </w:tr>
      <w:tr>
        <w:trPr>
          <w:trHeight w:val="27"/>
        </w:trPr>
        <w:tc>
          <w:tcPr>
            <w:tcW w:w="2820" w:type="dxa"/>
            <w:vAlign w:val="bottom"/>
            <w:tcBorders>
              <w:left w:val="single" w:sz="8" w:color="424E6A"/>
              <w:right w:val="single" w:sz="8" w:color="424E6A"/>
            </w:tcBorders>
            <w:vMerge w:val="restart"/>
          </w:tcPr>
          <w:p>
            <w:pPr>
              <w:ind w:left="220"/>
              <w:spacing w:after="0"/>
              <w:rPr>
                <w:sz w:val="20"/>
                <w:szCs w:val="20"/>
                <w:color w:val="auto"/>
              </w:rPr>
            </w:pPr>
            <w:r>
              <w:rPr>
                <w:rFonts w:ascii="Arial" w:cs="Arial" w:eastAsia="Arial" w:hAnsi="Arial"/>
                <w:sz w:val="16"/>
                <w:szCs w:val="16"/>
                <w:color w:val="auto"/>
              </w:rPr>
              <w:t>Chief Operating Officer</w:t>
            </w:r>
          </w:p>
        </w:tc>
        <w:tc>
          <w:tcPr>
            <w:tcW w:w="500" w:type="dxa"/>
            <w:vAlign w:val="bottom"/>
            <w:tcBorders>
              <w:bottom w:val="single" w:sz="8" w:color="424E6A"/>
              <w:right w:val="single" w:sz="8" w:color="424E6A"/>
            </w:tcBorders>
          </w:tcPr>
          <w:p>
            <w:pPr>
              <w:spacing w:after="0"/>
              <w:rPr>
                <w:sz w:val="2"/>
                <w:szCs w:val="2"/>
                <w:color w:val="auto"/>
              </w:rPr>
            </w:pPr>
          </w:p>
        </w:tc>
        <w:tc>
          <w:tcPr>
            <w:tcW w:w="720" w:type="dxa"/>
            <w:vAlign w:val="bottom"/>
            <w:tcBorders>
              <w:bottom w:val="single" w:sz="8" w:color="424E6A"/>
              <w:right w:val="single" w:sz="8" w:color="424E6A"/>
            </w:tcBorders>
          </w:tcPr>
          <w:p>
            <w:pPr>
              <w:spacing w:after="0"/>
              <w:rPr>
                <w:sz w:val="2"/>
                <w:szCs w:val="2"/>
                <w:color w:val="auto"/>
              </w:rPr>
            </w:pPr>
          </w:p>
        </w:tc>
        <w:tc>
          <w:tcPr>
            <w:tcW w:w="860" w:type="dxa"/>
            <w:vAlign w:val="bottom"/>
            <w:tcBorders>
              <w:bottom w:val="single" w:sz="8" w:color="424E6A"/>
              <w:right w:val="single" w:sz="8" w:color="424E6A"/>
            </w:tcBorders>
          </w:tcPr>
          <w:p>
            <w:pPr>
              <w:spacing w:after="0"/>
              <w:rPr>
                <w:sz w:val="2"/>
                <w:szCs w:val="2"/>
                <w:color w:val="auto"/>
              </w:rPr>
            </w:pPr>
          </w:p>
        </w:tc>
        <w:tc>
          <w:tcPr>
            <w:tcW w:w="1060" w:type="dxa"/>
            <w:vAlign w:val="bottom"/>
            <w:tcBorders>
              <w:bottom w:val="single" w:sz="8" w:color="424E6A"/>
            </w:tcBorders>
          </w:tcPr>
          <w:p>
            <w:pPr>
              <w:spacing w:after="0"/>
              <w:rPr>
                <w:sz w:val="2"/>
                <w:szCs w:val="2"/>
                <w:color w:val="auto"/>
              </w:rPr>
            </w:pPr>
          </w:p>
        </w:tc>
        <w:tc>
          <w:tcPr>
            <w:tcW w:w="100" w:type="dxa"/>
            <w:vAlign w:val="bottom"/>
            <w:tcBorders>
              <w:bottom w:val="single" w:sz="8" w:color="424E6A"/>
              <w:right w:val="single" w:sz="8" w:color="424E6A"/>
            </w:tcBorders>
          </w:tcPr>
          <w:p>
            <w:pPr>
              <w:spacing w:after="0"/>
              <w:rPr>
                <w:sz w:val="2"/>
                <w:szCs w:val="2"/>
                <w:color w:val="auto"/>
              </w:rPr>
            </w:pPr>
          </w:p>
        </w:tc>
        <w:tc>
          <w:tcPr>
            <w:tcW w:w="1080" w:type="dxa"/>
            <w:vAlign w:val="bottom"/>
            <w:tcBorders>
              <w:bottom w:val="single" w:sz="8" w:color="424E6A"/>
            </w:tcBorders>
          </w:tcPr>
          <w:p>
            <w:pPr>
              <w:spacing w:after="0"/>
              <w:rPr>
                <w:sz w:val="2"/>
                <w:szCs w:val="2"/>
                <w:color w:val="auto"/>
              </w:rPr>
            </w:pPr>
          </w:p>
        </w:tc>
        <w:tc>
          <w:tcPr>
            <w:tcW w:w="100" w:type="dxa"/>
            <w:vAlign w:val="bottom"/>
            <w:tcBorders>
              <w:bottom w:val="single" w:sz="8" w:color="424E6A"/>
              <w:right w:val="single" w:sz="8" w:color="424E6A"/>
            </w:tcBorders>
          </w:tcPr>
          <w:p>
            <w:pPr>
              <w:spacing w:after="0"/>
              <w:rPr>
                <w:sz w:val="2"/>
                <w:szCs w:val="2"/>
                <w:color w:val="auto"/>
              </w:rPr>
            </w:pPr>
          </w:p>
        </w:tc>
        <w:tc>
          <w:tcPr>
            <w:tcW w:w="200" w:type="dxa"/>
            <w:vAlign w:val="bottom"/>
            <w:tcBorders>
              <w:bottom w:val="single" w:sz="8" w:color="424E6A"/>
            </w:tcBorders>
          </w:tcPr>
          <w:p>
            <w:pPr>
              <w:spacing w:after="0"/>
              <w:rPr>
                <w:sz w:val="2"/>
                <w:szCs w:val="2"/>
                <w:color w:val="auto"/>
              </w:rPr>
            </w:pPr>
          </w:p>
        </w:tc>
        <w:tc>
          <w:tcPr>
            <w:tcW w:w="780" w:type="dxa"/>
            <w:vAlign w:val="bottom"/>
            <w:tcBorders>
              <w:bottom w:val="single" w:sz="8" w:color="424E6A"/>
              <w:right w:val="single" w:sz="8" w:color="424E6A"/>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820" w:type="dxa"/>
            <w:vAlign w:val="bottom"/>
            <w:tcBorders>
              <w:left w:val="single" w:sz="8" w:color="424E6A"/>
              <w:right w:val="single" w:sz="8" w:color="424E6A"/>
            </w:tcBorders>
            <w:vMerge w:val="continue"/>
          </w:tcPr>
          <w:p>
            <w:pPr>
              <w:spacing w:after="0"/>
              <w:rPr>
                <w:sz w:val="14"/>
                <w:szCs w:val="14"/>
                <w:color w:val="auto"/>
              </w:rPr>
            </w:pPr>
          </w:p>
        </w:tc>
        <w:tc>
          <w:tcPr>
            <w:tcW w:w="500" w:type="dxa"/>
            <w:vAlign w:val="bottom"/>
            <w:tcBorders>
              <w:right w:val="single" w:sz="8" w:color="424E6A"/>
            </w:tcBorders>
            <w:vMerge w:val="restart"/>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2023</w:t>
            </w:r>
          </w:p>
        </w:tc>
        <w:tc>
          <w:tcPr>
            <w:tcW w:w="720" w:type="dxa"/>
            <w:vAlign w:val="bottom"/>
            <w:tcBorders>
              <w:right w:val="single" w:sz="8" w:color="424E6A"/>
            </w:tcBorders>
            <w:vMerge w:val="restart"/>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600,000</w:t>
            </w:r>
          </w:p>
        </w:tc>
        <w:tc>
          <w:tcPr>
            <w:tcW w:w="860" w:type="dxa"/>
            <w:vAlign w:val="bottom"/>
            <w:tcBorders>
              <w:right w:val="single" w:sz="8" w:color="424E6A"/>
            </w:tcBorders>
            <w:vMerge w:val="restart"/>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1,485,999</w:t>
            </w:r>
          </w:p>
        </w:tc>
        <w:tc>
          <w:tcPr>
            <w:tcW w:w="1060" w:type="dxa"/>
            <w:vAlign w:val="bottom"/>
            <w:vMerge w:val="restart"/>
          </w:tcPr>
          <w:p>
            <w:pPr>
              <w:ind w:left="2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1,340,000</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ind w:left="3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20,640</w:t>
            </w:r>
          </w:p>
        </w:tc>
        <w:tc>
          <w:tcPr>
            <w:tcW w:w="100" w:type="dxa"/>
            <w:vAlign w:val="bottom"/>
            <w:tcBorders>
              <w:right w:val="single" w:sz="8" w:color="424E6A"/>
            </w:tcBorders>
            <w:vMerge w:val="restart"/>
          </w:tcPr>
          <w:p>
            <w:pPr>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424E6A"/>
            </w:tcBorders>
            <w:gridSpan w:val="2"/>
            <w:vMerge w:val="restart"/>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3,446,639</w:t>
            </w:r>
          </w:p>
        </w:tc>
        <w:tc>
          <w:tcPr>
            <w:tcW w:w="0" w:type="dxa"/>
            <w:vAlign w:val="bottom"/>
          </w:tcPr>
          <w:p>
            <w:pPr>
              <w:spacing w:after="0"/>
              <w:rPr>
                <w:sz w:val="1"/>
                <w:szCs w:val="1"/>
                <w:color w:val="auto"/>
              </w:rPr>
            </w:pPr>
          </w:p>
        </w:tc>
      </w:tr>
      <w:tr>
        <w:trPr>
          <w:trHeight w:val="69"/>
        </w:trPr>
        <w:tc>
          <w:tcPr>
            <w:tcW w:w="2820" w:type="dxa"/>
            <w:vAlign w:val="bottom"/>
            <w:tcBorders>
              <w:left w:val="single" w:sz="8" w:color="424E6A"/>
              <w:bottom w:val="single" w:sz="8" w:color="424E6A"/>
              <w:right w:val="single" w:sz="8" w:color="424E6A"/>
            </w:tcBorders>
          </w:tcPr>
          <w:p>
            <w:pPr>
              <w:spacing w:after="0"/>
              <w:rPr>
                <w:sz w:val="5"/>
                <w:szCs w:val="5"/>
                <w:color w:val="auto"/>
              </w:rPr>
            </w:pPr>
          </w:p>
        </w:tc>
        <w:tc>
          <w:tcPr>
            <w:tcW w:w="500" w:type="dxa"/>
            <w:vAlign w:val="bottom"/>
            <w:tcBorders>
              <w:bottom w:val="single" w:sz="8" w:color="424E6A"/>
              <w:right w:val="single" w:sz="8" w:color="424E6A"/>
            </w:tcBorders>
            <w:vMerge w:val="continue"/>
          </w:tcPr>
          <w:p>
            <w:pPr>
              <w:spacing w:after="0"/>
              <w:rPr>
                <w:sz w:val="5"/>
                <w:szCs w:val="5"/>
                <w:color w:val="auto"/>
              </w:rPr>
            </w:pPr>
          </w:p>
        </w:tc>
        <w:tc>
          <w:tcPr>
            <w:tcW w:w="720" w:type="dxa"/>
            <w:vAlign w:val="bottom"/>
            <w:tcBorders>
              <w:bottom w:val="single" w:sz="8" w:color="424E6A"/>
              <w:right w:val="single" w:sz="8" w:color="424E6A"/>
            </w:tcBorders>
            <w:vMerge w:val="continue"/>
          </w:tcPr>
          <w:p>
            <w:pPr>
              <w:spacing w:after="0"/>
              <w:rPr>
                <w:sz w:val="5"/>
                <w:szCs w:val="5"/>
                <w:color w:val="auto"/>
              </w:rPr>
            </w:pPr>
          </w:p>
        </w:tc>
        <w:tc>
          <w:tcPr>
            <w:tcW w:w="860" w:type="dxa"/>
            <w:vAlign w:val="bottom"/>
            <w:tcBorders>
              <w:bottom w:val="single" w:sz="8" w:color="424E6A"/>
              <w:right w:val="single" w:sz="8" w:color="424E6A"/>
            </w:tcBorders>
            <w:vMerge w:val="continue"/>
          </w:tcPr>
          <w:p>
            <w:pPr>
              <w:spacing w:after="0"/>
              <w:rPr>
                <w:sz w:val="5"/>
                <w:szCs w:val="5"/>
                <w:color w:val="auto"/>
              </w:rPr>
            </w:pPr>
          </w:p>
        </w:tc>
        <w:tc>
          <w:tcPr>
            <w:tcW w:w="1060" w:type="dxa"/>
            <w:vAlign w:val="bottom"/>
            <w:tcBorders>
              <w:bottom w:val="single" w:sz="8" w:color="424E6A"/>
            </w:tcBorders>
            <w:vMerge w:val="continue"/>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1080" w:type="dxa"/>
            <w:vAlign w:val="bottom"/>
            <w:tcBorders>
              <w:bottom w:val="single" w:sz="8" w:color="424E6A"/>
            </w:tcBorders>
            <w:vMerge w:val="continue"/>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980" w:type="dxa"/>
            <w:vAlign w:val="bottom"/>
            <w:tcBorders>
              <w:bottom w:val="single" w:sz="8" w:color="424E6A"/>
              <w:right w:val="single" w:sz="8" w:color="424E6A"/>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2820" w:type="dxa"/>
            <w:vAlign w:val="bottom"/>
            <w:tcBorders>
              <w:left w:val="single" w:sz="8" w:color="424E6A"/>
              <w:bottom w:val="single" w:sz="8" w:color="D9DCE1"/>
              <w:right w:val="single" w:sz="8" w:color="424E6A"/>
            </w:tcBorders>
            <w:shd w:val="clear" w:color="auto" w:fill="D9DCE1"/>
          </w:tcPr>
          <w:p>
            <w:pPr>
              <w:spacing w:after="0"/>
              <w:rPr>
                <w:sz w:val="24"/>
                <w:szCs w:val="24"/>
                <w:color w:val="auto"/>
              </w:rPr>
            </w:pPr>
          </w:p>
        </w:tc>
        <w:tc>
          <w:tcPr>
            <w:tcW w:w="500" w:type="dxa"/>
            <w:vAlign w:val="bottom"/>
            <w:tcBorders>
              <w:bottom w:val="single" w:sz="8" w:color="D9DCE1"/>
              <w:right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720" w:type="dxa"/>
            <w:vAlign w:val="bottom"/>
            <w:tcBorders>
              <w:bottom w:val="single" w:sz="8" w:color="D9DCE1"/>
              <w:right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860" w:type="dxa"/>
            <w:vAlign w:val="bottom"/>
            <w:tcBorders>
              <w:bottom w:val="single" w:sz="8" w:color="D9DCE1"/>
              <w:right w:val="single" w:sz="8" w:color="424E6A"/>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1060" w:type="dxa"/>
            <w:vAlign w:val="bottom"/>
            <w:tcBorders>
              <w:bottom w:val="single" w:sz="8" w:color="D9DCE1"/>
            </w:tcBorders>
            <w:shd w:val="clear" w:color="auto" w:fill="D9DCE1"/>
          </w:tcPr>
          <w:p>
            <w:pPr>
              <w:ind w:left="20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1080" w:type="dxa"/>
            <w:vAlign w:val="bottom"/>
            <w:tcBorders>
              <w:bottom w:val="single" w:sz="8" w:color="D9DCE1"/>
            </w:tcBorders>
            <w:shd w:val="clear" w:color="auto" w:fill="D9DCE1"/>
          </w:tcPr>
          <w:p>
            <w:pPr>
              <w:ind w:left="32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D9DCE1"/>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780" w:type="dxa"/>
            <w:vAlign w:val="bottom"/>
            <w:tcBorders>
              <w:bottom w:val="single" w:sz="8" w:color="D9DCE1"/>
              <w:right w:val="single" w:sz="8" w:color="424E6A"/>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424E6A"/>
              <w:left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6"/>
                <w:szCs w:val="16"/>
                <w:color w:val="auto"/>
              </w:rPr>
              <w:t>Jeremy Goebel,</w:t>
            </w:r>
          </w:p>
        </w:tc>
        <w:tc>
          <w:tcPr>
            <w:tcW w:w="500" w:type="dxa"/>
            <w:vAlign w:val="bottom"/>
            <w:tcBorders>
              <w:top w:val="single" w:sz="8" w:color="424E6A"/>
              <w:bottom w:val="single" w:sz="8" w:color="424E6A"/>
              <w:right w:val="single" w:sz="8" w:color="424E6A"/>
            </w:tcBorders>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2025</w:t>
            </w:r>
          </w:p>
        </w:tc>
        <w:tc>
          <w:tcPr>
            <w:tcW w:w="720" w:type="dxa"/>
            <w:vAlign w:val="bottom"/>
            <w:tcBorders>
              <w:top w:val="single" w:sz="8" w:color="424E6A"/>
              <w:bottom w:val="single" w:sz="8" w:color="424E6A"/>
              <w:right w:val="single" w:sz="8" w:color="424E6A"/>
            </w:tcBorders>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618,750</w:t>
            </w:r>
          </w:p>
        </w:tc>
        <w:tc>
          <w:tcPr>
            <w:tcW w:w="860" w:type="dxa"/>
            <w:vAlign w:val="bottom"/>
            <w:tcBorders>
              <w:top w:val="single" w:sz="8" w:color="424E6A"/>
              <w:bottom w:val="single" w:sz="8" w:color="424E6A"/>
              <w:right w:val="single" w:sz="8" w:color="424E6A"/>
            </w:tcBorders>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9,746,168</w:t>
            </w:r>
          </w:p>
        </w:tc>
        <w:tc>
          <w:tcPr>
            <w:tcW w:w="1060" w:type="dxa"/>
            <w:vAlign w:val="bottom"/>
            <w:tcBorders>
              <w:top w:val="single" w:sz="8" w:color="424E6A"/>
              <w:bottom w:val="single" w:sz="8" w:color="424E6A"/>
            </w:tcBorders>
          </w:tcPr>
          <w:p>
            <w:pPr>
              <w:ind w:left="2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1,230,000</w:t>
            </w:r>
          </w:p>
        </w:tc>
        <w:tc>
          <w:tcPr>
            <w:tcW w:w="10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424E6A"/>
              <w:bottom w:val="single" w:sz="8" w:color="424E6A"/>
            </w:tcBorders>
          </w:tcPr>
          <w:p>
            <w:pPr>
              <w:ind w:left="3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21,840</w:t>
            </w:r>
          </w:p>
        </w:tc>
        <w:tc>
          <w:tcPr>
            <w:tcW w:w="100" w:type="dxa"/>
            <w:vAlign w:val="bottom"/>
            <w:tcBorders>
              <w:top w:val="single" w:sz="8" w:color="424E6A"/>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424E6A"/>
              <w:bottom w:val="single" w:sz="8" w:color="424E6A"/>
              <w:right w:val="single" w:sz="8" w:color="424E6A"/>
            </w:tcBorders>
            <w:gridSpan w:val="2"/>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11,616,758</w:t>
            </w:r>
          </w:p>
        </w:tc>
        <w:tc>
          <w:tcPr>
            <w:tcW w:w="0" w:type="dxa"/>
            <w:vAlign w:val="bottom"/>
          </w:tcPr>
          <w:p>
            <w:pPr>
              <w:spacing w:after="0"/>
              <w:rPr>
                <w:sz w:val="1"/>
                <w:szCs w:val="1"/>
                <w:color w:val="auto"/>
              </w:rPr>
            </w:pPr>
          </w:p>
        </w:tc>
      </w:tr>
      <w:tr>
        <w:trPr>
          <w:trHeight w:val="236"/>
        </w:trPr>
        <w:tc>
          <w:tcPr>
            <w:tcW w:w="2820" w:type="dxa"/>
            <w:vAlign w:val="bottom"/>
            <w:tcBorders>
              <w:left w:val="single" w:sz="8" w:color="424E6A"/>
              <w:right w:val="single" w:sz="8" w:color="424E6A"/>
            </w:tcBorders>
          </w:tcPr>
          <w:p>
            <w:pPr>
              <w:ind w:left="220"/>
              <w:spacing w:after="0"/>
              <w:rPr>
                <w:sz w:val="20"/>
                <w:szCs w:val="20"/>
                <w:color w:val="auto"/>
              </w:rPr>
            </w:pPr>
            <w:r>
              <w:rPr>
                <w:rFonts w:ascii="Arial" w:cs="Arial" w:eastAsia="Arial" w:hAnsi="Arial"/>
                <w:sz w:val="16"/>
                <w:szCs w:val="16"/>
                <w:color w:val="auto"/>
              </w:rPr>
              <w:t>Executive Vice President and</w:t>
            </w:r>
          </w:p>
        </w:tc>
        <w:tc>
          <w:tcPr>
            <w:tcW w:w="500" w:type="dxa"/>
            <w:vAlign w:val="bottom"/>
            <w:tcBorders>
              <w:right w:val="single" w:sz="8" w:color="424E6A"/>
            </w:tcBorders>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2024</w:t>
            </w:r>
          </w:p>
        </w:tc>
        <w:tc>
          <w:tcPr>
            <w:tcW w:w="720" w:type="dxa"/>
            <w:vAlign w:val="bottom"/>
            <w:tcBorders>
              <w:right w:val="single" w:sz="8" w:color="424E6A"/>
            </w:tcBorders>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600,000</w:t>
            </w:r>
          </w:p>
        </w:tc>
        <w:tc>
          <w:tcPr>
            <w:tcW w:w="860" w:type="dxa"/>
            <w:vAlign w:val="bottom"/>
            <w:tcBorders>
              <w:right w:val="single" w:sz="8" w:color="424E6A"/>
            </w:tcBorders>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1,863,162</w:t>
            </w:r>
          </w:p>
        </w:tc>
        <w:tc>
          <w:tcPr>
            <w:tcW w:w="1060" w:type="dxa"/>
            <w:vAlign w:val="bottom"/>
          </w:tcPr>
          <w:p>
            <w:pPr>
              <w:ind w:left="2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1,325,000</w:t>
            </w:r>
          </w:p>
        </w:tc>
        <w:tc>
          <w:tcPr>
            <w:tcW w:w="100" w:type="dxa"/>
            <w:vAlign w:val="bottom"/>
            <w:tcBorders>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ind w:left="3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21,540</w:t>
            </w:r>
          </w:p>
        </w:tc>
        <w:tc>
          <w:tcPr>
            <w:tcW w:w="100" w:type="dxa"/>
            <w:vAlign w:val="bottom"/>
            <w:tcBorders>
              <w:right w:val="single" w:sz="8" w:color="424E6A"/>
            </w:tcBorders>
          </w:tcPr>
          <w:p>
            <w:pPr>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424E6A"/>
            </w:tcBorders>
            <w:gridSpan w:val="2"/>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3,809,702</w:t>
            </w:r>
          </w:p>
        </w:tc>
        <w:tc>
          <w:tcPr>
            <w:tcW w:w="0" w:type="dxa"/>
            <w:vAlign w:val="bottom"/>
          </w:tcPr>
          <w:p>
            <w:pPr>
              <w:spacing w:after="0"/>
              <w:rPr>
                <w:sz w:val="1"/>
                <w:szCs w:val="1"/>
                <w:color w:val="auto"/>
              </w:rPr>
            </w:pPr>
          </w:p>
        </w:tc>
      </w:tr>
      <w:tr>
        <w:trPr>
          <w:trHeight w:val="27"/>
        </w:trPr>
        <w:tc>
          <w:tcPr>
            <w:tcW w:w="2820" w:type="dxa"/>
            <w:vAlign w:val="bottom"/>
            <w:tcBorders>
              <w:left w:val="single" w:sz="8" w:color="424E6A"/>
              <w:right w:val="single" w:sz="8" w:color="424E6A"/>
            </w:tcBorders>
            <w:vMerge w:val="restart"/>
          </w:tcPr>
          <w:p>
            <w:pPr>
              <w:ind w:left="220"/>
              <w:spacing w:after="0"/>
              <w:rPr>
                <w:sz w:val="20"/>
                <w:szCs w:val="20"/>
                <w:color w:val="auto"/>
              </w:rPr>
            </w:pPr>
            <w:r>
              <w:rPr>
                <w:rFonts w:ascii="Arial" w:cs="Arial" w:eastAsia="Arial" w:hAnsi="Arial"/>
                <w:sz w:val="16"/>
                <w:szCs w:val="16"/>
                <w:color w:val="auto"/>
              </w:rPr>
              <w:t>Chief Commercial Officer</w:t>
            </w:r>
          </w:p>
        </w:tc>
        <w:tc>
          <w:tcPr>
            <w:tcW w:w="500" w:type="dxa"/>
            <w:vAlign w:val="bottom"/>
            <w:tcBorders>
              <w:bottom w:val="single" w:sz="8" w:color="424E6A"/>
              <w:right w:val="single" w:sz="8" w:color="424E6A"/>
            </w:tcBorders>
          </w:tcPr>
          <w:p>
            <w:pPr>
              <w:spacing w:after="0"/>
              <w:rPr>
                <w:sz w:val="2"/>
                <w:szCs w:val="2"/>
                <w:color w:val="auto"/>
              </w:rPr>
            </w:pPr>
          </w:p>
        </w:tc>
        <w:tc>
          <w:tcPr>
            <w:tcW w:w="720" w:type="dxa"/>
            <w:vAlign w:val="bottom"/>
            <w:tcBorders>
              <w:bottom w:val="single" w:sz="8" w:color="424E6A"/>
              <w:right w:val="single" w:sz="8" w:color="424E6A"/>
            </w:tcBorders>
          </w:tcPr>
          <w:p>
            <w:pPr>
              <w:spacing w:after="0"/>
              <w:rPr>
                <w:sz w:val="2"/>
                <w:szCs w:val="2"/>
                <w:color w:val="auto"/>
              </w:rPr>
            </w:pPr>
          </w:p>
        </w:tc>
        <w:tc>
          <w:tcPr>
            <w:tcW w:w="860" w:type="dxa"/>
            <w:vAlign w:val="bottom"/>
            <w:tcBorders>
              <w:bottom w:val="single" w:sz="8" w:color="424E6A"/>
              <w:right w:val="single" w:sz="8" w:color="424E6A"/>
            </w:tcBorders>
          </w:tcPr>
          <w:p>
            <w:pPr>
              <w:spacing w:after="0"/>
              <w:rPr>
                <w:sz w:val="2"/>
                <w:szCs w:val="2"/>
                <w:color w:val="auto"/>
              </w:rPr>
            </w:pPr>
          </w:p>
        </w:tc>
        <w:tc>
          <w:tcPr>
            <w:tcW w:w="1060" w:type="dxa"/>
            <w:vAlign w:val="bottom"/>
            <w:tcBorders>
              <w:bottom w:val="single" w:sz="8" w:color="424E6A"/>
            </w:tcBorders>
          </w:tcPr>
          <w:p>
            <w:pPr>
              <w:spacing w:after="0"/>
              <w:rPr>
                <w:sz w:val="2"/>
                <w:szCs w:val="2"/>
                <w:color w:val="auto"/>
              </w:rPr>
            </w:pPr>
          </w:p>
        </w:tc>
        <w:tc>
          <w:tcPr>
            <w:tcW w:w="100" w:type="dxa"/>
            <w:vAlign w:val="bottom"/>
            <w:tcBorders>
              <w:bottom w:val="single" w:sz="8" w:color="424E6A"/>
              <w:right w:val="single" w:sz="8" w:color="424E6A"/>
            </w:tcBorders>
          </w:tcPr>
          <w:p>
            <w:pPr>
              <w:spacing w:after="0"/>
              <w:rPr>
                <w:sz w:val="2"/>
                <w:szCs w:val="2"/>
                <w:color w:val="auto"/>
              </w:rPr>
            </w:pPr>
          </w:p>
        </w:tc>
        <w:tc>
          <w:tcPr>
            <w:tcW w:w="1080" w:type="dxa"/>
            <w:vAlign w:val="bottom"/>
            <w:tcBorders>
              <w:bottom w:val="single" w:sz="8" w:color="424E6A"/>
            </w:tcBorders>
          </w:tcPr>
          <w:p>
            <w:pPr>
              <w:spacing w:after="0"/>
              <w:rPr>
                <w:sz w:val="2"/>
                <w:szCs w:val="2"/>
                <w:color w:val="auto"/>
              </w:rPr>
            </w:pPr>
          </w:p>
        </w:tc>
        <w:tc>
          <w:tcPr>
            <w:tcW w:w="100" w:type="dxa"/>
            <w:vAlign w:val="bottom"/>
            <w:tcBorders>
              <w:bottom w:val="single" w:sz="8" w:color="424E6A"/>
              <w:right w:val="single" w:sz="8" w:color="424E6A"/>
            </w:tcBorders>
          </w:tcPr>
          <w:p>
            <w:pPr>
              <w:spacing w:after="0"/>
              <w:rPr>
                <w:sz w:val="2"/>
                <w:szCs w:val="2"/>
                <w:color w:val="auto"/>
              </w:rPr>
            </w:pPr>
          </w:p>
        </w:tc>
        <w:tc>
          <w:tcPr>
            <w:tcW w:w="200" w:type="dxa"/>
            <w:vAlign w:val="bottom"/>
            <w:tcBorders>
              <w:bottom w:val="single" w:sz="8" w:color="424E6A"/>
            </w:tcBorders>
          </w:tcPr>
          <w:p>
            <w:pPr>
              <w:spacing w:after="0"/>
              <w:rPr>
                <w:sz w:val="2"/>
                <w:szCs w:val="2"/>
                <w:color w:val="auto"/>
              </w:rPr>
            </w:pPr>
          </w:p>
        </w:tc>
        <w:tc>
          <w:tcPr>
            <w:tcW w:w="780" w:type="dxa"/>
            <w:vAlign w:val="bottom"/>
            <w:tcBorders>
              <w:bottom w:val="single" w:sz="8" w:color="424E6A"/>
              <w:right w:val="single" w:sz="8" w:color="424E6A"/>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820" w:type="dxa"/>
            <w:vAlign w:val="bottom"/>
            <w:tcBorders>
              <w:left w:val="single" w:sz="8" w:color="424E6A"/>
              <w:right w:val="single" w:sz="8" w:color="424E6A"/>
            </w:tcBorders>
            <w:vMerge w:val="continue"/>
          </w:tcPr>
          <w:p>
            <w:pPr>
              <w:spacing w:after="0"/>
              <w:rPr>
                <w:sz w:val="14"/>
                <w:szCs w:val="14"/>
                <w:color w:val="auto"/>
              </w:rPr>
            </w:pPr>
          </w:p>
        </w:tc>
        <w:tc>
          <w:tcPr>
            <w:tcW w:w="500" w:type="dxa"/>
            <w:vAlign w:val="bottom"/>
            <w:tcBorders>
              <w:right w:val="single" w:sz="8" w:color="424E6A"/>
            </w:tcBorders>
            <w:vMerge w:val="restart"/>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2023</w:t>
            </w:r>
          </w:p>
        </w:tc>
        <w:tc>
          <w:tcPr>
            <w:tcW w:w="720" w:type="dxa"/>
            <w:vAlign w:val="bottom"/>
            <w:tcBorders>
              <w:right w:val="single" w:sz="8" w:color="424E6A"/>
            </w:tcBorders>
            <w:vMerge w:val="restart"/>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600,000</w:t>
            </w:r>
          </w:p>
        </w:tc>
        <w:tc>
          <w:tcPr>
            <w:tcW w:w="860" w:type="dxa"/>
            <w:vAlign w:val="bottom"/>
            <w:tcBorders>
              <w:right w:val="single" w:sz="8" w:color="424E6A"/>
            </w:tcBorders>
            <w:vMerge w:val="restart"/>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1,485,999</w:t>
            </w:r>
          </w:p>
        </w:tc>
        <w:tc>
          <w:tcPr>
            <w:tcW w:w="1060" w:type="dxa"/>
            <w:vAlign w:val="bottom"/>
            <w:vMerge w:val="restart"/>
          </w:tcPr>
          <w:p>
            <w:pPr>
              <w:ind w:left="2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1,340,000</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ind w:left="3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20,640</w:t>
            </w:r>
          </w:p>
        </w:tc>
        <w:tc>
          <w:tcPr>
            <w:tcW w:w="100" w:type="dxa"/>
            <w:vAlign w:val="bottom"/>
            <w:tcBorders>
              <w:right w:val="single" w:sz="8" w:color="424E6A"/>
            </w:tcBorders>
            <w:vMerge w:val="restart"/>
          </w:tcPr>
          <w:p>
            <w:pPr>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424E6A"/>
            </w:tcBorders>
            <w:gridSpan w:val="2"/>
            <w:vMerge w:val="restart"/>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3,446,639</w:t>
            </w:r>
          </w:p>
        </w:tc>
        <w:tc>
          <w:tcPr>
            <w:tcW w:w="0" w:type="dxa"/>
            <w:vAlign w:val="bottom"/>
          </w:tcPr>
          <w:p>
            <w:pPr>
              <w:spacing w:after="0"/>
              <w:rPr>
                <w:sz w:val="1"/>
                <w:szCs w:val="1"/>
                <w:color w:val="auto"/>
              </w:rPr>
            </w:pPr>
          </w:p>
        </w:tc>
      </w:tr>
      <w:tr>
        <w:trPr>
          <w:trHeight w:val="69"/>
        </w:trPr>
        <w:tc>
          <w:tcPr>
            <w:tcW w:w="2820" w:type="dxa"/>
            <w:vAlign w:val="bottom"/>
            <w:tcBorders>
              <w:left w:val="single" w:sz="8" w:color="424E6A"/>
              <w:bottom w:val="single" w:sz="8" w:color="424E6A"/>
              <w:right w:val="single" w:sz="8" w:color="424E6A"/>
            </w:tcBorders>
          </w:tcPr>
          <w:p>
            <w:pPr>
              <w:spacing w:after="0"/>
              <w:rPr>
                <w:sz w:val="5"/>
                <w:szCs w:val="5"/>
                <w:color w:val="auto"/>
              </w:rPr>
            </w:pPr>
          </w:p>
        </w:tc>
        <w:tc>
          <w:tcPr>
            <w:tcW w:w="500" w:type="dxa"/>
            <w:vAlign w:val="bottom"/>
            <w:tcBorders>
              <w:bottom w:val="single" w:sz="8" w:color="424E6A"/>
              <w:right w:val="single" w:sz="8" w:color="424E6A"/>
            </w:tcBorders>
            <w:vMerge w:val="continue"/>
          </w:tcPr>
          <w:p>
            <w:pPr>
              <w:spacing w:after="0"/>
              <w:rPr>
                <w:sz w:val="5"/>
                <w:szCs w:val="5"/>
                <w:color w:val="auto"/>
              </w:rPr>
            </w:pPr>
          </w:p>
        </w:tc>
        <w:tc>
          <w:tcPr>
            <w:tcW w:w="720" w:type="dxa"/>
            <w:vAlign w:val="bottom"/>
            <w:tcBorders>
              <w:bottom w:val="single" w:sz="8" w:color="424E6A"/>
              <w:right w:val="single" w:sz="8" w:color="424E6A"/>
            </w:tcBorders>
            <w:vMerge w:val="continue"/>
          </w:tcPr>
          <w:p>
            <w:pPr>
              <w:spacing w:after="0"/>
              <w:rPr>
                <w:sz w:val="5"/>
                <w:szCs w:val="5"/>
                <w:color w:val="auto"/>
              </w:rPr>
            </w:pPr>
          </w:p>
        </w:tc>
        <w:tc>
          <w:tcPr>
            <w:tcW w:w="860" w:type="dxa"/>
            <w:vAlign w:val="bottom"/>
            <w:tcBorders>
              <w:bottom w:val="single" w:sz="8" w:color="424E6A"/>
              <w:right w:val="single" w:sz="8" w:color="424E6A"/>
            </w:tcBorders>
            <w:vMerge w:val="continue"/>
          </w:tcPr>
          <w:p>
            <w:pPr>
              <w:spacing w:after="0"/>
              <w:rPr>
                <w:sz w:val="5"/>
                <w:szCs w:val="5"/>
                <w:color w:val="auto"/>
              </w:rPr>
            </w:pPr>
          </w:p>
        </w:tc>
        <w:tc>
          <w:tcPr>
            <w:tcW w:w="1060" w:type="dxa"/>
            <w:vAlign w:val="bottom"/>
            <w:tcBorders>
              <w:bottom w:val="single" w:sz="8" w:color="424E6A"/>
            </w:tcBorders>
            <w:vMerge w:val="continue"/>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1080" w:type="dxa"/>
            <w:vAlign w:val="bottom"/>
            <w:tcBorders>
              <w:bottom w:val="single" w:sz="8" w:color="424E6A"/>
            </w:tcBorders>
            <w:vMerge w:val="continue"/>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980" w:type="dxa"/>
            <w:vAlign w:val="bottom"/>
            <w:tcBorders>
              <w:bottom w:val="single" w:sz="8" w:color="424E6A"/>
              <w:right w:val="single" w:sz="8" w:color="424E6A"/>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620" w:right="699" w:hanging="360"/>
        <w:spacing w:after="0" w:line="210" w:lineRule="auto"/>
        <w:tabs>
          <w:tab w:leader="none" w:pos="1620" w:val="left"/>
        </w:tabs>
        <w:numPr>
          <w:ilvl w:val="0"/>
          <w:numId w:val="48"/>
        </w:numPr>
        <w:rPr>
          <w:rFonts w:ascii="Arial" w:cs="Arial" w:eastAsia="Arial" w:hAnsi="Arial"/>
          <w:sz w:val="27"/>
          <w:szCs w:val="27"/>
          <w:color w:val="auto"/>
          <w:vertAlign w:val="superscript"/>
        </w:rPr>
      </w:pPr>
      <w:r>
        <w:rPr>
          <w:rFonts w:ascii="Arial" w:cs="Arial" w:eastAsia="Arial" w:hAnsi="Arial"/>
          <w:sz w:val="18"/>
          <w:szCs w:val="18"/>
          <w:color w:val="auto"/>
        </w:rPr>
        <w:t>As described above in CD&amp;A, annual base salaries for all NEOs were increased effective April 1, 2025. The amounts shown in the table for 2025 reflect blended rates.</w:t>
      </w:r>
    </w:p>
    <w:p>
      <w:pPr>
        <w:spacing w:after="0" w:line="46" w:lineRule="exact"/>
        <w:rPr>
          <w:rFonts w:ascii="Arial" w:cs="Arial" w:eastAsia="Arial" w:hAnsi="Arial"/>
          <w:sz w:val="27"/>
          <w:szCs w:val="27"/>
          <w:color w:val="auto"/>
          <w:vertAlign w:val="superscript"/>
        </w:rPr>
      </w:pPr>
    </w:p>
    <w:p>
      <w:pPr>
        <w:ind w:left="1620" w:right="499" w:hanging="360"/>
        <w:spacing w:after="0" w:line="251" w:lineRule="auto"/>
        <w:tabs>
          <w:tab w:leader="none" w:pos="1620" w:val="left"/>
        </w:tabs>
        <w:numPr>
          <w:ilvl w:val="0"/>
          <w:numId w:val="48"/>
        </w:numPr>
        <w:rPr>
          <w:rFonts w:ascii="Arial" w:cs="Arial" w:eastAsia="Arial" w:hAnsi="Arial"/>
          <w:sz w:val="26"/>
          <w:szCs w:val="26"/>
          <w:color w:val="auto"/>
          <w:vertAlign w:val="superscript"/>
        </w:rPr>
      </w:pPr>
      <w:r>
        <w:rPr>
          <w:rFonts w:ascii="Arial" w:cs="Arial" w:eastAsia="Arial" w:hAnsi="Arial"/>
          <w:sz w:val="17"/>
          <w:szCs w:val="17"/>
          <w:color w:val="auto"/>
        </w:rPr>
        <w:t>Grant date fair values are presented for (i) regular annual phantom unit grants awarded to Messrs. Chiang, Swanson, McGee, Chandler and Goebel in August 2023, 2024 and 2025, and (ii) phantom unit grants awarded to Chiang in August 2018, which were amended in August 2025. Dollar amounts in the table represent the aggregate grant date fair value of phantom units awarded based on the probable outcome of underlying performance conditions pursuant to FASB guidance regarding share-based payments. See Note 18 to our Consolidated Financial Statements included in our 2025 Annual Report for further discussion regarding the calculation of grant date fair values.</w:t>
      </w:r>
    </w:p>
    <w:p>
      <w:pPr>
        <w:spacing w:after="0" w:line="121" w:lineRule="exact"/>
        <w:rPr>
          <w:rFonts w:ascii="Arial" w:cs="Arial" w:eastAsia="Arial" w:hAnsi="Arial"/>
          <w:sz w:val="26"/>
          <w:szCs w:val="26"/>
          <w:color w:val="auto"/>
          <w:vertAlign w:val="superscript"/>
        </w:rPr>
      </w:pPr>
    </w:p>
    <w:p>
      <w:pPr>
        <w:ind w:left="1620" w:right="419"/>
        <w:spacing w:after="0" w:line="241" w:lineRule="auto"/>
        <w:rPr>
          <w:rFonts w:ascii="Arial" w:cs="Arial" w:eastAsia="Arial" w:hAnsi="Arial"/>
          <w:sz w:val="26"/>
          <w:szCs w:val="26"/>
          <w:color w:val="auto"/>
          <w:vertAlign w:val="superscript"/>
        </w:rPr>
      </w:pPr>
      <w:r>
        <w:rPr>
          <w:rFonts w:ascii="Arial" w:cs="Arial" w:eastAsia="Arial" w:hAnsi="Arial"/>
          <w:sz w:val="18"/>
          <w:szCs w:val="18"/>
          <w:color w:val="auto"/>
        </w:rPr>
        <w:t>For phantom unit grants originally awarded to Mr. Chiang in August 2018, one-third of the associated DERs was deemed probable of vesting on the grant date. The probability-based grant date fair value of the phantom unit grants awarded to Mr. Chiang in August 2018 was $1,203,336 and the maximum grant date fair value of these phantom unit grants, assuming that the highest level of performance conditions would be met, was $12,774,454. The August 2018 phantom unit grants held by Mr. Chiang were amended in August 2025 to extend the expiration date from October 2025 to October 2030. As a result of the amendment, an additional one-third of the DERs associated with the grants was deemed probable of vesting on the amendment date. The amounts presented for Mr. Chiang for 2025 include aggregate incremental fair value of $2,895,505 based on the probable outcome of underlying performance conditions resulting from the amendment of the August 2018 award. The incremental fair value represents the net increase in the probability-based fair value of the amended awards relative to the probability-based fair value on the original grant date. The maximum fair value of the amended grants on the amendment date, assuming that the highest level of performance conditions will be met, was lower than the maximum fair value on the original grant date.</w:t>
      </w:r>
    </w:p>
    <w:p>
      <w:pPr>
        <w:sectPr>
          <w:pgSz w:w="11900" w:h="16838" w:orient="portrait"/>
          <w:cols w:equalWidth="0" w:num="1">
            <w:col w:w="9879"/>
          </w:cols>
          <w:pgMar w:left="580" w:top="97" w:right="1440" w:bottom="1440" w:gutter="0" w:footer="0" w:header="0"/>
        </w:sectPr>
      </w:pPr>
    </w:p>
    <w:p>
      <w:pPr>
        <w:spacing w:after="0" w:line="37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419"/>
        <w:spacing w:after="0" w:line="259" w:lineRule="auto"/>
        <w:rPr>
          <w:sz w:val="20"/>
          <w:szCs w:val="20"/>
          <w:color w:val="auto"/>
        </w:rPr>
      </w:pPr>
      <w:r>
        <w:rPr>
          <w:rFonts w:ascii="Arial" w:cs="Arial" w:eastAsia="Arial" w:hAnsi="Arial"/>
          <w:sz w:val="18"/>
          <w:szCs w:val="18"/>
          <w:color w:val="auto"/>
        </w:rPr>
        <w:t>For regular annual phantom unit grants awarded in August 2023, 75% were deemed probable of vesting on the grant date. The maximum grant date fair value of phantom unit grants awarded in August 2023, assuming that the highest level of performance conditions will be met, was $4,877,705 for Mr. Chiang, $1,537,358 for each of Messrs. Swanson and McGee, and $1,981,333 for each of Messrs. Chandler and Goebel.</w:t>
      </w:r>
    </w:p>
    <w:p>
      <w:pPr>
        <w:spacing w:after="0" w:line="112" w:lineRule="exact"/>
        <w:rPr>
          <w:sz w:val="20"/>
          <w:szCs w:val="20"/>
          <w:color w:val="auto"/>
        </w:rPr>
      </w:pPr>
    </w:p>
    <w:p>
      <w:pPr>
        <w:ind w:left="1620" w:right="419"/>
        <w:spacing w:after="0" w:line="259" w:lineRule="auto"/>
        <w:rPr>
          <w:sz w:val="20"/>
          <w:szCs w:val="20"/>
          <w:color w:val="auto"/>
        </w:rPr>
      </w:pPr>
      <w:r>
        <w:rPr>
          <w:rFonts w:ascii="Arial" w:cs="Arial" w:eastAsia="Arial" w:hAnsi="Arial"/>
          <w:sz w:val="18"/>
          <w:szCs w:val="18"/>
          <w:color w:val="auto"/>
        </w:rPr>
        <w:t>For regular annual phantom unit grants awarded in August 2024, 75% were deemed probable of vesting on the grant date. The maximum grant date fair value of phantom unit grants awarded in August 2024, assuming that the highest level of performance conditions will be met, was $6,210,540 for Mr. Chiang, $1,874,880 for each of Messrs. Swanson and McGee, and $2,484,216 for each of Messrs. Chandler and Goebel.</w:t>
      </w:r>
    </w:p>
    <w:p>
      <w:pPr>
        <w:spacing w:after="0" w:line="112" w:lineRule="exact"/>
        <w:rPr>
          <w:sz w:val="20"/>
          <w:szCs w:val="20"/>
          <w:color w:val="auto"/>
        </w:rPr>
      </w:pPr>
    </w:p>
    <w:p>
      <w:pPr>
        <w:jc w:val="both"/>
        <w:ind w:left="1620" w:right="599"/>
        <w:spacing w:after="0" w:line="259" w:lineRule="auto"/>
        <w:rPr>
          <w:sz w:val="20"/>
          <w:szCs w:val="20"/>
          <w:color w:val="auto"/>
        </w:rPr>
      </w:pPr>
      <w:r>
        <w:rPr>
          <w:rFonts w:ascii="Arial" w:cs="Arial" w:eastAsia="Arial" w:hAnsi="Arial"/>
          <w:sz w:val="18"/>
          <w:szCs w:val="18"/>
          <w:color w:val="auto"/>
        </w:rPr>
        <w:t>For regular annual phantom unit grants awarded in August 2025, 75% were deemed probable of vesting on the grant date. The maximum grant date fair value of the regular annual phantom unit grants awarded in August 2025, assuming that the highest level of performance conditions will be met, was $7,387,095 for Mr. Chiang, $1,926,645 for Mr. Swanson, $1,993,905 for Mr. McGee, and $2,564,730 for each of Messrs. Chandler and Goebel.</w:t>
      </w:r>
    </w:p>
    <w:p>
      <w:pPr>
        <w:spacing w:after="0" w:line="98" w:lineRule="exact"/>
        <w:rPr>
          <w:sz w:val="20"/>
          <w:szCs w:val="20"/>
          <w:color w:val="auto"/>
        </w:rPr>
      </w:pPr>
    </w:p>
    <w:p>
      <w:pPr>
        <w:ind w:left="1620" w:right="439"/>
        <w:spacing w:after="0" w:line="268" w:lineRule="auto"/>
        <w:rPr>
          <w:sz w:val="20"/>
          <w:szCs w:val="20"/>
          <w:color w:val="auto"/>
        </w:rPr>
      </w:pPr>
      <w:r>
        <w:rPr>
          <w:rFonts w:ascii="Arial" w:cs="Arial" w:eastAsia="Arial" w:hAnsi="Arial"/>
          <w:sz w:val="18"/>
          <w:szCs w:val="18"/>
          <w:color w:val="auto"/>
        </w:rPr>
        <w:t>For special retention phantom unit grants awarded to Messrs. Chandler and Goebel in August 2025, 100% were deemed probable of vesting on the grant date. Therefore, the grant date fair value of these grants was $5,263,752 for Mr. Chandler and $7,822,621 for Mr. Goebel.</w:t>
      </w:r>
    </w:p>
    <w:p>
      <w:pPr>
        <w:spacing w:after="0" w:line="103" w:lineRule="exact"/>
        <w:rPr>
          <w:sz w:val="20"/>
          <w:szCs w:val="20"/>
          <w:color w:val="auto"/>
        </w:rPr>
      </w:pPr>
    </w:p>
    <w:p>
      <w:pPr>
        <w:ind w:left="1620" w:right="659" w:hanging="360"/>
        <w:spacing w:after="0" w:line="210" w:lineRule="auto"/>
        <w:tabs>
          <w:tab w:leader="none" w:pos="1620" w:val="left"/>
        </w:tabs>
        <w:numPr>
          <w:ilvl w:val="0"/>
          <w:numId w:val="49"/>
        </w:numPr>
        <w:rPr>
          <w:rFonts w:ascii="Arial" w:cs="Arial" w:eastAsia="Arial" w:hAnsi="Arial"/>
          <w:sz w:val="27"/>
          <w:szCs w:val="27"/>
          <w:color w:val="auto"/>
          <w:vertAlign w:val="superscript"/>
        </w:rPr>
      </w:pPr>
      <w:r>
        <w:rPr>
          <w:rFonts w:ascii="Arial" w:cs="Arial" w:eastAsia="Arial" w:hAnsi="Arial"/>
          <w:sz w:val="18"/>
          <w:szCs w:val="18"/>
          <w:color w:val="auto"/>
        </w:rPr>
        <w:t>Amounts paid for 2025 were rounded to the nearest multiple of $5,000. See “2025 Compensation Elements — Annual Cash Incentive Awards” above for additional information.</w:t>
      </w:r>
    </w:p>
    <w:p>
      <w:pPr>
        <w:spacing w:after="0" w:line="127" w:lineRule="exact"/>
        <w:rPr>
          <w:rFonts w:ascii="Arial" w:cs="Arial" w:eastAsia="Arial" w:hAnsi="Arial"/>
          <w:sz w:val="27"/>
          <w:szCs w:val="27"/>
          <w:color w:val="auto"/>
          <w:vertAlign w:val="superscript"/>
        </w:rPr>
      </w:pPr>
    </w:p>
    <w:p>
      <w:pPr>
        <w:ind w:left="1620" w:right="479" w:hanging="360"/>
        <w:spacing w:after="0" w:line="228" w:lineRule="auto"/>
        <w:tabs>
          <w:tab w:leader="none" w:pos="1620" w:val="left"/>
        </w:tabs>
        <w:numPr>
          <w:ilvl w:val="0"/>
          <w:numId w:val="49"/>
        </w:numPr>
        <w:rPr>
          <w:rFonts w:ascii="Arial" w:cs="Arial" w:eastAsia="Arial" w:hAnsi="Arial"/>
          <w:sz w:val="27"/>
          <w:szCs w:val="27"/>
          <w:color w:val="auto"/>
          <w:vertAlign w:val="superscript"/>
        </w:rPr>
      </w:pPr>
      <w:r>
        <w:rPr>
          <w:rFonts w:ascii="Arial" w:cs="Arial" w:eastAsia="Arial" w:hAnsi="Arial"/>
          <w:sz w:val="18"/>
          <w:szCs w:val="18"/>
          <w:color w:val="auto"/>
        </w:rPr>
        <w:t>GP LLC matches 100% of employees’ contributions to its 401(k) plan in cash, subject to certain limitations in the plan. All Other Compensation for 2025 includes $21,000 in matching contributions for each of the Named Executive Officers. The remaining amount represents premium payments on behalf of such Named Executive Officer for group term life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Grants of Plan-Based Awards Table</w:t>
      </w:r>
    </w:p>
    <w:p>
      <w:pPr>
        <w:spacing w:after="0" w:line="158" w:lineRule="exact"/>
        <w:rPr>
          <w:sz w:val="20"/>
          <w:szCs w:val="20"/>
          <w:color w:val="auto"/>
        </w:rPr>
      </w:pPr>
    </w:p>
    <w:p>
      <w:pPr>
        <w:ind w:left="1260" w:right="1020" w:firstLine="360"/>
        <w:spacing w:after="0" w:line="287" w:lineRule="auto"/>
        <w:rPr>
          <w:sz w:val="20"/>
          <w:szCs w:val="20"/>
          <w:color w:val="auto"/>
        </w:rPr>
      </w:pPr>
      <w:r>
        <w:rPr>
          <w:rFonts w:ascii="Arial" w:cs="Arial" w:eastAsia="Arial" w:hAnsi="Arial"/>
          <w:sz w:val="18"/>
          <w:szCs w:val="18"/>
          <w:color w:val="auto"/>
        </w:rPr>
        <w:t>The following table sets forth summary information regarding all grants of plan-based awards made to our Named Executive Officers during the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1614170</wp:posOffset>
            </wp:positionH>
            <wp:positionV relativeFrom="paragraph">
              <wp:posOffset>109220</wp:posOffset>
            </wp:positionV>
            <wp:extent cx="43180" cy="7029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3180" cy="702945"/>
                    </a:xfrm>
                    <a:prstGeom prst="rect">
                      <a:avLst/>
                    </a:prstGeom>
                    <a:noFill/>
                  </pic:spPr>
                </pic:pic>
              </a:graphicData>
            </a:graphic>
          </wp:anchor>
        </w:drawing>
      </w:r>
    </w:p>
    <w:p>
      <w:pPr>
        <w:spacing w:after="0" w:line="152" w:lineRule="exact"/>
        <w:rPr>
          <w:sz w:val="20"/>
          <w:szCs w:val="20"/>
          <w:color w:val="auto"/>
        </w:rPr>
      </w:pPr>
    </w:p>
    <w:tbl>
      <w:tblPr>
        <w:tblLayout w:type="fixed"/>
        <w:tblInd w:w="510" w:type="dxa"/>
        <w:tblCellMar>
          <w:top w:w="0" w:type="dxa"/>
          <w:left w:w="0" w:type="dxa"/>
          <w:bottom w:w="0" w:type="dxa"/>
          <w:right w:w="0" w:type="dxa"/>
        </w:tblCellMar>
      </w:tblPr>
      <w:tr>
        <w:trPr>
          <w:trHeight w:val="247"/>
        </w:trPr>
        <w:tc>
          <w:tcPr>
            <w:tcW w:w="1060" w:type="dxa"/>
            <w:vAlign w:val="bottom"/>
            <w:tcBorders>
              <w:left w:val="single" w:sz="8" w:color="424E6A"/>
            </w:tcBorders>
            <w:shd w:val="clear" w:color="auto" w:fill="424E6A"/>
          </w:tcPr>
          <w:p>
            <w:pPr>
              <w:spacing w:after="0"/>
              <w:rPr>
                <w:sz w:val="21"/>
                <w:szCs w:val="21"/>
                <w:color w:val="auto"/>
              </w:rPr>
            </w:pPr>
          </w:p>
        </w:tc>
        <w:tc>
          <w:tcPr>
            <w:tcW w:w="80" w:type="dxa"/>
            <w:vAlign w:val="bottom"/>
            <w:shd w:val="clear" w:color="auto" w:fill="424E6A"/>
          </w:tcPr>
          <w:p>
            <w:pPr>
              <w:spacing w:after="0"/>
              <w:rPr>
                <w:sz w:val="21"/>
                <w:szCs w:val="21"/>
                <w:color w:val="auto"/>
              </w:rPr>
            </w:pPr>
          </w:p>
        </w:tc>
        <w:tc>
          <w:tcPr>
            <w:tcW w:w="140" w:type="dxa"/>
            <w:vAlign w:val="bottom"/>
            <w:shd w:val="clear" w:color="auto" w:fill="424E6A"/>
          </w:tcPr>
          <w:p>
            <w:pPr>
              <w:spacing w:after="0"/>
              <w:rPr>
                <w:sz w:val="21"/>
                <w:szCs w:val="21"/>
                <w:color w:val="auto"/>
              </w:rPr>
            </w:pPr>
          </w:p>
        </w:tc>
        <w:tc>
          <w:tcPr>
            <w:tcW w:w="560" w:type="dxa"/>
            <w:vAlign w:val="bottom"/>
            <w:shd w:val="clear" w:color="auto" w:fill="424E6A"/>
          </w:tcPr>
          <w:p>
            <w:pPr>
              <w:spacing w:after="0"/>
              <w:rPr>
                <w:sz w:val="21"/>
                <w:szCs w:val="21"/>
                <w:color w:val="auto"/>
              </w:rPr>
            </w:pPr>
          </w:p>
        </w:tc>
        <w:tc>
          <w:tcPr>
            <w:tcW w:w="200" w:type="dxa"/>
            <w:vAlign w:val="bottom"/>
            <w:tcBorders>
              <w:right w:val="single" w:sz="8" w:color="424E6A"/>
            </w:tcBorders>
            <w:shd w:val="clear" w:color="auto" w:fill="424E6A"/>
          </w:tcPr>
          <w:p>
            <w:pPr>
              <w:spacing w:after="0"/>
              <w:rPr>
                <w:sz w:val="21"/>
                <w:szCs w:val="21"/>
                <w:color w:val="auto"/>
              </w:rPr>
            </w:pPr>
          </w:p>
        </w:tc>
        <w:tc>
          <w:tcPr>
            <w:tcW w:w="80" w:type="dxa"/>
            <w:vAlign w:val="bottom"/>
            <w:tcBorders>
              <w:left w:val="single" w:sz="8" w:color="424E6A"/>
            </w:tcBorders>
            <w:shd w:val="clear" w:color="auto" w:fill="424E6A"/>
          </w:tcPr>
          <w:p>
            <w:pPr>
              <w:spacing w:after="0"/>
              <w:rPr>
                <w:sz w:val="21"/>
                <w:szCs w:val="21"/>
                <w:color w:val="auto"/>
              </w:rPr>
            </w:pPr>
          </w:p>
        </w:tc>
        <w:tc>
          <w:tcPr>
            <w:tcW w:w="700" w:type="dxa"/>
            <w:vAlign w:val="bottom"/>
            <w:shd w:val="clear" w:color="auto" w:fill="424E6A"/>
          </w:tcPr>
          <w:p>
            <w:pPr>
              <w:spacing w:after="0"/>
              <w:rPr>
                <w:sz w:val="21"/>
                <w:szCs w:val="21"/>
                <w:color w:val="auto"/>
              </w:rPr>
            </w:pPr>
          </w:p>
        </w:tc>
        <w:tc>
          <w:tcPr>
            <w:tcW w:w="40" w:type="dxa"/>
            <w:vAlign w:val="bottom"/>
            <w:shd w:val="clear" w:color="auto" w:fill="424E6A"/>
          </w:tcPr>
          <w:p>
            <w:pPr>
              <w:spacing w:after="0"/>
              <w:rPr>
                <w:sz w:val="21"/>
                <w:szCs w:val="21"/>
                <w:color w:val="auto"/>
              </w:rPr>
            </w:pPr>
          </w:p>
        </w:tc>
        <w:tc>
          <w:tcPr>
            <w:tcW w:w="100" w:type="dxa"/>
            <w:vAlign w:val="bottom"/>
            <w:tcBorders>
              <w:right w:val="single" w:sz="8" w:color="424E6A"/>
            </w:tcBorders>
            <w:shd w:val="clear" w:color="auto" w:fill="424E6A"/>
          </w:tcPr>
          <w:p>
            <w:pPr>
              <w:spacing w:after="0"/>
              <w:rPr>
                <w:sz w:val="21"/>
                <w:szCs w:val="21"/>
                <w:color w:val="auto"/>
              </w:rPr>
            </w:pPr>
          </w:p>
        </w:tc>
        <w:tc>
          <w:tcPr>
            <w:tcW w:w="180" w:type="dxa"/>
            <w:vAlign w:val="bottom"/>
            <w:shd w:val="clear" w:color="auto" w:fill="424E6A"/>
          </w:tcPr>
          <w:p>
            <w:pPr>
              <w:spacing w:after="0"/>
              <w:rPr>
                <w:sz w:val="21"/>
                <w:szCs w:val="21"/>
                <w:color w:val="auto"/>
              </w:rPr>
            </w:pPr>
          </w:p>
        </w:tc>
        <w:tc>
          <w:tcPr>
            <w:tcW w:w="380" w:type="dxa"/>
            <w:vAlign w:val="bottom"/>
            <w:shd w:val="clear" w:color="auto" w:fill="424E6A"/>
          </w:tcPr>
          <w:p>
            <w:pPr>
              <w:spacing w:after="0"/>
              <w:rPr>
                <w:sz w:val="21"/>
                <w:szCs w:val="21"/>
                <w:color w:val="auto"/>
              </w:rPr>
            </w:pPr>
          </w:p>
        </w:tc>
        <w:tc>
          <w:tcPr>
            <w:tcW w:w="320" w:type="dxa"/>
            <w:vAlign w:val="bottom"/>
            <w:tcBorders>
              <w:right w:val="single" w:sz="8" w:color="424E6A"/>
            </w:tcBorders>
            <w:shd w:val="clear" w:color="auto" w:fill="424E6A"/>
          </w:tcPr>
          <w:p>
            <w:pPr>
              <w:spacing w:after="0"/>
              <w:rPr>
                <w:sz w:val="21"/>
                <w:szCs w:val="21"/>
                <w:color w:val="auto"/>
              </w:rPr>
            </w:pPr>
          </w:p>
        </w:tc>
        <w:tc>
          <w:tcPr>
            <w:tcW w:w="240" w:type="dxa"/>
            <w:vAlign w:val="bottom"/>
            <w:shd w:val="clear" w:color="auto" w:fill="424E6A"/>
          </w:tcPr>
          <w:p>
            <w:pPr>
              <w:spacing w:after="0"/>
              <w:rPr>
                <w:sz w:val="21"/>
                <w:szCs w:val="21"/>
                <w:color w:val="auto"/>
              </w:rPr>
            </w:pPr>
          </w:p>
        </w:tc>
        <w:tc>
          <w:tcPr>
            <w:tcW w:w="320" w:type="dxa"/>
            <w:vAlign w:val="bottom"/>
            <w:shd w:val="clear" w:color="auto" w:fill="424E6A"/>
          </w:tcPr>
          <w:p>
            <w:pPr>
              <w:spacing w:after="0"/>
              <w:rPr>
                <w:sz w:val="21"/>
                <w:szCs w:val="21"/>
                <w:color w:val="auto"/>
              </w:rPr>
            </w:pPr>
          </w:p>
        </w:tc>
        <w:tc>
          <w:tcPr>
            <w:tcW w:w="300" w:type="dxa"/>
            <w:vAlign w:val="bottom"/>
            <w:tcBorders>
              <w:right w:val="single" w:sz="8" w:color="424E6A"/>
            </w:tcBorders>
            <w:shd w:val="clear" w:color="auto" w:fill="424E6A"/>
          </w:tcPr>
          <w:p>
            <w:pPr>
              <w:spacing w:after="0"/>
              <w:rPr>
                <w:sz w:val="21"/>
                <w:szCs w:val="21"/>
                <w:color w:val="auto"/>
              </w:rPr>
            </w:pPr>
          </w:p>
        </w:tc>
        <w:tc>
          <w:tcPr>
            <w:tcW w:w="80" w:type="dxa"/>
            <w:vAlign w:val="bottom"/>
            <w:shd w:val="clear" w:color="auto" w:fill="424E6A"/>
          </w:tcPr>
          <w:p>
            <w:pPr>
              <w:spacing w:after="0"/>
              <w:rPr>
                <w:sz w:val="21"/>
                <w:szCs w:val="21"/>
                <w:color w:val="auto"/>
              </w:rPr>
            </w:pPr>
          </w:p>
        </w:tc>
        <w:tc>
          <w:tcPr>
            <w:tcW w:w="720" w:type="dxa"/>
            <w:vAlign w:val="bottom"/>
            <w:shd w:val="clear" w:color="auto" w:fill="424E6A"/>
          </w:tcPr>
          <w:p>
            <w:pPr>
              <w:spacing w:after="0"/>
              <w:rPr>
                <w:sz w:val="21"/>
                <w:szCs w:val="21"/>
                <w:color w:val="auto"/>
              </w:rPr>
            </w:pPr>
          </w:p>
        </w:tc>
        <w:tc>
          <w:tcPr>
            <w:tcW w:w="140" w:type="dxa"/>
            <w:vAlign w:val="bottom"/>
            <w:tcBorders>
              <w:right w:val="single" w:sz="8" w:color="424E6A"/>
            </w:tcBorders>
            <w:shd w:val="clear" w:color="auto" w:fill="424E6A"/>
          </w:tcPr>
          <w:p>
            <w:pPr>
              <w:spacing w:after="0"/>
              <w:rPr>
                <w:sz w:val="21"/>
                <w:szCs w:val="21"/>
                <w:color w:val="auto"/>
              </w:rPr>
            </w:pPr>
          </w:p>
        </w:tc>
        <w:tc>
          <w:tcPr>
            <w:tcW w:w="120" w:type="dxa"/>
            <w:vAlign w:val="bottom"/>
            <w:shd w:val="clear" w:color="auto" w:fill="424E6A"/>
          </w:tcPr>
          <w:p>
            <w:pPr>
              <w:spacing w:after="0"/>
              <w:rPr>
                <w:sz w:val="21"/>
                <w:szCs w:val="21"/>
                <w:color w:val="auto"/>
              </w:rPr>
            </w:pPr>
          </w:p>
        </w:tc>
        <w:tc>
          <w:tcPr>
            <w:tcW w:w="400" w:type="dxa"/>
            <w:vAlign w:val="bottom"/>
            <w:shd w:val="clear" w:color="auto" w:fill="424E6A"/>
          </w:tcPr>
          <w:p>
            <w:pPr>
              <w:spacing w:after="0"/>
              <w:rPr>
                <w:sz w:val="21"/>
                <w:szCs w:val="21"/>
                <w:color w:val="auto"/>
              </w:rPr>
            </w:pPr>
          </w:p>
        </w:tc>
        <w:tc>
          <w:tcPr>
            <w:tcW w:w="160" w:type="dxa"/>
            <w:vAlign w:val="bottom"/>
            <w:shd w:val="clear" w:color="auto" w:fill="424E6A"/>
          </w:tcPr>
          <w:p>
            <w:pPr>
              <w:spacing w:after="0"/>
              <w:rPr>
                <w:sz w:val="21"/>
                <w:szCs w:val="21"/>
                <w:color w:val="auto"/>
              </w:rPr>
            </w:pPr>
          </w:p>
        </w:tc>
        <w:tc>
          <w:tcPr>
            <w:tcW w:w="180" w:type="dxa"/>
            <w:vAlign w:val="bottom"/>
            <w:tcBorders>
              <w:right w:val="single" w:sz="8" w:color="424E6A"/>
            </w:tcBorders>
            <w:shd w:val="clear" w:color="auto" w:fill="424E6A"/>
          </w:tcPr>
          <w:p>
            <w:pPr>
              <w:spacing w:after="0"/>
              <w:rPr>
                <w:sz w:val="21"/>
                <w:szCs w:val="21"/>
                <w:color w:val="auto"/>
              </w:rPr>
            </w:pPr>
          </w:p>
        </w:tc>
        <w:tc>
          <w:tcPr>
            <w:tcW w:w="100" w:type="dxa"/>
            <w:vAlign w:val="bottom"/>
            <w:shd w:val="clear" w:color="auto" w:fill="424E6A"/>
          </w:tcPr>
          <w:p>
            <w:pPr>
              <w:spacing w:after="0"/>
              <w:rPr>
                <w:sz w:val="21"/>
                <w:szCs w:val="21"/>
                <w:color w:val="auto"/>
              </w:rPr>
            </w:pPr>
          </w:p>
        </w:tc>
        <w:tc>
          <w:tcPr>
            <w:tcW w:w="220" w:type="dxa"/>
            <w:vAlign w:val="bottom"/>
            <w:shd w:val="clear" w:color="auto" w:fill="424E6A"/>
          </w:tcPr>
          <w:p>
            <w:pPr>
              <w:spacing w:after="0"/>
              <w:rPr>
                <w:sz w:val="21"/>
                <w:szCs w:val="21"/>
                <w:color w:val="auto"/>
              </w:rPr>
            </w:pPr>
          </w:p>
        </w:tc>
        <w:tc>
          <w:tcPr>
            <w:tcW w:w="420" w:type="dxa"/>
            <w:vAlign w:val="bottom"/>
            <w:shd w:val="clear" w:color="auto" w:fill="424E6A"/>
          </w:tcPr>
          <w:p>
            <w:pPr>
              <w:spacing w:after="0"/>
              <w:rPr>
                <w:sz w:val="21"/>
                <w:szCs w:val="21"/>
                <w:color w:val="auto"/>
              </w:rPr>
            </w:pPr>
          </w:p>
        </w:tc>
        <w:tc>
          <w:tcPr>
            <w:tcW w:w="220" w:type="dxa"/>
            <w:vAlign w:val="bottom"/>
            <w:tcBorders>
              <w:right w:val="single" w:sz="8" w:color="424E6A"/>
            </w:tcBorders>
            <w:shd w:val="clear" w:color="auto" w:fill="424E6A"/>
          </w:tcPr>
          <w:p>
            <w:pPr>
              <w:spacing w:after="0"/>
              <w:rPr>
                <w:sz w:val="21"/>
                <w:szCs w:val="21"/>
                <w:color w:val="auto"/>
              </w:rPr>
            </w:pPr>
          </w:p>
        </w:tc>
        <w:tc>
          <w:tcPr>
            <w:tcW w:w="80" w:type="dxa"/>
            <w:vAlign w:val="bottom"/>
            <w:shd w:val="clear" w:color="auto" w:fill="424E6A"/>
          </w:tcPr>
          <w:p>
            <w:pPr>
              <w:spacing w:after="0"/>
              <w:rPr>
                <w:sz w:val="21"/>
                <w:szCs w:val="21"/>
                <w:color w:val="auto"/>
              </w:rPr>
            </w:pPr>
          </w:p>
        </w:tc>
        <w:tc>
          <w:tcPr>
            <w:tcW w:w="10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All Other</w:t>
            </w:r>
          </w:p>
        </w:tc>
        <w:tc>
          <w:tcPr>
            <w:tcW w:w="120" w:type="dxa"/>
            <w:vAlign w:val="bottom"/>
            <w:tcBorders>
              <w:right w:val="single" w:sz="8" w:color="424E6A"/>
            </w:tcBorders>
            <w:shd w:val="clear" w:color="auto" w:fill="424E6A"/>
          </w:tcPr>
          <w:p>
            <w:pPr>
              <w:spacing w:after="0"/>
              <w:rPr>
                <w:sz w:val="21"/>
                <w:szCs w:val="21"/>
                <w:color w:val="auto"/>
              </w:rPr>
            </w:pPr>
          </w:p>
        </w:tc>
        <w:tc>
          <w:tcPr>
            <w:tcW w:w="80" w:type="dxa"/>
            <w:vAlign w:val="bottom"/>
            <w:shd w:val="clear" w:color="auto" w:fill="424E6A"/>
          </w:tcPr>
          <w:p>
            <w:pPr>
              <w:spacing w:after="0"/>
              <w:rPr>
                <w:sz w:val="21"/>
                <w:szCs w:val="21"/>
                <w:color w:val="auto"/>
              </w:rPr>
            </w:pPr>
          </w:p>
        </w:tc>
        <w:tc>
          <w:tcPr>
            <w:tcW w:w="340" w:type="dxa"/>
            <w:vAlign w:val="bottom"/>
            <w:shd w:val="clear" w:color="auto" w:fill="424E6A"/>
          </w:tcPr>
          <w:p>
            <w:pPr>
              <w:spacing w:after="0"/>
              <w:rPr>
                <w:sz w:val="21"/>
                <w:szCs w:val="21"/>
                <w:color w:val="auto"/>
              </w:rPr>
            </w:pPr>
          </w:p>
        </w:tc>
        <w:tc>
          <w:tcPr>
            <w:tcW w:w="700" w:type="dxa"/>
            <w:vAlign w:val="bottom"/>
            <w:shd w:val="clear" w:color="auto" w:fill="424E6A"/>
          </w:tcPr>
          <w:p>
            <w:pPr>
              <w:spacing w:after="0"/>
              <w:rPr>
                <w:sz w:val="21"/>
                <w:szCs w:val="21"/>
                <w:color w:val="auto"/>
              </w:rPr>
            </w:pPr>
          </w:p>
        </w:tc>
        <w:tc>
          <w:tcPr>
            <w:tcW w:w="100" w:type="dxa"/>
            <w:vAlign w:val="bottom"/>
            <w:tcBorders>
              <w:right w:val="single" w:sz="8" w:color="424E6A"/>
            </w:tcBorders>
            <w:shd w:val="clear" w:color="auto" w:fill="424E6A"/>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1060" w:type="dxa"/>
            <w:vAlign w:val="bottom"/>
            <w:tcBorders>
              <w:left w:val="single" w:sz="8" w:color="424E6A"/>
            </w:tcBorders>
            <w:shd w:val="clear" w:color="auto" w:fill="424E6A"/>
          </w:tcPr>
          <w:p>
            <w:pPr>
              <w:spacing w:after="0"/>
              <w:rPr>
                <w:sz w:val="16"/>
                <w:szCs w:val="16"/>
                <w:color w:val="auto"/>
              </w:rPr>
            </w:pPr>
          </w:p>
        </w:tc>
        <w:tc>
          <w:tcPr>
            <w:tcW w:w="80" w:type="dxa"/>
            <w:vAlign w:val="bottom"/>
            <w:shd w:val="clear" w:color="auto" w:fill="424E6A"/>
          </w:tcPr>
          <w:p>
            <w:pPr>
              <w:spacing w:after="0"/>
              <w:rPr>
                <w:sz w:val="16"/>
                <w:szCs w:val="16"/>
                <w:color w:val="auto"/>
              </w:rPr>
            </w:pPr>
          </w:p>
        </w:tc>
        <w:tc>
          <w:tcPr>
            <w:tcW w:w="140" w:type="dxa"/>
            <w:vAlign w:val="bottom"/>
            <w:shd w:val="clear" w:color="auto" w:fill="424E6A"/>
          </w:tcPr>
          <w:p>
            <w:pPr>
              <w:spacing w:after="0"/>
              <w:rPr>
                <w:sz w:val="16"/>
                <w:szCs w:val="16"/>
                <w:color w:val="auto"/>
              </w:rPr>
            </w:pPr>
          </w:p>
        </w:tc>
        <w:tc>
          <w:tcPr>
            <w:tcW w:w="560" w:type="dxa"/>
            <w:vAlign w:val="bottom"/>
            <w:shd w:val="clear" w:color="auto" w:fill="424E6A"/>
          </w:tcPr>
          <w:p>
            <w:pPr>
              <w:spacing w:after="0"/>
              <w:rPr>
                <w:sz w:val="16"/>
                <w:szCs w:val="16"/>
                <w:color w:val="auto"/>
              </w:rPr>
            </w:pPr>
          </w:p>
        </w:tc>
        <w:tc>
          <w:tcPr>
            <w:tcW w:w="200" w:type="dxa"/>
            <w:vAlign w:val="bottom"/>
            <w:tcBorders>
              <w:right w:val="single" w:sz="8" w:color="424E6A"/>
            </w:tcBorders>
            <w:shd w:val="clear" w:color="auto" w:fill="424E6A"/>
          </w:tcPr>
          <w:p>
            <w:pPr>
              <w:spacing w:after="0"/>
              <w:rPr>
                <w:sz w:val="16"/>
                <w:szCs w:val="16"/>
                <w:color w:val="auto"/>
              </w:rPr>
            </w:pPr>
          </w:p>
        </w:tc>
        <w:tc>
          <w:tcPr>
            <w:tcW w:w="80" w:type="dxa"/>
            <w:vAlign w:val="bottom"/>
            <w:tcBorders>
              <w:left w:val="single" w:sz="8" w:color="424E6A"/>
            </w:tcBorders>
            <w:shd w:val="clear" w:color="auto" w:fill="424E6A"/>
          </w:tcPr>
          <w:p>
            <w:pPr>
              <w:spacing w:after="0"/>
              <w:rPr>
                <w:sz w:val="16"/>
                <w:szCs w:val="16"/>
                <w:color w:val="auto"/>
              </w:rPr>
            </w:pPr>
          </w:p>
        </w:tc>
        <w:tc>
          <w:tcPr>
            <w:tcW w:w="2660" w:type="dxa"/>
            <w:vAlign w:val="bottom"/>
            <w:gridSpan w:val="10"/>
            <w:shd w:val="clear" w:color="auto" w:fill="424E6A"/>
          </w:tcPr>
          <w:p>
            <w:pPr>
              <w:ind w:left="120"/>
              <w:spacing w:after="0"/>
              <w:rPr>
                <w:sz w:val="20"/>
                <w:szCs w:val="20"/>
                <w:color w:val="auto"/>
              </w:rPr>
            </w:pPr>
            <w:r>
              <w:rPr>
                <w:rFonts w:ascii="Arial" w:cs="Arial" w:eastAsia="Arial" w:hAnsi="Arial"/>
                <w:sz w:val="14"/>
                <w:szCs w:val="14"/>
                <w:b w:val="1"/>
                <w:bCs w:val="1"/>
                <w:color w:val="FFFFFF"/>
              </w:rPr>
              <w:t>Estimated Future Payouts Under</w:t>
            </w:r>
          </w:p>
        </w:tc>
        <w:tc>
          <w:tcPr>
            <w:tcW w:w="2460" w:type="dxa"/>
            <w:vAlign w:val="bottom"/>
            <w:gridSpan w:val="9"/>
            <w:shd w:val="clear" w:color="auto" w:fill="424E6A"/>
          </w:tcPr>
          <w:p>
            <w:pPr>
              <w:jc w:val="center"/>
              <w:ind w:left="11"/>
              <w:spacing w:after="0"/>
              <w:rPr>
                <w:sz w:val="20"/>
                <w:szCs w:val="20"/>
                <w:color w:val="auto"/>
              </w:rPr>
            </w:pPr>
            <w:r>
              <w:rPr>
                <w:rFonts w:ascii="Arial" w:cs="Arial" w:eastAsia="Arial" w:hAnsi="Arial"/>
                <w:sz w:val="14"/>
                <w:szCs w:val="14"/>
                <w:b w:val="1"/>
                <w:bCs w:val="1"/>
                <w:color w:val="FFFFFF"/>
              </w:rPr>
              <w:t>Estimated Future Payouts Under</w:t>
            </w:r>
          </w:p>
        </w:tc>
        <w:tc>
          <w:tcPr>
            <w:tcW w:w="220" w:type="dxa"/>
            <w:vAlign w:val="bottom"/>
            <w:tcBorders>
              <w:right w:val="single" w:sz="8" w:color="424E6A"/>
            </w:tcBorders>
            <w:shd w:val="clear" w:color="auto" w:fill="424E6A"/>
          </w:tcPr>
          <w:p>
            <w:pPr>
              <w:spacing w:after="0"/>
              <w:rPr>
                <w:sz w:val="16"/>
                <w:szCs w:val="16"/>
                <w:color w:val="auto"/>
              </w:rPr>
            </w:pPr>
          </w:p>
        </w:tc>
        <w:tc>
          <w:tcPr>
            <w:tcW w:w="80" w:type="dxa"/>
            <w:vAlign w:val="bottom"/>
            <w:shd w:val="clear" w:color="auto" w:fill="424E6A"/>
          </w:tcPr>
          <w:p>
            <w:pPr>
              <w:spacing w:after="0"/>
              <w:rPr>
                <w:sz w:val="16"/>
                <w:szCs w:val="16"/>
                <w:color w:val="auto"/>
              </w:rPr>
            </w:pPr>
          </w:p>
        </w:tc>
        <w:tc>
          <w:tcPr>
            <w:tcW w:w="10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Stock Awards:</w:t>
            </w:r>
          </w:p>
        </w:tc>
        <w:tc>
          <w:tcPr>
            <w:tcW w:w="120" w:type="dxa"/>
            <w:vAlign w:val="bottom"/>
            <w:tcBorders>
              <w:right w:val="single" w:sz="8" w:color="424E6A"/>
            </w:tcBorders>
            <w:shd w:val="clear" w:color="auto" w:fill="424E6A"/>
          </w:tcPr>
          <w:p>
            <w:pPr>
              <w:spacing w:after="0"/>
              <w:rPr>
                <w:sz w:val="16"/>
                <w:szCs w:val="16"/>
                <w:color w:val="auto"/>
              </w:rPr>
            </w:pPr>
          </w:p>
        </w:tc>
        <w:tc>
          <w:tcPr>
            <w:tcW w:w="80" w:type="dxa"/>
            <w:vAlign w:val="bottom"/>
            <w:shd w:val="clear" w:color="auto" w:fill="424E6A"/>
          </w:tcPr>
          <w:p>
            <w:pPr>
              <w:spacing w:after="0"/>
              <w:rPr>
                <w:sz w:val="16"/>
                <w:szCs w:val="16"/>
                <w:color w:val="auto"/>
              </w:rPr>
            </w:pPr>
          </w:p>
        </w:tc>
        <w:tc>
          <w:tcPr>
            <w:tcW w:w="10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Grant Date</w:t>
            </w:r>
          </w:p>
        </w:tc>
        <w:tc>
          <w:tcPr>
            <w:tcW w:w="100" w:type="dxa"/>
            <w:vAlign w:val="bottom"/>
            <w:tcBorders>
              <w:right w:val="single" w:sz="8" w:color="424E6A"/>
            </w:tcBorders>
            <w:shd w:val="clear" w:color="auto" w:fill="424E6A"/>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60" w:type="dxa"/>
            <w:vAlign w:val="bottom"/>
            <w:tcBorders>
              <w:lef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560" w:type="dxa"/>
            <w:vAlign w:val="bottom"/>
            <w:shd w:val="clear" w:color="auto" w:fill="424E6A"/>
          </w:tcPr>
          <w:p>
            <w:pPr>
              <w:spacing w:after="0"/>
              <w:rPr>
                <w:sz w:val="14"/>
                <w:szCs w:val="14"/>
                <w:color w:val="auto"/>
              </w:rPr>
            </w:pPr>
          </w:p>
        </w:tc>
        <w:tc>
          <w:tcPr>
            <w:tcW w:w="200" w:type="dxa"/>
            <w:vAlign w:val="bottom"/>
            <w:tcBorders>
              <w:right w:val="single" w:sz="8" w:color="424E6A"/>
            </w:tcBorders>
            <w:shd w:val="clear" w:color="auto" w:fill="424E6A"/>
          </w:tcPr>
          <w:p>
            <w:pPr>
              <w:spacing w:after="0"/>
              <w:rPr>
                <w:sz w:val="14"/>
                <w:szCs w:val="14"/>
                <w:color w:val="auto"/>
              </w:rPr>
            </w:pPr>
          </w:p>
        </w:tc>
        <w:tc>
          <w:tcPr>
            <w:tcW w:w="80" w:type="dxa"/>
            <w:vAlign w:val="bottom"/>
            <w:tcBorders>
              <w:lef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2660" w:type="dxa"/>
            <w:vAlign w:val="bottom"/>
            <w:gridSpan w:val="10"/>
            <w:shd w:val="clear" w:color="auto" w:fill="424E6A"/>
          </w:tcPr>
          <w:p>
            <w:pPr>
              <w:ind w:left="100"/>
              <w:spacing w:after="0" w:line="162" w:lineRule="exact"/>
              <w:rPr>
                <w:sz w:val="20"/>
                <w:szCs w:val="20"/>
                <w:color w:val="auto"/>
              </w:rPr>
            </w:pPr>
            <w:r>
              <w:rPr>
                <w:rFonts w:ascii="Arial" w:cs="Arial" w:eastAsia="Arial" w:hAnsi="Arial"/>
                <w:sz w:val="11"/>
                <w:szCs w:val="11"/>
                <w:b w:val="1"/>
                <w:bCs w:val="1"/>
                <w:color w:val="FFFFFF"/>
              </w:rPr>
              <w:t xml:space="preserve">Non-Equity Incentive Plan Awards  </w:t>
            </w:r>
            <w:r>
              <w:rPr>
                <w:rFonts w:ascii="Arial" w:cs="Arial" w:eastAsia="Arial" w:hAnsi="Arial"/>
                <w:sz w:val="18"/>
                <w:szCs w:val="18"/>
                <w:b w:val="1"/>
                <w:bCs w:val="1"/>
                <w:color w:val="FFFFFF"/>
                <w:vertAlign w:val="subscript"/>
              </w:rPr>
              <w:t>​ ​</w:t>
            </w:r>
          </w:p>
        </w:tc>
        <w:tc>
          <w:tcPr>
            <w:tcW w:w="2460" w:type="dxa"/>
            <w:vAlign w:val="bottom"/>
            <w:gridSpan w:val="9"/>
            <w:shd w:val="clear" w:color="auto" w:fill="424E6A"/>
          </w:tcPr>
          <w:p>
            <w:pPr>
              <w:ind w:left="240"/>
              <w:spacing w:after="0" w:line="162" w:lineRule="exact"/>
              <w:rPr>
                <w:sz w:val="20"/>
                <w:szCs w:val="20"/>
                <w:color w:val="auto"/>
              </w:rPr>
            </w:pPr>
            <w:r>
              <w:rPr>
                <w:rFonts w:ascii="Arial" w:cs="Arial" w:eastAsia="Arial" w:hAnsi="Arial"/>
                <w:sz w:val="14"/>
                <w:szCs w:val="14"/>
                <w:b w:val="1"/>
                <w:bCs w:val="1"/>
                <w:color w:val="FFFFFF"/>
              </w:rPr>
              <w:t>Equity Incentive Plan Awards</w:t>
            </w:r>
            <w:r>
              <w:rPr>
                <w:rFonts w:ascii="Arial" w:cs="Arial" w:eastAsia="Arial" w:hAnsi="Arial"/>
                <w:sz w:val="17"/>
                <w:szCs w:val="17"/>
                <w:b w:val="1"/>
                <w:bCs w:val="1"/>
                <w:color w:val="FFFFFF"/>
                <w:vertAlign w:val="superscript"/>
              </w:rPr>
              <w:t>(1)</w:t>
            </w:r>
          </w:p>
        </w:tc>
        <w:tc>
          <w:tcPr>
            <w:tcW w:w="220" w:type="dxa"/>
            <w:vAlign w:val="bottom"/>
            <w:tcBorders>
              <w:right w:val="single" w:sz="8" w:color="424E6A"/>
            </w:tcBorders>
            <w:shd w:val="clear" w:color="auto" w:fill="424E6A"/>
          </w:tcPr>
          <w:p>
            <w:pPr>
              <w:jc w:val="right"/>
              <w:spacing w:after="0"/>
              <w:rPr>
                <w:sz w:val="20"/>
                <w:szCs w:val="20"/>
                <w:color w:val="auto"/>
              </w:rPr>
            </w:pPr>
            <w:r>
              <w:rPr>
                <w:rFonts w:ascii="Arial" w:cs="Arial" w:eastAsia="Arial" w:hAnsi="Arial"/>
                <w:sz w:val="14"/>
                <w:szCs w:val="14"/>
                <w:b w:val="1"/>
                <w:bCs w:val="1"/>
                <w:color w:val="FFFFFF"/>
              </w:rPr>
              <w:t>​</w:t>
            </w:r>
          </w:p>
        </w:tc>
        <w:tc>
          <w:tcPr>
            <w:tcW w:w="80" w:type="dxa"/>
            <w:vAlign w:val="bottom"/>
            <w:shd w:val="clear" w:color="auto" w:fill="424E6A"/>
          </w:tcPr>
          <w:p>
            <w:pPr>
              <w:spacing w:after="0"/>
              <w:rPr>
                <w:sz w:val="14"/>
                <w:szCs w:val="14"/>
                <w:color w:val="auto"/>
              </w:rPr>
            </w:pPr>
          </w:p>
        </w:tc>
        <w:tc>
          <w:tcPr>
            <w:tcW w:w="10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Number of</w:t>
            </w:r>
          </w:p>
        </w:tc>
        <w:tc>
          <w:tcPr>
            <w:tcW w:w="1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w w:val="98"/>
              </w:rPr>
              <w:t>Fair Value</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060" w:type="dxa"/>
            <w:vAlign w:val="bottom"/>
            <w:tcBorders>
              <w:left w:val="single" w:sz="8" w:color="424E6A"/>
            </w:tcBorders>
            <w:shd w:val="clear" w:color="auto" w:fill="424E6A"/>
          </w:tcPr>
          <w:p>
            <w:pPr>
              <w:spacing w:after="0"/>
              <w:rPr>
                <w:sz w:val="5"/>
                <w:szCs w:val="5"/>
                <w:color w:val="auto"/>
              </w:rPr>
            </w:pPr>
          </w:p>
        </w:tc>
        <w:tc>
          <w:tcPr>
            <w:tcW w:w="80" w:type="dxa"/>
            <w:vAlign w:val="bottom"/>
            <w:shd w:val="clear" w:color="auto" w:fill="424E6A"/>
          </w:tcPr>
          <w:p>
            <w:pPr>
              <w:spacing w:after="0"/>
              <w:rPr>
                <w:sz w:val="5"/>
                <w:szCs w:val="5"/>
                <w:color w:val="auto"/>
              </w:rPr>
            </w:pPr>
          </w:p>
        </w:tc>
        <w:tc>
          <w:tcPr>
            <w:tcW w:w="140" w:type="dxa"/>
            <w:vAlign w:val="bottom"/>
            <w:shd w:val="clear" w:color="auto" w:fill="424E6A"/>
          </w:tcPr>
          <w:p>
            <w:pPr>
              <w:spacing w:after="0"/>
              <w:rPr>
                <w:sz w:val="5"/>
                <w:szCs w:val="5"/>
                <w:color w:val="auto"/>
              </w:rPr>
            </w:pPr>
          </w:p>
        </w:tc>
        <w:tc>
          <w:tcPr>
            <w:tcW w:w="560" w:type="dxa"/>
            <w:vAlign w:val="bottom"/>
            <w:shd w:val="clear" w:color="auto" w:fill="424E6A"/>
          </w:tcPr>
          <w:p>
            <w:pPr>
              <w:spacing w:after="0"/>
              <w:rPr>
                <w:sz w:val="5"/>
                <w:szCs w:val="5"/>
                <w:color w:val="auto"/>
              </w:rPr>
            </w:pPr>
          </w:p>
        </w:tc>
        <w:tc>
          <w:tcPr>
            <w:tcW w:w="200" w:type="dxa"/>
            <w:vAlign w:val="bottom"/>
            <w:tcBorders>
              <w:right w:val="single" w:sz="8" w:color="424E6A"/>
            </w:tcBorders>
            <w:shd w:val="clear" w:color="auto" w:fill="424E6A"/>
          </w:tcPr>
          <w:p>
            <w:pPr>
              <w:spacing w:after="0"/>
              <w:rPr>
                <w:sz w:val="5"/>
                <w:szCs w:val="5"/>
                <w:color w:val="auto"/>
              </w:rPr>
            </w:pPr>
          </w:p>
        </w:tc>
        <w:tc>
          <w:tcPr>
            <w:tcW w:w="80" w:type="dxa"/>
            <w:vAlign w:val="bottom"/>
            <w:tcBorders>
              <w:left w:val="single" w:sz="8" w:color="424E6A"/>
            </w:tcBorders>
            <w:shd w:val="clear" w:color="auto" w:fill="424E6A"/>
          </w:tcPr>
          <w:p>
            <w:pPr>
              <w:spacing w:after="0"/>
              <w:rPr>
                <w:sz w:val="5"/>
                <w:szCs w:val="5"/>
                <w:color w:val="auto"/>
              </w:rPr>
            </w:pPr>
          </w:p>
        </w:tc>
        <w:tc>
          <w:tcPr>
            <w:tcW w:w="700" w:type="dxa"/>
            <w:vAlign w:val="bottom"/>
            <w:shd w:val="clear" w:color="auto" w:fill="424E6A"/>
          </w:tcPr>
          <w:p>
            <w:pPr>
              <w:spacing w:after="0"/>
              <w:rPr>
                <w:sz w:val="5"/>
                <w:szCs w:val="5"/>
                <w:color w:val="auto"/>
              </w:rPr>
            </w:pPr>
          </w:p>
        </w:tc>
        <w:tc>
          <w:tcPr>
            <w:tcW w:w="40" w:type="dxa"/>
            <w:vAlign w:val="bottom"/>
            <w:shd w:val="clear" w:color="auto" w:fill="424E6A"/>
          </w:tcPr>
          <w:p>
            <w:pPr>
              <w:spacing w:after="0"/>
              <w:rPr>
                <w:sz w:val="5"/>
                <w:szCs w:val="5"/>
                <w:color w:val="auto"/>
              </w:rPr>
            </w:pPr>
          </w:p>
        </w:tc>
        <w:tc>
          <w:tcPr>
            <w:tcW w:w="100" w:type="dxa"/>
            <w:vAlign w:val="bottom"/>
            <w:tcBorders>
              <w:right w:val="single" w:sz="8" w:color="424E6A"/>
            </w:tcBorders>
            <w:shd w:val="clear" w:color="auto" w:fill="424E6A"/>
          </w:tcPr>
          <w:p>
            <w:pPr>
              <w:spacing w:after="0"/>
              <w:rPr>
                <w:sz w:val="5"/>
                <w:szCs w:val="5"/>
                <w:color w:val="auto"/>
              </w:rPr>
            </w:pPr>
          </w:p>
        </w:tc>
        <w:tc>
          <w:tcPr>
            <w:tcW w:w="180" w:type="dxa"/>
            <w:vAlign w:val="bottom"/>
            <w:shd w:val="clear" w:color="auto" w:fill="424E6A"/>
          </w:tcPr>
          <w:p>
            <w:pPr>
              <w:spacing w:after="0"/>
              <w:rPr>
                <w:sz w:val="5"/>
                <w:szCs w:val="5"/>
                <w:color w:val="auto"/>
              </w:rPr>
            </w:pPr>
          </w:p>
        </w:tc>
        <w:tc>
          <w:tcPr>
            <w:tcW w:w="380" w:type="dxa"/>
            <w:vAlign w:val="bottom"/>
            <w:shd w:val="clear" w:color="auto" w:fill="424E6A"/>
          </w:tcPr>
          <w:p>
            <w:pPr>
              <w:spacing w:after="0"/>
              <w:rPr>
                <w:sz w:val="5"/>
                <w:szCs w:val="5"/>
                <w:color w:val="auto"/>
              </w:rPr>
            </w:pPr>
          </w:p>
        </w:tc>
        <w:tc>
          <w:tcPr>
            <w:tcW w:w="320" w:type="dxa"/>
            <w:vAlign w:val="bottom"/>
            <w:tcBorders>
              <w:right w:val="single" w:sz="8" w:color="424E6A"/>
            </w:tcBorders>
            <w:shd w:val="clear" w:color="auto" w:fill="424E6A"/>
          </w:tcPr>
          <w:p>
            <w:pPr>
              <w:spacing w:after="0"/>
              <w:rPr>
                <w:sz w:val="5"/>
                <w:szCs w:val="5"/>
                <w:color w:val="auto"/>
              </w:rPr>
            </w:pPr>
          </w:p>
        </w:tc>
        <w:tc>
          <w:tcPr>
            <w:tcW w:w="240" w:type="dxa"/>
            <w:vAlign w:val="bottom"/>
            <w:shd w:val="clear" w:color="auto" w:fill="424E6A"/>
          </w:tcPr>
          <w:p>
            <w:pPr>
              <w:spacing w:after="0"/>
              <w:rPr>
                <w:sz w:val="5"/>
                <w:szCs w:val="5"/>
                <w:color w:val="auto"/>
              </w:rPr>
            </w:pPr>
          </w:p>
        </w:tc>
        <w:tc>
          <w:tcPr>
            <w:tcW w:w="320" w:type="dxa"/>
            <w:vAlign w:val="bottom"/>
            <w:shd w:val="clear" w:color="auto" w:fill="424E6A"/>
          </w:tcPr>
          <w:p>
            <w:pPr>
              <w:spacing w:after="0"/>
              <w:rPr>
                <w:sz w:val="5"/>
                <w:szCs w:val="5"/>
                <w:color w:val="auto"/>
              </w:rPr>
            </w:pPr>
          </w:p>
        </w:tc>
        <w:tc>
          <w:tcPr>
            <w:tcW w:w="300" w:type="dxa"/>
            <w:vAlign w:val="bottom"/>
            <w:tcBorders>
              <w:right w:val="single" w:sz="8" w:color="424E6A"/>
            </w:tcBorders>
            <w:shd w:val="clear" w:color="auto" w:fill="424E6A"/>
          </w:tcPr>
          <w:p>
            <w:pPr>
              <w:spacing w:after="0"/>
              <w:rPr>
                <w:sz w:val="5"/>
                <w:szCs w:val="5"/>
                <w:color w:val="auto"/>
              </w:rPr>
            </w:pPr>
          </w:p>
        </w:tc>
        <w:tc>
          <w:tcPr>
            <w:tcW w:w="80" w:type="dxa"/>
            <w:vAlign w:val="bottom"/>
            <w:shd w:val="clear" w:color="auto" w:fill="424E6A"/>
          </w:tcPr>
          <w:p>
            <w:pPr>
              <w:spacing w:after="0"/>
              <w:rPr>
                <w:sz w:val="5"/>
                <w:szCs w:val="5"/>
                <w:color w:val="auto"/>
              </w:rPr>
            </w:pPr>
          </w:p>
        </w:tc>
        <w:tc>
          <w:tcPr>
            <w:tcW w:w="720" w:type="dxa"/>
            <w:vAlign w:val="bottom"/>
            <w:shd w:val="clear" w:color="auto" w:fill="424E6A"/>
          </w:tcPr>
          <w:p>
            <w:pPr>
              <w:spacing w:after="0"/>
              <w:rPr>
                <w:sz w:val="5"/>
                <w:szCs w:val="5"/>
                <w:color w:val="auto"/>
              </w:rPr>
            </w:pPr>
          </w:p>
        </w:tc>
        <w:tc>
          <w:tcPr>
            <w:tcW w:w="140" w:type="dxa"/>
            <w:vAlign w:val="bottom"/>
            <w:tcBorders>
              <w:right w:val="single" w:sz="8" w:color="424E6A"/>
            </w:tcBorders>
            <w:shd w:val="clear" w:color="auto" w:fill="424E6A"/>
          </w:tcPr>
          <w:p>
            <w:pPr>
              <w:spacing w:after="0"/>
              <w:rPr>
                <w:sz w:val="5"/>
                <w:szCs w:val="5"/>
                <w:color w:val="auto"/>
              </w:rPr>
            </w:pPr>
          </w:p>
        </w:tc>
        <w:tc>
          <w:tcPr>
            <w:tcW w:w="120" w:type="dxa"/>
            <w:vAlign w:val="bottom"/>
            <w:shd w:val="clear" w:color="auto" w:fill="424E6A"/>
          </w:tcPr>
          <w:p>
            <w:pPr>
              <w:spacing w:after="0"/>
              <w:rPr>
                <w:sz w:val="5"/>
                <w:szCs w:val="5"/>
                <w:color w:val="auto"/>
              </w:rPr>
            </w:pPr>
          </w:p>
        </w:tc>
        <w:tc>
          <w:tcPr>
            <w:tcW w:w="400" w:type="dxa"/>
            <w:vAlign w:val="bottom"/>
            <w:shd w:val="clear" w:color="auto" w:fill="424E6A"/>
          </w:tcPr>
          <w:p>
            <w:pPr>
              <w:spacing w:after="0"/>
              <w:rPr>
                <w:sz w:val="5"/>
                <w:szCs w:val="5"/>
                <w:color w:val="auto"/>
              </w:rPr>
            </w:pPr>
          </w:p>
        </w:tc>
        <w:tc>
          <w:tcPr>
            <w:tcW w:w="160" w:type="dxa"/>
            <w:vAlign w:val="bottom"/>
            <w:shd w:val="clear" w:color="auto" w:fill="424E6A"/>
          </w:tcPr>
          <w:p>
            <w:pPr>
              <w:spacing w:after="0"/>
              <w:rPr>
                <w:sz w:val="5"/>
                <w:szCs w:val="5"/>
                <w:color w:val="auto"/>
              </w:rPr>
            </w:pPr>
          </w:p>
        </w:tc>
        <w:tc>
          <w:tcPr>
            <w:tcW w:w="180" w:type="dxa"/>
            <w:vAlign w:val="bottom"/>
            <w:tcBorders>
              <w:right w:val="single" w:sz="8" w:color="424E6A"/>
            </w:tcBorders>
            <w:shd w:val="clear" w:color="auto" w:fill="424E6A"/>
          </w:tcPr>
          <w:p>
            <w:pPr>
              <w:spacing w:after="0"/>
              <w:rPr>
                <w:sz w:val="5"/>
                <w:szCs w:val="5"/>
                <w:color w:val="auto"/>
              </w:rPr>
            </w:pPr>
          </w:p>
        </w:tc>
        <w:tc>
          <w:tcPr>
            <w:tcW w:w="100" w:type="dxa"/>
            <w:vAlign w:val="bottom"/>
            <w:shd w:val="clear" w:color="auto" w:fill="424E6A"/>
          </w:tcPr>
          <w:p>
            <w:pPr>
              <w:spacing w:after="0"/>
              <w:rPr>
                <w:sz w:val="5"/>
                <w:szCs w:val="5"/>
                <w:color w:val="auto"/>
              </w:rPr>
            </w:pPr>
          </w:p>
        </w:tc>
        <w:tc>
          <w:tcPr>
            <w:tcW w:w="220" w:type="dxa"/>
            <w:vAlign w:val="bottom"/>
            <w:shd w:val="clear" w:color="auto" w:fill="424E6A"/>
          </w:tcPr>
          <w:p>
            <w:pPr>
              <w:spacing w:after="0"/>
              <w:rPr>
                <w:sz w:val="5"/>
                <w:szCs w:val="5"/>
                <w:color w:val="auto"/>
              </w:rPr>
            </w:pPr>
          </w:p>
        </w:tc>
        <w:tc>
          <w:tcPr>
            <w:tcW w:w="420" w:type="dxa"/>
            <w:vAlign w:val="bottom"/>
            <w:shd w:val="clear" w:color="auto" w:fill="424E6A"/>
          </w:tcPr>
          <w:p>
            <w:pPr>
              <w:spacing w:after="0"/>
              <w:rPr>
                <w:sz w:val="5"/>
                <w:szCs w:val="5"/>
                <w:color w:val="auto"/>
              </w:rPr>
            </w:pPr>
          </w:p>
        </w:tc>
        <w:tc>
          <w:tcPr>
            <w:tcW w:w="220" w:type="dxa"/>
            <w:vAlign w:val="bottom"/>
            <w:tcBorders>
              <w:right w:val="single" w:sz="8" w:color="424E6A"/>
            </w:tcBorders>
            <w:shd w:val="clear" w:color="auto" w:fill="424E6A"/>
          </w:tcPr>
          <w:p>
            <w:pPr>
              <w:spacing w:after="0"/>
              <w:rPr>
                <w:sz w:val="5"/>
                <w:szCs w:val="5"/>
                <w:color w:val="auto"/>
              </w:rPr>
            </w:pPr>
          </w:p>
        </w:tc>
        <w:tc>
          <w:tcPr>
            <w:tcW w:w="80" w:type="dxa"/>
            <w:vAlign w:val="bottom"/>
            <w:shd w:val="clear" w:color="auto" w:fill="424E6A"/>
          </w:tcPr>
          <w:p>
            <w:pPr>
              <w:spacing w:after="0"/>
              <w:rPr>
                <w:sz w:val="5"/>
                <w:szCs w:val="5"/>
                <w:color w:val="auto"/>
              </w:rPr>
            </w:pPr>
          </w:p>
        </w:tc>
        <w:tc>
          <w:tcPr>
            <w:tcW w:w="1020" w:type="dxa"/>
            <w:vAlign w:val="bottom"/>
            <w:gridSpan w:val="2"/>
            <w:vMerge w:val="restart"/>
            <w:shd w:val="clear" w:color="auto" w:fill="424E6A"/>
          </w:tcPr>
          <w:p>
            <w:pPr>
              <w:jc w:val="right"/>
              <w:ind w:right="128"/>
              <w:spacing w:after="0" w:line="139" w:lineRule="exact"/>
              <w:rPr>
                <w:sz w:val="20"/>
                <w:szCs w:val="20"/>
                <w:color w:val="auto"/>
              </w:rPr>
            </w:pPr>
            <w:r>
              <w:rPr>
                <w:rFonts w:ascii="Arial" w:cs="Arial" w:eastAsia="Arial" w:hAnsi="Arial"/>
                <w:sz w:val="14"/>
                <w:szCs w:val="14"/>
                <w:b w:val="1"/>
                <w:bCs w:val="1"/>
                <w:color w:val="FFFFFF"/>
              </w:rPr>
              <w:t>Shares of</w:t>
            </w:r>
          </w:p>
        </w:tc>
        <w:tc>
          <w:tcPr>
            <w:tcW w:w="120" w:type="dxa"/>
            <w:vAlign w:val="bottom"/>
            <w:tcBorders>
              <w:right w:val="single" w:sz="8" w:color="424E6A"/>
            </w:tcBorders>
            <w:shd w:val="clear" w:color="auto" w:fill="424E6A"/>
          </w:tcPr>
          <w:p>
            <w:pPr>
              <w:spacing w:after="0"/>
              <w:rPr>
                <w:sz w:val="5"/>
                <w:szCs w:val="5"/>
                <w:color w:val="auto"/>
              </w:rPr>
            </w:pPr>
          </w:p>
        </w:tc>
        <w:tc>
          <w:tcPr>
            <w:tcW w:w="80" w:type="dxa"/>
            <w:vAlign w:val="bottom"/>
            <w:shd w:val="clear" w:color="auto" w:fill="424E6A"/>
          </w:tcPr>
          <w:p>
            <w:pPr>
              <w:spacing w:after="0"/>
              <w:rPr>
                <w:sz w:val="5"/>
                <w:szCs w:val="5"/>
                <w:color w:val="auto"/>
              </w:rPr>
            </w:pPr>
          </w:p>
        </w:tc>
        <w:tc>
          <w:tcPr>
            <w:tcW w:w="1040" w:type="dxa"/>
            <w:vAlign w:val="bottom"/>
            <w:gridSpan w:val="2"/>
            <w:vMerge w:val="restart"/>
            <w:shd w:val="clear" w:color="auto" w:fill="424E6A"/>
          </w:tcPr>
          <w:p>
            <w:pPr>
              <w:jc w:val="center"/>
              <w:spacing w:after="0" w:line="139" w:lineRule="exact"/>
              <w:rPr>
                <w:sz w:val="20"/>
                <w:szCs w:val="20"/>
                <w:color w:val="auto"/>
              </w:rPr>
            </w:pPr>
            <w:r>
              <w:rPr>
                <w:rFonts w:ascii="Arial" w:cs="Arial" w:eastAsia="Arial" w:hAnsi="Arial"/>
                <w:sz w:val="14"/>
                <w:szCs w:val="14"/>
                <w:b w:val="1"/>
                <w:bCs w:val="1"/>
                <w:color w:val="FFFFFF"/>
              </w:rPr>
              <w:t>Of Stock and</w:t>
            </w:r>
          </w:p>
        </w:tc>
        <w:tc>
          <w:tcPr>
            <w:tcW w:w="100" w:type="dxa"/>
            <w:vAlign w:val="bottom"/>
            <w:tcBorders>
              <w:right w:val="single" w:sz="8" w:color="424E6A"/>
            </w:tcBorders>
            <w:shd w:val="clear" w:color="auto" w:fill="424E6A"/>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1060" w:type="dxa"/>
            <w:vAlign w:val="bottom"/>
            <w:tcBorders>
              <w:left w:val="single" w:sz="8" w:color="424E6A"/>
            </w:tcBorders>
            <w:shd w:val="clear" w:color="auto" w:fill="424E6A"/>
          </w:tcPr>
          <w:p>
            <w:pPr>
              <w:spacing w:after="0"/>
              <w:rPr>
                <w:sz w:val="6"/>
                <w:szCs w:val="6"/>
                <w:color w:val="auto"/>
              </w:rPr>
            </w:pPr>
          </w:p>
        </w:tc>
        <w:tc>
          <w:tcPr>
            <w:tcW w:w="80" w:type="dxa"/>
            <w:vAlign w:val="bottom"/>
            <w:shd w:val="clear" w:color="auto" w:fill="424E6A"/>
          </w:tcPr>
          <w:p>
            <w:pPr>
              <w:spacing w:after="0"/>
              <w:rPr>
                <w:sz w:val="6"/>
                <w:szCs w:val="6"/>
                <w:color w:val="auto"/>
              </w:rPr>
            </w:pPr>
          </w:p>
        </w:tc>
        <w:tc>
          <w:tcPr>
            <w:tcW w:w="140" w:type="dxa"/>
            <w:vAlign w:val="bottom"/>
            <w:shd w:val="clear" w:color="auto" w:fill="424E6A"/>
          </w:tcPr>
          <w:p>
            <w:pPr>
              <w:spacing w:after="0"/>
              <w:rPr>
                <w:sz w:val="6"/>
                <w:szCs w:val="6"/>
                <w:color w:val="auto"/>
              </w:rPr>
            </w:pPr>
          </w:p>
        </w:tc>
        <w:tc>
          <w:tcPr>
            <w:tcW w:w="560" w:type="dxa"/>
            <w:vAlign w:val="bottom"/>
            <w:shd w:val="clear" w:color="auto" w:fill="424E6A"/>
          </w:tcPr>
          <w:p>
            <w:pPr>
              <w:spacing w:after="0"/>
              <w:rPr>
                <w:sz w:val="6"/>
                <w:szCs w:val="6"/>
                <w:color w:val="auto"/>
              </w:rPr>
            </w:pPr>
          </w:p>
        </w:tc>
        <w:tc>
          <w:tcPr>
            <w:tcW w:w="200" w:type="dxa"/>
            <w:vAlign w:val="bottom"/>
            <w:tcBorders>
              <w:right w:val="single" w:sz="8" w:color="424E6A"/>
            </w:tcBorders>
            <w:shd w:val="clear" w:color="auto" w:fill="424E6A"/>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shd w:val="clear" w:color="auto" w:fill="424E6A"/>
          </w:tcPr>
          <w:p>
            <w:pPr>
              <w:spacing w:after="0"/>
              <w:rPr>
                <w:sz w:val="6"/>
                <w:szCs w:val="6"/>
                <w:color w:val="auto"/>
              </w:rPr>
            </w:pPr>
          </w:p>
        </w:tc>
        <w:tc>
          <w:tcPr>
            <w:tcW w:w="1020" w:type="dxa"/>
            <w:vAlign w:val="bottom"/>
            <w:gridSpan w:val="2"/>
            <w:vMerge w:val="continue"/>
            <w:shd w:val="clear" w:color="auto" w:fill="424E6A"/>
          </w:tcPr>
          <w:p>
            <w:pPr>
              <w:spacing w:after="0"/>
              <w:rPr>
                <w:sz w:val="6"/>
                <w:szCs w:val="6"/>
                <w:color w:val="auto"/>
              </w:rPr>
            </w:pPr>
          </w:p>
        </w:tc>
        <w:tc>
          <w:tcPr>
            <w:tcW w:w="120" w:type="dxa"/>
            <w:vAlign w:val="bottom"/>
            <w:tcBorders>
              <w:right w:val="single" w:sz="8" w:color="424E6A"/>
            </w:tcBorders>
            <w:shd w:val="clear" w:color="auto" w:fill="424E6A"/>
          </w:tcPr>
          <w:p>
            <w:pPr>
              <w:spacing w:after="0"/>
              <w:rPr>
                <w:sz w:val="6"/>
                <w:szCs w:val="6"/>
                <w:color w:val="auto"/>
              </w:rPr>
            </w:pPr>
          </w:p>
        </w:tc>
        <w:tc>
          <w:tcPr>
            <w:tcW w:w="80" w:type="dxa"/>
            <w:vAlign w:val="bottom"/>
            <w:shd w:val="clear" w:color="auto" w:fill="424E6A"/>
          </w:tcPr>
          <w:p>
            <w:pPr>
              <w:spacing w:after="0"/>
              <w:rPr>
                <w:sz w:val="6"/>
                <w:szCs w:val="6"/>
                <w:color w:val="auto"/>
              </w:rPr>
            </w:pPr>
          </w:p>
        </w:tc>
        <w:tc>
          <w:tcPr>
            <w:tcW w:w="1040" w:type="dxa"/>
            <w:vAlign w:val="bottom"/>
            <w:gridSpan w:val="2"/>
            <w:vMerge w:val="continue"/>
            <w:shd w:val="clear" w:color="auto" w:fill="424E6A"/>
          </w:tcPr>
          <w:p>
            <w:pPr>
              <w:spacing w:after="0"/>
              <w:rPr>
                <w:sz w:val="6"/>
                <w:szCs w:val="6"/>
                <w:color w:val="auto"/>
              </w:rPr>
            </w:pPr>
          </w:p>
        </w:tc>
        <w:tc>
          <w:tcPr>
            <w:tcW w:w="100" w:type="dxa"/>
            <w:vAlign w:val="bottom"/>
            <w:tcBorders>
              <w:right w:val="single" w:sz="8" w:color="424E6A"/>
            </w:tcBorders>
            <w:shd w:val="clear" w:color="auto" w:fill="424E6A"/>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060" w:type="dxa"/>
            <w:vAlign w:val="bottom"/>
            <w:tcBorders>
              <w:lef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560" w:type="dxa"/>
            <w:vAlign w:val="bottom"/>
            <w:shd w:val="clear" w:color="auto" w:fill="424E6A"/>
          </w:tcPr>
          <w:p>
            <w:pPr>
              <w:spacing w:after="0"/>
              <w:rPr>
                <w:sz w:val="14"/>
                <w:szCs w:val="14"/>
                <w:color w:val="auto"/>
              </w:rPr>
            </w:pPr>
          </w:p>
        </w:tc>
        <w:tc>
          <w:tcPr>
            <w:tcW w:w="200" w:type="dxa"/>
            <w:vAlign w:val="bottom"/>
            <w:tcBorders>
              <w:right w:val="single" w:sz="8" w:color="424E6A"/>
            </w:tcBorders>
            <w:shd w:val="clear" w:color="auto" w:fill="424E6A"/>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FFFFFF"/>
              </w:rPr>
              <w:t>Threshold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191"/>
              <w:spacing w:after="0"/>
              <w:rPr>
                <w:sz w:val="20"/>
                <w:szCs w:val="20"/>
                <w:color w:val="auto"/>
              </w:rPr>
            </w:pPr>
            <w:r>
              <w:rPr>
                <w:rFonts w:ascii="Arial" w:cs="Arial" w:eastAsia="Arial" w:hAnsi="Arial"/>
                <w:sz w:val="14"/>
                <w:szCs w:val="14"/>
                <w:b w:val="1"/>
                <w:bCs w:val="1"/>
                <w:color w:val="FFFFFF"/>
                <w:w w:val="98"/>
              </w:rPr>
              <w:t>Target</w:t>
            </w:r>
          </w:p>
        </w:tc>
        <w:tc>
          <w:tcPr>
            <w:tcW w:w="940" w:type="dxa"/>
            <w:vAlign w:val="bottom"/>
            <w:gridSpan w:val="4"/>
          </w:tcPr>
          <w:p>
            <w:pPr>
              <w:ind w:left="80"/>
              <w:spacing w:after="0"/>
              <w:rPr>
                <w:sz w:val="20"/>
                <w:szCs w:val="20"/>
                <w:color w:val="auto"/>
              </w:rPr>
            </w:pPr>
            <w:r>
              <w:rPr>
                <w:rFonts w:ascii="Arial" w:cs="Arial" w:eastAsia="Arial" w:hAnsi="Arial"/>
                <w:sz w:val="14"/>
                <w:szCs w:val="14"/>
                <w:b w:val="1"/>
                <w:bCs w:val="1"/>
                <w:color w:val="FFFFFF"/>
              </w:rPr>
              <w:t>Maximum</w:t>
            </w:r>
          </w:p>
        </w:tc>
        <w:tc>
          <w:tcPr>
            <w:tcW w:w="720" w:type="dxa"/>
            <w:vAlign w:val="bottom"/>
          </w:tcPr>
          <w:p>
            <w:pPr>
              <w:ind w:left="20"/>
              <w:spacing w:after="0"/>
              <w:rPr>
                <w:sz w:val="20"/>
                <w:szCs w:val="20"/>
                <w:color w:val="auto"/>
              </w:rPr>
            </w:pPr>
            <w:r>
              <w:rPr>
                <w:rFonts w:ascii="Arial" w:cs="Arial" w:eastAsia="Arial" w:hAnsi="Arial"/>
                <w:sz w:val="14"/>
                <w:szCs w:val="14"/>
                <w:b w:val="1"/>
                <w:bCs w:val="1"/>
                <w:color w:val="FFFFFF"/>
              </w:rPr>
              <w:t>Threshold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Arial" w:cs="Arial" w:eastAsia="Arial" w:hAnsi="Arial"/>
                <w:sz w:val="14"/>
                <w:szCs w:val="14"/>
                <w:b w:val="1"/>
                <w:bCs w:val="1"/>
                <w:color w:val="FFFFFF"/>
              </w:rPr>
              <w:t>Target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88"/>
              <w:spacing w:after="0"/>
              <w:rPr>
                <w:sz w:val="20"/>
                <w:szCs w:val="20"/>
                <w:color w:val="auto"/>
              </w:rPr>
            </w:pPr>
            <w:r>
              <w:rPr>
                <w:rFonts w:ascii="Arial" w:cs="Arial" w:eastAsia="Arial" w:hAnsi="Arial"/>
                <w:sz w:val="14"/>
                <w:szCs w:val="14"/>
                <w:b w:val="1"/>
                <w:bCs w:val="1"/>
                <w:color w:val="FFFFFF"/>
              </w:rPr>
              <w:t>Maximum</w:t>
            </w:r>
          </w:p>
        </w:tc>
        <w:tc>
          <w:tcPr>
            <w:tcW w:w="80" w:type="dxa"/>
            <w:vAlign w:val="bottom"/>
            <w:shd w:val="clear" w:color="auto" w:fill="424E6A"/>
          </w:tcPr>
          <w:p>
            <w:pPr>
              <w:spacing w:after="0"/>
              <w:rPr>
                <w:sz w:val="14"/>
                <w:szCs w:val="14"/>
                <w:color w:val="auto"/>
              </w:rPr>
            </w:pPr>
          </w:p>
        </w:tc>
        <w:tc>
          <w:tcPr>
            <w:tcW w:w="10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Stock or Units</w:t>
            </w:r>
          </w:p>
        </w:tc>
        <w:tc>
          <w:tcPr>
            <w:tcW w:w="1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Option Awards</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060" w:type="dxa"/>
            <w:vAlign w:val="bottom"/>
            <w:tcBorders>
              <w:left w:val="single" w:sz="8" w:color="424E6A"/>
            </w:tcBorders>
            <w:shd w:val="clear" w:color="auto" w:fill="424E6A"/>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Name</w:t>
            </w:r>
          </w:p>
        </w:tc>
        <w:tc>
          <w:tcPr>
            <w:tcW w:w="980" w:type="dxa"/>
            <w:vAlign w:val="bottom"/>
            <w:tcBorders>
              <w:right w:val="single" w:sz="8" w:color="424E6A"/>
            </w:tcBorders>
            <w:gridSpan w:val="4"/>
            <w:shd w:val="clear" w:color="auto" w:fill="424E6A"/>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Grant Date </w:t>
            </w:r>
            <w:r>
              <w:rPr>
                <w:rFonts w:ascii="Arial" w:cs="Arial" w:eastAsia="Arial" w:hAnsi="Arial"/>
                <w:sz w:val="22"/>
                <w:szCs w:val="22"/>
                <w:b w:val="1"/>
                <w:bCs w:val="1"/>
                <w:color w:val="FFFFFF"/>
                <w:vertAlign w:val="subscript"/>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FFFFFF"/>
              </w:rPr>
              <w:t>​</w:t>
            </w:r>
          </w:p>
        </w:tc>
        <w:tc>
          <w:tcPr>
            <w:tcW w:w="700" w:type="dxa"/>
            <w:vAlign w:val="bottom"/>
          </w:tcPr>
          <w:p>
            <w:pPr>
              <w:ind w:left="280"/>
              <w:spacing w:after="0"/>
              <w:rPr>
                <w:sz w:val="20"/>
                <w:szCs w:val="20"/>
                <w:color w:val="auto"/>
              </w:rPr>
            </w:pPr>
            <w:r>
              <w:rPr>
                <w:rFonts w:ascii="Arial" w:cs="Arial" w:eastAsia="Arial" w:hAnsi="Arial"/>
                <w:sz w:val="14"/>
                <w:szCs w:val="14"/>
                <w:b w:val="1"/>
                <w:bCs w:val="1"/>
                <w:color w:val="FFFFFF"/>
              </w:rPr>
              <w:t>($)</w:t>
            </w:r>
          </w:p>
        </w:tc>
        <w:tc>
          <w:tcPr>
            <w:tcW w:w="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180" w:type="dxa"/>
            <w:vAlign w:val="bottom"/>
          </w:tcPr>
          <w:p>
            <w:pPr>
              <w:ind w:left="60"/>
              <w:spacing w:after="0"/>
              <w:rPr>
                <w:sz w:val="20"/>
                <w:szCs w:val="20"/>
                <w:color w:val="auto"/>
              </w:rPr>
            </w:pPr>
            <w:r>
              <w:rPr>
                <w:rFonts w:ascii="Arial" w:cs="Arial" w:eastAsia="Arial" w:hAnsi="Arial"/>
                <w:sz w:val="14"/>
                <w:szCs w:val="14"/>
                <w:b w:val="1"/>
                <w:bCs w:val="1"/>
                <w:color w:val="FFFFFF"/>
              </w:rPr>
              <w: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240" w:type="dxa"/>
            <w:vAlign w:val="bottom"/>
          </w:tcPr>
          <w:p>
            <w:pPr>
              <w:ind w:left="40"/>
              <w:spacing w:after="0"/>
              <w:rPr>
                <w:sz w:val="20"/>
                <w:szCs w:val="20"/>
                <w:color w:val="auto"/>
              </w:rPr>
            </w:pPr>
            <w:r>
              <w:rPr>
                <w:rFonts w:ascii="Arial" w:cs="Arial" w:eastAsia="Arial" w:hAnsi="Arial"/>
                <w:sz w:val="14"/>
                <w:szCs w:val="14"/>
                <w:b w:val="1"/>
                <w:bCs w:val="1"/>
                <w:color w:val="FFFFFF"/>
              </w:rPr>
              <w: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FFFFFF"/>
              </w:rPr>
              <w:t>​ ​</w:t>
            </w:r>
          </w:p>
        </w:tc>
        <w:tc>
          <w:tcPr>
            <w:tcW w:w="720" w:type="dxa"/>
            <w:vAlign w:val="bottom"/>
          </w:tcPr>
          <w:p>
            <w:pPr>
              <w:ind w:left="300"/>
              <w:spacing w:after="0"/>
              <w:rPr>
                <w:sz w:val="20"/>
                <w:szCs w:val="20"/>
                <w:color w:val="auto"/>
              </w:rPr>
            </w:pPr>
            <w:r>
              <w:rPr>
                <w:rFonts w:ascii="Arial" w:cs="Arial" w:eastAsia="Arial" w:hAnsi="Arial"/>
                <w:sz w:val="14"/>
                <w:szCs w:val="14"/>
                <w:b w:val="1"/>
                <w:bCs w:val="1"/>
                <w:color w:val="FFFFFF"/>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120" w:type="dxa"/>
            <w:vAlign w:val="bottom"/>
          </w:tcPr>
          <w:p>
            <w:pPr>
              <w:ind w:left="40"/>
              <w:spacing w:after="0"/>
              <w:rPr>
                <w:sz w:val="20"/>
                <w:szCs w:val="20"/>
                <w:color w:val="auto"/>
              </w:rPr>
            </w:pPr>
            <w:r>
              <w:rPr>
                <w:rFonts w:ascii="Arial" w:cs="Arial" w:eastAsia="Arial" w:hAnsi="Arial"/>
                <w:sz w:val="14"/>
                <w:szCs w:val="14"/>
                <w:b w:val="1"/>
                <w:bCs w:val="1"/>
                <w:color w:val="FFFFFF"/>
              </w:rPr>
              <w:t>​</w:t>
            </w:r>
          </w:p>
        </w:tc>
        <w:tc>
          <w:tcPr>
            <w:tcW w:w="400" w:type="dxa"/>
            <w:vAlign w:val="bottom"/>
          </w:tcPr>
          <w:p>
            <w:pPr>
              <w:jc w:val="center"/>
              <w:ind w:left="151"/>
              <w:spacing w:after="0"/>
              <w:rPr>
                <w:sz w:val="20"/>
                <w:szCs w:val="20"/>
                <w:color w:val="auto"/>
              </w:rPr>
            </w:pPr>
            <w:r>
              <w:rPr>
                <w:rFonts w:ascii="Arial" w:cs="Arial" w:eastAsia="Arial" w:hAnsi="Arial"/>
                <w:sz w:val="14"/>
                <w:szCs w:val="14"/>
                <w:b w:val="1"/>
                <w:bCs w:val="1"/>
                <w:color w:val="FFFFFF"/>
              </w:rPr>
              <w:t>(#)</w:t>
            </w:r>
          </w:p>
        </w:tc>
        <w:tc>
          <w:tcPr>
            <w:tcW w:w="1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tcPr>
          <w:p>
            <w:pPr>
              <w:ind w:left="40"/>
              <w:spacing w:after="0"/>
              <w:rPr>
                <w:sz w:val="20"/>
                <w:szCs w:val="20"/>
                <w:color w:val="auto"/>
              </w:rPr>
            </w:pPr>
            <w:r>
              <w:rPr>
                <w:rFonts w:ascii="Arial" w:cs="Arial" w:eastAsia="Arial" w:hAnsi="Arial"/>
                <w:sz w:val="14"/>
                <w:szCs w:val="14"/>
                <w:b w:val="1"/>
                <w:bCs w:val="1"/>
                <w:color w:val="FFFFFF"/>
              </w:rPr>
              <w:t>​</w:t>
            </w:r>
          </w:p>
        </w:tc>
        <w:tc>
          <w:tcPr>
            <w:tcW w:w="220" w:type="dxa"/>
            <w:vAlign w:val="bottom"/>
          </w:tcPr>
          <w:p>
            <w:pPr>
              <w:spacing w:after="0"/>
              <w:rPr>
                <w:sz w:val="17"/>
                <w:szCs w:val="17"/>
                <w:color w:val="auto"/>
              </w:rPr>
            </w:pPr>
          </w:p>
        </w:tc>
        <w:tc>
          <w:tcPr>
            <w:tcW w:w="420" w:type="dxa"/>
            <w:vAlign w:val="bottom"/>
          </w:tcPr>
          <w:p>
            <w:pPr>
              <w:ind w:left="80"/>
              <w:spacing w:after="0"/>
              <w:rPr>
                <w:sz w:val="20"/>
                <w:szCs w:val="20"/>
                <w:color w:val="auto"/>
              </w:rPr>
            </w:pPr>
            <w:r>
              <w:rPr>
                <w:rFonts w:ascii="Arial" w:cs="Arial" w:eastAsia="Arial" w:hAnsi="Arial"/>
                <w:sz w:val="14"/>
                <w:szCs w:val="14"/>
                <w:b w:val="1"/>
                <w:bCs w:val="1"/>
                <w:color w:val="FFFFFF"/>
              </w:rPr>
              <w:t>(#)</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80" w:type="dxa"/>
            <w:vAlign w:val="bottom"/>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360" w:type="dxa"/>
            <w:vAlign w:val="bottom"/>
            <w:shd w:val="clear" w:color="auto" w:fill="424E6A"/>
          </w:tcPr>
          <w:p>
            <w:pPr>
              <w:spacing w:after="0"/>
              <w:rPr>
                <w:sz w:val="17"/>
                <w:szCs w:val="17"/>
                <w:color w:val="auto"/>
              </w:rPr>
            </w:pPr>
          </w:p>
        </w:tc>
        <w:tc>
          <w:tcPr>
            <w:tcW w:w="660" w:type="dxa"/>
            <w:vAlign w:val="bottom"/>
            <w:shd w:val="clear" w:color="auto" w:fill="424E6A"/>
          </w:tcPr>
          <w:p>
            <w:pPr>
              <w:jc w:val="right"/>
              <w:ind w:right="348"/>
              <w:spacing w:after="0"/>
              <w:rPr>
                <w:sz w:val="20"/>
                <w:szCs w:val="20"/>
                <w:color w:val="auto"/>
              </w:rPr>
            </w:pPr>
            <w:r>
              <w:rPr>
                <w:rFonts w:ascii="Arial" w:cs="Arial" w:eastAsia="Arial" w:hAnsi="Arial"/>
                <w:sz w:val="14"/>
                <w:szCs w:val="14"/>
                <w:b w:val="1"/>
                <w:bCs w:val="1"/>
                <w:color w:val="FFFFFF"/>
              </w:rPr>
              <w:t>(#)</w:t>
            </w:r>
          </w:p>
        </w:tc>
        <w:tc>
          <w:tcPr>
            <w:tcW w:w="20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340" w:type="dxa"/>
            <w:vAlign w:val="bottom"/>
            <w:shd w:val="clear" w:color="auto" w:fill="424E6A"/>
          </w:tcPr>
          <w:p>
            <w:pPr>
              <w:spacing w:after="0"/>
              <w:rPr>
                <w:sz w:val="17"/>
                <w:szCs w:val="17"/>
                <w:color w:val="auto"/>
              </w:rPr>
            </w:pPr>
          </w:p>
        </w:tc>
        <w:tc>
          <w:tcPr>
            <w:tcW w:w="700" w:type="dxa"/>
            <w:vAlign w:val="bottom"/>
            <w:shd w:val="clear" w:color="auto" w:fill="424E6A"/>
          </w:tcPr>
          <w:p>
            <w:pPr>
              <w:ind w:left="10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right w:val="single" w:sz="8" w:color="424E6A"/>
            </w:tcBorders>
            <w:shd w:val="clear" w:color="auto" w:fill="424E6A"/>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0"/>
        </w:trPr>
        <w:tc>
          <w:tcPr>
            <w:tcW w:w="1060" w:type="dxa"/>
            <w:vAlign w:val="bottom"/>
            <w:tcBorders>
              <w:left w:val="single" w:sz="8" w:color="424E6A"/>
            </w:tcBorders>
            <w:shd w:val="clear" w:color="auto" w:fill="424E6A"/>
          </w:tcPr>
          <w:p>
            <w:pPr>
              <w:spacing w:after="0" w:line="20" w:lineRule="exact"/>
              <w:rPr>
                <w:sz w:val="1"/>
                <w:szCs w:val="1"/>
                <w:color w:val="auto"/>
              </w:rPr>
            </w:pPr>
          </w:p>
        </w:tc>
        <w:tc>
          <w:tcPr>
            <w:tcW w:w="80" w:type="dxa"/>
            <w:vAlign w:val="bottom"/>
            <w:shd w:val="clear" w:color="auto" w:fill="424E6A"/>
          </w:tcPr>
          <w:p>
            <w:pPr>
              <w:spacing w:after="0" w:line="20" w:lineRule="exact"/>
              <w:rPr>
                <w:sz w:val="1"/>
                <w:szCs w:val="1"/>
                <w:color w:val="auto"/>
              </w:rPr>
            </w:pPr>
          </w:p>
        </w:tc>
        <w:tc>
          <w:tcPr>
            <w:tcW w:w="140" w:type="dxa"/>
            <w:vAlign w:val="bottom"/>
            <w:shd w:val="clear" w:color="auto" w:fill="424E6A"/>
          </w:tcPr>
          <w:p>
            <w:pPr>
              <w:spacing w:after="0" w:line="20" w:lineRule="exact"/>
              <w:rPr>
                <w:sz w:val="1"/>
                <w:szCs w:val="1"/>
                <w:color w:val="auto"/>
              </w:rPr>
            </w:pPr>
          </w:p>
        </w:tc>
        <w:tc>
          <w:tcPr>
            <w:tcW w:w="560" w:type="dxa"/>
            <w:vAlign w:val="bottom"/>
            <w:shd w:val="clear" w:color="auto" w:fill="424E6A"/>
          </w:tcPr>
          <w:p>
            <w:pPr>
              <w:spacing w:after="0" w:line="20" w:lineRule="exact"/>
              <w:rPr>
                <w:sz w:val="1"/>
                <w:szCs w:val="1"/>
                <w:color w:val="auto"/>
              </w:rPr>
            </w:pPr>
          </w:p>
        </w:tc>
        <w:tc>
          <w:tcPr>
            <w:tcW w:w="200" w:type="dxa"/>
            <w:vAlign w:val="bottom"/>
            <w:tcBorders>
              <w:right w:val="single" w:sz="8" w:color="424E6A"/>
            </w:tcBorders>
            <w:shd w:val="clear" w:color="auto" w:fill="424E6A"/>
          </w:tcPr>
          <w:p>
            <w:pPr>
              <w:spacing w:after="0" w:line="20" w:lineRule="exact"/>
              <w:rPr>
                <w:sz w:val="1"/>
                <w:szCs w:val="1"/>
                <w:color w:val="auto"/>
              </w:rPr>
            </w:pPr>
          </w:p>
        </w:tc>
        <w:tc>
          <w:tcPr>
            <w:tcW w:w="80" w:type="dxa"/>
            <w:vAlign w:val="bottom"/>
            <w:tcBorders>
              <w:left w:val="single" w:sz="8" w:color="424E6A"/>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424E6A"/>
            </w:tcBorders>
            <w:shd w:val="clear" w:color="auto" w:fill="424E6A"/>
          </w:tcPr>
          <w:p>
            <w:pPr>
              <w:spacing w:after="0" w:line="20" w:lineRule="exact"/>
              <w:rPr>
                <w:sz w:val="1"/>
                <w:szCs w:val="1"/>
                <w:color w:val="auto"/>
              </w:rPr>
            </w:pPr>
          </w:p>
        </w:tc>
        <w:tc>
          <w:tcPr>
            <w:tcW w:w="880" w:type="dxa"/>
            <w:vAlign w:val="bottom"/>
            <w:tcBorders>
              <w:right w:val="single" w:sz="8" w:color="424E6A"/>
            </w:tcBorders>
            <w:gridSpan w:val="3"/>
            <w:shd w:val="clear" w:color="auto" w:fill="424E6A"/>
          </w:tcPr>
          <w:p>
            <w:pPr>
              <w:spacing w:after="0" w:line="20" w:lineRule="exact"/>
              <w:rPr>
                <w:sz w:val="1"/>
                <w:szCs w:val="1"/>
                <w:color w:val="auto"/>
              </w:rPr>
            </w:pPr>
          </w:p>
        </w:tc>
        <w:tc>
          <w:tcPr>
            <w:tcW w:w="860" w:type="dxa"/>
            <w:vAlign w:val="bottom"/>
            <w:tcBorders>
              <w:right w:val="single" w:sz="8" w:color="424E6A"/>
            </w:tcBorders>
            <w:gridSpan w:val="3"/>
            <w:shd w:val="clear" w:color="auto" w:fill="424E6A"/>
          </w:tcPr>
          <w:p>
            <w:pPr>
              <w:spacing w:after="0" w:line="20" w:lineRule="exact"/>
              <w:rPr>
                <w:sz w:val="1"/>
                <w:szCs w:val="1"/>
                <w:color w:val="auto"/>
              </w:rPr>
            </w:pPr>
          </w:p>
        </w:tc>
        <w:tc>
          <w:tcPr>
            <w:tcW w:w="80" w:type="dxa"/>
            <w:vAlign w:val="bottom"/>
            <w:shd w:val="clear" w:color="auto" w:fill="424E6A"/>
          </w:tcPr>
          <w:p>
            <w:pPr>
              <w:spacing w:after="0" w:line="20" w:lineRule="exact"/>
              <w:rPr>
                <w:sz w:val="1"/>
                <w:szCs w:val="1"/>
                <w:color w:val="auto"/>
              </w:rPr>
            </w:pPr>
          </w:p>
        </w:tc>
        <w:tc>
          <w:tcPr>
            <w:tcW w:w="720" w:type="dxa"/>
            <w:vAlign w:val="bottom"/>
            <w:shd w:val="clear" w:color="auto" w:fill="424E6A"/>
          </w:tcPr>
          <w:p>
            <w:pPr>
              <w:spacing w:after="0" w:line="20" w:lineRule="exact"/>
              <w:rPr>
                <w:sz w:val="1"/>
                <w:szCs w:val="1"/>
                <w:color w:val="auto"/>
              </w:rPr>
            </w:pPr>
          </w:p>
        </w:tc>
        <w:tc>
          <w:tcPr>
            <w:tcW w:w="140" w:type="dxa"/>
            <w:vAlign w:val="bottom"/>
            <w:tcBorders>
              <w:right w:val="single" w:sz="8" w:color="424E6A"/>
            </w:tcBorders>
            <w:shd w:val="clear" w:color="auto" w:fill="424E6A"/>
          </w:tcPr>
          <w:p>
            <w:pPr>
              <w:spacing w:after="0" w:line="20" w:lineRule="exact"/>
              <w:rPr>
                <w:sz w:val="1"/>
                <w:szCs w:val="1"/>
                <w:color w:val="auto"/>
              </w:rPr>
            </w:pPr>
          </w:p>
        </w:tc>
        <w:tc>
          <w:tcPr>
            <w:tcW w:w="120" w:type="dxa"/>
            <w:vAlign w:val="bottom"/>
            <w:shd w:val="clear" w:color="auto" w:fill="424E6A"/>
          </w:tcPr>
          <w:p>
            <w:pPr>
              <w:spacing w:after="0" w:line="20" w:lineRule="exact"/>
              <w:rPr>
                <w:sz w:val="1"/>
                <w:szCs w:val="1"/>
                <w:color w:val="auto"/>
              </w:rPr>
            </w:pPr>
          </w:p>
        </w:tc>
        <w:tc>
          <w:tcPr>
            <w:tcW w:w="400" w:type="dxa"/>
            <w:vAlign w:val="bottom"/>
            <w:shd w:val="clear" w:color="auto" w:fill="424E6A"/>
          </w:tcPr>
          <w:p>
            <w:pPr>
              <w:spacing w:after="0" w:line="20" w:lineRule="exact"/>
              <w:rPr>
                <w:sz w:val="1"/>
                <w:szCs w:val="1"/>
                <w:color w:val="auto"/>
              </w:rPr>
            </w:pPr>
          </w:p>
        </w:tc>
        <w:tc>
          <w:tcPr>
            <w:tcW w:w="160" w:type="dxa"/>
            <w:vAlign w:val="bottom"/>
            <w:shd w:val="clear" w:color="auto" w:fill="424E6A"/>
          </w:tcPr>
          <w:p>
            <w:pPr>
              <w:spacing w:after="0" w:line="20" w:lineRule="exact"/>
              <w:rPr>
                <w:sz w:val="1"/>
                <w:szCs w:val="1"/>
                <w:color w:val="auto"/>
              </w:rPr>
            </w:pPr>
          </w:p>
        </w:tc>
        <w:tc>
          <w:tcPr>
            <w:tcW w:w="180" w:type="dxa"/>
            <w:vAlign w:val="bottom"/>
            <w:tcBorders>
              <w:right w:val="single" w:sz="8" w:color="424E6A"/>
            </w:tcBorders>
            <w:shd w:val="clear" w:color="auto" w:fill="424E6A"/>
          </w:tcPr>
          <w:p>
            <w:pPr>
              <w:spacing w:after="0" w:line="20" w:lineRule="exact"/>
              <w:rPr>
                <w:sz w:val="1"/>
                <w:szCs w:val="1"/>
                <w:color w:val="auto"/>
              </w:rPr>
            </w:pPr>
          </w:p>
        </w:tc>
        <w:tc>
          <w:tcPr>
            <w:tcW w:w="100" w:type="dxa"/>
            <w:vAlign w:val="bottom"/>
            <w:shd w:val="clear" w:color="auto" w:fill="424E6A"/>
          </w:tcPr>
          <w:p>
            <w:pPr>
              <w:spacing w:after="0" w:line="20" w:lineRule="exact"/>
              <w:rPr>
                <w:sz w:val="1"/>
                <w:szCs w:val="1"/>
                <w:color w:val="auto"/>
              </w:rPr>
            </w:pPr>
          </w:p>
        </w:tc>
        <w:tc>
          <w:tcPr>
            <w:tcW w:w="220" w:type="dxa"/>
            <w:vAlign w:val="bottom"/>
            <w:shd w:val="clear" w:color="auto" w:fill="424E6A"/>
          </w:tcPr>
          <w:p>
            <w:pPr>
              <w:spacing w:after="0" w:line="20" w:lineRule="exact"/>
              <w:rPr>
                <w:sz w:val="1"/>
                <w:szCs w:val="1"/>
                <w:color w:val="auto"/>
              </w:rPr>
            </w:pPr>
          </w:p>
        </w:tc>
        <w:tc>
          <w:tcPr>
            <w:tcW w:w="420" w:type="dxa"/>
            <w:vAlign w:val="bottom"/>
            <w:shd w:val="clear" w:color="auto" w:fill="424E6A"/>
          </w:tcPr>
          <w:p>
            <w:pPr>
              <w:spacing w:after="0" w:line="20" w:lineRule="exact"/>
              <w:rPr>
                <w:sz w:val="1"/>
                <w:szCs w:val="1"/>
                <w:color w:val="auto"/>
              </w:rPr>
            </w:pPr>
          </w:p>
        </w:tc>
        <w:tc>
          <w:tcPr>
            <w:tcW w:w="220" w:type="dxa"/>
            <w:vAlign w:val="bottom"/>
            <w:tcBorders>
              <w:right w:val="single" w:sz="8" w:color="424E6A"/>
            </w:tcBorders>
            <w:shd w:val="clear" w:color="auto" w:fill="424E6A"/>
          </w:tcPr>
          <w:p>
            <w:pPr>
              <w:spacing w:after="0" w:line="20" w:lineRule="exact"/>
              <w:rPr>
                <w:sz w:val="1"/>
                <w:szCs w:val="1"/>
                <w:color w:val="auto"/>
              </w:rPr>
            </w:pPr>
          </w:p>
        </w:tc>
        <w:tc>
          <w:tcPr>
            <w:tcW w:w="80" w:type="dxa"/>
            <w:vAlign w:val="bottom"/>
            <w:shd w:val="clear" w:color="auto" w:fill="424E6A"/>
          </w:tcPr>
          <w:p>
            <w:pPr>
              <w:spacing w:after="0" w:line="20" w:lineRule="exact"/>
              <w:rPr>
                <w:sz w:val="1"/>
                <w:szCs w:val="1"/>
                <w:color w:val="auto"/>
              </w:rPr>
            </w:pPr>
          </w:p>
        </w:tc>
        <w:tc>
          <w:tcPr>
            <w:tcW w:w="360" w:type="dxa"/>
            <w:vAlign w:val="bottom"/>
            <w:shd w:val="clear" w:color="auto" w:fill="424E6A"/>
          </w:tcPr>
          <w:p>
            <w:pPr>
              <w:spacing w:after="0" w:line="20" w:lineRule="exact"/>
              <w:rPr>
                <w:sz w:val="1"/>
                <w:szCs w:val="1"/>
                <w:color w:val="auto"/>
              </w:rPr>
            </w:pPr>
          </w:p>
        </w:tc>
        <w:tc>
          <w:tcPr>
            <w:tcW w:w="660" w:type="dxa"/>
            <w:vAlign w:val="bottom"/>
            <w:shd w:val="clear" w:color="auto" w:fill="424E6A"/>
          </w:tcPr>
          <w:p>
            <w:pPr>
              <w:spacing w:after="0" w:line="20" w:lineRule="exact"/>
              <w:rPr>
                <w:sz w:val="1"/>
                <w:szCs w:val="1"/>
                <w:color w:val="auto"/>
              </w:rPr>
            </w:pPr>
          </w:p>
        </w:tc>
        <w:tc>
          <w:tcPr>
            <w:tcW w:w="120" w:type="dxa"/>
            <w:vAlign w:val="bottom"/>
            <w:tcBorders>
              <w:right w:val="single" w:sz="8" w:color="424E6A"/>
            </w:tcBorders>
            <w:shd w:val="clear" w:color="auto" w:fill="424E6A"/>
          </w:tcPr>
          <w:p>
            <w:pPr>
              <w:spacing w:after="0" w:line="20" w:lineRule="exact"/>
              <w:rPr>
                <w:sz w:val="1"/>
                <w:szCs w:val="1"/>
                <w:color w:val="auto"/>
              </w:rPr>
            </w:pPr>
          </w:p>
        </w:tc>
        <w:tc>
          <w:tcPr>
            <w:tcW w:w="80" w:type="dxa"/>
            <w:vAlign w:val="bottom"/>
            <w:shd w:val="clear" w:color="auto" w:fill="424E6A"/>
          </w:tcPr>
          <w:p>
            <w:pPr>
              <w:spacing w:after="0" w:line="20" w:lineRule="exact"/>
              <w:rPr>
                <w:sz w:val="1"/>
                <w:szCs w:val="1"/>
                <w:color w:val="auto"/>
              </w:rPr>
            </w:pPr>
          </w:p>
        </w:tc>
        <w:tc>
          <w:tcPr>
            <w:tcW w:w="340" w:type="dxa"/>
            <w:vAlign w:val="bottom"/>
            <w:shd w:val="clear" w:color="auto" w:fill="424E6A"/>
          </w:tcPr>
          <w:p>
            <w:pPr>
              <w:spacing w:after="0" w:line="20" w:lineRule="exact"/>
              <w:rPr>
                <w:sz w:val="1"/>
                <w:szCs w:val="1"/>
                <w:color w:val="auto"/>
              </w:rPr>
            </w:pPr>
          </w:p>
        </w:tc>
        <w:tc>
          <w:tcPr>
            <w:tcW w:w="700" w:type="dxa"/>
            <w:vAlign w:val="bottom"/>
            <w:shd w:val="clear" w:color="auto" w:fill="424E6A"/>
          </w:tcPr>
          <w:p>
            <w:pPr>
              <w:spacing w:after="0" w:line="20" w:lineRule="exact"/>
              <w:rPr>
                <w:sz w:val="1"/>
                <w:szCs w:val="1"/>
                <w:color w:val="auto"/>
              </w:rPr>
            </w:pPr>
          </w:p>
        </w:tc>
        <w:tc>
          <w:tcPr>
            <w:tcW w:w="100" w:type="dxa"/>
            <w:vAlign w:val="bottom"/>
            <w:tcBorders>
              <w:right w:val="single" w:sz="8" w:color="424E6A"/>
            </w:tcBorders>
            <w:shd w:val="clear" w:color="auto" w:fill="424E6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Willie Chiang</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​2/19/25</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880" w:type="dxa"/>
            <w:vAlign w:val="bottom"/>
            <w:tcBorders>
              <w:bottom w:val="single" w:sz="8" w:color="424E6A"/>
              <w:right w:val="single" w:sz="8" w:color="424E6A"/>
            </w:tcBorders>
            <w:gridSpan w:val="3"/>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​2,250,000</w:t>
            </w:r>
            <w:r>
              <w:rPr>
                <w:rFonts w:ascii="Arial" w:cs="Arial" w:eastAsia="Arial" w:hAnsi="Arial"/>
                <w:sz w:val="25"/>
                <w:szCs w:val="25"/>
                <w:color w:val="auto"/>
                <w:vertAlign w:val="subscript"/>
              </w:rPr>
              <w:t>​​</w:t>
            </w:r>
          </w:p>
        </w:tc>
        <w:tc>
          <w:tcPr>
            <w:tcW w:w="860" w:type="dxa"/>
            <w:vAlign w:val="bottom"/>
            <w:tcBorders>
              <w:bottom w:val="single" w:sz="8" w:color="424E6A"/>
              <w:right w:val="single" w:sz="8" w:color="424E6A"/>
            </w:tcBorders>
            <w:gridSpan w:val="3"/>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r>
              <w:rPr>
                <w:rFonts w:ascii="Arial" w:cs="Arial" w:eastAsia="Arial" w:hAnsi="Arial"/>
                <w:sz w:val="25"/>
                <w:szCs w:val="25"/>
                <w:color w:val="auto"/>
                <w:vertAlign w:val="subscript"/>
              </w:rPr>
              <w:t>​</w:t>
            </w:r>
            <w:r>
              <w:rPr>
                <w:rFonts w:ascii="Arial" w:cs="Arial" w:eastAsia="Arial" w:hAnsi="Arial"/>
                <w:sz w:val="13"/>
                <w:szCs w:val="13"/>
                <w:color w:val="auto"/>
              </w:rPr>
              <w:t xml:space="preserve">4,500,000 </w:t>
            </w:r>
            <w:r>
              <w:rPr>
                <w:rFonts w:ascii="Arial" w:cs="Arial" w:eastAsia="Arial" w:hAnsi="Arial"/>
                <w:sz w:val="25"/>
                <w:szCs w:val="25"/>
                <w:color w:val="auto"/>
                <w:vertAlign w:val="subscript"/>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16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w w:val="85"/>
              </w:rPr>
              <w:t>—</w:t>
            </w:r>
          </w:p>
        </w:tc>
        <w:tc>
          <w:tcPr>
            <w:tcW w:w="18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tcBorders>
          </w:tcPr>
          <w:p>
            <w:pPr>
              <w:ind w:left="12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20" w:type="dxa"/>
            <w:vAlign w:val="bottom"/>
            <w:tcBorders>
              <w:bottom w:val="single" w:sz="8" w:color="424E6A"/>
            </w:tcBorders>
          </w:tcPr>
          <w:p>
            <w:pPr>
              <w:ind w:left="280"/>
              <w:spacing w:after="0"/>
              <w:rPr>
                <w:sz w:val="20"/>
                <w:szCs w:val="20"/>
                <w:color w:val="auto"/>
              </w:rPr>
            </w:pPr>
            <w:r>
              <w:rPr>
                <w:rFonts w:ascii="Arial" w:cs="Arial" w:eastAsia="Arial" w:hAnsi="Arial"/>
                <w:sz w:val="14"/>
                <w:szCs w:val="14"/>
                <w:color w:val="auto"/>
                <w:w w:val="85"/>
              </w:rPr>
              <w:t>—</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424E6A"/>
            </w:tcBorders>
          </w:tcPr>
          <w:p>
            <w:pPr>
              <w:ind w:left="2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60" w:type="dxa"/>
            <w:vAlign w:val="bottom"/>
            <w:tcBorders>
              <w:bottom w:val="single" w:sz="8" w:color="424E6A"/>
            </w:tcBorders>
          </w:tcPr>
          <w:p>
            <w:pPr>
              <w:ind w:left="2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3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​8/14/25</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8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380" w:type="dxa"/>
            <w:vAlign w:val="bottom"/>
            <w:tcBorders>
              <w:bottom w:val="single" w:sz="8" w:color="424E6A"/>
            </w:tcBorders>
          </w:tcPr>
          <w:p>
            <w:pPr>
              <w:spacing w:after="0"/>
              <w:rPr>
                <w:sz w:val="19"/>
                <w:szCs w:val="19"/>
                <w:color w:val="auto"/>
              </w:rPr>
            </w:pPr>
          </w:p>
        </w:tc>
        <w:tc>
          <w:tcPr>
            <w:tcW w:w="32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4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 ​</w:t>
            </w:r>
          </w:p>
        </w:tc>
        <w:tc>
          <w:tcPr>
            <w:tcW w:w="320" w:type="dxa"/>
            <w:vAlign w:val="bottom"/>
            <w:tcBorders>
              <w:bottom w:val="single" w:sz="8" w:color="424E6A"/>
            </w:tcBorders>
          </w:tcPr>
          <w:p>
            <w:pPr>
              <w:spacing w:after="0"/>
              <w:rPr>
                <w:sz w:val="19"/>
                <w:szCs w:val="19"/>
                <w:color w:val="auto"/>
              </w:rPr>
            </w:pP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gridSpan w:val="2"/>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​208,675</w:t>
            </w:r>
          </w:p>
        </w:tc>
        <w:tc>
          <w:tcPr>
            <w:tcW w:w="18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24E6A"/>
            </w:tcBorders>
            <w:gridSpan w:val="2"/>
          </w:tcPr>
          <w:p>
            <w:pPr>
              <w:ind w:left="1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​417,350</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424E6A"/>
            </w:tcBorders>
            <w:gridSpan w:val="2"/>
          </w:tcPr>
          <w:p>
            <w:pPr>
              <w:ind w:left="2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​208,675</w:t>
            </w:r>
            <w:r>
              <w:rPr>
                <w:rFonts w:ascii="Arial" w:cs="Arial" w:eastAsia="Arial" w:hAnsi="Arial"/>
                <w:sz w:val="16"/>
                <w:szCs w:val="16"/>
                <w:color w:val="auto"/>
                <w:vertAlign w:val="superscript"/>
              </w:rPr>
              <w:t>(2)</w:t>
            </w: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5,540,322</w:t>
            </w:r>
            <w:r>
              <w:rPr>
                <w:rFonts w:ascii="Arial" w:cs="Arial" w:eastAsia="Arial" w:hAnsi="Arial"/>
                <w:sz w:val="16"/>
                <w:szCs w:val="16"/>
                <w:color w:val="auto"/>
                <w:vertAlign w:val="superscript"/>
              </w:rPr>
              <w:t>(3)</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7"/>
        </w:trPr>
        <w:tc>
          <w:tcPr>
            <w:tcW w:w="1060" w:type="dxa"/>
            <w:vAlign w:val="bottom"/>
            <w:tcBorders>
              <w:left w:val="single" w:sz="8" w:color="424E6A"/>
              <w:bottom w:val="single" w:sz="8" w:color="424E6A"/>
            </w:tcBorders>
          </w:tcPr>
          <w:p>
            <w:pPr>
              <w:ind w:left="40"/>
              <w:spacing w:after="0" w:line="27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tcPr>
          <w:p>
            <w:pPr>
              <w:ind w:left="60"/>
              <w:spacing w:after="0" w:line="27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​8/14/25</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7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80" w:type="dxa"/>
            <w:vAlign w:val="bottom"/>
            <w:tcBorders>
              <w:bottom w:val="single" w:sz="8" w:color="424E6A"/>
            </w:tcBorders>
          </w:tcPr>
          <w:p>
            <w:pPr>
              <w:ind w:left="60"/>
              <w:spacing w:after="0" w:line="27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380" w:type="dxa"/>
            <w:vAlign w:val="bottom"/>
            <w:tcBorders>
              <w:bottom w:val="single" w:sz="8" w:color="424E6A"/>
            </w:tcBorders>
          </w:tcPr>
          <w:p>
            <w:pPr>
              <w:spacing w:after="0"/>
              <w:rPr>
                <w:sz w:val="24"/>
                <w:szCs w:val="24"/>
                <w:color w:val="auto"/>
              </w:rPr>
            </w:pPr>
          </w:p>
        </w:tc>
        <w:tc>
          <w:tcPr>
            <w:tcW w:w="320" w:type="dxa"/>
            <w:vAlign w:val="bottom"/>
            <w:tcBorders>
              <w:bottom w:val="single" w:sz="8" w:color="424E6A"/>
              <w:right w:val="single" w:sz="8" w:color="424E6A"/>
            </w:tcBorders>
          </w:tcPr>
          <w:p>
            <w:pPr>
              <w:jc w:val="right"/>
              <w:spacing w:after="0" w:line="27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24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 ​</w:t>
            </w:r>
          </w:p>
        </w:tc>
        <w:tc>
          <w:tcPr>
            <w:tcW w:w="320" w:type="dxa"/>
            <w:vAlign w:val="bottom"/>
            <w:tcBorders>
              <w:bottom w:val="single" w:sz="8" w:color="424E6A"/>
            </w:tcBorders>
          </w:tcPr>
          <w:p>
            <w:pPr>
              <w:spacing w:after="0"/>
              <w:rPr>
                <w:sz w:val="24"/>
                <w:szCs w:val="24"/>
                <w:color w:val="auto"/>
              </w:rPr>
            </w:pPr>
          </w:p>
        </w:tc>
        <w:tc>
          <w:tcPr>
            <w:tcW w:w="300" w:type="dxa"/>
            <w:vAlign w:val="bottom"/>
            <w:tcBorders>
              <w:bottom w:val="single" w:sz="8" w:color="424E6A"/>
              <w:right w:val="single" w:sz="8" w:color="424E6A"/>
            </w:tcBorders>
          </w:tcPr>
          <w:p>
            <w:pPr>
              <w:jc w:val="right"/>
              <w:spacing w:after="0" w:line="27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24E6A"/>
            </w:tcBorders>
          </w:tcPr>
          <w:p>
            <w:pPr>
              <w:ind w:left="280"/>
              <w:spacing w:after="0" w:line="27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424E6A"/>
            </w:tcBorders>
          </w:tcPr>
          <w:p>
            <w:pPr>
              <w:ind w:left="40"/>
              <w:spacing w:after="0" w:line="27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16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w w:val="85"/>
              </w:rPr>
              <w:t>—</w:t>
            </w:r>
          </w:p>
        </w:tc>
        <w:tc>
          <w:tcPr>
            <w:tcW w:w="18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tcBorders>
          </w:tcPr>
          <w:p>
            <w:pPr>
              <w:ind w:left="120"/>
              <w:spacing w:after="0" w:line="27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420" w:type="dxa"/>
            <w:vAlign w:val="bottom"/>
            <w:tcBorders>
              <w:bottom w:val="single" w:sz="8" w:color="424E6A"/>
            </w:tcBorders>
          </w:tcPr>
          <w:p>
            <w:pPr>
              <w:ind w:left="280"/>
              <w:spacing w:after="0"/>
              <w:rPr>
                <w:sz w:val="20"/>
                <w:szCs w:val="20"/>
                <w:color w:val="auto"/>
              </w:rPr>
            </w:pPr>
            <w:r>
              <w:rPr>
                <w:rFonts w:ascii="Arial" w:cs="Arial" w:eastAsia="Arial" w:hAnsi="Arial"/>
                <w:sz w:val="14"/>
                <w:szCs w:val="14"/>
                <w:color w:val="auto"/>
                <w:w w:val="85"/>
              </w:rPr>
              <w:t>—</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424E6A"/>
            </w:tcBorders>
          </w:tcPr>
          <w:p>
            <w:pPr>
              <w:ind w:left="240"/>
              <w:spacing w:after="0" w:line="27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660" w:type="dxa"/>
            <w:vAlign w:val="bottom"/>
            <w:tcBorders>
              <w:bottom w:val="single" w:sz="8" w:color="424E6A"/>
            </w:tcBorders>
          </w:tcPr>
          <w:p>
            <w:pPr>
              <w:ind w:left="2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424E6A"/>
            </w:tcBorders>
            <w:gridSpan w:val="2"/>
          </w:tcPr>
          <w:p>
            <w:pPr>
              <w:ind w:left="180"/>
              <w:spacing w:after="0" w:line="27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2,895,505</w:t>
            </w:r>
            <w:r>
              <w:rPr>
                <w:rFonts w:ascii="Arial" w:cs="Arial" w:eastAsia="Arial" w:hAnsi="Arial"/>
                <w:sz w:val="17"/>
                <w:szCs w:val="17"/>
                <w:color w:val="auto"/>
                <w:vertAlign w:val="superscript"/>
              </w:rPr>
              <w:t>(4)</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7"/>
        </w:trPr>
        <w:tc>
          <w:tcPr>
            <w:tcW w:w="1060" w:type="dxa"/>
            <w:vAlign w:val="bottom"/>
            <w:tcBorders>
              <w:left w:val="single" w:sz="8" w:color="424E6A"/>
              <w:bottom w:val="single" w:sz="8" w:color="424E6A"/>
            </w:tcBorders>
          </w:tcPr>
          <w:p>
            <w:pPr>
              <w:ind w:left="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560" w:type="dxa"/>
            <w:vAlign w:val="bottom"/>
            <w:tcBorders>
              <w:bottom w:val="single" w:sz="8" w:color="424E6A"/>
            </w:tcBorders>
            <w:shd w:val="clear" w:color="auto" w:fill="D9DCE1"/>
          </w:tcPr>
          <w:p>
            <w:pPr>
              <w:ind w:left="6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20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left w:val="single" w:sz="8" w:color="D9DCE1"/>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28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gridSpan w:val="2"/>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180" w:type="dxa"/>
            <w:vAlign w:val="bottom"/>
            <w:tcBorders>
              <w:bottom w:val="single" w:sz="8" w:color="424E6A"/>
            </w:tcBorders>
            <w:shd w:val="clear" w:color="auto" w:fill="D9DCE1"/>
          </w:tcPr>
          <w:p>
            <w:pPr>
              <w:ind w:left="6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380" w:type="dxa"/>
            <w:vAlign w:val="bottom"/>
            <w:tcBorders>
              <w:bottom w:val="single" w:sz="8" w:color="424E6A"/>
            </w:tcBorders>
            <w:shd w:val="clear" w:color="auto" w:fill="D9DCE1"/>
          </w:tcPr>
          <w:p>
            <w:pPr>
              <w:spacing w:after="0"/>
              <w:rPr>
                <w:sz w:val="24"/>
                <w:szCs w:val="24"/>
                <w:color w:val="auto"/>
              </w:rPr>
            </w:pPr>
          </w:p>
        </w:tc>
        <w:tc>
          <w:tcPr>
            <w:tcW w:w="3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2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 ​</w:t>
            </w:r>
          </w:p>
        </w:tc>
        <w:tc>
          <w:tcPr>
            <w:tcW w:w="320" w:type="dxa"/>
            <w:vAlign w:val="bottom"/>
            <w:tcBorders>
              <w:bottom w:val="single" w:sz="8" w:color="424E6A"/>
            </w:tcBorders>
            <w:shd w:val="clear" w:color="auto" w:fill="D9DCE1"/>
          </w:tcPr>
          <w:p>
            <w:pPr>
              <w:spacing w:after="0"/>
              <w:rPr>
                <w:sz w:val="24"/>
                <w:szCs w:val="24"/>
                <w:color w:val="auto"/>
              </w:rPr>
            </w:pPr>
          </w:p>
        </w:tc>
        <w:tc>
          <w:tcPr>
            <w:tcW w:w="30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720" w:type="dxa"/>
            <w:vAlign w:val="bottom"/>
            <w:tcBorders>
              <w:bottom w:val="single" w:sz="8" w:color="424E6A"/>
            </w:tcBorders>
            <w:shd w:val="clear" w:color="auto" w:fill="D9DCE1"/>
          </w:tcPr>
          <w:p>
            <w:pPr>
              <w:ind w:left="28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12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400" w:type="dxa"/>
            <w:vAlign w:val="bottom"/>
            <w:tcBorders>
              <w:bottom w:val="single" w:sz="8" w:color="424E6A"/>
            </w:tcBorders>
            <w:shd w:val="clear" w:color="auto" w:fill="D9DCE1"/>
          </w:tcPr>
          <w:p>
            <w:pPr>
              <w:ind w:left="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160" w:type="dxa"/>
            <w:vAlign w:val="bottom"/>
            <w:tcBorders>
              <w:bottom w:val="single" w:sz="8" w:color="424E6A"/>
            </w:tcBorders>
            <w:shd w:val="clear" w:color="auto" w:fill="D9DCE1"/>
          </w:tcPr>
          <w:p>
            <w:pPr>
              <w:spacing w:after="0"/>
              <w:rPr>
                <w:sz w:val="24"/>
                <w:szCs w:val="24"/>
                <w:color w:val="auto"/>
              </w:rPr>
            </w:pPr>
          </w:p>
        </w:tc>
        <w:tc>
          <w:tcPr>
            <w:tcW w:w="18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424E6A"/>
            </w:tcBorders>
            <w:shd w:val="clear" w:color="auto" w:fill="D9DCE1"/>
          </w:tcPr>
          <w:p>
            <w:pPr>
              <w:ind w:left="12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420" w:type="dxa"/>
            <w:vAlign w:val="bottom"/>
            <w:tcBorders>
              <w:bottom w:val="single" w:sz="8" w:color="424E6A"/>
            </w:tcBorders>
            <w:shd w:val="clear" w:color="auto" w:fill="D9DCE1"/>
          </w:tcPr>
          <w:p>
            <w:pPr>
              <w:spacing w:after="0"/>
              <w:rPr>
                <w:sz w:val="24"/>
                <w:szCs w:val="24"/>
                <w:color w:val="auto"/>
              </w:rPr>
            </w:pPr>
          </w:p>
        </w:tc>
        <w:tc>
          <w:tcPr>
            <w:tcW w:w="22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360" w:type="dxa"/>
            <w:vAlign w:val="bottom"/>
            <w:tcBorders>
              <w:bottom w:val="single" w:sz="8" w:color="424E6A"/>
            </w:tcBorders>
            <w:shd w:val="clear" w:color="auto" w:fill="D9DCE1"/>
          </w:tcPr>
          <w:p>
            <w:pPr>
              <w:ind w:left="2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660" w:type="dxa"/>
            <w:vAlign w:val="bottom"/>
            <w:tcBorders>
              <w:bottom w:val="single" w:sz="8" w:color="424E6A"/>
            </w:tcBorders>
            <w:shd w:val="clear" w:color="auto" w:fill="D9DCE1"/>
          </w:tcPr>
          <w:p>
            <w:pPr>
              <w:jc w:val="right"/>
              <w:ind w:right="128"/>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34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52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Al Swanson</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​2/19/25</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8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70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13"/>
                <w:szCs w:val="13"/>
                <w:color w:val="auto"/>
              </w:rPr>
              <w:t>855,000</w:t>
            </w:r>
            <w:r>
              <w:rPr>
                <w:rFonts w:ascii="Arial" w:cs="Arial" w:eastAsia="Arial" w:hAnsi="Arial"/>
                <w:sz w:val="25"/>
                <w:szCs w:val="25"/>
                <w:color w:val="auto"/>
                <w:vertAlign w:val="subscript"/>
              </w:rPr>
              <w:t>​​</w:t>
            </w:r>
          </w:p>
        </w:tc>
        <w:tc>
          <w:tcPr>
            <w:tcW w:w="860" w:type="dxa"/>
            <w:vAlign w:val="bottom"/>
            <w:tcBorders>
              <w:bottom w:val="single" w:sz="8" w:color="424E6A"/>
              <w:right w:val="single" w:sz="8" w:color="424E6A"/>
            </w:tcBorders>
            <w:gridSpan w:val="3"/>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r>
              <w:rPr>
                <w:rFonts w:ascii="Arial" w:cs="Arial" w:eastAsia="Arial" w:hAnsi="Arial"/>
                <w:sz w:val="25"/>
                <w:szCs w:val="25"/>
                <w:color w:val="auto"/>
                <w:vertAlign w:val="subscript"/>
              </w:rPr>
              <w:t>​</w:t>
            </w:r>
            <w:r>
              <w:rPr>
                <w:rFonts w:ascii="Arial" w:cs="Arial" w:eastAsia="Arial" w:hAnsi="Arial"/>
                <w:sz w:val="13"/>
                <w:szCs w:val="13"/>
                <w:color w:val="auto"/>
              </w:rPr>
              <w:t xml:space="preserve">1,710,000 </w:t>
            </w:r>
            <w:r>
              <w:rPr>
                <w:rFonts w:ascii="Arial" w:cs="Arial" w:eastAsia="Arial" w:hAnsi="Arial"/>
                <w:sz w:val="25"/>
                <w:szCs w:val="25"/>
                <w:color w:val="auto"/>
                <w:vertAlign w:val="subscript"/>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16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w w:val="85"/>
              </w:rPr>
              <w:t>—</w:t>
            </w:r>
          </w:p>
        </w:tc>
        <w:tc>
          <w:tcPr>
            <w:tcW w:w="18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tcBorders>
          </w:tcPr>
          <w:p>
            <w:pPr>
              <w:ind w:left="12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20" w:type="dxa"/>
            <w:vAlign w:val="bottom"/>
            <w:tcBorders>
              <w:bottom w:val="single" w:sz="8" w:color="424E6A"/>
            </w:tcBorders>
          </w:tcPr>
          <w:p>
            <w:pPr>
              <w:ind w:left="280"/>
              <w:spacing w:after="0"/>
              <w:rPr>
                <w:sz w:val="20"/>
                <w:szCs w:val="20"/>
                <w:color w:val="auto"/>
              </w:rPr>
            </w:pPr>
            <w:r>
              <w:rPr>
                <w:rFonts w:ascii="Arial" w:cs="Arial" w:eastAsia="Arial" w:hAnsi="Arial"/>
                <w:sz w:val="14"/>
                <w:szCs w:val="14"/>
                <w:color w:val="auto"/>
                <w:w w:val="85"/>
              </w:rPr>
              <w:t>—</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424E6A"/>
            </w:tcBorders>
          </w:tcPr>
          <w:p>
            <w:pPr>
              <w:ind w:left="2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60" w:type="dxa"/>
            <w:vAlign w:val="bottom"/>
            <w:tcBorders>
              <w:bottom w:val="single" w:sz="8" w:color="424E6A"/>
            </w:tcBorders>
          </w:tcPr>
          <w:p>
            <w:pPr>
              <w:ind w:left="2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3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​8/14/25</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8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380" w:type="dxa"/>
            <w:vAlign w:val="bottom"/>
            <w:tcBorders>
              <w:bottom w:val="single" w:sz="8" w:color="424E6A"/>
            </w:tcBorders>
          </w:tcPr>
          <w:p>
            <w:pPr>
              <w:spacing w:after="0"/>
              <w:rPr>
                <w:sz w:val="19"/>
                <w:szCs w:val="19"/>
                <w:color w:val="auto"/>
              </w:rPr>
            </w:pPr>
          </w:p>
        </w:tc>
        <w:tc>
          <w:tcPr>
            <w:tcW w:w="32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4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 ​</w:t>
            </w:r>
          </w:p>
        </w:tc>
        <w:tc>
          <w:tcPr>
            <w:tcW w:w="320" w:type="dxa"/>
            <w:vAlign w:val="bottom"/>
            <w:tcBorders>
              <w:bottom w:val="single" w:sz="8" w:color="424E6A"/>
            </w:tcBorders>
          </w:tcPr>
          <w:p>
            <w:pPr>
              <w:spacing w:after="0"/>
              <w:rPr>
                <w:sz w:val="19"/>
                <w:szCs w:val="19"/>
                <w:color w:val="auto"/>
              </w:rPr>
            </w:pP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gridSpan w:val="2"/>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54,425</w:t>
            </w:r>
          </w:p>
        </w:tc>
        <w:tc>
          <w:tcPr>
            <w:tcW w:w="18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24E6A"/>
            </w:tcBorders>
            <w:gridSpan w:val="2"/>
          </w:tcPr>
          <w:p>
            <w:pPr>
              <w:ind w:left="1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​108,850</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424E6A"/>
            </w:tcBorders>
            <w:gridSpan w:val="2"/>
          </w:tcPr>
          <w:p>
            <w:pPr>
              <w:ind w:left="2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54,425</w:t>
            </w:r>
            <w:r>
              <w:rPr>
                <w:rFonts w:ascii="Arial" w:cs="Arial" w:eastAsia="Arial" w:hAnsi="Arial"/>
                <w:sz w:val="16"/>
                <w:szCs w:val="16"/>
                <w:color w:val="auto"/>
                <w:vertAlign w:val="superscript"/>
              </w:rPr>
              <w:t>(2)</w:t>
            </w: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1,444,984</w:t>
            </w:r>
            <w:r>
              <w:rPr>
                <w:rFonts w:ascii="Arial" w:cs="Arial" w:eastAsia="Arial" w:hAnsi="Arial"/>
                <w:sz w:val="16"/>
                <w:szCs w:val="16"/>
                <w:color w:val="auto"/>
                <w:vertAlign w:val="superscript"/>
              </w:rPr>
              <w:t>(3)</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7"/>
        </w:trPr>
        <w:tc>
          <w:tcPr>
            <w:tcW w:w="1060" w:type="dxa"/>
            <w:vAlign w:val="bottom"/>
            <w:tcBorders>
              <w:left w:val="single" w:sz="8" w:color="424E6A"/>
              <w:bottom w:val="single" w:sz="8" w:color="424E6A"/>
            </w:tcBorders>
          </w:tcPr>
          <w:p>
            <w:pPr>
              <w:ind w:left="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560" w:type="dxa"/>
            <w:vAlign w:val="bottom"/>
            <w:tcBorders>
              <w:bottom w:val="single" w:sz="8" w:color="424E6A"/>
            </w:tcBorders>
            <w:shd w:val="clear" w:color="auto" w:fill="D9DCE1"/>
          </w:tcPr>
          <w:p>
            <w:pPr>
              <w:ind w:left="6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20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left w:val="single" w:sz="8" w:color="D9DCE1"/>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28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gridSpan w:val="2"/>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180" w:type="dxa"/>
            <w:vAlign w:val="bottom"/>
            <w:tcBorders>
              <w:bottom w:val="single" w:sz="8" w:color="424E6A"/>
            </w:tcBorders>
            <w:shd w:val="clear" w:color="auto" w:fill="D9DCE1"/>
          </w:tcPr>
          <w:p>
            <w:pPr>
              <w:ind w:left="6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380" w:type="dxa"/>
            <w:vAlign w:val="bottom"/>
            <w:tcBorders>
              <w:bottom w:val="single" w:sz="8" w:color="424E6A"/>
            </w:tcBorders>
            <w:shd w:val="clear" w:color="auto" w:fill="D9DCE1"/>
          </w:tcPr>
          <w:p>
            <w:pPr>
              <w:spacing w:after="0"/>
              <w:rPr>
                <w:sz w:val="24"/>
                <w:szCs w:val="24"/>
                <w:color w:val="auto"/>
              </w:rPr>
            </w:pPr>
          </w:p>
        </w:tc>
        <w:tc>
          <w:tcPr>
            <w:tcW w:w="3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2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 ​</w:t>
            </w:r>
          </w:p>
        </w:tc>
        <w:tc>
          <w:tcPr>
            <w:tcW w:w="320" w:type="dxa"/>
            <w:vAlign w:val="bottom"/>
            <w:tcBorders>
              <w:bottom w:val="single" w:sz="8" w:color="424E6A"/>
            </w:tcBorders>
            <w:shd w:val="clear" w:color="auto" w:fill="D9DCE1"/>
          </w:tcPr>
          <w:p>
            <w:pPr>
              <w:spacing w:after="0"/>
              <w:rPr>
                <w:sz w:val="24"/>
                <w:szCs w:val="24"/>
                <w:color w:val="auto"/>
              </w:rPr>
            </w:pPr>
          </w:p>
        </w:tc>
        <w:tc>
          <w:tcPr>
            <w:tcW w:w="30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720" w:type="dxa"/>
            <w:vAlign w:val="bottom"/>
            <w:tcBorders>
              <w:bottom w:val="single" w:sz="8" w:color="424E6A"/>
            </w:tcBorders>
            <w:shd w:val="clear" w:color="auto" w:fill="D9DCE1"/>
          </w:tcPr>
          <w:p>
            <w:pPr>
              <w:ind w:left="28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12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400" w:type="dxa"/>
            <w:vAlign w:val="bottom"/>
            <w:tcBorders>
              <w:bottom w:val="single" w:sz="8" w:color="424E6A"/>
            </w:tcBorders>
            <w:shd w:val="clear" w:color="auto" w:fill="D9DCE1"/>
          </w:tcPr>
          <w:p>
            <w:pPr>
              <w:ind w:left="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160" w:type="dxa"/>
            <w:vAlign w:val="bottom"/>
            <w:tcBorders>
              <w:bottom w:val="single" w:sz="8" w:color="424E6A"/>
            </w:tcBorders>
            <w:shd w:val="clear" w:color="auto" w:fill="D9DCE1"/>
          </w:tcPr>
          <w:p>
            <w:pPr>
              <w:spacing w:after="0"/>
              <w:rPr>
                <w:sz w:val="24"/>
                <w:szCs w:val="24"/>
                <w:color w:val="auto"/>
              </w:rPr>
            </w:pPr>
          </w:p>
        </w:tc>
        <w:tc>
          <w:tcPr>
            <w:tcW w:w="18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424E6A"/>
            </w:tcBorders>
            <w:shd w:val="clear" w:color="auto" w:fill="D9DCE1"/>
          </w:tcPr>
          <w:p>
            <w:pPr>
              <w:ind w:left="12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420" w:type="dxa"/>
            <w:vAlign w:val="bottom"/>
            <w:tcBorders>
              <w:bottom w:val="single" w:sz="8" w:color="424E6A"/>
            </w:tcBorders>
            <w:shd w:val="clear" w:color="auto" w:fill="D9DCE1"/>
          </w:tcPr>
          <w:p>
            <w:pPr>
              <w:spacing w:after="0"/>
              <w:rPr>
                <w:sz w:val="24"/>
                <w:szCs w:val="24"/>
                <w:color w:val="auto"/>
              </w:rPr>
            </w:pPr>
          </w:p>
        </w:tc>
        <w:tc>
          <w:tcPr>
            <w:tcW w:w="22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360" w:type="dxa"/>
            <w:vAlign w:val="bottom"/>
            <w:tcBorders>
              <w:bottom w:val="single" w:sz="8" w:color="424E6A"/>
            </w:tcBorders>
            <w:shd w:val="clear" w:color="auto" w:fill="D9DCE1"/>
          </w:tcPr>
          <w:p>
            <w:pPr>
              <w:ind w:left="2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660" w:type="dxa"/>
            <w:vAlign w:val="bottom"/>
            <w:tcBorders>
              <w:bottom w:val="single" w:sz="8" w:color="424E6A"/>
            </w:tcBorders>
            <w:shd w:val="clear" w:color="auto" w:fill="D9DCE1"/>
          </w:tcPr>
          <w:p>
            <w:pPr>
              <w:jc w:val="right"/>
              <w:ind w:right="128"/>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34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52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3"/>
        </w:trPr>
        <w:tc>
          <w:tcPr>
            <w:tcW w:w="1140" w:type="dxa"/>
            <w:vAlign w:val="bottom"/>
            <w:tcBorders>
              <w:left w:val="single" w:sz="8" w:color="424E6A"/>
              <w:bottom w:val="single" w:sz="8" w:color="424E6A"/>
            </w:tcBorders>
            <w:gridSpan w:val="2"/>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Richard McGee </w:t>
            </w:r>
            <w:r>
              <w:rPr>
                <w:rFonts w:ascii="Arial" w:cs="Arial" w:eastAsia="Arial" w:hAnsi="Arial"/>
                <w:sz w:val="25"/>
                <w:szCs w:val="25"/>
                <w:color w:val="auto"/>
                <w:vertAlign w:val="subscript"/>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​2/19/25</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8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70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13"/>
                <w:szCs w:val="13"/>
                <w:color w:val="auto"/>
              </w:rPr>
              <w:t>885,000</w:t>
            </w:r>
            <w:r>
              <w:rPr>
                <w:rFonts w:ascii="Arial" w:cs="Arial" w:eastAsia="Arial" w:hAnsi="Arial"/>
                <w:sz w:val="25"/>
                <w:szCs w:val="25"/>
                <w:color w:val="auto"/>
                <w:vertAlign w:val="subscript"/>
              </w:rPr>
              <w:t>​​</w:t>
            </w:r>
          </w:p>
        </w:tc>
        <w:tc>
          <w:tcPr>
            <w:tcW w:w="860" w:type="dxa"/>
            <w:vAlign w:val="bottom"/>
            <w:tcBorders>
              <w:bottom w:val="single" w:sz="8" w:color="424E6A"/>
              <w:right w:val="single" w:sz="8" w:color="424E6A"/>
            </w:tcBorders>
            <w:gridSpan w:val="3"/>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r>
              <w:rPr>
                <w:rFonts w:ascii="Arial" w:cs="Arial" w:eastAsia="Arial" w:hAnsi="Arial"/>
                <w:sz w:val="25"/>
                <w:szCs w:val="25"/>
                <w:color w:val="auto"/>
                <w:vertAlign w:val="subscript"/>
              </w:rPr>
              <w:t>​</w:t>
            </w:r>
            <w:r>
              <w:rPr>
                <w:rFonts w:ascii="Arial" w:cs="Arial" w:eastAsia="Arial" w:hAnsi="Arial"/>
                <w:sz w:val="13"/>
                <w:szCs w:val="13"/>
                <w:color w:val="auto"/>
              </w:rPr>
              <w:t xml:space="preserve">1,770,000 </w:t>
            </w:r>
            <w:r>
              <w:rPr>
                <w:rFonts w:ascii="Arial" w:cs="Arial" w:eastAsia="Arial" w:hAnsi="Arial"/>
                <w:sz w:val="25"/>
                <w:szCs w:val="25"/>
                <w:color w:val="auto"/>
                <w:vertAlign w:val="subscript"/>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16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w w:val="85"/>
              </w:rPr>
              <w:t>—</w:t>
            </w:r>
          </w:p>
        </w:tc>
        <w:tc>
          <w:tcPr>
            <w:tcW w:w="18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tcBorders>
          </w:tcPr>
          <w:p>
            <w:pPr>
              <w:ind w:left="12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20" w:type="dxa"/>
            <w:vAlign w:val="bottom"/>
            <w:tcBorders>
              <w:bottom w:val="single" w:sz="8" w:color="424E6A"/>
            </w:tcBorders>
          </w:tcPr>
          <w:p>
            <w:pPr>
              <w:ind w:left="280"/>
              <w:spacing w:after="0"/>
              <w:rPr>
                <w:sz w:val="20"/>
                <w:szCs w:val="20"/>
                <w:color w:val="auto"/>
              </w:rPr>
            </w:pPr>
            <w:r>
              <w:rPr>
                <w:rFonts w:ascii="Arial" w:cs="Arial" w:eastAsia="Arial" w:hAnsi="Arial"/>
                <w:sz w:val="14"/>
                <w:szCs w:val="14"/>
                <w:color w:val="auto"/>
                <w:w w:val="85"/>
              </w:rPr>
              <w:t>—</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424E6A"/>
            </w:tcBorders>
          </w:tcPr>
          <w:p>
            <w:pPr>
              <w:ind w:left="2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60" w:type="dxa"/>
            <w:vAlign w:val="bottom"/>
            <w:tcBorders>
              <w:bottom w:val="single" w:sz="8" w:color="424E6A"/>
            </w:tcBorders>
          </w:tcPr>
          <w:p>
            <w:pPr>
              <w:ind w:left="2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3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​8/14/25</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8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380" w:type="dxa"/>
            <w:vAlign w:val="bottom"/>
            <w:tcBorders>
              <w:bottom w:val="single" w:sz="8" w:color="424E6A"/>
            </w:tcBorders>
          </w:tcPr>
          <w:p>
            <w:pPr>
              <w:spacing w:after="0"/>
              <w:rPr>
                <w:sz w:val="19"/>
                <w:szCs w:val="19"/>
                <w:color w:val="auto"/>
              </w:rPr>
            </w:pPr>
          </w:p>
        </w:tc>
        <w:tc>
          <w:tcPr>
            <w:tcW w:w="32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4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 ​</w:t>
            </w:r>
          </w:p>
        </w:tc>
        <w:tc>
          <w:tcPr>
            <w:tcW w:w="320" w:type="dxa"/>
            <w:vAlign w:val="bottom"/>
            <w:tcBorders>
              <w:bottom w:val="single" w:sz="8" w:color="424E6A"/>
            </w:tcBorders>
          </w:tcPr>
          <w:p>
            <w:pPr>
              <w:spacing w:after="0"/>
              <w:rPr>
                <w:sz w:val="19"/>
                <w:szCs w:val="19"/>
                <w:color w:val="auto"/>
              </w:rPr>
            </w:pP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gridSpan w:val="2"/>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56,325</w:t>
            </w:r>
          </w:p>
        </w:tc>
        <w:tc>
          <w:tcPr>
            <w:tcW w:w="18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24E6A"/>
            </w:tcBorders>
            <w:gridSpan w:val="2"/>
          </w:tcPr>
          <w:p>
            <w:pPr>
              <w:ind w:left="1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​112,650</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424E6A"/>
            </w:tcBorders>
            <w:gridSpan w:val="2"/>
          </w:tcPr>
          <w:p>
            <w:pPr>
              <w:ind w:left="2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56,325</w:t>
            </w:r>
            <w:r>
              <w:rPr>
                <w:rFonts w:ascii="Arial" w:cs="Arial" w:eastAsia="Arial" w:hAnsi="Arial"/>
                <w:sz w:val="16"/>
                <w:szCs w:val="16"/>
                <w:color w:val="auto"/>
                <w:vertAlign w:val="superscript"/>
              </w:rPr>
              <w:t>(2)</w:t>
            </w: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1,495,429</w:t>
            </w:r>
            <w:r>
              <w:rPr>
                <w:rFonts w:ascii="Arial" w:cs="Arial" w:eastAsia="Arial" w:hAnsi="Arial"/>
                <w:sz w:val="16"/>
                <w:szCs w:val="16"/>
                <w:color w:val="auto"/>
                <w:vertAlign w:val="superscript"/>
              </w:rPr>
              <w:t>(3)</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7"/>
        </w:trPr>
        <w:tc>
          <w:tcPr>
            <w:tcW w:w="1060" w:type="dxa"/>
            <w:vAlign w:val="bottom"/>
            <w:tcBorders>
              <w:left w:val="single" w:sz="8" w:color="424E6A"/>
              <w:bottom w:val="single" w:sz="8" w:color="424E6A"/>
            </w:tcBorders>
          </w:tcPr>
          <w:p>
            <w:pPr>
              <w:ind w:left="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560" w:type="dxa"/>
            <w:vAlign w:val="bottom"/>
            <w:tcBorders>
              <w:bottom w:val="single" w:sz="8" w:color="424E6A"/>
            </w:tcBorders>
            <w:shd w:val="clear" w:color="auto" w:fill="D9DCE1"/>
          </w:tcPr>
          <w:p>
            <w:pPr>
              <w:ind w:left="6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20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left w:val="single" w:sz="8" w:color="D9DCE1"/>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28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gridSpan w:val="2"/>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180" w:type="dxa"/>
            <w:vAlign w:val="bottom"/>
            <w:tcBorders>
              <w:bottom w:val="single" w:sz="8" w:color="424E6A"/>
            </w:tcBorders>
            <w:shd w:val="clear" w:color="auto" w:fill="D9DCE1"/>
          </w:tcPr>
          <w:p>
            <w:pPr>
              <w:ind w:left="6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380" w:type="dxa"/>
            <w:vAlign w:val="bottom"/>
            <w:tcBorders>
              <w:bottom w:val="single" w:sz="8" w:color="424E6A"/>
            </w:tcBorders>
            <w:shd w:val="clear" w:color="auto" w:fill="D9DCE1"/>
          </w:tcPr>
          <w:p>
            <w:pPr>
              <w:spacing w:after="0"/>
              <w:rPr>
                <w:sz w:val="24"/>
                <w:szCs w:val="24"/>
                <w:color w:val="auto"/>
              </w:rPr>
            </w:pPr>
          </w:p>
        </w:tc>
        <w:tc>
          <w:tcPr>
            <w:tcW w:w="3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2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 ​</w:t>
            </w:r>
          </w:p>
        </w:tc>
        <w:tc>
          <w:tcPr>
            <w:tcW w:w="320" w:type="dxa"/>
            <w:vAlign w:val="bottom"/>
            <w:tcBorders>
              <w:bottom w:val="single" w:sz="8" w:color="424E6A"/>
            </w:tcBorders>
            <w:shd w:val="clear" w:color="auto" w:fill="D9DCE1"/>
          </w:tcPr>
          <w:p>
            <w:pPr>
              <w:spacing w:after="0"/>
              <w:rPr>
                <w:sz w:val="24"/>
                <w:szCs w:val="24"/>
                <w:color w:val="auto"/>
              </w:rPr>
            </w:pPr>
          </w:p>
        </w:tc>
        <w:tc>
          <w:tcPr>
            <w:tcW w:w="30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720" w:type="dxa"/>
            <w:vAlign w:val="bottom"/>
            <w:tcBorders>
              <w:bottom w:val="single" w:sz="8" w:color="424E6A"/>
            </w:tcBorders>
            <w:shd w:val="clear" w:color="auto" w:fill="D9DCE1"/>
          </w:tcPr>
          <w:p>
            <w:pPr>
              <w:ind w:left="28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12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400" w:type="dxa"/>
            <w:vAlign w:val="bottom"/>
            <w:tcBorders>
              <w:bottom w:val="single" w:sz="8" w:color="424E6A"/>
            </w:tcBorders>
            <w:shd w:val="clear" w:color="auto" w:fill="D9DCE1"/>
          </w:tcPr>
          <w:p>
            <w:pPr>
              <w:ind w:left="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160" w:type="dxa"/>
            <w:vAlign w:val="bottom"/>
            <w:tcBorders>
              <w:bottom w:val="single" w:sz="8" w:color="424E6A"/>
            </w:tcBorders>
            <w:shd w:val="clear" w:color="auto" w:fill="D9DCE1"/>
          </w:tcPr>
          <w:p>
            <w:pPr>
              <w:spacing w:after="0"/>
              <w:rPr>
                <w:sz w:val="24"/>
                <w:szCs w:val="24"/>
                <w:color w:val="auto"/>
              </w:rPr>
            </w:pPr>
          </w:p>
        </w:tc>
        <w:tc>
          <w:tcPr>
            <w:tcW w:w="18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424E6A"/>
            </w:tcBorders>
            <w:shd w:val="clear" w:color="auto" w:fill="D9DCE1"/>
          </w:tcPr>
          <w:p>
            <w:pPr>
              <w:ind w:left="12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420" w:type="dxa"/>
            <w:vAlign w:val="bottom"/>
            <w:tcBorders>
              <w:bottom w:val="single" w:sz="8" w:color="424E6A"/>
            </w:tcBorders>
            <w:shd w:val="clear" w:color="auto" w:fill="D9DCE1"/>
          </w:tcPr>
          <w:p>
            <w:pPr>
              <w:spacing w:after="0"/>
              <w:rPr>
                <w:sz w:val="24"/>
                <w:szCs w:val="24"/>
                <w:color w:val="auto"/>
              </w:rPr>
            </w:pPr>
          </w:p>
        </w:tc>
        <w:tc>
          <w:tcPr>
            <w:tcW w:w="22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360" w:type="dxa"/>
            <w:vAlign w:val="bottom"/>
            <w:tcBorders>
              <w:bottom w:val="single" w:sz="8" w:color="424E6A"/>
            </w:tcBorders>
            <w:shd w:val="clear" w:color="auto" w:fill="D9DCE1"/>
          </w:tcPr>
          <w:p>
            <w:pPr>
              <w:ind w:left="2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660" w:type="dxa"/>
            <w:vAlign w:val="bottom"/>
            <w:tcBorders>
              <w:bottom w:val="single" w:sz="8" w:color="424E6A"/>
            </w:tcBorders>
            <w:shd w:val="clear" w:color="auto" w:fill="D9DCE1"/>
          </w:tcPr>
          <w:p>
            <w:pPr>
              <w:jc w:val="right"/>
              <w:ind w:right="128"/>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34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52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Chris Chandler</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​2/19/25</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8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70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13"/>
                <w:szCs w:val="13"/>
                <w:color w:val="auto"/>
              </w:rPr>
              <w:t>938,000</w:t>
            </w:r>
            <w:r>
              <w:rPr>
                <w:rFonts w:ascii="Arial" w:cs="Arial" w:eastAsia="Arial" w:hAnsi="Arial"/>
                <w:sz w:val="25"/>
                <w:szCs w:val="25"/>
                <w:color w:val="auto"/>
                <w:vertAlign w:val="subscript"/>
              </w:rPr>
              <w:t>​​</w:t>
            </w:r>
          </w:p>
        </w:tc>
        <w:tc>
          <w:tcPr>
            <w:tcW w:w="860" w:type="dxa"/>
            <w:vAlign w:val="bottom"/>
            <w:tcBorders>
              <w:bottom w:val="single" w:sz="8" w:color="424E6A"/>
              <w:right w:val="single" w:sz="8" w:color="424E6A"/>
            </w:tcBorders>
            <w:gridSpan w:val="3"/>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r>
              <w:rPr>
                <w:rFonts w:ascii="Arial" w:cs="Arial" w:eastAsia="Arial" w:hAnsi="Arial"/>
                <w:sz w:val="25"/>
                <w:szCs w:val="25"/>
                <w:color w:val="auto"/>
                <w:vertAlign w:val="subscript"/>
              </w:rPr>
              <w:t>​</w:t>
            </w:r>
            <w:r>
              <w:rPr>
                <w:rFonts w:ascii="Arial" w:cs="Arial" w:eastAsia="Arial" w:hAnsi="Arial"/>
                <w:sz w:val="13"/>
                <w:szCs w:val="13"/>
                <w:color w:val="auto"/>
              </w:rPr>
              <w:t xml:space="preserve">1,876,000 </w:t>
            </w:r>
            <w:r>
              <w:rPr>
                <w:rFonts w:ascii="Arial" w:cs="Arial" w:eastAsia="Arial" w:hAnsi="Arial"/>
                <w:sz w:val="25"/>
                <w:szCs w:val="25"/>
                <w:color w:val="auto"/>
                <w:vertAlign w:val="subscript"/>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6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w w:val="85"/>
              </w:rPr>
              <w:t>—</w:t>
            </w:r>
          </w:p>
        </w:tc>
        <w:tc>
          <w:tcPr>
            <w:tcW w:w="18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tcBorders>
          </w:tcPr>
          <w:p>
            <w:pPr>
              <w:ind w:left="1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420" w:type="dxa"/>
            <w:vAlign w:val="bottom"/>
            <w:tcBorders>
              <w:bottom w:val="single" w:sz="8" w:color="424E6A"/>
            </w:tcBorders>
          </w:tcPr>
          <w:p>
            <w:pPr>
              <w:ind w:left="280"/>
              <w:spacing w:after="0"/>
              <w:rPr>
                <w:sz w:val="20"/>
                <w:szCs w:val="20"/>
                <w:color w:val="auto"/>
              </w:rPr>
            </w:pPr>
            <w:r>
              <w:rPr>
                <w:rFonts w:ascii="Arial" w:cs="Arial" w:eastAsia="Arial" w:hAnsi="Arial"/>
                <w:sz w:val="14"/>
                <w:szCs w:val="14"/>
                <w:color w:val="auto"/>
                <w:w w:val="85"/>
              </w:rPr>
              <w:t>—</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424E6A"/>
            </w:tcBorders>
          </w:tcPr>
          <w:p>
            <w:pPr>
              <w:ind w:left="2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660" w:type="dxa"/>
            <w:vAlign w:val="bottom"/>
            <w:tcBorders>
              <w:bottom w:val="single" w:sz="8" w:color="424E6A"/>
            </w:tcBorders>
          </w:tcPr>
          <w:p>
            <w:pPr>
              <w:ind w:left="2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3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​8/14/25</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8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380" w:type="dxa"/>
            <w:vAlign w:val="bottom"/>
            <w:tcBorders>
              <w:bottom w:val="single" w:sz="8" w:color="424E6A"/>
            </w:tcBorders>
          </w:tcPr>
          <w:p>
            <w:pPr>
              <w:spacing w:after="0"/>
              <w:rPr>
                <w:sz w:val="19"/>
                <w:szCs w:val="19"/>
                <w:color w:val="auto"/>
              </w:rPr>
            </w:pPr>
          </w:p>
        </w:tc>
        <w:tc>
          <w:tcPr>
            <w:tcW w:w="32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4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 ​</w:t>
            </w:r>
          </w:p>
        </w:tc>
        <w:tc>
          <w:tcPr>
            <w:tcW w:w="320" w:type="dxa"/>
            <w:vAlign w:val="bottom"/>
            <w:tcBorders>
              <w:bottom w:val="single" w:sz="8" w:color="424E6A"/>
            </w:tcBorders>
          </w:tcPr>
          <w:p>
            <w:pPr>
              <w:spacing w:after="0"/>
              <w:rPr>
                <w:sz w:val="19"/>
                <w:szCs w:val="19"/>
                <w:color w:val="auto"/>
              </w:rPr>
            </w:pP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gridSpan w:val="2"/>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72,450</w:t>
            </w:r>
          </w:p>
        </w:tc>
        <w:tc>
          <w:tcPr>
            <w:tcW w:w="18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24E6A"/>
            </w:tcBorders>
            <w:gridSpan w:val="2"/>
          </w:tcPr>
          <w:p>
            <w:pPr>
              <w:ind w:left="1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​144,900</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424E6A"/>
            </w:tcBorders>
            <w:gridSpan w:val="2"/>
          </w:tcPr>
          <w:p>
            <w:pPr>
              <w:ind w:left="2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72,450</w:t>
            </w:r>
            <w:r>
              <w:rPr>
                <w:rFonts w:ascii="Arial" w:cs="Arial" w:eastAsia="Arial" w:hAnsi="Arial"/>
                <w:sz w:val="16"/>
                <w:szCs w:val="16"/>
                <w:color w:val="auto"/>
                <w:vertAlign w:val="superscript"/>
              </w:rPr>
              <w:t>(2)</w:t>
            </w: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1,923,548</w:t>
            </w:r>
            <w:r>
              <w:rPr>
                <w:rFonts w:ascii="Arial" w:cs="Arial" w:eastAsia="Arial" w:hAnsi="Arial"/>
                <w:sz w:val="16"/>
                <w:szCs w:val="16"/>
                <w:color w:val="auto"/>
                <w:vertAlign w:val="superscript"/>
              </w:rPr>
              <w:t>(3)</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​8/14/25</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8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380" w:type="dxa"/>
            <w:vAlign w:val="bottom"/>
            <w:tcBorders>
              <w:bottom w:val="single" w:sz="8" w:color="424E6A"/>
            </w:tcBorders>
          </w:tcPr>
          <w:p>
            <w:pPr>
              <w:spacing w:after="0"/>
              <w:rPr>
                <w:sz w:val="19"/>
                <w:szCs w:val="19"/>
                <w:color w:val="auto"/>
              </w:rPr>
            </w:pPr>
          </w:p>
        </w:tc>
        <w:tc>
          <w:tcPr>
            <w:tcW w:w="32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4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 ​</w:t>
            </w:r>
          </w:p>
        </w:tc>
        <w:tc>
          <w:tcPr>
            <w:tcW w:w="320" w:type="dxa"/>
            <w:vAlign w:val="bottom"/>
            <w:tcBorders>
              <w:bottom w:val="single" w:sz="8" w:color="424E6A"/>
            </w:tcBorders>
          </w:tcPr>
          <w:p>
            <w:pPr>
              <w:spacing w:after="0"/>
              <w:rPr>
                <w:sz w:val="19"/>
                <w:szCs w:val="19"/>
                <w:color w:val="auto"/>
              </w:rPr>
            </w:pP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16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w w:val="85"/>
              </w:rPr>
              <w:t>—</w:t>
            </w:r>
          </w:p>
        </w:tc>
        <w:tc>
          <w:tcPr>
            <w:tcW w:w="18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tcBorders>
          </w:tcPr>
          <w:p>
            <w:pPr>
              <w:ind w:left="12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20" w:type="dxa"/>
            <w:vAlign w:val="bottom"/>
            <w:tcBorders>
              <w:bottom w:val="single" w:sz="8" w:color="424E6A"/>
            </w:tcBorders>
          </w:tcPr>
          <w:p>
            <w:pPr>
              <w:ind w:left="280"/>
              <w:spacing w:after="0"/>
              <w:rPr>
                <w:sz w:val="20"/>
                <w:szCs w:val="20"/>
                <w:color w:val="auto"/>
              </w:rPr>
            </w:pPr>
            <w:r>
              <w:rPr>
                <w:rFonts w:ascii="Arial" w:cs="Arial" w:eastAsia="Arial" w:hAnsi="Arial"/>
                <w:sz w:val="14"/>
                <w:szCs w:val="14"/>
                <w:color w:val="auto"/>
                <w:w w:val="85"/>
              </w:rPr>
              <w:t>—</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424E6A"/>
            </w:tcBorders>
            <w:gridSpan w:val="2"/>
          </w:tcPr>
          <w:p>
            <w:pPr>
              <w:ind w:left="2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​327,350</w:t>
            </w:r>
            <w:r>
              <w:rPr>
                <w:rFonts w:ascii="Arial" w:cs="Arial" w:eastAsia="Arial" w:hAnsi="Arial"/>
                <w:sz w:val="16"/>
                <w:szCs w:val="16"/>
                <w:color w:val="auto"/>
                <w:vertAlign w:val="superscript"/>
              </w:rPr>
              <w:t>(5)</w:t>
            </w: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5,263,752</w:t>
            </w:r>
            <w:r>
              <w:rPr>
                <w:rFonts w:ascii="Arial" w:cs="Arial" w:eastAsia="Arial" w:hAnsi="Arial"/>
                <w:sz w:val="16"/>
                <w:szCs w:val="16"/>
                <w:color w:val="auto"/>
                <w:vertAlign w:val="superscript"/>
              </w:rPr>
              <w:t>(6)</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7"/>
        </w:trPr>
        <w:tc>
          <w:tcPr>
            <w:tcW w:w="1060" w:type="dxa"/>
            <w:vAlign w:val="bottom"/>
            <w:tcBorders>
              <w:left w:val="single" w:sz="8" w:color="424E6A"/>
              <w:bottom w:val="single" w:sz="8" w:color="424E6A"/>
            </w:tcBorders>
          </w:tcPr>
          <w:p>
            <w:pPr>
              <w:ind w:left="4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560" w:type="dxa"/>
            <w:vAlign w:val="bottom"/>
            <w:tcBorders>
              <w:bottom w:val="single" w:sz="8" w:color="424E6A"/>
            </w:tcBorders>
            <w:shd w:val="clear" w:color="auto" w:fill="D9DCE1"/>
          </w:tcPr>
          <w:p>
            <w:pPr>
              <w:ind w:left="6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w:t>
            </w:r>
          </w:p>
        </w:tc>
        <w:tc>
          <w:tcPr>
            <w:tcW w:w="20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left w:val="single" w:sz="8" w:color="D9DCE1"/>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28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gridSpan w:val="2"/>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180" w:type="dxa"/>
            <w:vAlign w:val="bottom"/>
            <w:tcBorders>
              <w:bottom w:val="single" w:sz="8" w:color="424E6A"/>
            </w:tcBorders>
            <w:shd w:val="clear" w:color="auto" w:fill="D9DCE1"/>
          </w:tcPr>
          <w:p>
            <w:pPr>
              <w:ind w:left="6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380" w:type="dxa"/>
            <w:vAlign w:val="bottom"/>
            <w:tcBorders>
              <w:bottom w:val="single" w:sz="8" w:color="424E6A"/>
            </w:tcBorders>
            <w:shd w:val="clear" w:color="auto" w:fill="D9DCE1"/>
          </w:tcPr>
          <w:p>
            <w:pPr>
              <w:spacing w:after="0"/>
              <w:rPr>
                <w:sz w:val="24"/>
                <w:szCs w:val="24"/>
                <w:color w:val="auto"/>
              </w:rPr>
            </w:pPr>
          </w:p>
        </w:tc>
        <w:tc>
          <w:tcPr>
            <w:tcW w:w="3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2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 ​</w:t>
            </w:r>
          </w:p>
        </w:tc>
        <w:tc>
          <w:tcPr>
            <w:tcW w:w="320" w:type="dxa"/>
            <w:vAlign w:val="bottom"/>
            <w:tcBorders>
              <w:bottom w:val="single" w:sz="8" w:color="424E6A"/>
            </w:tcBorders>
            <w:shd w:val="clear" w:color="auto" w:fill="D9DCE1"/>
          </w:tcPr>
          <w:p>
            <w:pPr>
              <w:spacing w:after="0"/>
              <w:rPr>
                <w:sz w:val="24"/>
                <w:szCs w:val="24"/>
                <w:color w:val="auto"/>
              </w:rPr>
            </w:pPr>
          </w:p>
        </w:tc>
        <w:tc>
          <w:tcPr>
            <w:tcW w:w="30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720" w:type="dxa"/>
            <w:vAlign w:val="bottom"/>
            <w:tcBorders>
              <w:bottom w:val="single" w:sz="8" w:color="424E6A"/>
            </w:tcBorders>
            <w:shd w:val="clear" w:color="auto" w:fill="D9DCE1"/>
          </w:tcPr>
          <w:p>
            <w:pPr>
              <w:ind w:left="28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12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400" w:type="dxa"/>
            <w:vAlign w:val="bottom"/>
            <w:tcBorders>
              <w:bottom w:val="single" w:sz="8" w:color="424E6A"/>
            </w:tcBorders>
            <w:shd w:val="clear" w:color="auto" w:fill="D9DCE1"/>
          </w:tcPr>
          <w:p>
            <w:pPr>
              <w:ind w:left="4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w:t>
            </w:r>
          </w:p>
        </w:tc>
        <w:tc>
          <w:tcPr>
            <w:tcW w:w="160" w:type="dxa"/>
            <w:vAlign w:val="bottom"/>
            <w:tcBorders>
              <w:bottom w:val="single" w:sz="8" w:color="424E6A"/>
            </w:tcBorders>
            <w:shd w:val="clear" w:color="auto" w:fill="D9DCE1"/>
          </w:tcPr>
          <w:p>
            <w:pPr>
              <w:spacing w:after="0"/>
              <w:rPr>
                <w:sz w:val="24"/>
                <w:szCs w:val="24"/>
                <w:color w:val="auto"/>
              </w:rPr>
            </w:pPr>
          </w:p>
        </w:tc>
        <w:tc>
          <w:tcPr>
            <w:tcW w:w="18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424E6A"/>
            </w:tcBorders>
            <w:shd w:val="clear" w:color="auto" w:fill="D9DCE1"/>
          </w:tcPr>
          <w:p>
            <w:pPr>
              <w:ind w:left="12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w:t>
            </w:r>
          </w:p>
        </w:tc>
        <w:tc>
          <w:tcPr>
            <w:tcW w:w="420" w:type="dxa"/>
            <w:vAlign w:val="bottom"/>
            <w:tcBorders>
              <w:bottom w:val="single" w:sz="8" w:color="424E6A"/>
            </w:tcBorders>
            <w:shd w:val="clear" w:color="auto" w:fill="D9DCE1"/>
          </w:tcPr>
          <w:p>
            <w:pPr>
              <w:spacing w:after="0"/>
              <w:rPr>
                <w:sz w:val="24"/>
                <w:szCs w:val="24"/>
                <w:color w:val="auto"/>
              </w:rPr>
            </w:pPr>
          </w:p>
        </w:tc>
        <w:tc>
          <w:tcPr>
            <w:tcW w:w="22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360" w:type="dxa"/>
            <w:vAlign w:val="bottom"/>
            <w:tcBorders>
              <w:bottom w:val="single" w:sz="8" w:color="424E6A"/>
            </w:tcBorders>
            <w:shd w:val="clear" w:color="auto" w:fill="D9DCE1"/>
          </w:tcPr>
          <w:p>
            <w:pPr>
              <w:ind w:left="24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w:t>
            </w:r>
          </w:p>
        </w:tc>
        <w:tc>
          <w:tcPr>
            <w:tcW w:w="660" w:type="dxa"/>
            <w:vAlign w:val="bottom"/>
            <w:tcBorders>
              <w:bottom w:val="single" w:sz="8" w:color="424E6A"/>
            </w:tcBorders>
            <w:shd w:val="clear" w:color="auto" w:fill="D9DCE1"/>
          </w:tcPr>
          <w:p>
            <w:pPr>
              <w:jc w:val="right"/>
              <w:ind w:right="128"/>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34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52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Jeremy Goebel</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​2/19/25</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8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70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13"/>
                <w:szCs w:val="13"/>
                <w:color w:val="auto"/>
              </w:rPr>
              <w:t>938,000</w:t>
            </w:r>
            <w:r>
              <w:rPr>
                <w:rFonts w:ascii="Arial" w:cs="Arial" w:eastAsia="Arial" w:hAnsi="Arial"/>
                <w:sz w:val="25"/>
                <w:szCs w:val="25"/>
                <w:color w:val="auto"/>
                <w:vertAlign w:val="subscript"/>
              </w:rPr>
              <w:t>​​</w:t>
            </w:r>
          </w:p>
        </w:tc>
        <w:tc>
          <w:tcPr>
            <w:tcW w:w="860" w:type="dxa"/>
            <w:vAlign w:val="bottom"/>
            <w:tcBorders>
              <w:bottom w:val="single" w:sz="8" w:color="424E6A"/>
              <w:right w:val="single" w:sz="8" w:color="424E6A"/>
            </w:tcBorders>
            <w:gridSpan w:val="3"/>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r>
              <w:rPr>
                <w:rFonts w:ascii="Arial" w:cs="Arial" w:eastAsia="Arial" w:hAnsi="Arial"/>
                <w:sz w:val="25"/>
                <w:szCs w:val="25"/>
                <w:color w:val="auto"/>
                <w:vertAlign w:val="subscript"/>
              </w:rPr>
              <w:t>​</w:t>
            </w:r>
            <w:r>
              <w:rPr>
                <w:rFonts w:ascii="Arial" w:cs="Arial" w:eastAsia="Arial" w:hAnsi="Arial"/>
                <w:sz w:val="13"/>
                <w:szCs w:val="13"/>
                <w:color w:val="auto"/>
              </w:rPr>
              <w:t xml:space="preserve">1,876,000 </w:t>
            </w:r>
            <w:r>
              <w:rPr>
                <w:rFonts w:ascii="Arial" w:cs="Arial" w:eastAsia="Arial" w:hAnsi="Arial"/>
                <w:sz w:val="25"/>
                <w:szCs w:val="25"/>
                <w:color w:val="auto"/>
                <w:vertAlign w:val="subscript"/>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16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w w:val="85"/>
              </w:rPr>
              <w:t>—</w:t>
            </w:r>
          </w:p>
        </w:tc>
        <w:tc>
          <w:tcPr>
            <w:tcW w:w="18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tcBorders>
          </w:tcPr>
          <w:p>
            <w:pPr>
              <w:ind w:left="12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20" w:type="dxa"/>
            <w:vAlign w:val="bottom"/>
            <w:tcBorders>
              <w:bottom w:val="single" w:sz="8" w:color="424E6A"/>
            </w:tcBorders>
          </w:tcPr>
          <w:p>
            <w:pPr>
              <w:ind w:left="280"/>
              <w:spacing w:after="0"/>
              <w:rPr>
                <w:sz w:val="20"/>
                <w:szCs w:val="20"/>
                <w:color w:val="auto"/>
              </w:rPr>
            </w:pPr>
            <w:r>
              <w:rPr>
                <w:rFonts w:ascii="Arial" w:cs="Arial" w:eastAsia="Arial" w:hAnsi="Arial"/>
                <w:sz w:val="14"/>
                <w:szCs w:val="14"/>
                <w:color w:val="auto"/>
                <w:w w:val="85"/>
              </w:rPr>
              <w:t>—</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424E6A"/>
            </w:tcBorders>
          </w:tcPr>
          <w:p>
            <w:pPr>
              <w:ind w:left="2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60" w:type="dxa"/>
            <w:vAlign w:val="bottom"/>
            <w:tcBorders>
              <w:bottom w:val="single" w:sz="8" w:color="424E6A"/>
            </w:tcBorders>
          </w:tcPr>
          <w:p>
            <w:pPr>
              <w:ind w:left="2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3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​8/14/25</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8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380" w:type="dxa"/>
            <w:vAlign w:val="bottom"/>
            <w:tcBorders>
              <w:bottom w:val="single" w:sz="8" w:color="424E6A"/>
            </w:tcBorders>
          </w:tcPr>
          <w:p>
            <w:pPr>
              <w:spacing w:after="0"/>
              <w:rPr>
                <w:sz w:val="19"/>
                <w:szCs w:val="19"/>
                <w:color w:val="auto"/>
              </w:rPr>
            </w:pPr>
          </w:p>
        </w:tc>
        <w:tc>
          <w:tcPr>
            <w:tcW w:w="32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4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 ​</w:t>
            </w:r>
          </w:p>
        </w:tc>
        <w:tc>
          <w:tcPr>
            <w:tcW w:w="320" w:type="dxa"/>
            <w:vAlign w:val="bottom"/>
            <w:tcBorders>
              <w:bottom w:val="single" w:sz="8" w:color="424E6A"/>
            </w:tcBorders>
          </w:tcPr>
          <w:p>
            <w:pPr>
              <w:spacing w:after="0"/>
              <w:rPr>
                <w:sz w:val="19"/>
                <w:szCs w:val="19"/>
                <w:color w:val="auto"/>
              </w:rPr>
            </w:pP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gridSpan w:val="2"/>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72,450</w:t>
            </w:r>
          </w:p>
        </w:tc>
        <w:tc>
          <w:tcPr>
            <w:tcW w:w="18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24E6A"/>
            </w:tcBorders>
            <w:gridSpan w:val="2"/>
          </w:tcPr>
          <w:p>
            <w:pPr>
              <w:ind w:left="1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​144,900</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424E6A"/>
            </w:tcBorders>
            <w:gridSpan w:val="2"/>
          </w:tcPr>
          <w:p>
            <w:pPr>
              <w:ind w:left="2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72,450</w:t>
            </w:r>
            <w:r>
              <w:rPr>
                <w:rFonts w:ascii="Arial" w:cs="Arial" w:eastAsia="Arial" w:hAnsi="Arial"/>
                <w:sz w:val="16"/>
                <w:szCs w:val="16"/>
                <w:color w:val="auto"/>
                <w:vertAlign w:val="superscript"/>
              </w:rPr>
              <w:t>(2)</w:t>
            </w: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1,923,548</w:t>
            </w:r>
            <w:r>
              <w:rPr>
                <w:rFonts w:ascii="Arial" w:cs="Arial" w:eastAsia="Arial" w:hAnsi="Arial"/>
                <w:sz w:val="16"/>
                <w:szCs w:val="16"/>
                <w:color w:val="auto"/>
                <w:vertAlign w:val="superscript"/>
              </w:rPr>
              <w:t>(3)</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​8/14/25</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8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380" w:type="dxa"/>
            <w:vAlign w:val="bottom"/>
            <w:tcBorders>
              <w:bottom w:val="single" w:sz="8" w:color="424E6A"/>
            </w:tcBorders>
          </w:tcPr>
          <w:p>
            <w:pPr>
              <w:spacing w:after="0"/>
              <w:rPr>
                <w:sz w:val="19"/>
                <w:szCs w:val="19"/>
                <w:color w:val="auto"/>
              </w:rPr>
            </w:pPr>
          </w:p>
        </w:tc>
        <w:tc>
          <w:tcPr>
            <w:tcW w:w="32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4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 ​</w:t>
            </w:r>
          </w:p>
        </w:tc>
        <w:tc>
          <w:tcPr>
            <w:tcW w:w="320" w:type="dxa"/>
            <w:vAlign w:val="bottom"/>
            <w:tcBorders>
              <w:bottom w:val="single" w:sz="8" w:color="424E6A"/>
            </w:tcBorders>
          </w:tcPr>
          <w:p>
            <w:pPr>
              <w:spacing w:after="0"/>
              <w:rPr>
                <w:sz w:val="19"/>
                <w:szCs w:val="19"/>
                <w:color w:val="auto"/>
              </w:rPr>
            </w:pP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16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w w:val="85"/>
              </w:rPr>
              <w:t>—</w:t>
            </w:r>
          </w:p>
        </w:tc>
        <w:tc>
          <w:tcPr>
            <w:tcW w:w="18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tcBorders>
          </w:tcPr>
          <w:p>
            <w:pPr>
              <w:ind w:left="12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20" w:type="dxa"/>
            <w:vAlign w:val="bottom"/>
            <w:tcBorders>
              <w:bottom w:val="single" w:sz="8" w:color="424E6A"/>
            </w:tcBorders>
          </w:tcPr>
          <w:p>
            <w:pPr>
              <w:ind w:left="280"/>
              <w:spacing w:after="0"/>
              <w:rPr>
                <w:sz w:val="20"/>
                <w:szCs w:val="20"/>
                <w:color w:val="auto"/>
              </w:rPr>
            </w:pPr>
            <w:r>
              <w:rPr>
                <w:rFonts w:ascii="Arial" w:cs="Arial" w:eastAsia="Arial" w:hAnsi="Arial"/>
                <w:sz w:val="14"/>
                <w:szCs w:val="14"/>
                <w:color w:val="auto"/>
                <w:w w:val="85"/>
              </w:rPr>
              <w:t>—</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424E6A"/>
            </w:tcBorders>
            <w:gridSpan w:val="2"/>
          </w:tcPr>
          <w:p>
            <w:pPr>
              <w:ind w:left="2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​545,550</w:t>
            </w:r>
            <w:r>
              <w:rPr>
                <w:rFonts w:ascii="Arial" w:cs="Arial" w:eastAsia="Arial" w:hAnsi="Arial"/>
                <w:sz w:val="16"/>
                <w:szCs w:val="16"/>
                <w:color w:val="auto"/>
                <w:vertAlign w:val="superscript"/>
              </w:rPr>
              <w:t>(5)</w:t>
            </w: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7,822,621</w:t>
            </w:r>
            <w:r>
              <w:rPr>
                <w:rFonts w:ascii="Arial" w:cs="Arial" w:eastAsia="Arial" w:hAnsi="Arial"/>
                <w:sz w:val="16"/>
                <w:szCs w:val="16"/>
                <w:color w:val="auto"/>
                <w:vertAlign w:val="superscript"/>
              </w:rPr>
              <w:t>(6)</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-3085465</wp:posOffset>
            </wp:positionV>
            <wp:extent cx="4732020" cy="3086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732020" cy="3086100"/>
                    </a:xfrm>
                    <a:prstGeom prst="rect">
                      <a:avLst/>
                    </a:prstGeom>
                    <a:noFill/>
                  </pic:spPr>
                </pic:pic>
              </a:graphicData>
            </a:graphic>
          </wp:anchor>
        </w:drawing>
      </w:r>
    </w:p>
    <w:p>
      <w:pPr>
        <w:spacing w:after="0" w:line="177" w:lineRule="exact"/>
        <w:rPr>
          <w:sz w:val="20"/>
          <w:szCs w:val="20"/>
          <w:color w:val="auto"/>
        </w:rPr>
      </w:pPr>
    </w:p>
    <w:p>
      <w:pPr>
        <w:ind w:left="1620" w:right="940" w:hanging="360"/>
        <w:spacing w:after="0" w:line="242" w:lineRule="auto"/>
        <w:tabs>
          <w:tab w:leader="none" w:pos="1620" w:val="left"/>
        </w:tabs>
        <w:numPr>
          <w:ilvl w:val="0"/>
          <w:numId w:val="50"/>
        </w:numPr>
        <w:rPr>
          <w:rFonts w:ascii="Arial" w:cs="Arial" w:eastAsia="Arial" w:hAnsi="Arial"/>
          <w:sz w:val="27"/>
          <w:szCs w:val="27"/>
          <w:color w:val="auto"/>
          <w:vertAlign w:val="superscript"/>
        </w:rPr>
      </w:pPr>
      <w:r>
        <w:rPr>
          <w:rFonts w:ascii="Arial" w:cs="Arial" w:eastAsia="Arial" w:hAnsi="Arial"/>
          <w:sz w:val="18"/>
          <w:szCs w:val="18"/>
          <w:color w:val="auto"/>
        </w:rPr>
        <w:t xml:space="preserve">Represents regular annual performance-based phantom units granted in August 2025. These phantom units will potentially vest on the August 2028 distribution date at a scaled payout range of between 0% and 200% based on: (i) with respect to 50% of the performance-based award, PAA’s TSR over the three-year period ending June 30, 2028 relative to the TSR of the TSR Comparator Peer Group described on page </w:t>
      </w:r>
      <w:r>
        <w:rPr>
          <w:rFonts w:ascii="Arial" w:cs="Arial" w:eastAsia="Arial" w:hAnsi="Arial"/>
          <w:sz w:val="18"/>
          <w:szCs w:val="18"/>
          <w:u w:val="single" w:color="auto"/>
          <w:color w:val="0000EE"/>
        </w:rPr>
        <w:t>31</w:t>
      </w:r>
      <w:r>
        <w:rPr>
          <w:rFonts w:ascii="Arial" w:cs="Arial" w:eastAsia="Arial" w:hAnsi="Arial"/>
          <w:sz w:val="18"/>
          <w:szCs w:val="18"/>
          <w:color w:val="auto"/>
        </w:rPr>
        <w:t xml:space="preserve"> (payout may be reduced if absolute TSR is negative); and (ii) with respect to the other 50% of the performance-based award, PAA achieving cumulative DCF per CUE of $8.40 over the three-year period ending June 30, 2028 (payout may be decreased by 25 basis points if PAA’s leverage ratio as of June 30, 2028 is greater than the upper end of our leverage guidance range). DERs associated with these performance-based awards will accrue during the three-year performance period and be paid in cash in a lump sum on the August 2028 distribution date with respect to the number of such phantom units, if any, that vest on such date.</w:t>
      </w:r>
    </w:p>
    <w:p>
      <w:pPr>
        <w:spacing w:after="0" w:line="97" w:lineRule="exact"/>
        <w:rPr>
          <w:rFonts w:ascii="Arial" w:cs="Arial" w:eastAsia="Arial" w:hAnsi="Arial"/>
          <w:sz w:val="27"/>
          <w:szCs w:val="27"/>
          <w:color w:val="auto"/>
          <w:vertAlign w:val="superscript"/>
        </w:rPr>
      </w:pPr>
    </w:p>
    <w:p>
      <w:pPr>
        <w:ind w:left="1620" w:right="980" w:hanging="360"/>
        <w:spacing w:after="0" w:line="232" w:lineRule="auto"/>
        <w:tabs>
          <w:tab w:leader="none" w:pos="1620" w:val="left"/>
        </w:tabs>
        <w:numPr>
          <w:ilvl w:val="0"/>
          <w:numId w:val="50"/>
        </w:numPr>
        <w:rPr>
          <w:rFonts w:ascii="Arial" w:cs="Arial" w:eastAsia="Arial" w:hAnsi="Arial"/>
          <w:sz w:val="27"/>
          <w:szCs w:val="27"/>
          <w:color w:val="auto"/>
          <w:vertAlign w:val="superscript"/>
        </w:rPr>
      </w:pPr>
      <w:r>
        <w:rPr>
          <w:rFonts w:ascii="Arial" w:cs="Arial" w:eastAsia="Arial" w:hAnsi="Arial"/>
          <w:sz w:val="18"/>
          <w:szCs w:val="18"/>
          <w:color w:val="auto"/>
        </w:rPr>
        <w:t>Represents regular annual time-based phantom units granted in August 2025. These phantom units will vest on the August 2028 distribution date. DERs associated with these time-based awards will accrue for the first year and such accrued amount will be paid in cash in a lump sum on the August 2026 distribution date; beginning in November 2026, DERs on such time-based portion will be paid quarterly until the associated phantom units vest.</w:t>
      </w:r>
    </w:p>
    <w:p>
      <w:pPr>
        <w:spacing w:after="0" w:line="114" w:lineRule="exact"/>
        <w:rPr>
          <w:rFonts w:ascii="Arial" w:cs="Arial" w:eastAsia="Arial" w:hAnsi="Arial"/>
          <w:sz w:val="27"/>
          <w:szCs w:val="27"/>
          <w:color w:val="auto"/>
          <w:vertAlign w:val="superscript"/>
        </w:rPr>
      </w:pPr>
    </w:p>
    <w:p>
      <w:pPr>
        <w:ind w:left="1620" w:right="1100" w:hanging="360"/>
        <w:spacing w:after="0" w:line="237" w:lineRule="auto"/>
        <w:tabs>
          <w:tab w:leader="none" w:pos="1620" w:val="left"/>
        </w:tabs>
        <w:numPr>
          <w:ilvl w:val="0"/>
          <w:numId w:val="50"/>
        </w:numPr>
        <w:rPr>
          <w:rFonts w:ascii="Arial" w:cs="Arial" w:eastAsia="Arial" w:hAnsi="Arial"/>
          <w:sz w:val="27"/>
          <w:szCs w:val="27"/>
          <w:color w:val="auto"/>
          <w:vertAlign w:val="superscript"/>
        </w:rPr>
      </w:pPr>
      <w:r>
        <w:rPr>
          <w:rFonts w:ascii="Arial" w:cs="Arial" w:eastAsia="Arial" w:hAnsi="Arial"/>
          <w:sz w:val="18"/>
          <w:szCs w:val="18"/>
          <w:color w:val="auto"/>
        </w:rPr>
        <w:t>Represents the grant date fair values of regular annual phantom units granted in August 2025 based on the probable outcome of underlying performance conditions pursuant to FASB guidance regarding share-based payments. For phantom unit grants awarded in August 2025, 75% were deemed probable of vesting on the grant date. The maximum grant date fair value of phantom unit grants awarded in August 2025, assuming that the highest level of performance conditions will be met, was $7,387,095 for Mr. Chiang, $1,926,645 for Mr. Swanson, $1,993,905 for Mr. McGee, and $2,564,730 for each of Messrs. Chandler and Goebel.</w:t>
      </w:r>
    </w:p>
    <w:p>
      <w:pPr>
        <w:spacing w:after="0" w:line="114" w:lineRule="exact"/>
        <w:rPr>
          <w:rFonts w:ascii="Arial" w:cs="Arial" w:eastAsia="Arial" w:hAnsi="Arial"/>
          <w:sz w:val="27"/>
          <w:szCs w:val="27"/>
          <w:color w:val="auto"/>
          <w:vertAlign w:val="superscript"/>
        </w:rPr>
      </w:pPr>
    </w:p>
    <w:p>
      <w:pPr>
        <w:ind w:left="1620" w:right="1060" w:hanging="360"/>
        <w:spacing w:after="0" w:line="220" w:lineRule="auto"/>
        <w:tabs>
          <w:tab w:leader="none" w:pos="1620" w:val="left"/>
        </w:tabs>
        <w:numPr>
          <w:ilvl w:val="0"/>
          <w:numId w:val="50"/>
        </w:numPr>
        <w:rPr>
          <w:rFonts w:ascii="Arial" w:cs="Arial" w:eastAsia="Arial" w:hAnsi="Arial"/>
          <w:sz w:val="26"/>
          <w:szCs w:val="26"/>
          <w:color w:val="auto"/>
          <w:vertAlign w:val="superscript"/>
        </w:rPr>
      </w:pPr>
      <w:r>
        <w:rPr>
          <w:rFonts w:ascii="Arial" w:cs="Arial" w:eastAsia="Arial" w:hAnsi="Arial"/>
          <w:sz w:val="17"/>
          <w:szCs w:val="17"/>
          <w:color w:val="auto"/>
        </w:rPr>
        <w:t>Represents the incremental value, calculated pursuant to FASB guidance regarding share-based payments, based on the probable outcome of underlying performance conditions resulting from the</w:t>
      </w:r>
    </w:p>
    <w:p>
      <w:pPr>
        <w:sectPr>
          <w:pgSz w:w="11900" w:h="16838" w:orient="portrait"/>
          <w:cols w:equalWidth="0" w:num="1">
            <w:col w:w="10400"/>
          </w:cols>
          <w:pgMar w:left="580" w:top="97" w:right="919" w:bottom="1440" w:gutter="0" w:footer="0" w:header="0"/>
        </w:sectPr>
      </w:pPr>
    </w:p>
    <w:p>
      <w:pPr>
        <w:spacing w:after="0" w:line="384"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400"/>
          </w:cols>
          <w:pgMar w:left="580" w:top="97" w:right="919"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539"/>
        <w:spacing w:after="0" w:line="259" w:lineRule="auto"/>
        <w:rPr>
          <w:sz w:val="20"/>
          <w:szCs w:val="20"/>
          <w:color w:val="auto"/>
        </w:rPr>
      </w:pPr>
      <w:r>
        <w:rPr>
          <w:rFonts w:ascii="Arial" w:cs="Arial" w:eastAsia="Arial" w:hAnsi="Arial"/>
          <w:sz w:val="18"/>
          <w:szCs w:val="18"/>
          <w:color w:val="auto"/>
        </w:rPr>
        <w:t>amendment in August 2025 of 500,000 performance-based phantom unit awards originally granted to Mr. Chiang in August 2018 in connection with his promotion to the CEO role. The amendment extended the expiration date of the phantom units from October 2025 to October 2030. The remaining terms of the original grant, including the number of units, vesting terms and other provisions, were unchanged.</w:t>
      </w:r>
    </w:p>
    <w:p>
      <w:pPr>
        <w:spacing w:after="0" w:line="112" w:lineRule="exact"/>
        <w:rPr>
          <w:sz w:val="20"/>
          <w:szCs w:val="20"/>
          <w:color w:val="auto"/>
        </w:rPr>
      </w:pPr>
    </w:p>
    <w:p>
      <w:pPr>
        <w:ind w:left="1620" w:right="499" w:hanging="360"/>
        <w:spacing w:after="0" w:line="253" w:lineRule="auto"/>
        <w:tabs>
          <w:tab w:leader="none" w:pos="1620" w:val="left"/>
        </w:tabs>
        <w:numPr>
          <w:ilvl w:val="0"/>
          <w:numId w:val="51"/>
        </w:numPr>
        <w:rPr>
          <w:rFonts w:ascii="Arial" w:cs="Arial" w:eastAsia="Arial" w:hAnsi="Arial"/>
          <w:sz w:val="26"/>
          <w:szCs w:val="26"/>
          <w:color w:val="auto"/>
          <w:vertAlign w:val="superscript"/>
        </w:rPr>
      </w:pPr>
      <w:r>
        <w:rPr>
          <w:rFonts w:ascii="Arial" w:cs="Arial" w:eastAsia="Arial" w:hAnsi="Arial"/>
          <w:sz w:val="17"/>
          <w:szCs w:val="17"/>
          <w:color w:val="auto"/>
        </w:rPr>
        <w:t>Represents time-based special retention grants phantom unit grants awarded to Messrs. Chandler and Goebel in August 2025. The Chandler Grant will vest on the August 2028 distribution date and the Goebel Grant will vest on the August 2030 distribution date, in each case assuming continued service through the respective vesting date. DERs associated with the Chandler Grant will vest as follows: (i) one-third will accrue for the first year and will be paid in lump sum on the August 2026 distribution date; beginning in November 2026, this portion of the DERs will be paid quarterly until the phantom units vest or terminate; and (ii) beginning with the August 2026 distribution date, an additional one-third of the DERs will vest each year on the August distribution date (such that 100% of the DERs will have vested by the August 2027 distribution date) and will be paid quarterly until the phantom units vest or terminate. DERs associated with the Goebel Grant will vest as follows:</w:t>
      </w:r>
    </w:p>
    <w:p>
      <w:pPr>
        <w:spacing w:after="0" w:line="8" w:lineRule="exact"/>
        <w:rPr>
          <w:rFonts w:ascii="Arial" w:cs="Arial" w:eastAsia="Arial" w:hAnsi="Arial"/>
          <w:sz w:val="26"/>
          <w:szCs w:val="26"/>
          <w:color w:val="auto"/>
          <w:vertAlign w:val="superscript"/>
        </w:rPr>
      </w:pPr>
    </w:p>
    <w:p>
      <w:pPr>
        <w:ind w:left="1620" w:right="599"/>
        <w:spacing w:after="0" w:line="253" w:lineRule="auto"/>
        <w:rPr>
          <w:rFonts w:ascii="Arial" w:cs="Arial" w:eastAsia="Arial" w:hAnsi="Arial"/>
          <w:sz w:val="26"/>
          <w:szCs w:val="26"/>
          <w:color w:val="auto"/>
          <w:vertAlign w:val="superscript"/>
        </w:rPr>
      </w:pPr>
      <w:r>
        <w:rPr>
          <w:rFonts w:ascii="Arial" w:cs="Arial" w:eastAsia="Arial" w:hAnsi="Arial"/>
          <w:sz w:val="18"/>
          <w:szCs w:val="18"/>
          <w:color w:val="auto"/>
        </w:rPr>
        <w:t>(i) 20% will accrue for the first year and will be paid in lump sum on the August 2026 distribution date; beginning in November 2026, this portion of the DERs will be paid quarterly until the phantom units vest or terminate; and (ii) beginning with the August 2026 distribution date, an additional 20% of the DERs will vest each year on the August distribution date (such that 100% of the DERs will have vested by the August 2029 distribution date) and will be paid quarterly until the phantom units vest or terminate.</w:t>
      </w:r>
    </w:p>
    <w:p>
      <w:pPr>
        <w:spacing w:after="0" w:line="117" w:lineRule="exact"/>
        <w:rPr>
          <w:rFonts w:ascii="Arial" w:cs="Arial" w:eastAsia="Arial" w:hAnsi="Arial"/>
          <w:sz w:val="26"/>
          <w:szCs w:val="26"/>
          <w:color w:val="auto"/>
          <w:vertAlign w:val="superscript"/>
        </w:rPr>
      </w:pPr>
    </w:p>
    <w:p>
      <w:pPr>
        <w:ind w:left="1620" w:right="419" w:hanging="360"/>
        <w:spacing w:after="0" w:line="232" w:lineRule="auto"/>
        <w:tabs>
          <w:tab w:leader="none" w:pos="1620" w:val="left"/>
        </w:tabs>
        <w:numPr>
          <w:ilvl w:val="0"/>
          <w:numId w:val="51"/>
        </w:numPr>
        <w:rPr>
          <w:rFonts w:ascii="Arial" w:cs="Arial" w:eastAsia="Arial" w:hAnsi="Arial"/>
          <w:sz w:val="27"/>
          <w:szCs w:val="27"/>
          <w:color w:val="auto"/>
          <w:vertAlign w:val="superscript"/>
        </w:rPr>
      </w:pPr>
      <w:r>
        <w:rPr>
          <w:rFonts w:ascii="Arial" w:cs="Arial" w:eastAsia="Arial" w:hAnsi="Arial"/>
          <w:sz w:val="18"/>
          <w:szCs w:val="18"/>
          <w:color w:val="auto"/>
        </w:rPr>
        <w:t>Represents the grant date fair value, calculated pursuant to FASB guidance regarding share-based payments, of special retention phantom unit grants awarded to Messrs. Chandler and Goebel in August 2025. These phantom unit grants were deemed 100% probable of vesting on the grant date. Therefore, the grant date fair value of these grants was $5,263,752 for Mr. Chandler and $7,822,621 for Mr. Goebel.</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44"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8"/>
          <w:szCs w:val="18"/>
          <w:color w:val="auto"/>
        </w:rPr>
        <w:t>A narrative description of all material factors necessary to an understanding of the information included in the above Summary Compensation Table is included in “— Compensation Discussion and Analysis” and in the footnotes to such table.</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Employment Contracts</w:t>
      </w:r>
    </w:p>
    <w:p>
      <w:pPr>
        <w:spacing w:after="0" w:line="158"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Mr. Chiang’s previous employment agreement was amended and restated in connection with his promotion to CEO in October 2018. Pursuant to the amended and restated agreement, which may be terminated by the Company or by Mr. Chiang at any time, Mr. Chiang’s compensation, which is described throughout this Executive Compensation section, is subject to adjustment by the Compensation Committee and full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following table sets forth certain information regarding outstanding equity awards for each of our</w:t>
      </w:r>
    </w:p>
    <w:p>
      <w:pPr>
        <w:spacing w:after="0" w:line="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Named Executive Officers as of December 31, 2025:</w:t>
      </w:r>
    </w:p>
    <w:p>
      <w:pPr>
        <w:spacing w:after="0" w:line="185" w:lineRule="exact"/>
        <w:rPr>
          <w:sz w:val="20"/>
          <w:szCs w:val="20"/>
          <w:color w:val="auto"/>
        </w:rPr>
      </w:pPr>
    </w:p>
    <w:tbl>
      <w:tblPr>
        <w:tblLayout w:type="fixed"/>
        <w:tblInd w:w="1270" w:type="dxa"/>
        <w:tblCellMar>
          <w:top w:w="0" w:type="dxa"/>
          <w:left w:w="0" w:type="dxa"/>
          <w:bottom w:w="0" w:type="dxa"/>
          <w:right w:w="0" w:type="dxa"/>
        </w:tblCellMar>
      </w:tblPr>
      <w:tr>
        <w:trPr>
          <w:trHeight w:val="291"/>
        </w:trPr>
        <w:tc>
          <w:tcPr>
            <w:tcW w:w="2040" w:type="dxa"/>
            <w:vAlign w:val="bottom"/>
            <w:tcBorders>
              <w:left w:val="single" w:sz="8" w:color="424E6A"/>
              <w:bottom w:val="single" w:sz="8" w:color="424E6A"/>
            </w:tcBorders>
            <w:shd w:val="clear" w:color="auto" w:fill="424E6A"/>
          </w:tcPr>
          <w:p>
            <w:pPr>
              <w:spacing w:after="0"/>
              <w:rPr>
                <w:sz w:val="24"/>
                <w:szCs w:val="24"/>
                <w:color w:val="auto"/>
              </w:rPr>
            </w:pPr>
          </w:p>
        </w:tc>
        <w:tc>
          <w:tcPr>
            <w:tcW w:w="820" w:type="dxa"/>
            <w:vAlign w:val="bottom"/>
            <w:tcBorders>
              <w:bottom w:val="single" w:sz="8" w:color="424E6A"/>
              <w:right w:val="single" w:sz="8" w:color="424E6A"/>
            </w:tcBorders>
            <w:shd w:val="clear" w:color="auto" w:fill="424E6A"/>
          </w:tcPr>
          <w:p>
            <w:pPr>
              <w:spacing w:after="0"/>
              <w:rPr>
                <w:sz w:val="24"/>
                <w:szCs w:val="24"/>
                <w:color w:val="auto"/>
              </w:rPr>
            </w:pPr>
          </w:p>
        </w:tc>
        <w:tc>
          <w:tcPr>
            <w:tcW w:w="80" w:type="dxa"/>
            <w:vAlign w:val="bottom"/>
            <w:tcBorders>
              <w:bottom w:val="single" w:sz="8" w:color="auto"/>
            </w:tcBorders>
            <w:shd w:val="clear" w:color="auto" w:fill="424E6A"/>
          </w:tcPr>
          <w:p>
            <w:pPr>
              <w:spacing w:after="0"/>
              <w:rPr>
                <w:sz w:val="24"/>
                <w:szCs w:val="24"/>
                <w:color w:val="auto"/>
              </w:rPr>
            </w:pPr>
          </w:p>
        </w:tc>
        <w:tc>
          <w:tcPr>
            <w:tcW w:w="260" w:type="dxa"/>
            <w:vAlign w:val="bottom"/>
            <w:tcBorders>
              <w:bottom w:val="single" w:sz="8" w:color="auto"/>
            </w:tcBorders>
            <w:shd w:val="clear" w:color="auto" w:fill="424E6A"/>
          </w:tcPr>
          <w:p>
            <w:pPr>
              <w:spacing w:after="0"/>
              <w:rPr>
                <w:sz w:val="24"/>
                <w:szCs w:val="24"/>
                <w:color w:val="auto"/>
              </w:rPr>
            </w:pPr>
          </w:p>
        </w:tc>
        <w:tc>
          <w:tcPr>
            <w:tcW w:w="740" w:type="dxa"/>
            <w:vAlign w:val="bottom"/>
            <w:tcBorders>
              <w:bottom w:val="single" w:sz="8" w:color="auto"/>
            </w:tcBorders>
            <w:shd w:val="clear" w:color="auto" w:fill="424E6A"/>
          </w:tcPr>
          <w:p>
            <w:pPr>
              <w:spacing w:after="0"/>
              <w:rPr>
                <w:sz w:val="24"/>
                <w:szCs w:val="24"/>
                <w:color w:val="auto"/>
              </w:rPr>
            </w:pPr>
          </w:p>
        </w:tc>
        <w:tc>
          <w:tcPr>
            <w:tcW w:w="20" w:type="dxa"/>
            <w:vAlign w:val="bottom"/>
            <w:tcBorders>
              <w:bottom w:val="single" w:sz="8" w:color="auto"/>
            </w:tcBorders>
            <w:shd w:val="clear" w:color="auto" w:fill="424E6A"/>
          </w:tcPr>
          <w:p>
            <w:pPr>
              <w:spacing w:after="0"/>
              <w:rPr>
                <w:sz w:val="24"/>
                <w:szCs w:val="24"/>
                <w:color w:val="auto"/>
              </w:rPr>
            </w:pPr>
          </w:p>
        </w:tc>
        <w:tc>
          <w:tcPr>
            <w:tcW w:w="220" w:type="dxa"/>
            <w:vAlign w:val="bottom"/>
            <w:tcBorders>
              <w:bottom w:val="single" w:sz="8" w:color="auto"/>
              <w:right w:val="single" w:sz="8" w:color="424E6A"/>
            </w:tcBorders>
            <w:shd w:val="clear" w:color="auto" w:fill="424E6A"/>
          </w:tcPr>
          <w:p>
            <w:pPr>
              <w:spacing w:after="0"/>
              <w:rPr>
                <w:sz w:val="24"/>
                <w:szCs w:val="24"/>
                <w:color w:val="auto"/>
              </w:rPr>
            </w:pPr>
          </w:p>
        </w:tc>
        <w:tc>
          <w:tcPr>
            <w:tcW w:w="260" w:type="dxa"/>
            <w:vAlign w:val="bottom"/>
            <w:tcBorders>
              <w:bottom w:val="single" w:sz="8" w:color="auto"/>
            </w:tcBorders>
            <w:shd w:val="clear" w:color="auto" w:fill="424E6A"/>
          </w:tcPr>
          <w:p>
            <w:pPr>
              <w:spacing w:after="0"/>
              <w:rPr>
                <w:sz w:val="24"/>
                <w:szCs w:val="24"/>
                <w:color w:val="auto"/>
              </w:rPr>
            </w:pPr>
          </w:p>
        </w:tc>
        <w:tc>
          <w:tcPr>
            <w:tcW w:w="2160" w:type="dxa"/>
            <w:vAlign w:val="bottom"/>
            <w:tcBorders>
              <w:bottom w:val="single" w:sz="8" w:color="auto"/>
            </w:tcBorders>
            <w:gridSpan w:val="5"/>
            <w:shd w:val="clear" w:color="auto" w:fill="424E6A"/>
          </w:tcPr>
          <w:p>
            <w:pPr>
              <w:jc w:val="right"/>
              <w:ind w:right="558"/>
              <w:spacing w:after="0"/>
              <w:rPr>
                <w:sz w:val="20"/>
                <w:szCs w:val="20"/>
                <w:color w:val="auto"/>
              </w:rPr>
            </w:pPr>
            <w:r>
              <w:rPr>
                <w:rFonts w:ascii="Arial" w:cs="Arial" w:eastAsia="Arial" w:hAnsi="Arial"/>
                <w:sz w:val="14"/>
                <w:szCs w:val="14"/>
                <w:b w:val="1"/>
                <w:bCs w:val="1"/>
                <w:color w:val="FFFFFF"/>
              </w:rPr>
              <w:t>Unit Awards</w:t>
            </w:r>
          </w:p>
        </w:tc>
        <w:tc>
          <w:tcPr>
            <w:tcW w:w="240" w:type="dxa"/>
            <w:vAlign w:val="bottom"/>
            <w:tcBorders>
              <w:bottom w:val="single" w:sz="8" w:color="auto"/>
              <w:right w:val="single" w:sz="8" w:color="424E6A"/>
            </w:tcBorders>
            <w:shd w:val="clear" w:color="auto" w:fill="424E6A"/>
          </w:tcPr>
          <w:p>
            <w:pPr>
              <w:spacing w:after="0"/>
              <w:rPr>
                <w:sz w:val="24"/>
                <w:szCs w:val="24"/>
                <w:color w:val="auto"/>
              </w:rPr>
            </w:pPr>
          </w:p>
        </w:tc>
        <w:tc>
          <w:tcPr>
            <w:tcW w:w="180" w:type="dxa"/>
            <w:vAlign w:val="bottom"/>
            <w:tcBorders>
              <w:bottom w:val="single" w:sz="8" w:color="auto"/>
            </w:tcBorders>
            <w:shd w:val="clear" w:color="auto" w:fill="424E6A"/>
          </w:tcPr>
          <w:p>
            <w:pPr>
              <w:spacing w:after="0"/>
              <w:rPr>
                <w:sz w:val="24"/>
                <w:szCs w:val="24"/>
                <w:color w:val="auto"/>
              </w:rPr>
            </w:pPr>
          </w:p>
        </w:tc>
        <w:tc>
          <w:tcPr>
            <w:tcW w:w="220" w:type="dxa"/>
            <w:vAlign w:val="bottom"/>
            <w:tcBorders>
              <w:bottom w:val="single" w:sz="8" w:color="auto"/>
            </w:tcBorders>
            <w:shd w:val="clear" w:color="auto" w:fill="424E6A"/>
          </w:tcPr>
          <w:p>
            <w:pPr>
              <w:spacing w:after="0"/>
              <w:rPr>
                <w:sz w:val="24"/>
                <w:szCs w:val="24"/>
                <w:color w:val="auto"/>
              </w:rPr>
            </w:pPr>
          </w:p>
        </w:tc>
        <w:tc>
          <w:tcPr>
            <w:tcW w:w="880" w:type="dxa"/>
            <w:vAlign w:val="bottom"/>
            <w:tcBorders>
              <w:bottom w:val="single" w:sz="8" w:color="auto"/>
            </w:tcBorders>
            <w:shd w:val="clear" w:color="auto" w:fill="424E6A"/>
          </w:tcPr>
          <w:p>
            <w:pPr>
              <w:spacing w:after="0"/>
              <w:rPr>
                <w:sz w:val="24"/>
                <w:szCs w:val="24"/>
                <w:color w:val="auto"/>
              </w:rPr>
            </w:pPr>
          </w:p>
        </w:tc>
        <w:tc>
          <w:tcPr>
            <w:tcW w:w="100" w:type="dxa"/>
            <w:vAlign w:val="bottom"/>
            <w:tcBorders>
              <w:bottom w:val="single" w:sz="8" w:color="auto"/>
              <w:right w:val="single" w:sz="8" w:color="424E6A"/>
            </w:tcBorders>
            <w:shd w:val="clear" w:color="auto" w:fill="424E6A"/>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40" w:type="dxa"/>
            <w:vAlign w:val="bottom"/>
            <w:tcBorders>
              <w:left w:val="single" w:sz="8" w:color="424E6A"/>
            </w:tcBorders>
            <w:shd w:val="clear" w:color="auto" w:fill="424E6A"/>
          </w:tcPr>
          <w:p>
            <w:pPr>
              <w:spacing w:after="0"/>
              <w:rPr>
                <w:sz w:val="15"/>
                <w:szCs w:val="15"/>
                <w:color w:val="auto"/>
              </w:rPr>
            </w:pPr>
          </w:p>
        </w:tc>
        <w:tc>
          <w:tcPr>
            <w:tcW w:w="820" w:type="dxa"/>
            <w:vAlign w:val="bottom"/>
            <w:tcBorders>
              <w:right w:val="single" w:sz="8" w:color="424E6A"/>
            </w:tcBorders>
            <w:shd w:val="clear" w:color="auto" w:fill="424E6A"/>
          </w:tcPr>
          <w:p>
            <w:pPr>
              <w:spacing w:after="0"/>
              <w:rPr>
                <w:sz w:val="15"/>
                <w:szCs w:val="15"/>
                <w:color w:val="auto"/>
              </w:rPr>
            </w:pPr>
          </w:p>
        </w:tc>
        <w:tc>
          <w:tcPr>
            <w:tcW w:w="80" w:type="dxa"/>
            <w:vAlign w:val="bottom"/>
            <w:shd w:val="clear" w:color="auto" w:fill="424E6A"/>
          </w:tcPr>
          <w:p>
            <w:pPr>
              <w:spacing w:after="0"/>
              <w:rPr>
                <w:sz w:val="15"/>
                <w:szCs w:val="15"/>
                <w:color w:val="auto"/>
              </w:rPr>
            </w:pPr>
          </w:p>
        </w:tc>
        <w:tc>
          <w:tcPr>
            <w:tcW w:w="260" w:type="dxa"/>
            <w:vAlign w:val="bottom"/>
            <w:shd w:val="clear" w:color="auto" w:fill="424E6A"/>
          </w:tcPr>
          <w:p>
            <w:pPr>
              <w:spacing w:after="0"/>
              <w:rPr>
                <w:sz w:val="15"/>
                <w:szCs w:val="15"/>
                <w:color w:val="auto"/>
              </w:rPr>
            </w:pPr>
          </w:p>
        </w:tc>
        <w:tc>
          <w:tcPr>
            <w:tcW w:w="740" w:type="dxa"/>
            <w:vAlign w:val="bottom"/>
            <w:shd w:val="clear" w:color="auto" w:fill="424E6A"/>
          </w:tcPr>
          <w:p>
            <w:pPr>
              <w:spacing w:after="0"/>
              <w:rPr>
                <w:sz w:val="15"/>
                <w:szCs w:val="15"/>
                <w:color w:val="auto"/>
              </w:rPr>
            </w:pPr>
          </w:p>
        </w:tc>
        <w:tc>
          <w:tcPr>
            <w:tcW w:w="20" w:type="dxa"/>
            <w:vAlign w:val="bottom"/>
            <w:shd w:val="clear" w:color="auto" w:fill="424E6A"/>
          </w:tcPr>
          <w:p>
            <w:pPr>
              <w:spacing w:after="0"/>
              <w:rPr>
                <w:sz w:val="15"/>
                <w:szCs w:val="15"/>
                <w:color w:val="auto"/>
              </w:rPr>
            </w:pPr>
          </w:p>
        </w:tc>
        <w:tc>
          <w:tcPr>
            <w:tcW w:w="220" w:type="dxa"/>
            <w:vAlign w:val="bottom"/>
            <w:tcBorders>
              <w:right w:val="single" w:sz="8" w:color="424E6A"/>
            </w:tcBorders>
            <w:shd w:val="clear" w:color="auto" w:fill="424E6A"/>
          </w:tcPr>
          <w:p>
            <w:pPr>
              <w:spacing w:after="0"/>
              <w:rPr>
                <w:sz w:val="15"/>
                <w:szCs w:val="15"/>
                <w:color w:val="auto"/>
              </w:rPr>
            </w:pPr>
          </w:p>
        </w:tc>
        <w:tc>
          <w:tcPr>
            <w:tcW w:w="260" w:type="dxa"/>
            <w:vAlign w:val="bottom"/>
            <w:shd w:val="clear" w:color="auto" w:fill="424E6A"/>
          </w:tcPr>
          <w:p>
            <w:pPr>
              <w:spacing w:after="0"/>
              <w:rPr>
                <w:sz w:val="15"/>
                <w:szCs w:val="15"/>
                <w:color w:val="auto"/>
              </w:rPr>
            </w:pPr>
          </w:p>
        </w:tc>
        <w:tc>
          <w:tcPr>
            <w:tcW w:w="760" w:type="dxa"/>
            <w:vAlign w:val="bottom"/>
            <w:shd w:val="clear" w:color="auto" w:fill="424E6A"/>
          </w:tcPr>
          <w:p>
            <w:pPr>
              <w:spacing w:after="0"/>
              <w:rPr>
                <w:sz w:val="15"/>
                <w:szCs w:val="15"/>
                <w:color w:val="auto"/>
              </w:rPr>
            </w:pPr>
          </w:p>
        </w:tc>
        <w:tc>
          <w:tcPr>
            <w:tcW w:w="240" w:type="dxa"/>
            <w:vAlign w:val="bottom"/>
            <w:tcBorders>
              <w:right w:val="single" w:sz="8" w:color="424E6A"/>
            </w:tcBorders>
            <w:shd w:val="clear" w:color="auto" w:fill="424E6A"/>
          </w:tcPr>
          <w:p>
            <w:pPr>
              <w:spacing w:after="0"/>
              <w:rPr>
                <w:sz w:val="15"/>
                <w:szCs w:val="15"/>
                <w:color w:val="auto"/>
              </w:rPr>
            </w:pPr>
          </w:p>
        </w:tc>
        <w:tc>
          <w:tcPr>
            <w:tcW w:w="180" w:type="dxa"/>
            <w:vAlign w:val="bottom"/>
            <w:shd w:val="clear" w:color="auto" w:fill="424E6A"/>
          </w:tcPr>
          <w:p>
            <w:pPr>
              <w:spacing w:after="0"/>
              <w:rPr>
                <w:sz w:val="15"/>
                <w:szCs w:val="15"/>
                <w:color w:val="auto"/>
              </w:rPr>
            </w:pPr>
          </w:p>
        </w:tc>
        <w:tc>
          <w:tcPr>
            <w:tcW w:w="220" w:type="dxa"/>
            <w:vAlign w:val="bottom"/>
            <w:shd w:val="clear" w:color="auto" w:fill="424E6A"/>
          </w:tcPr>
          <w:p>
            <w:pPr>
              <w:spacing w:after="0"/>
              <w:rPr>
                <w:sz w:val="15"/>
                <w:szCs w:val="15"/>
                <w:color w:val="auto"/>
              </w:rPr>
            </w:pPr>
          </w:p>
        </w:tc>
        <w:tc>
          <w:tcPr>
            <w:tcW w:w="760" w:type="dxa"/>
            <w:vAlign w:val="bottom"/>
            <w:shd w:val="clear" w:color="auto" w:fill="424E6A"/>
          </w:tcPr>
          <w:p>
            <w:pPr>
              <w:spacing w:after="0"/>
              <w:rPr>
                <w:sz w:val="15"/>
                <w:szCs w:val="15"/>
                <w:color w:val="auto"/>
              </w:rPr>
            </w:pPr>
          </w:p>
        </w:tc>
        <w:tc>
          <w:tcPr>
            <w:tcW w:w="240" w:type="dxa"/>
            <w:vAlign w:val="bottom"/>
            <w:tcBorders>
              <w:right w:val="single" w:sz="8" w:color="424E6A"/>
            </w:tcBorders>
            <w:shd w:val="clear" w:color="auto" w:fill="424E6A"/>
          </w:tcPr>
          <w:p>
            <w:pPr>
              <w:spacing w:after="0"/>
              <w:rPr>
                <w:sz w:val="15"/>
                <w:szCs w:val="15"/>
                <w:color w:val="auto"/>
              </w:rPr>
            </w:pPr>
          </w:p>
        </w:tc>
        <w:tc>
          <w:tcPr>
            <w:tcW w:w="180" w:type="dxa"/>
            <w:vAlign w:val="bottom"/>
            <w:shd w:val="clear" w:color="auto" w:fill="424E6A"/>
          </w:tcPr>
          <w:p>
            <w:pPr>
              <w:spacing w:after="0"/>
              <w:rPr>
                <w:sz w:val="15"/>
                <w:szCs w:val="15"/>
                <w:color w:val="auto"/>
              </w:rPr>
            </w:pPr>
          </w:p>
        </w:tc>
        <w:tc>
          <w:tcPr>
            <w:tcW w:w="220" w:type="dxa"/>
            <w:vAlign w:val="bottom"/>
            <w:shd w:val="clear" w:color="auto" w:fill="424E6A"/>
          </w:tcPr>
          <w:p>
            <w:pPr>
              <w:spacing w:after="0"/>
              <w:rPr>
                <w:sz w:val="15"/>
                <w:szCs w:val="15"/>
                <w:color w:val="auto"/>
              </w:rPr>
            </w:pPr>
          </w:p>
        </w:tc>
        <w:tc>
          <w:tcPr>
            <w:tcW w:w="880" w:type="dxa"/>
            <w:vAlign w:val="bottom"/>
            <w:shd w:val="clear" w:color="auto" w:fill="424E6A"/>
          </w:tcPr>
          <w:p>
            <w:pPr>
              <w:jc w:val="center"/>
              <w:ind w:right="158"/>
              <w:spacing w:after="0"/>
              <w:rPr>
                <w:sz w:val="20"/>
                <w:szCs w:val="20"/>
                <w:color w:val="auto"/>
              </w:rPr>
            </w:pPr>
            <w:r>
              <w:rPr>
                <w:rFonts w:ascii="Arial" w:cs="Arial" w:eastAsia="Arial" w:hAnsi="Arial"/>
                <w:sz w:val="14"/>
                <w:szCs w:val="14"/>
                <w:b w:val="1"/>
                <w:bCs w:val="1"/>
                <w:color w:val="FFFFFF"/>
              </w:rPr>
              <w:t>Equity</w:t>
            </w:r>
          </w:p>
        </w:tc>
        <w:tc>
          <w:tcPr>
            <w:tcW w:w="100" w:type="dxa"/>
            <w:vAlign w:val="bottom"/>
            <w:tcBorders>
              <w:right w:val="single" w:sz="8" w:color="424E6A"/>
            </w:tcBorders>
            <w:shd w:val="clear" w:color="auto" w:fill="424E6A"/>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40" w:type="dxa"/>
            <w:vAlign w:val="bottom"/>
            <w:tcBorders>
              <w:left w:val="single" w:sz="8" w:color="424E6A"/>
            </w:tcBorders>
            <w:shd w:val="clear" w:color="auto" w:fill="424E6A"/>
          </w:tcPr>
          <w:p>
            <w:pPr>
              <w:spacing w:after="0"/>
              <w:rPr>
                <w:sz w:val="14"/>
                <w:szCs w:val="14"/>
                <w:color w:val="auto"/>
              </w:rPr>
            </w:pPr>
          </w:p>
        </w:tc>
        <w:tc>
          <w:tcPr>
            <w:tcW w:w="8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740" w:type="dxa"/>
            <w:vAlign w:val="bottom"/>
            <w:shd w:val="clear" w:color="auto" w:fill="424E6A"/>
          </w:tcPr>
          <w:p>
            <w:pPr>
              <w:spacing w:after="0"/>
              <w:rPr>
                <w:sz w:val="14"/>
                <w:szCs w:val="14"/>
                <w:color w:val="auto"/>
              </w:rPr>
            </w:pPr>
          </w:p>
        </w:tc>
        <w:tc>
          <w:tcPr>
            <w:tcW w:w="20" w:type="dxa"/>
            <w:vAlign w:val="bottom"/>
            <w:shd w:val="clear" w:color="auto" w:fill="424E6A"/>
          </w:tcPr>
          <w:p>
            <w:pPr>
              <w:spacing w:after="0"/>
              <w:rPr>
                <w:sz w:val="14"/>
                <w:szCs w:val="14"/>
                <w:color w:val="auto"/>
              </w:rPr>
            </w:pPr>
          </w:p>
        </w:tc>
        <w:tc>
          <w:tcPr>
            <w:tcW w:w="220" w:type="dxa"/>
            <w:vAlign w:val="bottom"/>
            <w:tcBorders>
              <w:right w:val="single" w:sz="8" w:color="424E6A"/>
            </w:tcBorders>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760" w:type="dxa"/>
            <w:vAlign w:val="bottom"/>
            <w:shd w:val="clear" w:color="auto" w:fill="424E6A"/>
          </w:tcPr>
          <w:p>
            <w:pPr>
              <w:spacing w:after="0"/>
              <w:rPr>
                <w:sz w:val="14"/>
                <w:szCs w:val="14"/>
                <w:color w:val="auto"/>
              </w:rPr>
            </w:pP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60" w:type="dxa"/>
            <w:vAlign w:val="bottom"/>
            <w:shd w:val="clear" w:color="auto" w:fill="424E6A"/>
          </w:tcPr>
          <w:p>
            <w:pPr>
              <w:jc w:val="center"/>
              <w:ind w:right="158"/>
              <w:spacing w:after="0"/>
              <w:rPr>
                <w:sz w:val="20"/>
                <w:szCs w:val="20"/>
                <w:color w:val="auto"/>
              </w:rPr>
            </w:pPr>
            <w:r>
              <w:rPr>
                <w:rFonts w:ascii="Arial" w:cs="Arial" w:eastAsia="Arial" w:hAnsi="Arial"/>
                <w:sz w:val="14"/>
                <w:szCs w:val="14"/>
                <w:b w:val="1"/>
                <w:bCs w:val="1"/>
                <w:color w:val="FFFFFF"/>
              </w:rPr>
              <w:t>Equity</w:t>
            </w: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880" w:type="dxa"/>
            <w:vAlign w:val="bottom"/>
            <w:shd w:val="clear" w:color="auto" w:fill="424E6A"/>
          </w:tcPr>
          <w:p>
            <w:pPr>
              <w:jc w:val="center"/>
              <w:ind w:right="138"/>
              <w:spacing w:after="0"/>
              <w:rPr>
                <w:sz w:val="20"/>
                <w:szCs w:val="20"/>
                <w:color w:val="auto"/>
              </w:rPr>
            </w:pPr>
            <w:r>
              <w:rPr>
                <w:rFonts w:ascii="Arial" w:cs="Arial" w:eastAsia="Arial" w:hAnsi="Arial"/>
                <w:sz w:val="14"/>
                <w:szCs w:val="14"/>
                <w:b w:val="1"/>
                <w:bCs w:val="1"/>
                <w:color w:val="FFFFFF"/>
              </w:rPr>
              <w:t>Incentive</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Borders>
              <w:left w:val="single" w:sz="8" w:color="424E6A"/>
            </w:tcBorders>
            <w:shd w:val="clear" w:color="auto" w:fill="424E6A"/>
          </w:tcPr>
          <w:p>
            <w:pPr>
              <w:spacing w:after="0"/>
              <w:rPr>
                <w:sz w:val="14"/>
                <w:szCs w:val="14"/>
                <w:color w:val="auto"/>
              </w:rPr>
            </w:pPr>
          </w:p>
        </w:tc>
        <w:tc>
          <w:tcPr>
            <w:tcW w:w="8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740" w:type="dxa"/>
            <w:vAlign w:val="bottom"/>
            <w:shd w:val="clear" w:color="auto" w:fill="424E6A"/>
          </w:tcPr>
          <w:p>
            <w:pPr>
              <w:spacing w:after="0"/>
              <w:rPr>
                <w:sz w:val="14"/>
                <w:szCs w:val="14"/>
                <w:color w:val="auto"/>
              </w:rPr>
            </w:pPr>
          </w:p>
        </w:tc>
        <w:tc>
          <w:tcPr>
            <w:tcW w:w="20" w:type="dxa"/>
            <w:vAlign w:val="bottom"/>
            <w:shd w:val="clear" w:color="auto" w:fill="424E6A"/>
          </w:tcPr>
          <w:p>
            <w:pPr>
              <w:spacing w:after="0"/>
              <w:rPr>
                <w:sz w:val="14"/>
                <w:szCs w:val="14"/>
                <w:color w:val="auto"/>
              </w:rPr>
            </w:pPr>
          </w:p>
        </w:tc>
        <w:tc>
          <w:tcPr>
            <w:tcW w:w="220" w:type="dxa"/>
            <w:vAlign w:val="bottom"/>
            <w:tcBorders>
              <w:right w:val="single" w:sz="8" w:color="424E6A"/>
            </w:tcBorders>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760" w:type="dxa"/>
            <w:vAlign w:val="bottom"/>
            <w:shd w:val="clear" w:color="auto" w:fill="424E6A"/>
          </w:tcPr>
          <w:p>
            <w:pPr>
              <w:spacing w:after="0"/>
              <w:rPr>
                <w:sz w:val="14"/>
                <w:szCs w:val="14"/>
                <w:color w:val="auto"/>
              </w:rPr>
            </w:pP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9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Incentive</w:t>
            </w: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11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Plan Awards:</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Borders>
              <w:left w:val="single" w:sz="8" w:color="424E6A"/>
            </w:tcBorders>
            <w:shd w:val="clear" w:color="auto" w:fill="424E6A"/>
          </w:tcPr>
          <w:p>
            <w:pPr>
              <w:spacing w:after="0"/>
              <w:rPr>
                <w:sz w:val="14"/>
                <w:szCs w:val="14"/>
                <w:color w:val="auto"/>
              </w:rPr>
            </w:pPr>
          </w:p>
        </w:tc>
        <w:tc>
          <w:tcPr>
            <w:tcW w:w="8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740" w:type="dxa"/>
            <w:vAlign w:val="bottom"/>
            <w:shd w:val="clear" w:color="auto" w:fill="424E6A"/>
          </w:tcPr>
          <w:p>
            <w:pPr>
              <w:spacing w:after="0"/>
              <w:rPr>
                <w:sz w:val="14"/>
                <w:szCs w:val="14"/>
                <w:color w:val="auto"/>
              </w:rPr>
            </w:pPr>
          </w:p>
        </w:tc>
        <w:tc>
          <w:tcPr>
            <w:tcW w:w="20" w:type="dxa"/>
            <w:vAlign w:val="bottom"/>
            <w:shd w:val="clear" w:color="auto" w:fill="424E6A"/>
          </w:tcPr>
          <w:p>
            <w:pPr>
              <w:spacing w:after="0"/>
              <w:rPr>
                <w:sz w:val="14"/>
                <w:szCs w:val="14"/>
                <w:color w:val="auto"/>
              </w:rPr>
            </w:pPr>
          </w:p>
        </w:tc>
        <w:tc>
          <w:tcPr>
            <w:tcW w:w="220" w:type="dxa"/>
            <w:vAlign w:val="bottom"/>
            <w:tcBorders>
              <w:right w:val="single" w:sz="8" w:color="424E6A"/>
            </w:tcBorders>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760" w:type="dxa"/>
            <w:vAlign w:val="bottom"/>
            <w:shd w:val="clear" w:color="auto" w:fill="424E6A"/>
          </w:tcPr>
          <w:p>
            <w:pPr>
              <w:spacing w:after="0"/>
              <w:rPr>
                <w:sz w:val="14"/>
                <w:szCs w:val="14"/>
                <w:color w:val="auto"/>
              </w:rPr>
            </w:pP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9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Plan Awards:</w:t>
            </w: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880" w:type="dxa"/>
            <w:vAlign w:val="bottom"/>
            <w:shd w:val="clear" w:color="auto" w:fill="424E6A"/>
          </w:tcPr>
          <w:p>
            <w:pPr>
              <w:jc w:val="center"/>
              <w:ind w:right="158"/>
              <w:spacing w:after="0"/>
              <w:rPr>
                <w:sz w:val="20"/>
                <w:szCs w:val="20"/>
                <w:color w:val="auto"/>
              </w:rPr>
            </w:pPr>
            <w:r>
              <w:rPr>
                <w:rFonts w:ascii="Arial" w:cs="Arial" w:eastAsia="Arial" w:hAnsi="Arial"/>
                <w:sz w:val="14"/>
                <w:szCs w:val="14"/>
                <w:b w:val="1"/>
                <w:bCs w:val="1"/>
                <w:color w:val="FFFFFF"/>
              </w:rPr>
              <w:t>Market or</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Borders>
              <w:left w:val="single" w:sz="8" w:color="424E6A"/>
            </w:tcBorders>
            <w:shd w:val="clear" w:color="auto" w:fill="424E6A"/>
          </w:tcPr>
          <w:p>
            <w:pPr>
              <w:spacing w:after="0"/>
              <w:rPr>
                <w:sz w:val="14"/>
                <w:szCs w:val="14"/>
                <w:color w:val="auto"/>
              </w:rPr>
            </w:pPr>
          </w:p>
        </w:tc>
        <w:tc>
          <w:tcPr>
            <w:tcW w:w="8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740" w:type="dxa"/>
            <w:vAlign w:val="bottom"/>
            <w:shd w:val="clear" w:color="auto" w:fill="424E6A"/>
          </w:tcPr>
          <w:p>
            <w:pPr>
              <w:spacing w:after="0"/>
              <w:rPr>
                <w:sz w:val="14"/>
                <w:szCs w:val="14"/>
                <w:color w:val="auto"/>
              </w:rPr>
            </w:pPr>
          </w:p>
        </w:tc>
        <w:tc>
          <w:tcPr>
            <w:tcW w:w="20" w:type="dxa"/>
            <w:vAlign w:val="bottom"/>
            <w:shd w:val="clear" w:color="auto" w:fill="424E6A"/>
          </w:tcPr>
          <w:p>
            <w:pPr>
              <w:spacing w:after="0"/>
              <w:rPr>
                <w:sz w:val="14"/>
                <w:szCs w:val="14"/>
                <w:color w:val="auto"/>
              </w:rPr>
            </w:pPr>
          </w:p>
        </w:tc>
        <w:tc>
          <w:tcPr>
            <w:tcW w:w="220" w:type="dxa"/>
            <w:vAlign w:val="bottom"/>
            <w:tcBorders>
              <w:right w:val="single" w:sz="8" w:color="424E6A"/>
            </w:tcBorders>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760" w:type="dxa"/>
            <w:vAlign w:val="bottom"/>
            <w:shd w:val="clear" w:color="auto" w:fill="424E6A"/>
          </w:tcPr>
          <w:p>
            <w:pPr>
              <w:jc w:val="center"/>
              <w:ind w:right="19"/>
              <w:spacing w:after="0"/>
              <w:rPr>
                <w:sz w:val="20"/>
                <w:szCs w:val="20"/>
                <w:color w:val="auto"/>
              </w:rPr>
            </w:pPr>
            <w:r>
              <w:rPr>
                <w:rFonts w:ascii="Arial" w:cs="Arial" w:eastAsia="Arial" w:hAnsi="Arial"/>
                <w:sz w:val="14"/>
                <w:szCs w:val="14"/>
                <w:b w:val="1"/>
                <w:bCs w:val="1"/>
                <w:color w:val="FFFFFF"/>
              </w:rPr>
              <w:t>Market</w:t>
            </w: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9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Number of</w:t>
            </w: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11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Payout Value</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Borders>
              <w:left w:val="single" w:sz="8" w:color="424E6A"/>
            </w:tcBorders>
            <w:shd w:val="clear" w:color="auto" w:fill="424E6A"/>
          </w:tcPr>
          <w:p>
            <w:pPr>
              <w:spacing w:after="0"/>
              <w:rPr>
                <w:sz w:val="14"/>
                <w:szCs w:val="14"/>
                <w:color w:val="auto"/>
              </w:rPr>
            </w:pPr>
          </w:p>
        </w:tc>
        <w:tc>
          <w:tcPr>
            <w:tcW w:w="8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740" w:type="dxa"/>
            <w:vAlign w:val="bottom"/>
            <w:shd w:val="clear" w:color="auto" w:fill="424E6A"/>
          </w:tcPr>
          <w:p>
            <w:pPr>
              <w:spacing w:after="0"/>
              <w:rPr>
                <w:sz w:val="14"/>
                <w:szCs w:val="14"/>
                <w:color w:val="auto"/>
              </w:rPr>
            </w:pPr>
          </w:p>
        </w:tc>
        <w:tc>
          <w:tcPr>
            <w:tcW w:w="20" w:type="dxa"/>
            <w:vAlign w:val="bottom"/>
            <w:shd w:val="clear" w:color="auto" w:fill="424E6A"/>
          </w:tcPr>
          <w:p>
            <w:pPr>
              <w:spacing w:after="0"/>
              <w:rPr>
                <w:sz w:val="14"/>
                <w:szCs w:val="14"/>
                <w:color w:val="auto"/>
              </w:rPr>
            </w:pPr>
          </w:p>
        </w:tc>
        <w:tc>
          <w:tcPr>
            <w:tcW w:w="220" w:type="dxa"/>
            <w:vAlign w:val="bottom"/>
            <w:tcBorders>
              <w:right w:val="single" w:sz="8" w:color="424E6A"/>
            </w:tcBorders>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760" w:type="dxa"/>
            <w:vAlign w:val="bottom"/>
            <w:shd w:val="clear" w:color="auto" w:fill="424E6A"/>
          </w:tcPr>
          <w:p>
            <w:pPr>
              <w:jc w:val="center"/>
              <w:ind w:right="19"/>
              <w:spacing w:after="0"/>
              <w:rPr>
                <w:sz w:val="20"/>
                <w:szCs w:val="20"/>
                <w:color w:val="auto"/>
              </w:rPr>
            </w:pPr>
            <w:r>
              <w:rPr>
                <w:rFonts w:ascii="Arial" w:cs="Arial" w:eastAsia="Arial" w:hAnsi="Arial"/>
                <w:sz w:val="14"/>
                <w:szCs w:val="14"/>
                <w:b w:val="1"/>
                <w:bCs w:val="1"/>
                <w:color w:val="FFFFFF"/>
                <w:w w:val="99"/>
              </w:rPr>
              <w:t>Value of</w:t>
            </w: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9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Unearned</w:t>
            </w: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11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of Unearned</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Borders>
              <w:left w:val="single" w:sz="8" w:color="424E6A"/>
            </w:tcBorders>
            <w:shd w:val="clear" w:color="auto" w:fill="424E6A"/>
          </w:tcPr>
          <w:p>
            <w:pPr>
              <w:spacing w:after="0"/>
              <w:rPr>
                <w:sz w:val="14"/>
                <w:szCs w:val="14"/>
                <w:color w:val="auto"/>
              </w:rPr>
            </w:pPr>
          </w:p>
        </w:tc>
        <w:tc>
          <w:tcPr>
            <w:tcW w:w="8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w w:val="99"/>
              </w:rPr>
              <w:t>Number of</w:t>
            </w:r>
          </w:p>
        </w:tc>
        <w:tc>
          <w:tcPr>
            <w:tcW w:w="20" w:type="dxa"/>
            <w:vAlign w:val="bottom"/>
            <w:shd w:val="clear" w:color="auto" w:fill="424E6A"/>
          </w:tcPr>
          <w:p>
            <w:pPr>
              <w:spacing w:after="0"/>
              <w:rPr>
                <w:sz w:val="14"/>
                <w:szCs w:val="14"/>
                <w:color w:val="auto"/>
              </w:rPr>
            </w:pPr>
          </w:p>
        </w:tc>
        <w:tc>
          <w:tcPr>
            <w:tcW w:w="220" w:type="dxa"/>
            <w:vAlign w:val="bottom"/>
            <w:tcBorders>
              <w:right w:val="single" w:sz="8" w:color="424E6A"/>
            </w:tcBorders>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760" w:type="dxa"/>
            <w:vAlign w:val="bottom"/>
            <w:shd w:val="clear" w:color="auto" w:fill="424E6A"/>
          </w:tcPr>
          <w:p>
            <w:pPr>
              <w:jc w:val="center"/>
              <w:ind w:right="19"/>
              <w:spacing w:after="0"/>
              <w:rPr>
                <w:sz w:val="20"/>
                <w:szCs w:val="20"/>
                <w:color w:val="auto"/>
              </w:rPr>
            </w:pPr>
            <w:r>
              <w:rPr>
                <w:rFonts w:ascii="Arial" w:cs="Arial" w:eastAsia="Arial" w:hAnsi="Arial"/>
                <w:sz w:val="14"/>
                <w:szCs w:val="14"/>
                <w:b w:val="1"/>
                <w:bCs w:val="1"/>
                <w:color w:val="FFFFFF"/>
              </w:rPr>
              <w:t>Shares or</w:t>
            </w: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60" w:type="dxa"/>
            <w:vAlign w:val="bottom"/>
            <w:shd w:val="clear" w:color="auto" w:fill="424E6A"/>
          </w:tcPr>
          <w:p>
            <w:pPr>
              <w:jc w:val="center"/>
              <w:ind w:right="158"/>
              <w:spacing w:after="0"/>
              <w:rPr>
                <w:sz w:val="20"/>
                <w:szCs w:val="20"/>
                <w:color w:val="auto"/>
              </w:rPr>
            </w:pPr>
            <w:r>
              <w:rPr>
                <w:rFonts w:ascii="Arial" w:cs="Arial" w:eastAsia="Arial" w:hAnsi="Arial"/>
                <w:sz w:val="14"/>
                <w:szCs w:val="14"/>
                <w:b w:val="1"/>
                <w:bCs w:val="1"/>
                <w:color w:val="FFFFFF"/>
              </w:rPr>
              <w:t>Shares,</w:t>
            </w: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880" w:type="dxa"/>
            <w:vAlign w:val="bottom"/>
            <w:shd w:val="clear" w:color="auto" w:fill="424E6A"/>
          </w:tcPr>
          <w:p>
            <w:pPr>
              <w:jc w:val="center"/>
              <w:ind w:right="158"/>
              <w:spacing w:after="0"/>
              <w:rPr>
                <w:sz w:val="20"/>
                <w:szCs w:val="20"/>
                <w:color w:val="auto"/>
              </w:rPr>
            </w:pPr>
            <w:r>
              <w:rPr>
                <w:rFonts w:ascii="Arial" w:cs="Arial" w:eastAsia="Arial" w:hAnsi="Arial"/>
                <w:sz w:val="14"/>
                <w:szCs w:val="14"/>
                <w:b w:val="1"/>
                <w:bCs w:val="1"/>
                <w:color w:val="FFFFFF"/>
              </w:rPr>
              <w:t>Shares,</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Borders>
              <w:left w:val="single" w:sz="8" w:color="424E6A"/>
            </w:tcBorders>
            <w:shd w:val="clear" w:color="auto" w:fill="424E6A"/>
          </w:tcPr>
          <w:p>
            <w:pPr>
              <w:spacing w:after="0"/>
              <w:rPr>
                <w:sz w:val="14"/>
                <w:szCs w:val="14"/>
                <w:color w:val="auto"/>
              </w:rPr>
            </w:pPr>
          </w:p>
        </w:tc>
        <w:tc>
          <w:tcPr>
            <w:tcW w:w="8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Shares or</w:t>
            </w:r>
          </w:p>
        </w:tc>
        <w:tc>
          <w:tcPr>
            <w:tcW w:w="20" w:type="dxa"/>
            <w:vAlign w:val="bottom"/>
            <w:shd w:val="clear" w:color="auto" w:fill="424E6A"/>
          </w:tcPr>
          <w:p>
            <w:pPr>
              <w:spacing w:after="0"/>
              <w:rPr>
                <w:sz w:val="14"/>
                <w:szCs w:val="14"/>
                <w:color w:val="auto"/>
              </w:rPr>
            </w:pPr>
          </w:p>
        </w:tc>
        <w:tc>
          <w:tcPr>
            <w:tcW w:w="220" w:type="dxa"/>
            <w:vAlign w:val="bottom"/>
            <w:tcBorders>
              <w:right w:val="single" w:sz="8" w:color="424E6A"/>
            </w:tcBorders>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760" w:type="dxa"/>
            <w:vAlign w:val="bottom"/>
            <w:shd w:val="clear" w:color="auto" w:fill="424E6A"/>
          </w:tcPr>
          <w:p>
            <w:pPr>
              <w:jc w:val="center"/>
              <w:ind w:right="19"/>
              <w:spacing w:after="0"/>
              <w:rPr>
                <w:sz w:val="20"/>
                <w:szCs w:val="20"/>
                <w:color w:val="auto"/>
              </w:rPr>
            </w:pPr>
            <w:r>
              <w:rPr>
                <w:rFonts w:ascii="Arial" w:cs="Arial" w:eastAsia="Arial" w:hAnsi="Arial"/>
                <w:sz w:val="14"/>
                <w:szCs w:val="14"/>
                <w:b w:val="1"/>
                <w:bCs w:val="1"/>
                <w:color w:val="FFFFFF"/>
              </w:rPr>
              <w:t>Units of</w:t>
            </w: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9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Units or</w:t>
            </w: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880" w:type="dxa"/>
            <w:vAlign w:val="bottom"/>
            <w:shd w:val="clear" w:color="auto" w:fill="424E6A"/>
          </w:tcPr>
          <w:p>
            <w:pPr>
              <w:jc w:val="center"/>
              <w:ind w:right="138"/>
              <w:spacing w:after="0"/>
              <w:rPr>
                <w:sz w:val="20"/>
                <w:szCs w:val="20"/>
                <w:color w:val="auto"/>
              </w:rPr>
            </w:pPr>
            <w:r>
              <w:rPr>
                <w:rFonts w:ascii="Arial" w:cs="Arial" w:eastAsia="Arial" w:hAnsi="Arial"/>
                <w:sz w:val="14"/>
                <w:szCs w:val="14"/>
                <w:b w:val="1"/>
                <w:bCs w:val="1"/>
                <w:color w:val="FFFFFF"/>
              </w:rPr>
              <w:t>Units or</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Borders>
              <w:left w:val="single" w:sz="8" w:color="424E6A"/>
            </w:tcBorders>
            <w:shd w:val="clear" w:color="auto" w:fill="424E6A"/>
          </w:tcPr>
          <w:p>
            <w:pPr>
              <w:spacing w:after="0"/>
              <w:rPr>
                <w:sz w:val="14"/>
                <w:szCs w:val="14"/>
                <w:color w:val="auto"/>
              </w:rPr>
            </w:pPr>
          </w:p>
        </w:tc>
        <w:tc>
          <w:tcPr>
            <w:tcW w:w="8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Units of Stock</w:t>
            </w:r>
          </w:p>
        </w:tc>
        <w:tc>
          <w:tcPr>
            <w:tcW w:w="20" w:type="dxa"/>
            <w:vAlign w:val="bottom"/>
            <w:shd w:val="clear" w:color="auto" w:fill="424E6A"/>
          </w:tcPr>
          <w:p>
            <w:pPr>
              <w:spacing w:after="0"/>
              <w:rPr>
                <w:sz w:val="14"/>
                <w:szCs w:val="14"/>
                <w:color w:val="auto"/>
              </w:rPr>
            </w:pPr>
          </w:p>
        </w:tc>
        <w:tc>
          <w:tcPr>
            <w:tcW w:w="220" w:type="dxa"/>
            <w:vAlign w:val="bottom"/>
            <w:tcBorders>
              <w:right w:val="single" w:sz="8" w:color="424E6A"/>
            </w:tcBorders>
            <w:shd w:val="clear" w:color="auto" w:fill="424E6A"/>
          </w:tcPr>
          <w:p>
            <w:pPr>
              <w:spacing w:after="0"/>
              <w:rPr>
                <w:sz w:val="14"/>
                <w:szCs w:val="14"/>
                <w:color w:val="auto"/>
              </w:rPr>
            </w:pPr>
          </w:p>
        </w:tc>
        <w:tc>
          <w:tcPr>
            <w:tcW w:w="1020" w:type="dxa"/>
            <w:vAlign w:val="bottom"/>
            <w:gridSpan w:val="2"/>
            <w:shd w:val="clear" w:color="auto" w:fill="424E6A"/>
          </w:tcPr>
          <w:p>
            <w:pPr>
              <w:jc w:val="center"/>
              <w:ind w:left="93"/>
              <w:spacing w:after="0"/>
              <w:rPr>
                <w:sz w:val="20"/>
                <w:szCs w:val="20"/>
                <w:color w:val="auto"/>
              </w:rPr>
            </w:pPr>
            <w:r>
              <w:rPr>
                <w:rFonts w:ascii="Arial" w:cs="Arial" w:eastAsia="Arial" w:hAnsi="Arial"/>
                <w:sz w:val="14"/>
                <w:szCs w:val="14"/>
                <w:b w:val="1"/>
                <w:bCs w:val="1"/>
                <w:color w:val="FFFFFF"/>
              </w:rPr>
              <w:t>Stock That</w:t>
            </w: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9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Other Rights</w:t>
            </w: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11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Other Rights</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Borders>
              <w:left w:val="single" w:sz="8" w:color="424E6A"/>
            </w:tcBorders>
            <w:vMerge w:val="restart"/>
            <w:shd w:val="clear" w:color="auto" w:fill="424E6A"/>
          </w:tcPr>
          <w:p>
            <w:pPr>
              <w:ind w:left="60"/>
              <w:spacing w:after="0"/>
              <w:rPr>
                <w:sz w:val="20"/>
                <w:szCs w:val="20"/>
                <w:color w:val="auto"/>
              </w:rPr>
            </w:pPr>
            <w:r>
              <w:rPr>
                <w:rFonts w:ascii="Arial" w:cs="Arial" w:eastAsia="Arial" w:hAnsi="Arial"/>
                <w:sz w:val="14"/>
                <w:szCs w:val="14"/>
                <w:b w:val="1"/>
                <w:bCs w:val="1"/>
                <w:color w:val="FFFFFF"/>
              </w:rPr>
              <w:t>Name</w:t>
            </w:r>
          </w:p>
        </w:tc>
        <w:tc>
          <w:tcPr>
            <w:tcW w:w="8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That Have</w:t>
            </w:r>
          </w:p>
        </w:tc>
        <w:tc>
          <w:tcPr>
            <w:tcW w:w="20" w:type="dxa"/>
            <w:vAlign w:val="bottom"/>
            <w:shd w:val="clear" w:color="auto" w:fill="424E6A"/>
          </w:tcPr>
          <w:p>
            <w:pPr>
              <w:spacing w:after="0"/>
              <w:rPr>
                <w:sz w:val="14"/>
                <w:szCs w:val="14"/>
                <w:color w:val="auto"/>
              </w:rPr>
            </w:pPr>
          </w:p>
        </w:tc>
        <w:tc>
          <w:tcPr>
            <w:tcW w:w="220" w:type="dxa"/>
            <w:vAlign w:val="bottom"/>
            <w:tcBorders>
              <w:right w:val="single" w:sz="8" w:color="424E6A"/>
            </w:tcBorders>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760" w:type="dxa"/>
            <w:vAlign w:val="bottom"/>
            <w:shd w:val="clear" w:color="auto" w:fill="424E6A"/>
          </w:tcPr>
          <w:p>
            <w:pPr>
              <w:jc w:val="center"/>
              <w:ind w:right="19"/>
              <w:spacing w:after="0"/>
              <w:rPr>
                <w:sz w:val="20"/>
                <w:szCs w:val="20"/>
                <w:color w:val="auto"/>
              </w:rPr>
            </w:pPr>
            <w:r>
              <w:rPr>
                <w:rFonts w:ascii="Arial" w:cs="Arial" w:eastAsia="Arial" w:hAnsi="Arial"/>
                <w:sz w:val="14"/>
                <w:szCs w:val="14"/>
                <w:b w:val="1"/>
                <w:bCs w:val="1"/>
                <w:color w:val="FFFFFF"/>
              </w:rPr>
              <w:t>Have Not</w:t>
            </w: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9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That Have</w:t>
            </w: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11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That Have</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40" w:type="dxa"/>
            <w:vAlign w:val="bottom"/>
            <w:tcBorders>
              <w:left w:val="single" w:sz="8" w:color="424E6A"/>
            </w:tcBorders>
            <w:vMerge w:val="continue"/>
            <w:shd w:val="clear" w:color="auto" w:fill="424E6A"/>
          </w:tcPr>
          <w:p>
            <w:pPr>
              <w:spacing w:after="0"/>
              <w:rPr>
                <w:sz w:val="18"/>
                <w:szCs w:val="18"/>
                <w:color w:val="auto"/>
              </w:rPr>
            </w:pPr>
          </w:p>
        </w:tc>
        <w:tc>
          <w:tcPr>
            <w:tcW w:w="820" w:type="dxa"/>
            <w:vAlign w:val="bottom"/>
            <w:tcBorders>
              <w:right w:val="single" w:sz="8" w:color="424E6A"/>
            </w:tcBorders>
            <w:shd w:val="clear" w:color="auto" w:fill="424E6A"/>
          </w:tcPr>
          <w:p>
            <w:pPr>
              <w:spacing w:after="0"/>
              <w:rPr>
                <w:sz w:val="18"/>
                <w:szCs w:val="18"/>
                <w:color w:val="auto"/>
              </w:rPr>
            </w:pPr>
          </w:p>
        </w:tc>
        <w:tc>
          <w:tcPr>
            <w:tcW w:w="80" w:type="dxa"/>
            <w:vAlign w:val="bottom"/>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10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w w:val="99"/>
              </w:rPr>
              <w:t>Not Vested (#)</w:t>
            </w:r>
          </w:p>
        </w:tc>
        <w:tc>
          <w:tcPr>
            <w:tcW w:w="20" w:type="dxa"/>
            <w:vAlign w:val="bottom"/>
            <w:shd w:val="clear" w:color="auto" w:fill="424E6A"/>
          </w:tcPr>
          <w:p>
            <w:pPr>
              <w:spacing w:after="0"/>
              <w:rPr>
                <w:sz w:val="18"/>
                <w:szCs w:val="18"/>
                <w:color w:val="auto"/>
              </w:rPr>
            </w:pPr>
          </w:p>
        </w:tc>
        <w:tc>
          <w:tcPr>
            <w:tcW w:w="220" w:type="dxa"/>
            <w:vAlign w:val="bottom"/>
            <w:tcBorders>
              <w:bottom w:val="single" w:sz="8" w:color="424E6A"/>
              <w:right w:val="single" w:sz="8" w:color="424E6A"/>
            </w:tcBorders>
            <w:shd w:val="clear" w:color="auto" w:fill="424E6A"/>
          </w:tcPr>
          <w:p>
            <w:pPr>
              <w:jc w:val="right"/>
              <w:ind w:right="8"/>
              <w:spacing w:after="0"/>
              <w:rPr>
                <w:sz w:val="20"/>
                <w:szCs w:val="20"/>
                <w:color w:val="auto"/>
              </w:rPr>
            </w:pPr>
            <w:r>
              <w:rPr>
                <w:rFonts w:ascii="Arial" w:cs="Arial" w:eastAsia="Arial" w:hAnsi="Arial"/>
                <w:sz w:val="14"/>
                <w:szCs w:val="14"/>
                <w:b w:val="1"/>
                <w:bCs w:val="1"/>
                <w:color w:val="FFFFFF"/>
              </w:rPr>
              <w:t>​</w:t>
            </w:r>
          </w:p>
        </w:tc>
        <w:tc>
          <w:tcPr>
            <w:tcW w:w="1020" w:type="dxa"/>
            <w:vAlign w:val="bottom"/>
            <w:tcBorders>
              <w:bottom w:val="single" w:sz="8" w:color="424E6A"/>
            </w:tcBorders>
            <w:gridSpan w:val="2"/>
            <w:shd w:val="clear" w:color="auto" w:fill="424E6A"/>
          </w:tcPr>
          <w:p>
            <w:pPr>
              <w:ind w:left="10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 xml:space="preserve"> Vested ($)</w:t>
            </w:r>
            <w:r>
              <w:rPr>
                <w:rFonts w:ascii="Arial" w:cs="Arial" w:eastAsia="Arial" w:hAnsi="Arial"/>
                <w:sz w:val="14"/>
                <w:szCs w:val="14"/>
                <w:b w:val="1"/>
                <w:bCs w:val="1"/>
                <w:color w:val="FFFFFF"/>
                <w:vertAlign w:val="superscript"/>
              </w:rPr>
              <w:t>(1)</w:t>
            </w:r>
          </w:p>
        </w:tc>
        <w:tc>
          <w:tcPr>
            <w:tcW w:w="240" w:type="dxa"/>
            <w:vAlign w:val="bottom"/>
            <w:tcBorders>
              <w:bottom w:val="single" w:sz="8" w:color="424E6A"/>
              <w:right w:val="single" w:sz="8" w:color="424E6A"/>
            </w:tcBorders>
            <w:shd w:val="clear" w:color="auto" w:fill="424E6A"/>
          </w:tcPr>
          <w:p>
            <w:pPr>
              <w:ind w:left="120"/>
              <w:spacing w:after="0"/>
              <w:rPr>
                <w:sz w:val="20"/>
                <w:szCs w:val="20"/>
                <w:color w:val="auto"/>
              </w:rPr>
            </w:pPr>
            <w:r>
              <w:rPr>
                <w:rFonts w:ascii="Arial" w:cs="Arial" w:eastAsia="Arial" w:hAnsi="Arial"/>
                <w:sz w:val="14"/>
                <w:szCs w:val="14"/>
                <w:b w:val="1"/>
                <w:bCs w:val="1"/>
                <w:color w:val="FFFFFF"/>
              </w:rPr>
              <w:t>​</w:t>
            </w:r>
          </w:p>
        </w:tc>
        <w:tc>
          <w:tcPr>
            <w:tcW w:w="1160" w:type="dxa"/>
            <w:vAlign w:val="bottom"/>
            <w:tcBorders>
              <w:bottom w:val="single" w:sz="8" w:color="424E6A"/>
            </w:tcBorders>
            <w:gridSpan w:val="3"/>
            <w:shd w:val="clear" w:color="auto" w:fill="424E6A"/>
          </w:tcPr>
          <w:p>
            <w:pPr>
              <w:ind w:left="8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 xml:space="preserve"> Not Vested (#)</w:t>
            </w:r>
          </w:p>
        </w:tc>
        <w:tc>
          <w:tcPr>
            <w:tcW w:w="240" w:type="dxa"/>
            <w:vAlign w:val="bottom"/>
            <w:tcBorders>
              <w:bottom w:val="single" w:sz="8" w:color="424E6A"/>
              <w:right w:val="single" w:sz="8" w:color="424E6A"/>
            </w:tcBorders>
            <w:shd w:val="clear" w:color="auto" w:fill="424E6A"/>
          </w:tcPr>
          <w:p>
            <w:pPr>
              <w:ind w:left="120"/>
              <w:spacing w:after="0"/>
              <w:rPr>
                <w:sz w:val="20"/>
                <w:szCs w:val="20"/>
                <w:color w:val="auto"/>
              </w:rPr>
            </w:pPr>
            <w:r>
              <w:rPr>
                <w:rFonts w:ascii="Arial" w:cs="Arial" w:eastAsia="Arial" w:hAnsi="Arial"/>
                <w:sz w:val="14"/>
                <w:szCs w:val="14"/>
                <w:b w:val="1"/>
                <w:bCs w:val="1"/>
                <w:color w:val="FFFFFF"/>
              </w:rPr>
              <w:t>​</w:t>
            </w:r>
          </w:p>
        </w:tc>
        <w:tc>
          <w:tcPr>
            <w:tcW w:w="180" w:type="dxa"/>
            <w:vAlign w:val="bottom"/>
            <w:tcBorders>
              <w:bottom w:val="single" w:sz="8" w:color="424E6A"/>
            </w:tcBorders>
            <w:shd w:val="clear" w:color="auto" w:fill="424E6A"/>
          </w:tcPr>
          <w:p>
            <w:pPr>
              <w:ind w:left="100"/>
              <w:spacing w:after="0"/>
              <w:rPr>
                <w:sz w:val="20"/>
                <w:szCs w:val="20"/>
                <w:color w:val="auto"/>
              </w:rPr>
            </w:pPr>
            <w:r>
              <w:rPr>
                <w:rFonts w:ascii="Arial" w:cs="Arial" w:eastAsia="Arial" w:hAnsi="Arial"/>
                <w:sz w:val="14"/>
                <w:szCs w:val="14"/>
                <w:b w:val="1"/>
                <w:bCs w:val="1"/>
                <w:color w:val="FFFFFF"/>
              </w:rPr>
              <w:t>​</w:t>
            </w:r>
          </w:p>
        </w:tc>
        <w:tc>
          <w:tcPr>
            <w:tcW w:w="1100" w:type="dxa"/>
            <w:vAlign w:val="bottom"/>
            <w:tcBorders>
              <w:bottom w:val="single" w:sz="8" w:color="424E6A"/>
            </w:tcBorders>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w w:val="98"/>
              </w:rPr>
              <w:t>Not Vested ($)</w:t>
            </w:r>
            <w:r>
              <w:rPr>
                <w:rFonts w:ascii="Arial" w:cs="Arial" w:eastAsia="Arial" w:hAnsi="Arial"/>
                <w:sz w:val="17"/>
                <w:szCs w:val="17"/>
                <w:b w:val="1"/>
                <w:bCs w:val="1"/>
                <w:color w:val="FFFFFF"/>
                <w:w w:val="98"/>
                <w:vertAlign w:val="superscript"/>
              </w:rPr>
              <w:t>(1)</w:t>
            </w:r>
          </w:p>
        </w:tc>
        <w:tc>
          <w:tcPr>
            <w:tcW w:w="100" w:type="dxa"/>
            <w:vAlign w:val="bottom"/>
            <w:tcBorders>
              <w:bottom w:val="single" w:sz="8" w:color="424E6A"/>
              <w:right w:val="single" w:sz="8" w:color="424E6A"/>
            </w:tcBorders>
            <w:shd w:val="clear" w:color="auto" w:fill="424E6A"/>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40" w:type="dxa"/>
            <w:vAlign w:val="bottom"/>
            <w:tcBorders>
              <w:left w:val="single" w:sz="8" w:color="424E6A"/>
            </w:tcBorders>
          </w:tcPr>
          <w:p>
            <w:pPr>
              <w:ind w:left="60"/>
              <w:spacing w:after="0" w:line="169" w:lineRule="exact"/>
              <w:rPr>
                <w:sz w:val="20"/>
                <w:szCs w:val="20"/>
                <w:color w:val="auto"/>
              </w:rPr>
            </w:pPr>
            <w:r>
              <w:rPr>
                <w:rFonts w:ascii="Arial" w:cs="Arial" w:eastAsia="Arial" w:hAnsi="Arial"/>
                <w:sz w:val="18"/>
                <w:szCs w:val="18"/>
                <w:color w:val="auto"/>
              </w:rPr>
              <w:t>Willie Chiang</w:t>
            </w:r>
          </w:p>
        </w:tc>
        <w:tc>
          <w:tcPr>
            <w:tcW w:w="820" w:type="dxa"/>
            <w:vAlign w:val="bottom"/>
            <w:tcBorders>
              <w:right w:val="single" w:sz="8" w:color="424E6A"/>
            </w:tcBorders>
            <w:vMerge w:val="restart"/>
          </w:tcPr>
          <w:p>
            <w:pPr>
              <w:ind w:left="74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6"/>
              <w:spacing w:after="0" w:line="169" w:lineRule="exact"/>
              <w:rPr>
                <w:sz w:val="20"/>
                <w:szCs w:val="20"/>
                <w:color w:val="auto"/>
              </w:rPr>
            </w:pPr>
            <w:r>
              <w:rPr>
                <w:rFonts w:ascii="Arial" w:cs="Arial" w:eastAsia="Arial" w:hAnsi="Arial"/>
                <w:sz w:val="18"/>
                <w:szCs w:val="18"/>
                <w:color w:val="auto"/>
              </w:rPr>
              <w:t>—</w:t>
            </w:r>
          </w:p>
        </w:tc>
        <w:tc>
          <w:tcPr>
            <w:tcW w:w="240" w:type="dxa"/>
            <w:vAlign w:val="bottom"/>
            <w:tcBorders>
              <w:right w:val="single" w:sz="8" w:color="424E6A"/>
            </w:tcBorders>
            <w:gridSpan w:val="2"/>
            <w:vMerge w:val="restart"/>
          </w:tcPr>
          <w:p>
            <w:pPr>
              <w:spacing w:after="0"/>
              <w:rPr>
                <w:sz w:val="20"/>
                <w:szCs w:val="20"/>
                <w:color w:val="auto"/>
              </w:rPr>
            </w:pPr>
            <w:r>
              <w:rPr>
                <w:rFonts w:ascii="Arial" w:cs="Arial" w:eastAsia="Arial" w:hAnsi="Arial"/>
                <w:sz w:val="18"/>
                <w:szCs w:val="18"/>
                <w:color w:val="auto"/>
              </w:rPr>
              <w:t>​ ​</w:t>
            </w:r>
          </w:p>
        </w:tc>
        <w:tc>
          <w:tcPr>
            <w:tcW w:w="260" w:type="dxa"/>
            <w:vAlign w:val="bottom"/>
            <w:vMerge w:val="restart"/>
          </w:tcPr>
          <w:p>
            <w:pPr>
              <w:ind w:left="10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w:t>
            </w:r>
          </w:p>
        </w:tc>
        <w:tc>
          <w:tcPr>
            <w:tcW w:w="24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500,000</w:t>
            </w:r>
            <w:r>
              <w:rPr>
                <w:rFonts w:ascii="Arial" w:cs="Arial" w:eastAsia="Arial" w:hAnsi="Arial"/>
                <w:sz w:val="19"/>
                <w:szCs w:val="19"/>
                <w:color w:val="auto"/>
                <w:vertAlign w:val="superscript"/>
              </w:rPr>
              <w:t>(2)</w:t>
            </w:r>
          </w:p>
        </w:tc>
        <w:tc>
          <w:tcPr>
            <w:tcW w:w="2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
              <w:spacing w:after="0" w:line="169" w:lineRule="exact"/>
              <w:rPr>
                <w:sz w:val="20"/>
                <w:szCs w:val="20"/>
                <w:color w:val="auto"/>
              </w:rPr>
            </w:pPr>
            <w:r>
              <w:rPr>
                <w:rFonts w:ascii="Arial" w:cs="Arial" w:eastAsia="Arial" w:hAnsi="Arial"/>
                <w:sz w:val="18"/>
                <w:szCs w:val="18"/>
                <w:color w:val="auto"/>
              </w:rPr>
              <w:t>8,980,000</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40" w:type="dxa"/>
            <w:vAlign w:val="bottom"/>
            <w:tcBorders>
              <w:left w:val="single" w:sz="8" w:color="424E6A"/>
              <w:bottom w:val="single" w:sz="8" w:color="424E6A"/>
            </w:tcBorders>
          </w:tcPr>
          <w:p>
            <w:pPr>
              <w:spacing w:after="0"/>
              <w:rPr>
                <w:sz w:val="5"/>
                <w:szCs w:val="5"/>
                <w:color w:val="auto"/>
              </w:rPr>
            </w:pPr>
          </w:p>
        </w:tc>
        <w:tc>
          <w:tcPr>
            <w:tcW w:w="82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vMerge w:val="continue"/>
          </w:tcPr>
          <w:p>
            <w:pPr>
              <w:spacing w:after="0"/>
              <w:rPr>
                <w:sz w:val="5"/>
                <w:szCs w:val="5"/>
                <w:color w:val="auto"/>
              </w:rPr>
            </w:pPr>
          </w:p>
        </w:tc>
        <w:tc>
          <w:tcPr>
            <w:tcW w:w="74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gridSpan w:val="2"/>
            <w:vMerge w:val="continue"/>
          </w:tcPr>
          <w:p>
            <w:pPr>
              <w:spacing w:after="0"/>
              <w:rPr>
                <w:sz w:val="5"/>
                <w:szCs w:val="5"/>
                <w:color w:val="auto"/>
              </w:rPr>
            </w:pPr>
          </w:p>
        </w:tc>
        <w:tc>
          <w:tcPr>
            <w:tcW w:w="260" w:type="dxa"/>
            <w:vAlign w:val="bottom"/>
            <w:tcBorders>
              <w:bottom w:val="single" w:sz="8" w:color="424E6A"/>
            </w:tcBorders>
            <w:vMerge w:val="continue"/>
          </w:tcPr>
          <w:p>
            <w:pPr>
              <w:spacing w:after="0"/>
              <w:rPr>
                <w:sz w:val="5"/>
                <w:szCs w:val="5"/>
                <w:color w:val="auto"/>
              </w:rPr>
            </w:pP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40" w:type="dxa"/>
            <w:vAlign w:val="bottom"/>
            <w:tcBorders>
              <w:left w:val="single" w:sz="8" w:color="424E6A"/>
            </w:tcBorders>
          </w:tcPr>
          <w:p>
            <w:pPr>
              <w:spacing w:after="0"/>
              <w:rPr>
                <w:sz w:val="15"/>
                <w:szCs w:val="15"/>
                <w:color w:val="auto"/>
              </w:rPr>
            </w:pPr>
          </w:p>
        </w:tc>
        <w:tc>
          <w:tcPr>
            <w:tcW w:w="820" w:type="dxa"/>
            <w:vAlign w:val="bottom"/>
            <w:tcBorders>
              <w:right w:val="single" w:sz="8" w:color="424E6A"/>
            </w:tcBorders>
            <w:vMerge w:val="restart"/>
          </w:tcPr>
          <w:p>
            <w:pPr>
              <w:ind w:left="74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162,050</w:t>
            </w:r>
            <w:r>
              <w:rPr>
                <w:rFonts w:ascii="Arial" w:cs="Arial" w:eastAsia="Arial" w:hAnsi="Arial"/>
                <w:sz w:val="21"/>
                <w:szCs w:val="21"/>
                <w:color w:val="auto"/>
                <w:vertAlign w:val="superscript"/>
              </w:rPr>
              <w:t>(4)</w:t>
            </w:r>
          </w:p>
        </w:tc>
        <w:tc>
          <w:tcPr>
            <w:tcW w:w="240" w:type="dxa"/>
            <w:vAlign w:val="bottom"/>
            <w:tcBorders>
              <w:right w:val="single" w:sz="8" w:color="424E6A"/>
            </w:tcBorders>
            <w:gridSpan w:val="2"/>
            <w:vMerge w:val="restart"/>
          </w:tcPr>
          <w:p>
            <w:pPr>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2,910,418</w:t>
            </w:r>
          </w:p>
        </w:tc>
        <w:tc>
          <w:tcPr>
            <w:tcW w:w="24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162,050</w:t>
            </w:r>
            <w:r>
              <w:rPr>
                <w:rFonts w:ascii="Arial" w:cs="Arial" w:eastAsia="Arial" w:hAnsi="Arial"/>
                <w:sz w:val="21"/>
                <w:szCs w:val="21"/>
                <w:color w:val="auto"/>
                <w:vertAlign w:val="superscript"/>
              </w:rPr>
              <w:t>(5)</w:t>
            </w:r>
          </w:p>
        </w:tc>
        <w:tc>
          <w:tcPr>
            <w:tcW w:w="2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
              <w:spacing w:after="0" w:line="182" w:lineRule="exact"/>
              <w:rPr>
                <w:sz w:val="20"/>
                <w:szCs w:val="20"/>
                <w:color w:val="auto"/>
              </w:rPr>
            </w:pPr>
            <w:r>
              <w:rPr>
                <w:rFonts w:ascii="Arial" w:cs="Arial" w:eastAsia="Arial" w:hAnsi="Arial"/>
                <w:sz w:val="18"/>
                <w:szCs w:val="18"/>
                <w:color w:val="auto"/>
              </w:rPr>
              <w:t>2,910,418</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40" w:type="dxa"/>
            <w:vAlign w:val="bottom"/>
            <w:tcBorders>
              <w:left w:val="single" w:sz="8" w:color="424E6A"/>
              <w:bottom w:val="single" w:sz="8" w:color="424E6A"/>
            </w:tcBorders>
          </w:tcPr>
          <w:p>
            <w:pPr>
              <w:spacing w:after="0"/>
              <w:rPr>
                <w:sz w:val="5"/>
                <w:szCs w:val="5"/>
                <w:color w:val="auto"/>
              </w:rPr>
            </w:pPr>
          </w:p>
        </w:tc>
        <w:tc>
          <w:tcPr>
            <w:tcW w:w="82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tcPr>
          <w:p>
            <w:pPr>
              <w:ind w:left="180"/>
              <w:spacing w:after="0" w:line="68" w:lineRule="exact"/>
              <w:rPr>
                <w:sz w:val="20"/>
                <w:szCs w:val="20"/>
                <w:color w:val="auto"/>
              </w:rPr>
            </w:pPr>
            <w:r>
              <w:rPr>
                <w:rFonts w:ascii="Arial" w:cs="Arial" w:eastAsia="Arial" w:hAnsi="Arial"/>
                <w:sz w:val="7"/>
                <w:szCs w:val="7"/>
                <w:color w:val="auto"/>
              </w:rPr>
              <w:t>​</w:t>
            </w:r>
          </w:p>
        </w:tc>
        <w:tc>
          <w:tcPr>
            <w:tcW w:w="74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gridSpan w:val="2"/>
            <w:vMerge w:val="continue"/>
          </w:tcPr>
          <w:p>
            <w:pPr>
              <w:spacing w:after="0"/>
              <w:rPr>
                <w:sz w:val="5"/>
                <w:szCs w:val="5"/>
                <w:color w:val="auto"/>
              </w:rPr>
            </w:pPr>
          </w:p>
        </w:tc>
        <w:tc>
          <w:tcPr>
            <w:tcW w:w="260" w:type="dxa"/>
            <w:vAlign w:val="bottom"/>
            <w:tcBorders>
              <w:bottom w:val="single" w:sz="8" w:color="424E6A"/>
            </w:tcBorders>
          </w:tcPr>
          <w:p>
            <w:pPr>
              <w:ind w:left="10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40" w:type="dxa"/>
            <w:vAlign w:val="bottom"/>
            <w:tcBorders>
              <w:left w:val="single" w:sz="8" w:color="424E6A"/>
            </w:tcBorders>
          </w:tcPr>
          <w:p>
            <w:pPr>
              <w:spacing w:after="0"/>
              <w:rPr>
                <w:sz w:val="15"/>
                <w:szCs w:val="15"/>
                <w:color w:val="auto"/>
              </w:rPr>
            </w:pPr>
          </w:p>
        </w:tc>
        <w:tc>
          <w:tcPr>
            <w:tcW w:w="820" w:type="dxa"/>
            <w:vAlign w:val="bottom"/>
            <w:tcBorders>
              <w:right w:val="single" w:sz="8" w:color="424E6A"/>
            </w:tcBorders>
            <w:vMerge w:val="restart"/>
          </w:tcPr>
          <w:p>
            <w:pPr>
              <w:ind w:left="74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178,875</w:t>
            </w:r>
            <w:r>
              <w:rPr>
                <w:rFonts w:ascii="Arial" w:cs="Arial" w:eastAsia="Arial" w:hAnsi="Arial"/>
                <w:sz w:val="21"/>
                <w:szCs w:val="21"/>
                <w:color w:val="auto"/>
                <w:vertAlign w:val="superscript"/>
              </w:rPr>
              <w:t>(6)</w:t>
            </w:r>
          </w:p>
        </w:tc>
        <w:tc>
          <w:tcPr>
            <w:tcW w:w="240" w:type="dxa"/>
            <w:vAlign w:val="bottom"/>
            <w:tcBorders>
              <w:right w:val="single" w:sz="8" w:color="424E6A"/>
            </w:tcBorders>
            <w:gridSpan w:val="2"/>
            <w:vMerge w:val="restart"/>
          </w:tcPr>
          <w:p>
            <w:pPr>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3,212,595</w:t>
            </w:r>
          </w:p>
        </w:tc>
        <w:tc>
          <w:tcPr>
            <w:tcW w:w="24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178,875</w:t>
            </w:r>
            <w:r>
              <w:rPr>
                <w:rFonts w:ascii="Arial" w:cs="Arial" w:eastAsia="Arial" w:hAnsi="Arial"/>
                <w:sz w:val="21"/>
                <w:szCs w:val="21"/>
                <w:color w:val="auto"/>
                <w:vertAlign w:val="superscript"/>
              </w:rPr>
              <w:t>(7)</w:t>
            </w:r>
          </w:p>
        </w:tc>
        <w:tc>
          <w:tcPr>
            <w:tcW w:w="2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
              <w:spacing w:after="0" w:line="182" w:lineRule="exact"/>
              <w:rPr>
                <w:sz w:val="20"/>
                <w:szCs w:val="20"/>
                <w:color w:val="auto"/>
              </w:rPr>
            </w:pPr>
            <w:r>
              <w:rPr>
                <w:rFonts w:ascii="Arial" w:cs="Arial" w:eastAsia="Arial" w:hAnsi="Arial"/>
                <w:sz w:val="18"/>
                <w:szCs w:val="18"/>
                <w:color w:val="auto"/>
              </w:rPr>
              <w:t>3,212,595</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40" w:type="dxa"/>
            <w:vAlign w:val="bottom"/>
            <w:tcBorders>
              <w:left w:val="single" w:sz="8" w:color="424E6A"/>
              <w:bottom w:val="single" w:sz="8" w:color="424E6A"/>
            </w:tcBorders>
          </w:tcPr>
          <w:p>
            <w:pPr>
              <w:spacing w:after="0"/>
              <w:rPr>
                <w:sz w:val="5"/>
                <w:szCs w:val="5"/>
                <w:color w:val="auto"/>
              </w:rPr>
            </w:pPr>
          </w:p>
        </w:tc>
        <w:tc>
          <w:tcPr>
            <w:tcW w:w="82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tcPr>
          <w:p>
            <w:pPr>
              <w:ind w:left="180"/>
              <w:spacing w:after="0" w:line="68" w:lineRule="exact"/>
              <w:rPr>
                <w:sz w:val="20"/>
                <w:szCs w:val="20"/>
                <w:color w:val="auto"/>
              </w:rPr>
            </w:pPr>
            <w:r>
              <w:rPr>
                <w:rFonts w:ascii="Arial" w:cs="Arial" w:eastAsia="Arial" w:hAnsi="Arial"/>
                <w:sz w:val="7"/>
                <w:szCs w:val="7"/>
                <w:color w:val="auto"/>
              </w:rPr>
              <w:t>​</w:t>
            </w:r>
          </w:p>
        </w:tc>
        <w:tc>
          <w:tcPr>
            <w:tcW w:w="74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gridSpan w:val="2"/>
            <w:vMerge w:val="continue"/>
          </w:tcPr>
          <w:p>
            <w:pPr>
              <w:spacing w:after="0"/>
              <w:rPr>
                <w:sz w:val="5"/>
                <w:szCs w:val="5"/>
                <w:color w:val="auto"/>
              </w:rPr>
            </w:pPr>
          </w:p>
        </w:tc>
        <w:tc>
          <w:tcPr>
            <w:tcW w:w="260" w:type="dxa"/>
            <w:vAlign w:val="bottom"/>
            <w:tcBorders>
              <w:bottom w:val="single" w:sz="8" w:color="424E6A"/>
            </w:tcBorders>
          </w:tcPr>
          <w:p>
            <w:pPr>
              <w:ind w:left="10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40" w:type="dxa"/>
            <w:vAlign w:val="bottom"/>
            <w:tcBorders>
              <w:left w:val="single" w:sz="8" w:color="424E6A"/>
            </w:tcBorders>
          </w:tcPr>
          <w:p>
            <w:pPr>
              <w:spacing w:after="0"/>
              <w:rPr>
                <w:sz w:val="15"/>
                <w:szCs w:val="15"/>
                <w:color w:val="auto"/>
              </w:rPr>
            </w:pPr>
          </w:p>
        </w:tc>
        <w:tc>
          <w:tcPr>
            <w:tcW w:w="820" w:type="dxa"/>
            <w:vAlign w:val="bottom"/>
            <w:tcBorders>
              <w:right w:val="single" w:sz="8" w:color="424E6A"/>
            </w:tcBorders>
            <w:vMerge w:val="restart"/>
          </w:tcPr>
          <w:p>
            <w:pPr>
              <w:ind w:left="74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208,675</w:t>
            </w:r>
            <w:r>
              <w:rPr>
                <w:rFonts w:ascii="Arial" w:cs="Arial" w:eastAsia="Arial" w:hAnsi="Arial"/>
                <w:sz w:val="21"/>
                <w:szCs w:val="21"/>
                <w:color w:val="auto"/>
                <w:vertAlign w:val="superscript"/>
              </w:rPr>
              <w:t>(8)</w:t>
            </w:r>
          </w:p>
        </w:tc>
        <w:tc>
          <w:tcPr>
            <w:tcW w:w="240" w:type="dxa"/>
            <w:vAlign w:val="bottom"/>
            <w:tcBorders>
              <w:right w:val="single" w:sz="8" w:color="424E6A"/>
            </w:tcBorders>
            <w:gridSpan w:val="2"/>
            <w:vMerge w:val="restart"/>
          </w:tcPr>
          <w:p>
            <w:pPr>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3,747,803</w:t>
            </w:r>
          </w:p>
        </w:tc>
        <w:tc>
          <w:tcPr>
            <w:tcW w:w="24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208,675</w:t>
            </w:r>
            <w:r>
              <w:rPr>
                <w:rFonts w:ascii="Arial" w:cs="Arial" w:eastAsia="Arial" w:hAnsi="Arial"/>
                <w:sz w:val="21"/>
                <w:szCs w:val="21"/>
                <w:color w:val="auto"/>
                <w:vertAlign w:val="superscript"/>
              </w:rPr>
              <w:t>(9)</w:t>
            </w:r>
          </w:p>
        </w:tc>
        <w:tc>
          <w:tcPr>
            <w:tcW w:w="2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
              <w:spacing w:after="0" w:line="182" w:lineRule="exact"/>
              <w:rPr>
                <w:sz w:val="20"/>
                <w:szCs w:val="20"/>
                <w:color w:val="auto"/>
              </w:rPr>
            </w:pPr>
            <w:r>
              <w:rPr>
                <w:rFonts w:ascii="Arial" w:cs="Arial" w:eastAsia="Arial" w:hAnsi="Arial"/>
                <w:sz w:val="18"/>
                <w:szCs w:val="18"/>
                <w:color w:val="auto"/>
              </w:rPr>
              <w:t>3,747,803</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40" w:type="dxa"/>
            <w:vAlign w:val="bottom"/>
            <w:tcBorders>
              <w:left w:val="single" w:sz="8" w:color="424E6A"/>
              <w:bottom w:val="single" w:sz="8" w:color="424E6A"/>
            </w:tcBorders>
          </w:tcPr>
          <w:p>
            <w:pPr>
              <w:spacing w:after="0"/>
              <w:rPr>
                <w:sz w:val="5"/>
                <w:szCs w:val="5"/>
                <w:color w:val="auto"/>
              </w:rPr>
            </w:pPr>
          </w:p>
        </w:tc>
        <w:tc>
          <w:tcPr>
            <w:tcW w:w="82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tcPr>
          <w:p>
            <w:pPr>
              <w:ind w:left="180"/>
              <w:spacing w:after="0" w:line="68" w:lineRule="exact"/>
              <w:rPr>
                <w:sz w:val="20"/>
                <w:szCs w:val="20"/>
                <w:color w:val="auto"/>
              </w:rPr>
            </w:pPr>
            <w:r>
              <w:rPr>
                <w:rFonts w:ascii="Arial" w:cs="Arial" w:eastAsia="Arial" w:hAnsi="Arial"/>
                <w:sz w:val="7"/>
                <w:szCs w:val="7"/>
                <w:color w:val="auto"/>
              </w:rPr>
              <w:t>​</w:t>
            </w:r>
          </w:p>
        </w:tc>
        <w:tc>
          <w:tcPr>
            <w:tcW w:w="74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gridSpan w:val="2"/>
            <w:vMerge w:val="continue"/>
          </w:tcPr>
          <w:p>
            <w:pPr>
              <w:spacing w:after="0"/>
              <w:rPr>
                <w:sz w:val="5"/>
                <w:szCs w:val="5"/>
                <w:color w:val="auto"/>
              </w:rPr>
            </w:pPr>
          </w:p>
        </w:tc>
        <w:tc>
          <w:tcPr>
            <w:tcW w:w="260" w:type="dxa"/>
            <w:vAlign w:val="bottom"/>
            <w:tcBorders>
              <w:bottom w:val="single" w:sz="8" w:color="424E6A"/>
            </w:tcBorders>
          </w:tcPr>
          <w:p>
            <w:pPr>
              <w:ind w:left="10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040" w:type="dxa"/>
            <w:vAlign w:val="bottom"/>
            <w:tcBorders>
              <w:left w:val="single" w:sz="8" w:color="424E6A"/>
              <w:bottom w:val="single" w:sz="8" w:color="D9DCE1"/>
            </w:tcBorders>
            <w:shd w:val="clear" w:color="auto" w:fill="D9DCE1"/>
          </w:tcPr>
          <w:p>
            <w:pPr>
              <w:spacing w:after="0"/>
              <w:rPr>
                <w:sz w:val="24"/>
                <w:szCs w:val="24"/>
                <w:color w:val="auto"/>
              </w:rPr>
            </w:pPr>
          </w:p>
        </w:tc>
        <w:tc>
          <w:tcPr>
            <w:tcW w:w="820" w:type="dxa"/>
            <w:vAlign w:val="bottom"/>
            <w:tcBorders>
              <w:bottom w:val="single" w:sz="8" w:color="D9DCE1"/>
              <w:right w:val="single" w:sz="8" w:color="424E6A"/>
            </w:tcBorders>
            <w:shd w:val="clear" w:color="auto" w:fill="D9DCE1"/>
          </w:tcPr>
          <w:p>
            <w:pPr>
              <w:ind w:left="74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D9DCE1"/>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D9DCE1"/>
            </w:tcBorders>
            <w:shd w:val="clear" w:color="auto" w:fill="D9DCE1"/>
          </w:tcPr>
          <w:p>
            <w:pPr>
              <w:spacing w:after="0"/>
              <w:rPr>
                <w:sz w:val="24"/>
                <w:szCs w:val="24"/>
                <w:color w:val="auto"/>
              </w:rPr>
            </w:pPr>
          </w:p>
        </w:tc>
        <w:tc>
          <w:tcPr>
            <w:tcW w:w="240" w:type="dxa"/>
            <w:vAlign w:val="bottom"/>
            <w:tcBorders>
              <w:bottom w:val="single" w:sz="8" w:color="D9DCE1"/>
              <w:right w:val="single" w:sz="8" w:color="424E6A"/>
            </w:tcBorders>
            <w:gridSpan w:val="2"/>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260" w:type="dxa"/>
            <w:vAlign w:val="bottom"/>
            <w:tcBorders>
              <w:bottom w:val="single" w:sz="8" w:color="D9DCE1"/>
            </w:tcBorders>
            <w:shd w:val="clear" w:color="auto" w:fill="D9DCE1"/>
          </w:tcPr>
          <w:p>
            <w:pPr>
              <w:ind w:left="100"/>
              <w:spacing w:after="0"/>
              <w:rPr>
                <w:sz w:val="20"/>
                <w:szCs w:val="20"/>
                <w:color w:val="auto"/>
              </w:rPr>
            </w:pPr>
            <w:r>
              <w:rPr>
                <w:rFonts w:ascii="Arial" w:cs="Arial" w:eastAsia="Arial" w:hAnsi="Arial"/>
                <w:sz w:val="14"/>
                <w:szCs w:val="14"/>
                <w:b w:val="1"/>
                <w:bCs w:val="1"/>
                <w:color w:val="FFFFFF"/>
              </w:rPr>
              <w:t>​ ​</w:t>
            </w:r>
          </w:p>
        </w:tc>
        <w:tc>
          <w:tcPr>
            <w:tcW w:w="760" w:type="dxa"/>
            <w:vAlign w:val="bottom"/>
            <w:tcBorders>
              <w:bottom w:val="single" w:sz="8" w:color="D9DCE1"/>
            </w:tcBorders>
            <w:shd w:val="clear" w:color="auto" w:fill="D9DCE1"/>
          </w:tcPr>
          <w:p>
            <w:pPr>
              <w:spacing w:after="0"/>
              <w:rPr>
                <w:sz w:val="24"/>
                <w:szCs w:val="24"/>
                <w:color w:val="auto"/>
              </w:rPr>
            </w:pPr>
          </w:p>
        </w:tc>
        <w:tc>
          <w:tcPr>
            <w:tcW w:w="24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18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760" w:type="dxa"/>
            <w:vAlign w:val="bottom"/>
            <w:tcBorders>
              <w:bottom w:val="single" w:sz="8" w:color="D9DCE1"/>
            </w:tcBorders>
            <w:shd w:val="clear" w:color="auto" w:fill="D9DCE1"/>
          </w:tcPr>
          <w:p>
            <w:pPr>
              <w:spacing w:after="0"/>
              <w:rPr>
                <w:sz w:val="24"/>
                <w:szCs w:val="24"/>
                <w:color w:val="auto"/>
              </w:rPr>
            </w:pPr>
          </w:p>
        </w:tc>
        <w:tc>
          <w:tcPr>
            <w:tcW w:w="24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 ​</w:t>
            </w:r>
          </w:p>
        </w:tc>
        <w:tc>
          <w:tcPr>
            <w:tcW w:w="180" w:type="dxa"/>
            <w:vAlign w:val="bottom"/>
            <w:tcBorders>
              <w:bottom w:val="single" w:sz="8" w:color="D9DCE1"/>
            </w:tcBorders>
            <w:shd w:val="clear" w:color="auto" w:fill="D9DCE1"/>
          </w:tcPr>
          <w:p>
            <w:pPr>
              <w:ind w:left="100"/>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D9DCE1"/>
            </w:tcBorders>
            <w:shd w:val="clear" w:color="auto" w:fill="D9DCE1"/>
          </w:tcPr>
          <w:p>
            <w:pPr>
              <w:spacing w:after="0"/>
              <w:rPr>
                <w:sz w:val="24"/>
                <w:szCs w:val="24"/>
                <w:color w:val="auto"/>
              </w:rPr>
            </w:pPr>
          </w:p>
        </w:tc>
        <w:tc>
          <w:tcPr>
            <w:tcW w:w="10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50"/>
        </w:trPr>
        <w:tc>
          <w:tcPr>
            <w:tcW w:w="2040" w:type="dxa"/>
            <w:vAlign w:val="bottom"/>
            <w:tcBorders>
              <w:top w:val="single" w:sz="8" w:color="424E6A"/>
              <w:left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Al Swanson</w:t>
            </w:r>
          </w:p>
        </w:tc>
        <w:tc>
          <w:tcPr>
            <w:tcW w:w="820" w:type="dxa"/>
            <w:vAlign w:val="bottom"/>
            <w:tcBorders>
              <w:top w:val="single" w:sz="8" w:color="424E6A"/>
              <w:bottom w:val="single" w:sz="8" w:color="424E6A"/>
              <w:right w:val="single" w:sz="8" w:color="424E6A"/>
            </w:tcBorders>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424E6A"/>
              <w:bottom w:val="single" w:sz="8" w:color="424E6A"/>
            </w:tcBorders>
            <w:gridSpan w:val="2"/>
          </w:tcPr>
          <w:p>
            <w:pPr>
              <w:ind w:left="1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51,075</w:t>
            </w:r>
            <w:r>
              <w:rPr>
                <w:rFonts w:ascii="Arial" w:cs="Arial" w:eastAsia="Arial" w:hAnsi="Arial"/>
                <w:sz w:val="19"/>
                <w:szCs w:val="19"/>
                <w:color w:val="auto"/>
                <w:vertAlign w:val="superscript"/>
              </w:rPr>
              <w:t>(4)</w:t>
            </w:r>
          </w:p>
        </w:tc>
        <w:tc>
          <w:tcPr>
            <w:tcW w:w="240" w:type="dxa"/>
            <w:vAlign w:val="bottom"/>
            <w:tcBorders>
              <w:top w:val="single" w:sz="8" w:color="424E6A"/>
              <w:bottom w:val="single" w:sz="8" w:color="424E6A"/>
              <w:right w:val="single" w:sz="8" w:color="424E6A"/>
            </w:tcBorders>
            <w:gridSpan w:val="2"/>
          </w:tcPr>
          <w:p>
            <w:pPr>
              <w:spacing w:after="0"/>
              <w:rPr>
                <w:sz w:val="20"/>
                <w:szCs w:val="20"/>
                <w:color w:val="auto"/>
              </w:rPr>
            </w:pPr>
            <w:r>
              <w:rPr>
                <w:rFonts w:ascii="Arial" w:cs="Arial" w:eastAsia="Arial" w:hAnsi="Arial"/>
                <w:sz w:val="18"/>
                <w:szCs w:val="18"/>
                <w:color w:val="auto"/>
              </w:rPr>
              <w:t>​ ​</w:t>
            </w:r>
          </w:p>
        </w:tc>
        <w:tc>
          <w:tcPr>
            <w:tcW w:w="260" w:type="dxa"/>
            <w:vAlign w:val="bottom"/>
            <w:tcBorders>
              <w:top w:val="single" w:sz="8" w:color="424E6A"/>
              <w:bottom w:val="single" w:sz="8" w:color="424E6A"/>
            </w:tcBorders>
          </w:tcPr>
          <w:p>
            <w:pPr>
              <w:ind w:left="100"/>
              <w:spacing w:after="0"/>
              <w:rPr>
                <w:sz w:val="20"/>
                <w:szCs w:val="20"/>
                <w:color w:val="auto"/>
              </w:rPr>
            </w:pPr>
            <w:r>
              <w:rPr>
                <w:rFonts w:ascii="Arial" w:cs="Arial" w:eastAsia="Arial" w:hAnsi="Arial"/>
                <w:sz w:val="18"/>
                <w:szCs w:val="18"/>
                <w:color w:val="auto"/>
              </w:rPr>
              <w:t>​ ​</w:t>
            </w:r>
          </w:p>
        </w:tc>
        <w:tc>
          <w:tcPr>
            <w:tcW w:w="760" w:type="dxa"/>
            <w:vAlign w:val="bottom"/>
            <w:tcBorders>
              <w:top w:val="single" w:sz="8" w:color="424E6A"/>
              <w:bottom w:val="single" w:sz="8" w:color="424E6A"/>
            </w:tcBorders>
          </w:tcPr>
          <w:p>
            <w:pPr>
              <w:jc w:val="right"/>
              <w:spacing w:after="0"/>
              <w:rPr>
                <w:sz w:val="20"/>
                <w:szCs w:val="20"/>
                <w:color w:val="auto"/>
              </w:rPr>
            </w:pPr>
            <w:r>
              <w:rPr>
                <w:rFonts w:ascii="Arial" w:cs="Arial" w:eastAsia="Arial" w:hAnsi="Arial"/>
                <w:sz w:val="18"/>
                <w:szCs w:val="18"/>
                <w:color w:val="auto"/>
              </w:rPr>
              <w:t>917,307</w:t>
            </w:r>
          </w:p>
        </w:tc>
        <w:tc>
          <w:tcPr>
            <w:tcW w:w="240" w:type="dxa"/>
            <w:vAlign w:val="bottom"/>
            <w:tcBorders>
              <w:top w:val="single" w:sz="8" w:color="424E6A"/>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80" w:type="dxa"/>
            <w:vAlign w:val="bottom"/>
            <w:tcBorders>
              <w:top w:val="single" w:sz="8" w:color="424E6A"/>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424E6A"/>
              <w:bottom w:val="single" w:sz="8" w:color="424E6A"/>
            </w:tcBorders>
            <w:gridSpan w:val="2"/>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51,075</w:t>
            </w:r>
            <w:r>
              <w:rPr>
                <w:rFonts w:ascii="Arial" w:cs="Arial" w:eastAsia="Arial" w:hAnsi="Arial"/>
                <w:sz w:val="19"/>
                <w:szCs w:val="19"/>
                <w:color w:val="auto"/>
                <w:vertAlign w:val="superscript"/>
              </w:rPr>
              <w:t>(5)</w:t>
            </w:r>
          </w:p>
        </w:tc>
        <w:tc>
          <w:tcPr>
            <w:tcW w:w="24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 ​</w:t>
            </w:r>
          </w:p>
        </w:tc>
        <w:tc>
          <w:tcPr>
            <w:tcW w:w="180" w:type="dxa"/>
            <w:vAlign w:val="bottom"/>
            <w:tcBorders>
              <w:top w:val="single" w:sz="8" w:color="424E6A"/>
              <w:bottom w:val="single" w:sz="8" w:color="424E6A"/>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424E6A"/>
              <w:bottom w:val="single" w:sz="8" w:color="424E6A"/>
            </w:tcBorders>
          </w:tcPr>
          <w:p>
            <w:pPr>
              <w:ind w:left="16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424E6A"/>
              <w:bottom w:val="single" w:sz="8" w:color="424E6A"/>
            </w:tcBorders>
          </w:tcPr>
          <w:p>
            <w:pPr>
              <w:jc w:val="right"/>
              <w:ind w:right="38"/>
              <w:spacing w:after="0"/>
              <w:rPr>
                <w:sz w:val="20"/>
                <w:szCs w:val="20"/>
                <w:color w:val="auto"/>
              </w:rPr>
            </w:pPr>
            <w:r>
              <w:rPr>
                <w:rFonts w:ascii="Arial" w:cs="Arial" w:eastAsia="Arial" w:hAnsi="Arial"/>
                <w:sz w:val="18"/>
                <w:szCs w:val="18"/>
                <w:color w:val="auto"/>
              </w:rPr>
              <w:t>917,307</w:t>
            </w:r>
          </w:p>
        </w:tc>
        <w:tc>
          <w:tcPr>
            <w:tcW w:w="10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40" w:type="dxa"/>
            <w:vAlign w:val="bottom"/>
            <w:tcBorders>
              <w:left w:val="single" w:sz="8" w:color="424E6A"/>
              <w:bottom w:val="single" w:sz="8" w:color="424E6A"/>
            </w:tcBorders>
          </w:tcPr>
          <w:p>
            <w:pPr>
              <w:spacing w:after="0"/>
              <w:rPr>
                <w:sz w:val="21"/>
                <w:szCs w:val="21"/>
                <w:color w:val="auto"/>
              </w:rPr>
            </w:pPr>
          </w:p>
        </w:tc>
        <w:tc>
          <w:tcPr>
            <w:tcW w:w="820" w:type="dxa"/>
            <w:vAlign w:val="bottom"/>
            <w:tcBorders>
              <w:bottom w:val="single" w:sz="8" w:color="424E6A"/>
              <w:right w:val="single" w:sz="8" w:color="424E6A"/>
            </w:tcBorders>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24E6A"/>
            </w:tcBorders>
            <w:gridSpan w:val="2"/>
          </w:tcPr>
          <w:p>
            <w:pPr>
              <w:ind w:left="1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54,000</w:t>
            </w:r>
            <w:r>
              <w:rPr>
                <w:rFonts w:ascii="Arial" w:cs="Arial" w:eastAsia="Arial" w:hAnsi="Arial"/>
                <w:sz w:val="19"/>
                <w:szCs w:val="19"/>
                <w:color w:val="auto"/>
                <w:vertAlign w:val="superscript"/>
              </w:rPr>
              <w:t>(6)</w:t>
            </w:r>
          </w:p>
        </w:tc>
        <w:tc>
          <w:tcPr>
            <w:tcW w:w="240" w:type="dxa"/>
            <w:vAlign w:val="bottom"/>
            <w:tcBorders>
              <w:bottom w:val="single" w:sz="8" w:color="424E6A"/>
              <w:right w:val="single" w:sz="8" w:color="424E6A"/>
            </w:tcBorders>
            <w:gridSpan w:val="2"/>
          </w:tcPr>
          <w:p>
            <w:pPr>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424E6A"/>
            </w:tcBorders>
          </w:tcPr>
          <w:p>
            <w:pPr>
              <w:ind w:left="100"/>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969,840</w:t>
            </w:r>
          </w:p>
        </w:tc>
        <w:tc>
          <w:tcPr>
            <w:tcW w:w="24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gridSpan w:val="2"/>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54,000</w:t>
            </w:r>
            <w:r>
              <w:rPr>
                <w:rFonts w:ascii="Arial" w:cs="Arial" w:eastAsia="Arial" w:hAnsi="Arial"/>
                <w:sz w:val="19"/>
                <w:szCs w:val="19"/>
                <w:color w:val="auto"/>
                <w:vertAlign w:val="superscript"/>
              </w:rPr>
              <w:t>(7)</w:t>
            </w:r>
          </w:p>
        </w:tc>
        <w:tc>
          <w:tcPr>
            <w:tcW w:w="2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424E6A"/>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24E6A"/>
            </w:tcBorders>
          </w:tcPr>
          <w:p>
            <w:pPr>
              <w:ind w:lef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tcPr>
          <w:p>
            <w:pPr>
              <w:jc w:val="right"/>
              <w:ind w:right="38"/>
              <w:spacing w:after="0"/>
              <w:rPr>
                <w:sz w:val="20"/>
                <w:szCs w:val="20"/>
                <w:color w:val="auto"/>
              </w:rPr>
            </w:pPr>
            <w:r>
              <w:rPr>
                <w:rFonts w:ascii="Arial" w:cs="Arial" w:eastAsia="Arial" w:hAnsi="Arial"/>
                <w:sz w:val="18"/>
                <w:szCs w:val="18"/>
                <w:color w:val="auto"/>
              </w:rPr>
              <w:t>969,840</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40" w:type="dxa"/>
            <w:vAlign w:val="bottom"/>
            <w:tcBorders>
              <w:left w:val="single" w:sz="8" w:color="424E6A"/>
              <w:bottom w:val="single" w:sz="8" w:color="424E6A"/>
            </w:tcBorders>
          </w:tcPr>
          <w:p>
            <w:pPr>
              <w:spacing w:after="0"/>
              <w:rPr>
                <w:sz w:val="21"/>
                <w:szCs w:val="21"/>
                <w:color w:val="auto"/>
              </w:rPr>
            </w:pPr>
          </w:p>
        </w:tc>
        <w:tc>
          <w:tcPr>
            <w:tcW w:w="820" w:type="dxa"/>
            <w:vAlign w:val="bottom"/>
            <w:tcBorders>
              <w:bottom w:val="single" w:sz="8" w:color="424E6A"/>
              <w:right w:val="single" w:sz="8" w:color="424E6A"/>
            </w:tcBorders>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24E6A"/>
            </w:tcBorders>
            <w:gridSpan w:val="2"/>
          </w:tcPr>
          <w:p>
            <w:pPr>
              <w:ind w:left="1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54,425</w:t>
            </w:r>
            <w:r>
              <w:rPr>
                <w:rFonts w:ascii="Arial" w:cs="Arial" w:eastAsia="Arial" w:hAnsi="Arial"/>
                <w:sz w:val="19"/>
                <w:szCs w:val="19"/>
                <w:color w:val="auto"/>
                <w:vertAlign w:val="superscript"/>
              </w:rPr>
              <w:t>(8)</w:t>
            </w:r>
          </w:p>
        </w:tc>
        <w:tc>
          <w:tcPr>
            <w:tcW w:w="240" w:type="dxa"/>
            <w:vAlign w:val="bottom"/>
            <w:tcBorders>
              <w:bottom w:val="single" w:sz="8" w:color="424E6A"/>
              <w:right w:val="single" w:sz="8" w:color="424E6A"/>
            </w:tcBorders>
            <w:gridSpan w:val="2"/>
          </w:tcPr>
          <w:p>
            <w:pPr>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424E6A"/>
            </w:tcBorders>
          </w:tcPr>
          <w:p>
            <w:pPr>
              <w:ind w:left="100"/>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977,473</w:t>
            </w:r>
          </w:p>
        </w:tc>
        <w:tc>
          <w:tcPr>
            <w:tcW w:w="24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gridSpan w:val="2"/>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54,425</w:t>
            </w:r>
            <w:r>
              <w:rPr>
                <w:rFonts w:ascii="Arial" w:cs="Arial" w:eastAsia="Arial" w:hAnsi="Arial"/>
                <w:sz w:val="19"/>
                <w:szCs w:val="19"/>
                <w:color w:val="auto"/>
                <w:vertAlign w:val="superscript"/>
              </w:rPr>
              <w:t>(9)</w:t>
            </w:r>
          </w:p>
        </w:tc>
        <w:tc>
          <w:tcPr>
            <w:tcW w:w="2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424E6A"/>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24E6A"/>
            </w:tcBorders>
          </w:tcPr>
          <w:p>
            <w:pPr>
              <w:ind w:lef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tcPr>
          <w:p>
            <w:pPr>
              <w:jc w:val="right"/>
              <w:ind w:right="38"/>
              <w:spacing w:after="0"/>
              <w:rPr>
                <w:sz w:val="20"/>
                <w:szCs w:val="20"/>
                <w:color w:val="auto"/>
              </w:rPr>
            </w:pPr>
            <w:r>
              <w:rPr>
                <w:rFonts w:ascii="Arial" w:cs="Arial" w:eastAsia="Arial" w:hAnsi="Arial"/>
                <w:sz w:val="18"/>
                <w:szCs w:val="18"/>
                <w:color w:val="auto"/>
              </w:rPr>
              <w:t>977,473</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9"/>
        </w:trPr>
        <w:tc>
          <w:tcPr>
            <w:tcW w:w="2040" w:type="dxa"/>
            <w:vAlign w:val="bottom"/>
            <w:tcBorders>
              <w:left w:val="single" w:sz="8" w:color="424E6A"/>
              <w:bottom w:val="single" w:sz="8" w:color="D9DCE1"/>
            </w:tcBorders>
            <w:shd w:val="clear" w:color="auto" w:fill="D9DCE1"/>
          </w:tcPr>
          <w:p>
            <w:pPr>
              <w:spacing w:after="0"/>
              <w:rPr>
                <w:sz w:val="24"/>
                <w:szCs w:val="24"/>
                <w:color w:val="auto"/>
              </w:rPr>
            </w:pPr>
          </w:p>
        </w:tc>
        <w:tc>
          <w:tcPr>
            <w:tcW w:w="820" w:type="dxa"/>
            <w:vAlign w:val="bottom"/>
            <w:tcBorders>
              <w:bottom w:val="single" w:sz="8" w:color="D9DCE1"/>
              <w:right w:val="single" w:sz="8" w:color="424E6A"/>
            </w:tcBorders>
            <w:shd w:val="clear" w:color="auto" w:fill="D9DCE1"/>
          </w:tcPr>
          <w:p>
            <w:pPr>
              <w:ind w:left="74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D9DCE1"/>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D9DCE1"/>
            </w:tcBorders>
            <w:shd w:val="clear" w:color="auto" w:fill="D9DCE1"/>
          </w:tcPr>
          <w:p>
            <w:pPr>
              <w:spacing w:after="0"/>
              <w:rPr>
                <w:sz w:val="24"/>
                <w:szCs w:val="24"/>
                <w:color w:val="auto"/>
              </w:rPr>
            </w:pPr>
          </w:p>
        </w:tc>
        <w:tc>
          <w:tcPr>
            <w:tcW w:w="240" w:type="dxa"/>
            <w:vAlign w:val="bottom"/>
            <w:tcBorders>
              <w:bottom w:val="single" w:sz="8" w:color="D9DCE1"/>
              <w:right w:val="single" w:sz="8" w:color="424E6A"/>
            </w:tcBorders>
            <w:gridSpan w:val="2"/>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260" w:type="dxa"/>
            <w:vAlign w:val="bottom"/>
            <w:tcBorders>
              <w:bottom w:val="single" w:sz="8" w:color="D9DCE1"/>
            </w:tcBorders>
            <w:shd w:val="clear" w:color="auto" w:fill="D9DCE1"/>
          </w:tcPr>
          <w:p>
            <w:pPr>
              <w:ind w:left="100"/>
              <w:spacing w:after="0"/>
              <w:rPr>
                <w:sz w:val="20"/>
                <w:szCs w:val="20"/>
                <w:color w:val="auto"/>
              </w:rPr>
            </w:pPr>
            <w:r>
              <w:rPr>
                <w:rFonts w:ascii="Arial" w:cs="Arial" w:eastAsia="Arial" w:hAnsi="Arial"/>
                <w:sz w:val="14"/>
                <w:szCs w:val="14"/>
                <w:b w:val="1"/>
                <w:bCs w:val="1"/>
                <w:color w:val="FFFFFF"/>
              </w:rPr>
              <w:t>​ ​</w:t>
            </w:r>
          </w:p>
        </w:tc>
        <w:tc>
          <w:tcPr>
            <w:tcW w:w="760" w:type="dxa"/>
            <w:vAlign w:val="bottom"/>
            <w:tcBorders>
              <w:bottom w:val="single" w:sz="8" w:color="D9DCE1"/>
            </w:tcBorders>
            <w:shd w:val="clear" w:color="auto" w:fill="D9DCE1"/>
          </w:tcPr>
          <w:p>
            <w:pPr>
              <w:spacing w:after="0"/>
              <w:rPr>
                <w:sz w:val="24"/>
                <w:szCs w:val="24"/>
                <w:color w:val="auto"/>
              </w:rPr>
            </w:pPr>
          </w:p>
        </w:tc>
        <w:tc>
          <w:tcPr>
            <w:tcW w:w="24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18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760" w:type="dxa"/>
            <w:vAlign w:val="bottom"/>
            <w:tcBorders>
              <w:bottom w:val="single" w:sz="8" w:color="D9DCE1"/>
            </w:tcBorders>
            <w:shd w:val="clear" w:color="auto" w:fill="D9DCE1"/>
          </w:tcPr>
          <w:p>
            <w:pPr>
              <w:spacing w:after="0"/>
              <w:rPr>
                <w:sz w:val="24"/>
                <w:szCs w:val="24"/>
                <w:color w:val="auto"/>
              </w:rPr>
            </w:pPr>
          </w:p>
        </w:tc>
        <w:tc>
          <w:tcPr>
            <w:tcW w:w="24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 ​</w:t>
            </w:r>
          </w:p>
        </w:tc>
        <w:tc>
          <w:tcPr>
            <w:tcW w:w="180" w:type="dxa"/>
            <w:vAlign w:val="bottom"/>
            <w:tcBorders>
              <w:bottom w:val="single" w:sz="8" w:color="D9DCE1"/>
            </w:tcBorders>
            <w:shd w:val="clear" w:color="auto" w:fill="D9DCE1"/>
          </w:tcPr>
          <w:p>
            <w:pPr>
              <w:ind w:left="100"/>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D9DCE1"/>
            </w:tcBorders>
            <w:shd w:val="clear" w:color="auto" w:fill="D9DCE1"/>
          </w:tcPr>
          <w:p>
            <w:pPr>
              <w:spacing w:after="0"/>
              <w:rPr>
                <w:sz w:val="24"/>
                <w:szCs w:val="24"/>
                <w:color w:val="auto"/>
              </w:rPr>
            </w:pPr>
          </w:p>
        </w:tc>
        <w:tc>
          <w:tcPr>
            <w:tcW w:w="10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50"/>
        </w:trPr>
        <w:tc>
          <w:tcPr>
            <w:tcW w:w="2040" w:type="dxa"/>
            <w:vAlign w:val="bottom"/>
            <w:tcBorders>
              <w:top w:val="single" w:sz="8" w:color="424E6A"/>
              <w:left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Richard McGee</w:t>
            </w:r>
          </w:p>
        </w:tc>
        <w:tc>
          <w:tcPr>
            <w:tcW w:w="820" w:type="dxa"/>
            <w:vAlign w:val="bottom"/>
            <w:tcBorders>
              <w:top w:val="single" w:sz="8" w:color="424E6A"/>
              <w:bottom w:val="single" w:sz="8" w:color="424E6A"/>
              <w:right w:val="single" w:sz="8" w:color="424E6A"/>
            </w:tcBorders>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424E6A"/>
              <w:bottom w:val="single" w:sz="8" w:color="424E6A"/>
            </w:tcBorders>
            <w:gridSpan w:val="2"/>
          </w:tcPr>
          <w:p>
            <w:pPr>
              <w:ind w:left="1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51,075</w:t>
            </w:r>
            <w:r>
              <w:rPr>
                <w:rFonts w:ascii="Arial" w:cs="Arial" w:eastAsia="Arial" w:hAnsi="Arial"/>
                <w:sz w:val="19"/>
                <w:szCs w:val="19"/>
                <w:color w:val="auto"/>
                <w:vertAlign w:val="superscript"/>
              </w:rPr>
              <w:t>(4)</w:t>
            </w:r>
          </w:p>
        </w:tc>
        <w:tc>
          <w:tcPr>
            <w:tcW w:w="240" w:type="dxa"/>
            <w:vAlign w:val="bottom"/>
            <w:tcBorders>
              <w:top w:val="single" w:sz="8" w:color="424E6A"/>
              <w:bottom w:val="single" w:sz="8" w:color="424E6A"/>
              <w:right w:val="single" w:sz="8" w:color="424E6A"/>
            </w:tcBorders>
            <w:gridSpan w:val="2"/>
          </w:tcPr>
          <w:p>
            <w:pPr>
              <w:spacing w:after="0"/>
              <w:rPr>
                <w:sz w:val="20"/>
                <w:szCs w:val="20"/>
                <w:color w:val="auto"/>
              </w:rPr>
            </w:pPr>
            <w:r>
              <w:rPr>
                <w:rFonts w:ascii="Arial" w:cs="Arial" w:eastAsia="Arial" w:hAnsi="Arial"/>
                <w:sz w:val="18"/>
                <w:szCs w:val="18"/>
                <w:color w:val="auto"/>
              </w:rPr>
              <w:t>​ ​</w:t>
            </w:r>
          </w:p>
        </w:tc>
        <w:tc>
          <w:tcPr>
            <w:tcW w:w="260" w:type="dxa"/>
            <w:vAlign w:val="bottom"/>
            <w:tcBorders>
              <w:top w:val="single" w:sz="8" w:color="424E6A"/>
              <w:bottom w:val="single" w:sz="8" w:color="424E6A"/>
            </w:tcBorders>
          </w:tcPr>
          <w:p>
            <w:pPr>
              <w:ind w:left="100"/>
              <w:spacing w:after="0"/>
              <w:rPr>
                <w:sz w:val="20"/>
                <w:szCs w:val="20"/>
                <w:color w:val="auto"/>
              </w:rPr>
            </w:pPr>
            <w:r>
              <w:rPr>
                <w:rFonts w:ascii="Arial" w:cs="Arial" w:eastAsia="Arial" w:hAnsi="Arial"/>
                <w:sz w:val="18"/>
                <w:szCs w:val="18"/>
                <w:color w:val="auto"/>
              </w:rPr>
              <w:t>​ ​</w:t>
            </w:r>
          </w:p>
        </w:tc>
        <w:tc>
          <w:tcPr>
            <w:tcW w:w="760" w:type="dxa"/>
            <w:vAlign w:val="bottom"/>
            <w:tcBorders>
              <w:top w:val="single" w:sz="8" w:color="424E6A"/>
              <w:bottom w:val="single" w:sz="8" w:color="424E6A"/>
            </w:tcBorders>
          </w:tcPr>
          <w:p>
            <w:pPr>
              <w:jc w:val="right"/>
              <w:spacing w:after="0"/>
              <w:rPr>
                <w:sz w:val="20"/>
                <w:szCs w:val="20"/>
                <w:color w:val="auto"/>
              </w:rPr>
            </w:pPr>
            <w:r>
              <w:rPr>
                <w:rFonts w:ascii="Arial" w:cs="Arial" w:eastAsia="Arial" w:hAnsi="Arial"/>
                <w:sz w:val="18"/>
                <w:szCs w:val="18"/>
                <w:color w:val="auto"/>
              </w:rPr>
              <w:t>917,307</w:t>
            </w:r>
          </w:p>
        </w:tc>
        <w:tc>
          <w:tcPr>
            <w:tcW w:w="240" w:type="dxa"/>
            <w:vAlign w:val="bottom"/>
            <w:tcBorders>
              <w:top w:val="single" w:sz="8" w:color="424E6A"/>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80" w:type="dxa"/>
            <w:vAlign w:val="bottom"/>
            <w:tcBorders>
              <w:top w:val="single" w:sz="8" w:color="424E6A"/>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424E6A"/>
              <w:bottom w:val="single" w:sz="8" w:color="424E6A"/>
            </w:tcBorders>
            <w:gridSpan w:val="2"/>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51,075</w:t>
            </w:r>
            <w:r>
              <w:rPr>
                <w:rFonts w:ascii="Arial" w:cs="Arial" w:eastAsia="Arial" w:hAnsi="Arial"/>
                <w:sz w:val="19"/>
                <w:szCs w:val="19"/>
                <w:color w:val="auto"/>
                <w:vertAlign w:val="superscript"/>
              </w:rPr>
              <w:t>(5)</w:t>
            </w:r>
          </w:p>
        </w:tc>
        <w:tc>
          <w:tcPr>
            <w:tcW w:w="24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 ​</w:t>
            </w:r>
          </w:p>
        </w:tc>
        <w:tc>
          <w:tcPr>
            <w:tcW w:w="180" w:type="dxa"/>
            <w:vAlign w:val="bottom"/>
            <w:tcBorders>
              <w:top w:val="single" w:sz="8" w:color="424E6A"/>
              <w:bottom w:val="single" w:sz="8" w:color="424E6A"/>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424E6A"/>
              <w:bottom w:val="single" w:sz="8" w:color="424E6A"/>
            </w:tcBorders>
          </w:tcPr>
          <w:p>
            <w:pPr>
              <w:ind w:left="16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424E6A"/>
              <w:bottom w:val="single" w:sz="8" w:color="424E6A"/>
            </w:tcBorders>
          </w:tcPr>
          <w:p>
            <w:pPr>
              <w:jc w:val="right"/>
              <w:ind w:right="38"/>
              <w:spacing w:after="0"/>
              <w:rPr>
                <w:sz w:val="20"/>
                <w:szCs w:val="20"/>
                <w:color w:val="auto"/>
              </w:rPr>
            </w:pPr>
            <w:r>
              <w:rPr>
                <w:rFonts w:ascii="Arial" w:cs="Arial" w:eastAsia="Arial" w:hAnsi="Arial"/>
                <w:sz w:val="18"/>
                <w:szCs w:val="18"/>
                <w:color w:val="auto"/>
              </w:rPr>
              <w:t>917,307</w:t>
            </w:r>
          </w:p>
        </w:tc>
        <w:tc>
          <w:tcPr>
            <w:tcW w:w="10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40" w:type="dxa"/>
            <w:vAlign w:val="bottom"/>
            <w:tcBorders>
              <w:left w:val="single" w:sz="8" w:color="424E6A"/>
              <w:bottom w:val="single" w:sz="8" w:color="424E6A"/>
            </w:tcBorders>
          </w:tcPr>
          <w:p>
            <w:pPr>
              <w:spacing w:after="0"/>
              <w:rPr>
                <w:sz w:val="21"/>
                <w:szCs w:val="21"/>
                <w:color w:val="auto"/>
              </w:rPr>
            </w:pPr>
          </w:p>
        </w:tc>
        <w:tc>
          <w:tcPr>
            <w:tcW w:w="820" w:type="dxa"/>
            <w:vAlign w:val="bottom"/>
            <w:tcBorders>
              <w:bottom w:val="single" w:sz="8" w:color="424E6A"/>
              <w:right w:val="single" w:sz="8" w:color="424E6A"/>
            </w:tcBorders>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24E6A"/>
            </w:tcBorders>
            <w:gridSpan w:val="2"/>
          </w:tcPr>
          <w:p>
            <w:pPr>
              <w:ind w:left="1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54,000</w:t>
            </w:r>
            <w:r>
              <w:rPr>
                <w:rFonts w:ascii="Arial" w:cs="Arial" w:eastAsia="Arial" w:hAnsi="Arial"/>
                <w:sz w:val="19"/>
                <w:szCs w:val="19"/>
                <w:color w:val="auto"/>
                <w:vertAlign w:val="superscript"/>
              </w:rPr>
              <w:t>(6)</w:t>
            </w:r>
          </w:p>
        </w:tc>
        <w:tc>
          <w:tcPr>
            <w:tcW w:w="240" w:type="dxa"/>
            <w:vAlign w:val="bottom"/>
            <w:tcBorders>
              <w:bottom w:val="single" w:sz="8" w:color="424E6A"/>
              <w:right w:val="single" w:sz="8" w:color="424E6A"/>
            </w:tcBorders>
            <w:gridSpan w:val="2"/>
          </w:tcPr>
          <w:p>
            <w:pPr>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424E6A"/>
            </w:tcBorders>
          </w:tcPr>
          <w:p>
            <w:pPr>
              <w:ind w:left="100"/>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969,840</w:t>
            </w:r>
          </w:p>
        </w:tc>
        <w:tc>
          <w:tcPr>
            <w:tcW w:w="24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gridSpan w:val="2"/>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54,000</w:t>
            </w:r>
            <w:r>
              <w:rPr>
                <w:rFonts w:ascii="Arial" w:cs="Arial" w:eastAsia="Arial" w:hAnsi="Arial"/>
                <w:sz w:val="19"/>
                <w:szCs w:val="19"/>
                <w:color w:val="auto"/>
                <w:vertAlign w:val="superscript"/>
              </w:rPr>
              <w:t>(7)</w:t>
            </w:r>
          </w:p>
        </w:tc>
        <w:tc>
          <w:tcPr>
            <w:tcW w:w="2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424E6A"/>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24E6A"/>
            </w:tcBorders>
          </w:tcPr>
          <w:p>
            <w:pPr>
              <w:ind w:lef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tcPr>
          <w:p>
            <w:pPr>
              <w:jc w:val="right"/>
              <w:ind w:right="38"/>
              <w:spacing w:after="0"/>
              <w:rPr>
                <w:sz w:val="20"/>
                <w:szCs w:val="20"/>
                <w:color w:val="auto"/>
              </w:rPr>
            </w:pPr>
            <w:r>
              <w:rPr>
                <w:rFonts w:ascii="Arial" w:cs="Arial" w:eastAsia="Arial" w:hAnsi="Arial"/>
                <w:sz w:val="18"/>
                <w:szCs w:val="18"/>
                <w:color w:val="auto"/>
              </w:rPr>
              <w:t>969,840</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2040" w:type="dxa"/>
            <w:vAlign w:val="bottom"/>
            <w:tcBorders>
              <w:left w:val="single" w:sz="8" w:color="424E6A"/>
            </w:tcBorders>
          </w:tcPr>
          <w:p>
            <w:pPr>
              <w:spacing w:after="0"/>
              <w:rPr>
                <w:sz w:val="15"/>
                <w:szCs w:val="15"/>
                <w:color w:val="auto"/>
              </w:rPr>
            </w:pPr>
          </w:p>
        </w:tc>
        <w:tc>
          <w:tcPr>
            <w:tcW w:w="820" w:type="dxa"/>
            <w:vAlign w:val="bottom"/>
            <w:tcBorders>
              <w:right w:val="single" w:sz="8" w:color="424E6A"/>
            </w:tcBorders>
            <w:vMerge w:val="restart"/>
          </w:tcPr>
          <w:p>
            <w:pPr>
              <w:ind w:left="74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7"/>
                <w:szCs w:val="17"/>
                <w:color w:val="auto"/>
              </w:rPr>
              <w:t>56,325</w:t>
            </w:r>
            <w:r>
              <w:rPr>
                <w:rFonts w:ascii="Arial" w:cs="Arial" w:eastAsia="Arial" w:hAnsi="Arial"/>
                <w:sz w:val="21"/>
                <w:szCs w:val="21"/>
                <w:color w:val="auto"/>
                <w:vertAlign w:val="superscript"/>
              </w:rPr>
              <w:t>(8)</w:t>
            </w:r>
          </w:p>
        </w:tc>
        <w:tc>
          <w:tcPr>
            <w:tcW w:w="240" w:type="dxa"/>
            <w:vAlign w:val="bottom"/>
            <w:tcBorders>
              <w:right w:val="single" w:sz="8" w:color="424E6A"/>
            </w:tcBorders>
            <w:gridSpan w:val="2"/>
            <w:vMerge w:val="restart"/>
          </w:tcPr>
          <w:p>
            <w:pPr>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1,011,597</w:t>
            </w:r>
          </w:p>
        </w:tc>
        <w:tc>
          <w:tcPr>
            <w:tcW w:w="24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83" w:lineRule="exact"/>
              <w:rPr>
                <w:sz w:val="20"/>
                <w:szCs w:val="20"/>
                <w:color w:val="auto"/>
              </w:rPr>
            </w:pPr>
            <w:r>
              <w:rPr>
                <w:rFonts w:ascii="Arial" w:cs="Arial" w:eastAsia="Arial" w:hAnsi="Arial"/>
                <w:sz w:val="17"/>
                <w:szCs w:val="17"/>
                <w:color w:val="auto"/>
              </w:rPr>
              <w:t>56,325</w:t>
            </w:r>
            <w:r>
              <w:rPr>
                <w:rFonts w:ascii="Arial" w:cs="Arial" w:eastAsia="Arial" w:hAnsi="Arial"/>
                <w:sz w:val="21"/>
                <w:szCs w:val="21"/>
                <w:color w:val="auto"/>
                <w:vertAlign w:val="superscript"/>
              </w:rPr>
              <w:t>(9)</w:t>
            </w:r>
          </w:p>
        </w:tc>
        <w:tc>
          <w:tcPr>
            <w:tcW w:w="2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
              <w:spacing w:after="0" w:line="182" w:lineRule="exact"/>
              <w:rPr>
                <w:sz w:val="20"/>
                <w:szCs w:val="20"/>
                <w:color w:val="auto"/>
              </w:rPr>
            </w:pPr>
            <w:r>
              <w:rPr>
                <w:rFonts w:ascii="Arial" w:cs="Arial" w:eastAsia="Arial" w:hAnsi="Arial"/>
                <w:sz w:val="18"/>
                <w:szCs w:val="18"/>
                <w:color w:val="auto"/>
              </w:rPr>
              <w:t>1,011,597</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40" w:type="dxa"/>
            <w:vAlign w:val="bottom"/>
            <w:tcBorders>
              <w:left w:val="single" w:sz="8" w:color="424E6A"/>
              <w:bottom w:val="single" w:sz="8" w:color="424E6A"/>
            </w:tcBorders>
          </w:tcPr>
          <w:p>
            <w:pPr>
              <w:spacing w:after="0"/>
              <w:rPr>
                <w:sz w:val="5"/>
                <w:szCs w:val="5"/>
                <w:color w:val="auto"/>
              </w:rPr>
            </w:pPr>
          </w:p>
        </w:tc>
        <w:tc>
          <w:tcPr>
            <w:tcW w:w="82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vMerge w:val="continue"/>
          </w:tcPr>
          <w:p>
            <w:pPr>
              <w:spacing w:after="0"/>
              <w:rPr>
                <w:sz w:val="5"/>
                <w:szCs w:val="5"/>
                <w:color w:val="auto"/>
              </w:rPr>
            </w:pPr>
          </w:p>
        </w:tc>
        <w:tc>
          <w:tcPr>
            <w:tcW w:w="74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gridSpan w:val="2"/>
            <w:vMerge w:val="continue"/>
          </w:tcPr>
          <w:p>
            <w:pPr>
              <w:spacing w:after="0"/>
              <w:rPr>
                <w:sz w:val="5"/>
                <w:szCs w:val="5"/>
                <w:color w:val="auto"/>
              </w:rPr>
            </w:pPr>
          </w:p>
        </w:tc>
        <w:tc>
          <w:tcPr>
            <w:tcW w:w="260" w:type="dxa"/>
            <w:vAlign w:val="bottom"/>
            <w:tcBorders>
              <w:bottom w:val="single" w:sz="8" w:color="424E6A"/>
            </w:tcBorders>
          </w:tcPr>
          <w:p>
            <w:pPr>
              <w:ind w:left="10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vMerge w:val="continue"/>
          </w:tcPr>
          <w:p>
            <w:pPr>
              <w:spacing w:after="0"/>
              <w:rPr>
                <w:sz w:val="5"/>
                <w:szCs w:val="5"/>
                <w:color w:val="auto"/>
              </w:rPr>
            </w:pP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040" w:type="dxa"/>
            <w:vAlign w:val="bottom"/>
            <w:tcBorders>
              <w:left w:val="single" w:sz="8" w:color="424E6A"/>
              <w:bottom w:val="single" w:sz="8" w:color="D9DCE1"/>
            </w:tcBorders>
            <w:shd w:val="clear" w:color="auto" w:fill="D9DCE1"/>
          </w:tcPr>
          <w:p>
            <w:pPr>
              <w:spacing w:after="0"/>
              <w:rPr>
                <w:sz w:val="24"/>
                <w:szCs w:val="24"/>
                <w:color w:val="auto"/>
              </w:rPr>
            </w:pPr>
          </w:p>
        </w:tc>
        <w:tc>
          <w:tcPr>
            <w:tcW w:w="820" w:type="dxa"/>
            <w:vAlign w:val="bottom"/>
            <w:tcBorders>
              <w:bottom w:val="single" w:sz="8" w:color="D9DCE1"/>
              <w:right w:val="single" w:sz="8" w:color="424E6A"/>
            </w:tcBorders>
            <w:shd w:val="clear" w:color="auto" w:fill="D9DCE1"/>
          </w:tcPr>
          <w:p>
            <w:pPr>
              <w:ind w:left="74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D9DCE1"/>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D9DCE1"/>
            </w:tcBorders>
            <w:shd w:val="clear" w:color="auto" w:fill="D9DCE1"/>
          </w:tcPr>
          <w:p>
            <w:pPr>
              <w:spacing w:after="0"/>
              <w:rPr>
                <w:sz w:val="24"/>
                <w:szCs w:val="24"/>
                <w:color w:val="auto"/>
              </w:rPr>
            </w:pPr>
          </w:p>
        </w:tc>
        <w:tc>
          <w:tcPr>
            <w:tcW w:w="240" w:type="dxa"/>
            <w:vAlign w:val="bottom"/>
            <w:tcBorders>
              <w:bottom w:val="single" w:sz="8" w:color="D9DCE1"/>
              <w:right w:val="single" w:sz="8" w:color="424E6A"/>
            </w:tcBorders>
            <w:gridSpan w:val="2"/>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260" w:type="dxa"/>
            <w:vAlign w:val="bottom"/>
            <w:tcBorders>
              <w:bottom w:val="single" w:sz="8" w:color="D9DCE1"/>
            </w:tcBorders>
            <w:shd w:val="clear" w:color="auto" w:fill="D9DCE1"/>
          </w:tcPr>
          <w:p>
            <w:pPr>
              <w:ind w:left="100"/>
              <w:spacing w:after="0"/>
              <w:rPr>
                <w:sz w:val="20"/>
                <w:szCs w:val="20"/>
                <w:color w:val="auto"/>
              </w:rPr>
            </w:pPr>
            <w:r>
              <w:rPr>
                <w:rFonts w:ascii="Arial" w:cs="Arial" w:eastAsia="Arial" w:hAnsi="Arial"/>
                <w:sz w:val="14"/>
                <w:szCs w:val="14"/>
                <w:b w:val="1"/>
                <w:bCs w:val="1"/>
                <w:color w:val="FFFFFF"/>
              </w:rPr>
              <w:t>​ ​</w:t>
            </w:r>
          </w:p>
        </w:tc>
        <w:tc>
          <w:tcPr>
            <w:tcW w:w="760" w:type="dxa"/>
            <w:vAlign w:val="bottom"/>
            <w:tcBorders>
              <w:bottom w:val="single" w:sz="8" w:color="D9DCE1"/>
            </w:tcBorders>
            <w:shd w:val="clear" w:color="auto" w:fill="D9DCE1"/>
          </w:tcPr>
          <w:p>
            <w:pPr>
              <w:spacing w:after="0"/>
              <w:rPr>
                <w:sz w:val="24"/>
                <w:szCs w:val="24"/>
                <w:color w:val="auto"/>
              </w:rPr>
            </w:pPr>
          </w:p>
        </w:tc>
        <w:tc>
          <w:tcPr>
            <w:tcW w:w="24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18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760" w:type="dxa"/>
            <w:vAlign w:val="bottom"/>
            <w:tcBorders>
              <w:bottom w:val="single" w:sz="8" w:color="D9DCE1"/>
            </w:tcBorders>
            <w:shd w:val="clear" w:color="auto" w:fill="D9DCE1"/>
          </w:tcPr>
          <w:p>
            <w:pPr>
              <w:spacing w:after="0"/>
              <w:rPr>
                <w:sz w:val="24"/>
                <w:szCs w:val="24"/>
                <w:color w:val="auto"/>
              </w:rPr>
            </w:pPr>
          </w:p>
        </w:tc>
        <w:tc>
          <w:tcPr>
            <w:tcW w:w="24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 ​</w:t>
            </w:r>
          </w:p>
        </w:tc>
        <w:tc>
          <w:tcPr>
            <w:tcW w:w="180" w:type="dxa"/>
            <w:vAlign w:val="bottom"/>
            <w:tcBorders>
              <w:bottom w:val="single" w:sz="8" w:color="D9DCE1"/>
            </w:tcBorders>
            <w:shd w:val="clear" w:color="auto" w:fill="D9DCE1"/>
          </w:tcPr>
          <w:p>
            <w:pPr>
              <w:ind w:left="100"/>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D9DCE1"/>
            </w:tcBorders>
            <w:shd w:val="clear" w:color="auto" w:fill="D9DCE1"/>
          </w:tcPr>
          <w:p>
            <w:pPr>
              <w:spacing w:after="0"/>
              <w:rPr>
                <w:sz w:val="24"/>
                <w:szCs w:val="24"/>
                <w:color w:val="auto"/>
              </w:rPr>
            </w:pPr>
          </w:p>
        </w:tc>
        <w:tc>
          <w:tcPr>
            <w:tcW w:w="10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83"/>
        </w:trPr>
        <w:tc>
          <w:tcPr>
            <w:tcW w:w="2040" w:type="dxa"/>
            <w:vAlign w:val="bottom"/>
            <w:tcBorders>
              <w:top w:val="single" w:sz="8" w:color="424E6A"/>
              <w:left w:val="single" w:sz="8" w:color="424E6A"/>
            </w:tcBorders>
          </w:tcPr>
          <w:p>
            <w:pPr>
              <w:ind w:left="60"/>
              <w:spacing w:after="0" w:line="182" w:lineRule="exact"/>
              <w:rPr>
                <w:sz w:val="20"/>
                <w:szCs w:val="20"/>
                <w:color w:val="auto"/>
              </w:rPr>
            </w:pPr>
            <w:r>
              <w:rPr>
                <w:rFonts w:ascii="Arial" w:cs="Arial" w:eastAsia="Arial" w:hAnsi="Arial"/>
                <w:sz w:val="18"/>
                <w:szCs w:val="18"/>
                <w:color w:val="auto"/>
              </w:rPr>
              <w:t>Chris Chandler</w:t>
            </w:r>
          </w:p>
        </w:tc>
        <w:tc>
          <w:tcPr>
            <w:tcW w:w="820" w:type="dxa"/>
            <w:vAlign w:val="bottom"/>
            <w:tcBorders>
              <w:top w:val="single" w:sz="8" w:color="424E6A"/>
              <w:right w:val="single" w:sz="8" w:color="424E6A"/>
            </w:tcBorders>
            <w:vMerge w:val="restart"/>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424E6A"/>
            </w:tcBorders>
            <w:gridSpan w:val="2"/>
          </w:tcPr>
          <w:p>
            <w:pPr>
              <w:jc w:val="right"/>
              <w:spacing w:after="0" w:line="183" w:lineRule="exact"/>
              <w:rPr>
                <w:sz w:val="20"/>
                <w:szCs w:val="20"/>
                <w:color w:val="auto"/>
              </w:rPr>
            </w:pPr>
            <w:r>
              <w:rPr>
                <w:rFonts w:ascii="Arial" w:cs="Arial" w:eastAsia="Arial" w:hAnsi="Arial"/>
                <w:sz w:val="17"/>
                <w:szCs w:val="17"/>
                <w:color w:val="auto"/>
              </w:rPr>
              <w:t>250,000</w:t>
            </w:r>
            <w:r>
              <w:rPr>
                <w:rFonts w:ascii="Arial" w:cs="Arial" w:eastAsia="Arial" w:hAnsi="Arial"/>
                <w:sz w:val="21"/>
                <w:szCs w:val="21"/>
                <w:color w:val="auto"/>
                <w:vertAlign w:val="superscript"/>
              </w:rPr>
              <w:t>(3)</w:t>
            </w:r>
          </w:p>
        </w:tc>
        <w:tc>
          <w:tcPr>
            <w:tcW w:w="240" w:type="dxa"/>
            <w:vAlign w:val="bottom"/>
            <w:tcBorders>
              <w:top w:val="single" w:sz="8" w:color="424E6A"/>
              <w:right w:val="single" w:sz="8" w:color="424E6A"/>
            </w:tcBorders>
            <w:gridSpan w:val="2"/>
            <w:vMerge w:val="restart"/>
          </w:tcPr>
          <w:p>
            <w:pPr>
              <w:spacing w:after="0"/>
              <w:rPr>
                <w:sz w:val="20"/>
                <w:szCs w:val="20"/>
                <w:color w:val="auto"/>
              </w:rPr>
            </w:pPr>
            <w:r>
              <w:rPr>
                <w:rFonts w:ascii="Arial" w:cs="Arial" w:eastAsia="Arial" w:hAnsi="Arial"/>
                <w:sz w:val="18"/>
                <w:szCs w:val="18"/>
                <w:color w:val="auto"/>
              </w:rPr>
              <w:t>​ ​</w:t>
            </w:r>
          </w:p>
        </w:tc>
        <w:tc>
          <w:tcPr>
            <w:tcW w:w="1020" w:type="dxa"/>
            <w:vAlign w:val="bottom"/>
            <w:tcBorders>
              <w:top w:val="single" w:sz="8" w:color="424E6A"/>
            </w:tcBorders>
            <w:gridSpan w:val="2"/>
          </w:tcPr>
          <w:p>
            <w:pPr>
              <w:jc w:val="right"/>
              <w:spacing w:after="0" w:line="182" w:lineRule="exact"/>
              <w:rPr>
                <w:sz w:val="20"/>
                <w:szCs w:val="20"/>
                <w:color w:val="auto"/>
              </w:rPr>
            </w:pPr>
            <w:r>
              <w:rPr>
                <w:rFonts w:ascii="Arial" w:cs="Arial" w:eastAsia="Arial" w:hAnsi="Arial"/>
                <w:sz w:val="18"/>
                <w:szCs w:val="18"/>
                <w:color w:val="auto"/>
              </w:rPr>
              <w:t>4,490,000</w:t>
            </w:r>
          </w:p>
        </w:tc>
        <w:tc>
          <w:tcPr>
            <w:tcW w:w="240" w:type="dxa"/>
            <w:vAlign w:val="bottom"/>
            <w:tcBorders>
              <w:top w:val="single" w:sz="8" w:color="424E6A"/>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tcBorders>
              <w:top w:val="single" w:sz="8" w:color="424E6A"/>
            </w:tcBorders>
            <w:vMerge w:val="restart"/>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424E6A"/>
            </w:tcBorders>
            <w:gridSpan w:val="2"/>
          </w:tcPr>
          <w:p>
            <w:pPr>
              <w:jc w:val="right"/>
              <w:spacing w:after="0" w:line="183" w:lineRule="exact"/>
              <w:rPr>
                <w:sz w:val="20"/>
                <w:szCs w:val="20"/>
                <w:color w:val="auto"/>
              </w:rPr>
            </w:pPr>
            <w:r>
              <w:rPr>
                <w:rFonts w:ascii="Arial" w:cs="Arial" w:eastAsia="Arial" w:hAnsi="Arial"/>
                <w:sz w:val="17"/>
                <w:szCs w:val="17"/>
                <w:color w:val="auto"/>
              </w:rPr>
              <w:t>250,000</w:t>
            </w:r>
            <w:r>
              <w:rPr>
                <w:rFonts w:ascii="Arial" w:cs="Arial" w:eastAsia="Arial" w:hAnsi="Arial"/>
                <w:sz w:val="21"/>
                <w:szCs w:val="21"/>
                <w:color w:val="auto"/>
                <w:vertAlign w:val="superscript"/>
              </w:rPr>
              <w:t>(3)</w:t>
            </w:r>
          </w:p>
        </w:tc>
        <w:tc>
          <w:tcPr>
            <w:tcW w:w="24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180" w:type="dxa"/>
            <w:vAlign w:val="bottom"/>
            <w:tcBorders>
              <w:top w:val="single" w:sz="8" w:color="424E6A"/>
            </w:tcBorders>
            <w:vMerge w:val="restart"/>
          </w:tcPr>
          <w:p>
            <w:pPr>
              <w:ind w:left="10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424E6A"/>
            </w:tcBorders>
            <w:gridSpan w:val="2"/>
          </w:tcPr>
          <w:p>
            <w:pPr>
              <w:jc w:val="right"/>
              <w:ind w:right="38"/>
              <w:spacing w:after="0" w:line="182" w:lineRule="exact"/>
              <w:rPr>
                <w:sz w:val="20"/>
                <w:szCs w:val="20"/>
                <w:color w:val="auto"/>
              </w:rPr>
            </w:pPr>
            <w:r>
              <w:rPr>
                <w:rFonts w:ascii="Arial" w:cs="Arial" w:eastAsia="Arial" w:hAnsi="Arial"/>
                <w:sz w:val="18"/>
                <w:szCs w:val="18"/>
                <w:color w:val="auto"/>
              </w:rPr>
              <w:t>4,490,000</w:t>
            </w:r>
          </w:p>
        </w:tc>
        <w:tc>
          <w:tcPr>
            <w:tcW w:w="10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40" w:type="dxa"/>
            <w:vAlign w:val="bottom"/>
            <w:tcBorders>
              <w:left w:val="single" w:sz="8" w:color="424E6A"/>
              <w:bottom w:val="single" w:sz="8" w:color="424E6A"/>
            </w:tcBorders>
          </w:tcPr>
          <w:p>
            <w:pPr>
              <w:spacing w:after="0"/>
              <w:rPr>
                <w:sz w:val="5"/>
                <w:szCs w:val="5"/>
                <w:color w:val="auto"/>
              </w:rPr>
            </w:pPr>
          </w:p>
        </w:tc>
        <w:tc>
          <w:tcPr>
            <w:tcW w:w="82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tcPr>
          <w:p>
            <w:pPr>
              <w:ind w:left="180"/>
              <w:spacing w:after="0" w:line="68" w:lineRule="exact"/>
              <w:rPr>
                <w:sz w:val="20"/>
                <w:szCs w:val="20"/>
                <w:color w:val="auto"/>
              </w:rPr>
            </w:pPr>
            <w:r>
              <w:rPr>
                <w:rFonts w:ascii="Arial" w:cs="Arial" w:eastAsia="Arial" w:hAnsi="Arial"/>
                <w:sz w:val="7"/>
                <w:szCs w:val="7"/>
                <w:color w:val="auto"/>
              </w:rPr>
              <w:t>​</w:t>
            </w:r>
          </w:p>
        </w:tc>
        <w:tc>
          <w:tcPr>
            <w:tcW w:w="74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gridSpan w:val="2"/>
            <w:vMerge w:val="continue"/>
          </w:tcPr>
          <w:p>
            <w:pPr>
              <w:spacing w:after="0"/>
              <w:rPr>
                <w:sz w:val="5"/>
                <w:szCs w:val="5"/>
                <w:color w:val="auto"/>
              </w:rPr>
            </w:pPr>
          </w:p>
        </w:tc>
        <w:tc>
          <w:tcPr>
            <w:tcW w:w="260" w:type="dxa"/>
            <w:vAlign w:val="bottom"/>
            <w:tcBorders>
              <w:bottom w:val="single" w:sz="8" w:color="424E6A"/>
            </w:tcBorders>
          </w:tcPr>
          <w:p>
            <w:pPr>
              <w:ind w:left="10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2040" w:type="dxa"/>
            <w:vAlign w:val="bottom"/>
            <w:tcBorders>
              <w:left w:val="single" w:sz="8" w:color="424E6A"/>
            </w:tcBorders>
          </w:tcPr>
          <w:p>
            <w:pPr>
              <w:spacing w:after="0"/>
              <w:rPr>
                <w:sz w:val="15"/>
                <w:szCs w:val="15"/>
                <w:color w:val="auto"/>
              </w:rPr>
            </w:pPr>
          </w:p>
        </w:tc>
        <w:tc>
          <w:tcPr>
            <w:tcW w:w="820" w:type="dxa"/>
            <w:vAlign w:val="bottom"/>
            <w:tcBorders>
              <w:right w:val="single" w:sz="8" w:color="424E6A"/>
            </w:tcBorders>
            <w:vMerge w:val="restart"/>
          </w:tcPr>
          <w:p>
            <w:pPr>
              <w:ind w:left="74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7"/>
                <w:szCs w:val="17"/>
                <w:color w:val="auto"/>
              </w:rPr>
              <w:t>65,825</w:t>
            </w:r>
            <w:r>
              <w:rPr>
                <w:rFonts w:ascii="Arial" w:cs="Arial" w:eastAsia="Arial" w:hAnsi="Arial"/>
                <w:sz w:val="21"/>
                <w:szCs w:val="21"/>
                <w:color w:val="auto"/>
                <w:vertAlign w:val="superscript"/>
              </w:rPr>
              <w:t>(4)</w:t>
            </w:r>
          </w:p>
        </w:tc>
        <w:tc>
          <w:tcPr>
            <w:tcW w:w="240" w:type="dxa"/>
            <w:vAlign w:val="bottom"/>
            <w:tcBorders>
              <w:right w:val="single" w:sz="8" w:color="424E6A"/>
            </w:tcBorders>
            <w:gridSpan w:val="2"/>
            <w:vMerge w:val="restart"/>
          </w:tcPr>
          <w:p>
            <w:pPr>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1,182,217</w:t>
            </w:r>
          </w:p>
        </w:tc>
        <w:tc>
          <w:tcPr>
            <w:tcW w:w="24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83" w:lineRule="exact"/>
              <w:rPr>
                <w:sz w:val="20"/>
                <w:szCs w:val="20"/>
                <w:color w:val="auto"/>
              </w:rPr>
            </w:pPr>
            <w:r>
              <w:rPr>
                <w:rFonts w:ascii="Arial" w:cs="Arial" w:eastAsia="Arial" w:hAnsi="Arial"/>
                <w:sz w:val="17"/>
                <w:szCs w:val="17"/>
                <w:color w:val="auto"/>
              </w:rPr>
              <w:t>65,825</w:t>
            </w:r>
            <w:r>
              <w:rPr>
                <w:rFonts w:ascii="Arial" w:cs="Arial" w:eastAsia="Arial" w:hAnsi="Arial"/>
                <w:sz w:val="21"/>
                <w:szCs w:val="21"/>
                <w:color w:val="auto"/>
                <w:vertAlign w:val="superscript"/>
              </w:rPr>
              <w:t>(5)</w:t>
            </w:r>
          </w:p>
        </w:tc>
        <w:tc>
          <w:tcPr>
            <w:tcW w:w="2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
              <w:spacing w:after="0" w:line="182" w:lineRule="exact"/>
              <w:rPr>
                <w:sz w:val="20"/>
                <w:szCs w:val="20"/>
                <w:color w:val="auto"/>
              </w:rPr>
            </w:pPr>
            <w:r>
              <w:rPr>
                <w:rFonts w:ascii="Arial" w:cs="Arial" w:eastAsia="Arial" w:hAnsi="Arial"/>
                <w:sz w:val="18"/>
                <w:szCs w:val="18"/>
                <w:color w:val="auto"/>
              </w:rPr>
              <w:t>1,182,217</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2040" w:type="dxa"/>
            <w:vAlign w:val="bottom"/>
            <w:tcBorders>
              <w:left w:val="single" w:sz="8" w:color="424E6A"/>
              <w:bottom w:val="single" w:sz="8" w:color="424E6A"/>
            </w:tcBorders>
          </w:tcPr>
          <w:p>
            <w:pPr>
              <w:spacing w:after="0"/>
              <w:rPr>
                <w:sz w:val="5"/>
                <w:szCs w:val="5"/>
                <w:color w:val="auto"/>
              </w:rPr>
            </w:pPr>
          </w:p>
        </w:tc>
        <w:tc>
          <w:tcPr>
            <w:tcW w:w="82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vMerge w:val="continue"/>
          </w:tcPr>
          <w:p>
            <w:pPr>
              <w:spacing w:after="0"/>
              <w:rPr>
                <w:sz w:val="5"/>
                <w:szCs w:val="5"/>
                <w:color w:val="auto"/>
              </w:rPr>
            </w:pPr>
          </w:p>
        </w:tc>
        <w:tc>
          <w:tcPr>
            <w:tcW w:w="74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gridSpan w:val="2"/>
            <w:vMerge w:val="continue"/>
          </w:tcPr>
          <w:p>
            <w:pPr>
              <w:spacing w:after="0"/>
              <w:rPr>
                <w:sz w:val="5"/>
                <w:szCs w:val="5"/>
                <w:color w:val="auto"/>
              </w:rPr>
            </w:pPr>
          </w:p>
        </w:tc>
        <w:tc>
          <w:tcPr>
            <w:tcW w:w="260" w:type="dxa"/>
            <w:vAlign w:val="bottom"/>
            <w:tcBorders>
              <w:bottom w:val="single" w:sz="8" w:color="424E6A"/>
            </w:tcBorders>
          </w:tcPr>
          <w:p>
            <w:pPr>
              <w:ind w:left="10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vMerge w:val="continue"/>
          </w:tcPr>
          <w:p>
            <w:pPr>
              <w:spacing w:after="0"/>
              <w:rPr>
                <w:sz w:val="5"/>
                <w:szCs w:val="5"/>
                <w:color w:val="auto"/>
              </w:rPr>
            </w:pP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40" w:type="dxa"/>
            <w:vAlign w:val="bottom"/>
            <w:tcBorders>
              <w:left w:val="single" w:sz="8" w:color="424E6A"/>
            </w:tcBorders>
          </w:tcPr>
          <w:p>
            <w:pPr>
              <w:spacing w:after="0"/>
              <w:rPr>
                <w:sz w:val="15"/>
                <w:szCs w:val="15"/>
                <w:color w:val="auto"/>
              </w:rPr>
            </w:pPr>
          </w:p>
        </w:tc>
        <w:tc>
          <w:tcPr>
            <w:tcW w:w="820" w:type="dxa"/>
            <w:vAlign w:val="bottom"/>
            <w:tcBorders>
              <w:right w:val="single" w:sz="8" w:color="424E6A"/>
            </w:tcBorders>
            <w:vMerge w:val="restart"/>
          </w:tcPr>
          <w:p>
            <w:pPr>
              <w:ind w:left="74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7"/>
                <w:szCs w:val="17"/>
                <w:color w:val="auto"/>
              </w:rPr>
              <w:t>71,550</w:t>
            </w:r>
            <w:r>
              <w:rPr>
                <w:rFonts w:ascii="Arial" w:cs="Arial" w:eastAsia="Arial" w:hAnsi="Arial"/>
                <w:sz w:val="21"/>
                <w:szCs w:val="21"/>
                <w:color w:val="auto"/>
                <w:vertAlign w:val="superscript"/>
              </w:rPr>
              <w:t>(6)</w:t>
            </w:r>
          </w:p>
        </w:tc>
        <w:tc>
          <w:tcPr>
            <w:tcW w:w="240" w:type="dxa"/>
            <w:vAlign w:val="bottom"/>
            <w:tcBorders>
              <w:right w:val="single" w:sz="8" w:color="424E6A"/>
            </w:tcBorders>
            <w:gridSpan w:val="2"/>
            <w:vMerge w:val="restart"/>
          </w:tcPr>
          <w:p>
            <w:pPr>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1,285,038</w:t>
            </w:r>
          </w:p>
        </w:tc>
        <w:tc>
          <w:tcPr>
            <w:tcW w:w="24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83" w:lineRule="exact"/>
              <w:rPr>
                <w:sz w:val="20"/>
                <w:szCs w:val="20"/>
                <w:color w:val="auto"/>
              </w:rPr>
            </w:pPr>
            <w:r>
              <w:rPr>
                <w:rFonts w:ascii="Arial" w:cs="Arial" w:eastAsia="Arial" w:hAnsi="Arial"/>
                <w:sz w:val="17"/>
                <w:szCs w:val="17"/>
                <w:color w:val="auto"/>
              </w:rPr>
              <w:t>71,550</w:t>
            </w:r>
            <w:r>
              <w:rPr>
                <w:rFonts w:ascii="Arial" w:cs="Arial" w:eastAsia="Arial" w:hAnsi="Arial"/>
                <w:sz w:val="21"/>
                <w:szCs w:val="21"/>
                <w:color w:val="auto"/>
                <w:vertAlign w:val="superscript"/>
              </w:rPr>
              <w:t>(7)</w:t>
            </w:r>
          </w:p>
        </w:tc>
        <w:tc>
          <w:tcPr>
            <w:tcW w:w="2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
              <w:spacing w:after="0" w:line="182" w:lineRule="exact"/>
              <w:rPr>
                <w:sz w:val="20"/>
                <w:szCs w:val="20"/>
                <w:color w:val="auto"/>
              </w:rPr>
            </w:pPr>
            <w:r>
              <w:rPr>
                <w:rFonts w:ascii="Arial" w:cs="Arial" w:eastAsia="Arial" w:hAnsi="Arial"/>
                <w:sz w:val="18"/>
                <w:szCs w:val="18"/>
                <w:color w:val="auto"/>
              </w:rPr>
              <w:t>1,285,038</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2040" w:type="dxa"/>
            <w:vAlign w:val="bottom"/>
            <w:tcBorders>
              <w:left w:val="single" w:sz="8" w:color="424E6A"/>
              <w:bottom w:val="single" w:sz="8" w:color="424E6A"/>
            </w:tcBorders>
          </w:tcPr>
          <w:p>
            <w:pPr>
              <w:spacing w:after="0"/>
              <w:rPr>
                <w:sz w:val="5"/>
                <w:szCs w:val="5"/>
                <w:color w:val="auto"/>
              </w:rPr>
            </w:pPr>
          </w:p>
        </w:tc>
        <w:tc>
          <w:tcPr>
            <w:tcW w:w="82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vMerge w:val="continue"/>
          </w:tcPr>
          <w:p>
            <w:pPr>
              <w:spacing w:after="0"/>
              <w:rPr>
                <w:sz w:val="5"/>
                <w:szCs w:val="5"/>
                <w:color w:val="auto"/>
              </w:rPr>
            </w:pPr>
          </w:p>
        </w:tc>
        <w:tc>
          <w:tcPr>
            <w:tcW w:w="74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gridSpan w:val="2"/>
            <w:vMerge w:val="continue"/>
          </w:tcPr>
          <w:p>
            <w:pPr>
              <w:spacing w:after="0"/>
              <w:rPr>
                <w:sz w:val="5"/>
                <w:szCs w:val="5"/>
                <w:color w:val="auto"/>
              </w:rPr>
            </w:pPr>
          </w:p>
        </w:tc>
        <w:tc>
          <w:tcPr>
            <w:tcW w:w="260" w:type="dxa"/>
            <w:vAlign w:val="bottom"/>
            <w:tcBorders>
              <w:bottom w:val="single" w:sz="8" w:color="424E6A"/>
            </w:tcBorders>
          </w:tcPr>
          <w:p>
            <w:pPr>
              <w:ind w:left="10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vMerge w:val="continue"/>
          </w:tcPr>
          <w:p>
            <w:pPr>
              <w:spacing w:after="0"/>
              <w:rPr>
                <w:sz w:val="5"/>
                <w:szCs w:val="5"/>
                <w:color w:val="auto"/>
              </w:rPr>
            </w:pP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40" w:type="dxa"/>
            <w:vAlign w:val="bottom"/>
            <w:tcBorders>
              <w:left w:val="single" w:sz="8" w:color="424E6A"/>
            </w:tcBorders>
          </w:tcPr>
          <w:p>
            <w:pPr>
              <w:spacing w:after="0"/>
              <w:rPr>
                <w:sz w:val="15"/>
                <w:szCs w:val="15"/>
                <w:color w:val="auto"/>
              </w:rPr>
            </w:pPr>
          </w:p>
        </w:tc>
        <w:tc>
          <w:tcPr>
            <w:tcW w:w="820" w:type="dxa"/>
            <w:vAlign w:val="bottom"/>
            <w:tcBorders>
              <w:right w:val="single" w:sz="8" w:color="424E6A"/>
            </w:tcBorders>
            <w:vMerge w:val="restart"/>
          </w:tcPr>
          <w:p>
            <w:pPr>
              <w:ind w:left="74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7"/>
                <w:szCs w:val="17"/>
                <w:color w:val="auto"/>
              </w:rPr>
              <w:t>72,450</w:t>
            </w:r>
            <w:r>
              <w:rPr>
                <w:rFonts w:ascii="Arial" w:cs="Arial" w:eastAsia="Arial" w:hAnsi="Arial"/>
                <w:sz w:val="21"/>
                <w:szCs w:val="21"/>
                <w:color w:val="auto"/>
                <w:vertAlign w:val="superscript"/>
              </w:rPr>
              <w:t>(8)</w:t>
            </w:r>
          </w:p>
        </w:tc>
        <w:tc>
          <w:tcPr>
            <w:tcW w:w="240" w:type="dxa"/>
            <w:vAlign w:val="bottom"/>
            <w:tcBorders>
              <w:right w:val="single" w:sz="8" w:color="424E6A"/>
            </w:tcBorders>
            <w:gridSpan w:val="2"/>
            <w:vMerge w:val="restart"/>
          </w:tcPr>
          <w:p>
            <w:pPr>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1,301,202</w:t>
            </w:r>
          </w:p>
        </w:tc>
        <w:tc>
          <w:tcPr>
            <w:tcW w:w="24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83" w:lineRule="exact"/>
              <w:rPr>
                <w:sz w:val="20"/>
                <w:szCs w:val="20"/>
                <w:color w:val="auto"/>
              </w:rPr>
            </w:pPr>
            <w:r>
              <w:rPr>
                <w:rFonts w:ascii="Arial" w:cs="Arial" w:eastAsia="Arial" w:hAnsi="Arial"/>
                <w:sz w:val="17"/>
                <w:szCs w:val="17"/>
                <w:color w:val="auto"/>
              </w:rPr>
              <w:t>72,450</w:t>
            </w:r>
            <w:r>
              <w:rPr>
                <w:rFonts w:ascii="Arial" w:cs="Arial" w:eastAsia="Arial" w:hAnsi="Arial"/>
                <w:sz w:val="21"/>
                <w:szCs w:val="21"/>
                <w:color w:val="auto"/>
                <w:vertAlign w:val="superscript"/>
              </w:rPr>
              <w:t>(9)</w:t>
            </w:r>
          </w:p>
        </w:tc>
        <w:tc>
          <w:tcPr>
            <w:tcW w:w="2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
              <w:spacing w:after="0" w:line="182" w:lineRule="exact"/>
              <w:rPr>
                <w:sz w:val="20"/>
                <w:szCs w:val="20"/>
                <w:color w:val="auto"/>
              </w:rPr>
            </w:pPr>
            <w:r>
              <w:rPr>
                <w:rFonts w:ascii="Arial" w:cs="Arial" w:eastAsia="Arial" w:hAnsi="Arial"/>
                <w:sz w:val="18"/>
                <w:szCs w:val="18"/>
                <w:color w:val="auto"/>
              </w:rPr>
              <w:t>1,301,202</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2040" w:type="dxa"/>
            <w:vAlign w:val="bottom"/>
            <w:tcBorders>
              <w:left w:val="single" w:sz="8" w:color="424E6A"/>
              <w:bottom w:val="single" w:sz="8" w:color="424E6A"/>
            </w:tcBorders>
          </w:tcPr>
          <w:p>
            <w:pPr>
              <w:spacing w:after="0"/>
              <w:rPr>
                <w:sz w:val="5"/>
                <w:szCs w:val="5"/>
                <w:color w:val="auto"/>
              </w:rPr>
            </w:pPr>
          </w:p>
        </w:tc>
        <w:tc>
          <w:tcPr>
            <w:tcW w:w="82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vMerge w:val="continue"/>
          </w:tcPr>
          <w:p>
            <w:pPr>
              <w:spacing w:after="0"/>
              <w:rPr>
                <w:sz w:val="5"/>
                <w:szCs w:val="5"/>
                <w:color w:val="auto"/>
              </w:rPr>
            </w:pPr>
          </w:p>
        </w:tc>
        <w:tc>
          <w:tcPr>
            <w:tcW w:w="74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gridSpan w:val="2"/>
            <w:vMerge w:val="continue"/>
          </w:tcPr>
          <w:p>
            <w:pPr>
              <w:spacing w:after="0"/>
              <w:rPr>
                <w:sz w:val="5"/>
                <w:szCs w:val="5"/>
                <w:color w:val="auto"/>
              </w:rPr>
            </w:pPr>
          </w:p>
        </w:tc>
        <w:tc>
          <w:tcPr>
            <w:tcW w:w="260" w:type="dxa"/>
            <w:vAlign w:val="bottom"/>
            <w:tcBorders>
              <w:bottom w:val="single" w:sz="8" w:color="424E6A"/>
            </w:tcBorders>
          </w:tcPr>
          <w:p>
            <w:pPr>
              <w:ind w:left="10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vMerge w:val="continue"/>
          </w:tcPr>
          <w:p>
            <w:pPr>
              <w:spacing w:after="0"/>
              <w:rPr>
                <w:sz w:val="5"/>
                <w:szCs w:val="5"/>
                <w:color w:val="auto"/>
              </w:rPr>
            </w:pP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40" w:type="dxa"/>
            <w:vAlign w:val="bottom"/>
            <w:tcBorders>
              <w:left w:val="single" w:sz="8" w:color="424E6A"/>
            </w:tcBorders>
          </w:tcPr>
          <w:p>
            <w:pPr>
              <w:spacing w:after="0"/>
              <w:rPr>
                <w:sz w:val="15"/>
                <w:szCs w:val="15"/>
                <w:color w:val="auto"/>
              </w:rPr>
            </w:pPr>
          </w:p>
        </w:tc>
        <w:tc>
          <w:tcPr>
            <w:tcW w:w="820" w:type="dxa"/>
            <w:vAlign w:val="bottom"/>
            <w:tcBorders>
              <w:right w:val="single" w:sz="8" w:color="424E6A"/>
            </w:tcBorders>
            <w:vMerge w:val="restart"/>
          </w:tcPr>
          <w:p>
            <w:pPr>
              <w:ind w:left="74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424E6A"/>
            </w:tcBorders>
            <w:gridSpan w:val="4"/>
          </w:tcPr>
          <w:p>
            <w:pPr>
              <w:jc w:val="right"/>
              <w:ind w:right="128"/>
              <w:spacing w:after="0" w:line="183" w:lineRule="exact"/>
              <w:rPr>
                <w:sz w:val="20"/>
                <w:szCs w:val="20"/>
                <w:color w:val="auto"/>
              </w:rPr>
            </w:pPr>
            <w:r>
              <w:rPr>
                <w:rFonts w:ascii="Arial" w:cs="Arial" w:eastAsia="Arial" w:hAnsi="Arial"/>
                <w:sz w:val="17"/>
                <w:szCs w:val="17"/>
                <w:color w:val="auto"/>
              </w:rPr>
              <w:t>327,350</w:t>
            </w:r>
            <w:r>
              <w:rPr>
                <w:rFonts w:ascii="Arial" w:cs="Arial" w:eastAsia="Arial" w:hAnsi="Arial"/>
                <w:sz w:val="21"/>
                <w:szCs w:val="21"/>
                <w:color w:val="auto"/>
                <w:vertAlign w:val="superscript"/>
              </w:rPr>
              <w:t>(10)</w:t>
            </w:r>
          </w:p>
        </w:tc>
        <w:tc>
          <w:tcPr>
            <w:tcW w:w="10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5,879,206</w:t>
            </w:r>
          </w:p>
        </w:tc>
        <w:tc>
          <w:tcPr>
            <w:tcW w:w="24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8"/>
              <w:spacing w:after="0" w:line="182" w:lineRule="exact"/>
              <w:rPr>
                <w:sz w:val="20"/>
                <w:szCs w:val="20"/>
                <w:color w:val="auto"/>
              </w:rPr>
            </w:pPr>
            <w:r>
              <w:rPr>
                <w:rFonts w:ascii="Arial" w:cs="Arial" w:eastAsia="Arial" w:hAnsi="Arial"/>
                <w:sz w:val="18"/>
                <w:szCs w:val="18"/>
                <w:color w:val="auto"/>
              </w:rPr>
              <w:t>—</w:t>
            </w:r>
          </w:p>
        </w:tc>
        <w:tc>
          <w:tcPr>
            <w:tcW w:w="2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8"/>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2040" w:type="dxa"/>
            <w:vAlign w:val="bottom"/>
            <w:tcBorders>
              <w:left w:val="single" w:sz="8" w:color="424E6A"/>
              <w:bottom w:val="single" w:sz="8" w:color="424E6A"/>
            </w:tcBorders>
          </w:tcPr>
          <w:p>
            <w:pPr>
              <w:spacing w:after="0"/>
              <w:rPr>
                <w:sz w:val="5"/>
                <w:szCs w:val="5"/>
                <w:color w:val="auto"/>
              </w:rPr>
            </w:pPr>
          </w:p>
        </w:tc>
        <w:tc>
          <w:tcPr>
            <w:tcW w:w="82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tcPr>
          <w:p>
            <w:pPr>
              <w:ind w:left="180"/>
              <w:spacing w:after="0" w:line="68" w:lineRule="exact"/>
              <w:rPr>
                <w:sz w:val="20"/>
                <w:szCs w:val="20"/>
                <w:color w:val="auto"/>
              </w:rPr>
            </w:pPr>
            <w:r>
              <w:rPr>
                <w:rFonts w:ascii="Arial" w:cs="Arial" w:eastAsia="Arial" w:hAnsi="Arial"/>
                <w:sz w:val="7"/>
                <w:szCs w:val="7"/>
                <w:color w:val="auto"/>
              </w:rPr>
              <w:t>​</w:t>
            </w:r>
          </w:p>
        </w:tc>
        <w:tc>
          <w:tcPr>
            <w:tcW w:w="74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gridSpan w:val="2"/>
          </w:tcPr>
          <w:p>
            <w:pPr>
              <w:spacing w:after="0" w:line="68" w:lineRule="exact"/>
              <w:rPr>
                <w:sz w:val="20"/>
                <w:szCs w:val="20"/>
                <w:color w:val="auto"/>
              </w:rPr>
            </w:pPr>
            <w:r>
              <w:rPr>
                <w:rFonts w:ascii="Arial" w:cs="Arial" w:eastAsia="Arial" w:hAnsi="Arial"/>
                <w:sz w:val="7"/>
                <w:szCs w:val="7"/>
                <w:color w:val="auto"/>
              </w:rPr>
              <w:t>​ ​</w:t>
            </w:r>
          </w:p>
        </w:tc>
        <w:tc>
          <w:tcPr>
            <w:tcW w:w="260" w:type="dxa"/>
            <w:vAlign w:val="bottom"/>
            <w:tcBorders>
              <w:bottom w:val="single" w:sz="8" w:color="424E6A"/>
            </w:tcBorders>
          </w:tcPr>
          <w:p>
            <w:pPr>
              <w:ind w:left="10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vMerge w:val="continue"/>
          </w:tcPr>
          <w:p>
            <w:pPr>
              <w:spacing w:after="0"/>
              <w:rPr>
                <w:sz w:val="5"/>
                <w:szCs w:val="5"/>
                <w:color w:val="auto"/>
              </w:rPr>
            </w:pP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vMerge w:val="continue"/>
          </w:tcPr>
          <w:p>
            <w:pPr>
              <w:spacing w:after="0"/>
              <w:rPr>
                <w:sz w:val="5"/>
                <w:szCs w:val="5"/>
                <w:color w:val="auto"/>
              </w:rPr>
            </w:pP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040" w:type="dxa"/>
            <w:vAlign w:val="bottom"/>
            <w:tcBorders>
              <w:left w:val="single" w:sz="8" w:color="424E6A"/>
              <w:bottom w:val="single" w:sz="8" w:color="D9DCE1"/>
            </w:tcBorders>
            <w:shd w:val="clear" w:color="auto" w:fill="D9DCE1"/>
          </w:tcPr>
          <w:p>
            <w:pPr>
              <w:spacing w:after="0"/>
              <w:rPr>
                <w:sz w:val="24"/>
                <w:szCs w:val="24"/>
                <w:color w:val="auto"/>
              </w:rPr>
            </w:pPr>
          </w:p>
        </w:tc>
        <w:tc>
          <w:tcPr>
            <w:tcW w:w="820" w:type="dxa"/>
            <w:vAlign w:val="bottom"/>
            <w:tcBorders>
              <w:bottom w:val="single" w:sz="8" w:color="D9DCE1"/>
              <w:right w:val="single" w:sz="8" w:color="424E6A"/>
            </w:tcBorders>
            <w:shd w:val="clear" w:color="auto" w:fill="D9DCE1"/>
          </w:tcPr>
          <w:p>
            <w:pPr>
              <w:ind w:left="74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D9DCE1"/>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D9DCE1"/>
            </w:tcBorders>
            <w:shd w:val="clear" w:color="auto" w:fill="D9DCE1"/>
          </w:tcPr>
          <w:p>
            <w:pPr>
              <w:spacing w:after="0"/>
              <w:rPr>
                <w:sz w:val="24"/>
                <w:szCs w:val="24"/>
                <w:color w:val="auto"/>
              </w:rPr>
            </w:pPr>
          </w:p>
        </w:tc>
        <w:tc>
          <w:tcPr>
            <w:tcW w:w="240" w:type="dxa"/>
            <w:vAlign w:val="bottom"/>
            <w:tcBorders>
              <w:bottom w:val="single" w:sz="8" w:color="D9DCE1"/>
              <w:right w:val="single" w:sz="8" w:color="424E6A"/>
            </w:tcBorders>
            <w:gridSpan w:val="2"/>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260" w:type="dxa"/>
            <w:vAlign w:val="bottom"/>
            <w:tcBorders>
              <w:bottom w:val="single" w:sz="8" w:color="D9DCE1"/>
            </w:tcBorders>
            <w:shd w:val="clear" w:color="auto" w:fill="D9DCE1"/>
          </w:tcPr>
          <w:p>
            <w:pPr>
              <w:ind w:left="100"/>
              <w:spacing w:after="0"/>
              <w:rPr>
                <w:sz w:val="20"/>
                <w:szCs w:val="20"/>
                <w:color w:val="auto"/>
              </w:rPr>
            </w:pPr>
            <w:r>
              <w:rPr>
                <w:rFonts w:ascii="Arial" w:cs="Arial" w:eastAsia="Arial" w:hAnsi="Arial"/>
                <w:sz w:val="14"/>
                <w:szCs w:val="14"/>
                <w:b w:val="1"/>
                <w:bCs w:val="1"/>
                <w:color w:val="FFFFFF"/>
              </w:rPr>
              <w:t>​ ​</w:t>
            </w:r>
          </w:p>
        </w:tc>
        <w:tc>
          <w:tcPr>
            <w:tcW w:w="760" w:type="dxa"/>
            <w:vAlign w:val="bottom"/>
            <w:tcBorders>
              <w:bottom w:val="single" w:sz="8" w:color="D9DCE1"/>
            </w:tcBorders>
            <w:shd w:val="clear" w:color="auto" w:fill="D9DCE1"/>
          </w:tcPr>
          <w:p>
            <w:pPr>
              <w:spacing w:after="0"/>
              <w:rPr>
                <w:sz w:val="24"/>
                <w:szCs w:val="24"/>
                <w:color w:val="auto"/>
              </w:rPr>
            </w:pPr>
          </w:p>
        </w:tc>
        <w:tc>
          <w:tcPr>
            <w:tcW w:w="24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18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760" w:type="dxa"/>
            <w:vAlign w:val="bottom"/>
            <w:tcBorders>
              <w:bottom w:val="single" w:sz="8" w:color="D9DCE1"/>
            </w:tcBorders>
            <w:shd w:val="clear" w:color="auto" w:fill="D9DCE1"/>
          </w:tcPr>
          <w:p>
            <w:pPr>
              <w:spacing w:after="0"/>
              <w:rPr>
                <w:sz w:val="24"/>
                <w:szCs w:val="24"/>
                <w:color w:val="auto"/>
              </w:rPr>
            </w:pPr>
          </w:p>
        </w:tc>
        <w:tc>
          <w:tcPr>
            <w:tcW w:w="24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 ​</w:t>
            </w:r>
          </w:p>
        </w:tc>
        <w:tc>
          <w:tcPr>
            <w:tcW w:w="180" w:type="dxa"/>
            <w:vAlign w:val="bottom"/>
            <w:tcBorders>
              <w:bottom w:val="single" w:sz="8" w:color="D9DCE1"/>
            </w:tcBorders>
            <w:shd w:val="clear" w:color="auto" w:fill="D9DCE1"/>
          </w:tcPr>
          <w:p>
            <w:pPr>
              <w:ind w:left="100"/>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D9DCE1"/>
            </w:tcBorders>
            <w:shd w:val="clear" w:color="auto" w:fill="D9DCE1"/>
          </w:tcPr>
          <w:p>
            <w:pPr>
              <w:spacing w:after="0"/>
              <w:rPr>
                <w:sz w:val="24"/>
                <w:szCs w:val="24"/>
                <w:color w:val="auto"/>
              </w:rPr>
            </w:pPr>
          </w:p>
        </w:tc>
        <w:tc>
          <w:tcPr>
            <w:tcW w:w="10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83"/>
        </w:trPr>
        <w:tc>
          <w:tcPr>
            <w:tcW w:w="2040" w:type="dxa"/>
            <w:vAlign w:val="bottom"/>
            <w:tcBorders>
              <w:top w:val="single" w:sz="8" w:color="424E6A"/>
              <w:left w:val="single" w:sz="8" w:color="424E6A"/>
            </w:tcBorders>
          </w:tcPr>
          <w:p>
            <w:pPr>
              <w:ind w:left="60"/>
              <w:spacing w:after="0" w:line="182" w:lineRule="exact"/>
              <w:rPr>
                <w:sz w:val="20"/>
                <w:szCs w:val="20"/>
                <w:color w:val="auto"/>
              </w:rPr>
            </w:pPr>
            <w:r>
              <w:rPr>
                <w:rFonts w:ascii="Arial" w:cs="Arial" w:eastAsia="Arial" w:hAnsi="Arial"/>
                <w:sz w:val="18"/>
                <w:szCs w:val="18"/>
                <w:color w:val="auto"/>
              </w:rPr>
              <w:t>Jeremy Goebel</w:t>
            </w:r>
          </w:p>
        </w:tc>
        <w:tc>
          <w:tcPr>
            <w:tcW w:w="820" w:type="dxa"/>
            <w:vAlign w:val="bottom"/>
            <w:tcBorders>
              <w:top w:val="single" w:sz="8" w:color="424E6A"/>
              <w:right w:val="single" w:sz="8" w:color="424E6A"/>
            </w:tcBorders>
            <w:vMerge w:val="restart"/>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424E6A"/>
            </w:tcBorders>
            <w:gridSpan w:val="2"/>
          </w:tcPr>
          <w:p>
            <w:pPr>
              <w:jc w:val="right"/>
              <w:spacing w:after="0" w:line="183" w:lineRule="exact"/>
              <w:rPr>
                <w:sz w:val="20"/>
                <w:szCs w:val="20"/>
                <w:color w:val="auto"/>
              </w:rPr>
            </w:pPr>
            <w:r>
              <w:rPr>
                <w:rFonts w:ascii="Arial" w:cs="Arial" w:eastAsia="Arial" w:hAnsi="Arial"/>
                <w:sz w:val="17"/>
                <w:szCs w:val="17"/>
                <w:color w:val="auto"/>
              </w:rPr>
              <w:t>250,000</w:t>
            </w:r>
            <w:r>
              <w:rPr>
                <w:rFonts w:ascii="Arial" w:cs="Arial" w:eastAsia="Arial" w:hAnsi="Arial"/>
                <w:sz w:val="21"/>
                <w:szCs w:val="21"/>
                <w:color w:val="auto"/>
                <w:vertAlign w:val="superscript"/>
              </w:rPr>
              <w:t>(3)</w:t>
            </w:r>
          </w:p>
        </w:tc>
        <w:tc>
          <w:tcPr>
            <w:tcW w:w="240" w:type="dxa"/>
            <w:vAlign w:val="bottom"/>
            <w:tcBorders>
              <w:top w:val="single" w:sz="8" w:color="424E6A"/>
              <w:right w:val="single" w:sz="8" w:color="424E6A"/>
            </w:tcBorders>
            <w:gridSpan w:val="2"/>
            <w:vMerge w:val="restart"/>
          </w:tcPr>
          <w:p>
            <w:pPr>
              <w:spacing w:after="0"/>
              <w:rPr>
                <w:sz w:val="20"/>
                <w:szCs w:val="20"/>
                <w:color w:val="auto"/>
              </w:rPr>
            </w:pPr>
            <w:r>
              <w:rPr>
                <w:rFonts w:ascii="Arial" w:cs="Arial" w:eastAsia="Arial" w:hAnsi="Arial"/>
                <w:sz w:val="18"/>
                <w:szCs w:val="18"/>
                <w:color w:val="auto"/>
              </w:rPr>
              <w:t>​ ​</w:t>
            </w:r>
          </w:p>
        </w:tc>
        <w:tc>
          <w:tcPr>
            <w:tcW w:w="1020" w:type="dxa"/>
            <w:vAlign w:val="bottom"/>
            <w:tcBorders>
              <w:top w:val="single" w:sz="8" w:color="424E6A"/>
            </w:tcBorders>
            <w:gridSpan w:val="2"/>
          </w:tcPr>
          <w:p>
            <w:pPr>
              <w:jc w:val="right"/>
              <w:spacing w:after="0" w:line="182" w:lineRule="exact"/>
              <w:rPr>
                <w:sz w:val="20"/>
                <w:szCs w:val="20"/>
                <w:color w:val="auto"/>
              </w:rPr>
            </w:pPr>
            <w:r>
              <w:rPr>
                <w:rFonts w:ascii="Arial" w:cs="Arial" w:eastAsia="Arial" w:hAnsi="Arial"/>
                <w:sz w:val="18"/>
                <w:szCs w:val="18"/>
                <w:color w:val="auto"/>
              </w:rPr>
              <w:t>4,490,000</w:t>
            </w:r>
          </w:p>
        </w:tc>
        <w:tc>
          <w:tcPr>
            <w:tcW w:w="240" w:type="dxa"/>
            <w:vAlign w:val="bottom"/>
            <w:tcBorders>
              <w:top w:val="single" w:sz="8" w:color="424E6A"/>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tcBorders>
              <w:top w:val="single" w:sz="8" w:color="424E6A"/>
            </w:tcBorders>
            <w:vMerge w:val="restart"/>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424E6A"/>
            </w:tcBorders>
            <w:gridSpan w:val="2"/>
          </w:tcPr>
          <w:p>
            <w:pPr>
              <w:jc w:val="right"/>
              <w:spacing w:after="0" w:line="183" w:lineRule="exact"/>
              <w:rPr>
                <w:sz w:val="20"/>
                <w:szCs w:val="20"/>
                <w:color w:val="auto"/>
              </w:rPr>
            </w:pPr>
            <w:r>
              <w:rPr>
                <w:rFonts w:ascii="Arial" w:cs="Arial" w:eastAsia="Arial" w:hAnsi="Arial"/>
                <w:sz w:val="17"/>
                <w:szCs w:val="17"/>
                <w:color w:val="auto"/>
              </w:rPr>
              <w:t>250,000</w:t>
            </w:r>
            <w:r>
              <w:rPr>
                <w:rFonts w:ascii="Arial" w:cs="Arial" w:eastAsia="Arial" w:hAnsi="Arial"/>
                <w:sz w:val="21"/>
                <w:szCs w:val="21"/>
                <w:color w:val="auto"/>
                <w:vertAlign w:val="superscript"/>
              </w:rPr>
              <w:t>(3)</w:t>
            </w:r>
          </w:p>
        </w:tc>
        <w:tc>
          <w:tcPr>
            <w:tcW w:w="24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180" w:type="dxa"/>
            <w:vAlign w:val="bottom"/>
            <w:tcBorders>
              <w:top w:val="single" w:sz="8" w:color="424E6A"/>
            </w:tcBorders>
            <w:vMerge w:val="restart"/>
          </w:tcPr>
          <w:p>
            <w:pPr>
              <w:ind w:left="10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424E6A"/>
            </w:tcBorders>
            <w:gridSpan w:val="2"/>
          </w:tcPr>
          <w:p>
            <w:pPr>
              <w:jc w:val="right"/>
              <w:ind w:right="38"/>
              <w:spacing w:after="0" w:line="182" w:lineRule="exact"/>
              <w:rPr>
                <w:sz w:val="20"/>
                <w:szCs w:val="20"/>
                <w:color w:val="auto"/>
              </w:rPr>
            </w:pPr>
            <w:r>
              <w:rPr>
                <w:rFonts w:ascii="Arial" w:cs="Arial" w:eastAsia="Arial" w:hAnsi="Arial"/>
                <w:sz w:val="18"/>
                <w:szCs w:val="18"/>
                <w:color w:val="auto"/>
              </w:rPr>
              <w:t>4,490,000</w:t>
            </w:r>
          </w:p>
        </w:tc>
        <w:tc>
          <w:tcPr>
            <w:tcW w:w="10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40" w:type="dxa"/>
            <w:vAlign w:val="bottom"/>
            <w:tcBorders>
              <w:left w:val="single" w:sz="8" w:color="424E6A"/>
              <w:bottom w:val="single" w:sz="8" w:color="424E6A"/>
            </w:tcBorders>
          </w:tcPr>
          <w:p>
            <w:pPr>
              <w:spacing w:after="0"/>
              <w:rPr>
                <w:sz w:val="5"/>
                <w:szCs w:val="5"/>
                <w:color w:val="auto"/>
              </w:rPr>
            </w:pPr>
          </w:p>
        </w:tc>
        <w:tc>
          <w:tcPr>
            <w:tcW w:w="82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tcPr>
          <w:p>
            <w:pPr>
              <w:ind w:left="180"/>
              <w:spacing w:after="0" w:line="68" w:lineRule="exact"/>
              <w:rPr>
                <w:sz w:val="20"/>
                <w:szCs w:val="20"/>
                <w:color w:val="auto"/>
              </w:rPr>
            </w:pPr>
            <w:r>
              <w:rPr>
                <w:rFonts w:ascii="Arial" w:cs="Arial" w:eastAsia="Arial" w:hAnsi="Arial"/>
                <w:sz w:val="7"/>
                <w:szCs w:val="7"/>
                <w:color w:val="auto"/>
              </w:rPr>
              <w:t>​</w:t>
            </w:r>
          </w:p>
        </w:tc>
        <w:tc>
          <w:tcPr>
            <w:tcW w:w="74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gridSpan w:val="2"/>
            <w:vMerge w:val="continue"/>
          </w:tcPr>
          <w:p>
            <w:pPr>
              <w:spacing w:after="0"/>
              <w:rPr>
                <w:sz w:val="5"/>
                <w:szCs w:val="5"/>
                <w:color w:val="auto"/>
              </w:rPr>
            </w:pPr>
          </w:p>
        </w:tc>
        <w:tc>
          <w:tcPr>
            <w:tcW w:w="260" w:type="dxa"/>
            <w:vAlign w:val="bottom"/>
            <w:tcBorders>
              <w:bottom w:val="single" w:sz="8" w:color="424E6A"/>
            </w:tcBorders>
          </w:tcPr>
          <w:p>
            <w:pPr>
              <w:ind w:left="10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40" w:type="dxa"/>
            <w:vAlign w:val="bottom"/>
            <w:tcBorders>
              <w:left w:val="single" w:sz="8" w:color="424E6A"/>
            </w:tcBorders>
          </w:tcPr>
          <w:p>
            <w:pPr>
              <w:spacing w:after="0"/>
              <w:rPr>
                <w:sz w:val="15"/>
                <w:szCs w:val="15"/>
                <w:color w:val="auto"/>
              </w:rPr>
            </w:pPr>
          </w:p>
        </w:tc>
        <w:tc>
          <w:tcPr>
            <w:tcW w:w="820" w:type="dxa"/>
            <w:vAlign w:val="bottom"/>
            <w:tcBorders>
              <w:right w:val="single" w:sz="8" w:color="424E6A"/>
            </w:tcBorders>
            <w:vMerge w:val="restart"/>
          </w:tcPr>
          <w:p>
            <w:pPr>
              <w:ind w:left="74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7"/>
                <w:szCs w:val="17"/>
                <w:color w:val="auto"/>
              </w:rPr>
              <w:t>65,825</w:t>
            </w:r>
            <w:r>
              <w:rPr>
                <w:rFonts w:ascii="Arial" w:cs="Arial" w:eastAsia="Arial" w:hAnsi="Arial"/>
                <w:sz w:val="21"/>
                <w:szCs w:val="21"/>
                <w:color w:val="auto"/>
                <w:vertAlign w:val="superscript"/>
              </w:rPr>
              <w:t>(4)</w:t>
            </w:r>
          </w:p>
        </w:tc>
        <w:tc>
          <w:tcPr>
            <w:tcW w:w="240" w:type="dxa"/>
            <w:vAlign w:val="bottom"/>
            <w:tcBorders>
              <w:right w:val="single" w:sz="8" w:color="424E6A"/>
            </w:tcBorders>
            <w:gridSpan w:val="2"/>
            <w:vMerge w:val="restart"/>
          </w:tcPr>
          <w:p>
            <w:pPr>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1,182,217</w:t>
            </w:r>
          </w:p>
        </w:tc>
        <w:tc>
          <w:tcPr>
            <w:tcW w:w="24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83" w:lineRule="exact"/>
              <w:rPr>
                <w:sz w:val="20"/>
                <w:szCs w:val="20"/>
                <w:color w:val="auto"/>
              </w:rPr>
            </w:pPr>
            <w:r>
              <w:rPr>
                <w:rFonts w:ascii="Arial" w:cs="Arial" w:eastAsia="Arial" w:hAnsi="Arial"/>
                <w:sz w:val="17"/>
                <w:szCs w:val="17"/>
                <w:color w:val="auto"/>
              </w:rPr>
              <w:t>65,825</w:t>
            </w:r>
            <w:r>
              <w:rPr>
                <w:rFonts w:ascii="Arial" w:cs="Arial" w:eastAsia="Arial" w:hAnsi="Arial"/>
                <w:sz w:val="21"/>
                <w:szCs w:val="21"/>
                <w:color w:val="auto"/>
                <w:vertAlign w:val="superscript"/>
              </w:rPr>
              <w:t>(5)</w:t>
            </w:r>
          </w:p>
        </w:tc>
        <w:tc>
          <w:tcPr>
            <w:tcW w:w="2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
              <w:spacing w:after="0" w:line="182" w:lineRule="exact"/>
              <w:rPr>
                <w:sz w:val="20"/>
                <w:szCs w:val="20"/>
                <w:color w:val="auto"/>
              </w:rPr>
            </w:pPr>
            <w:r>
              <w:rPr>
                <w:rFonts w:ascii="Arial" w:cs="Arial" w:eastAsia="Arial" w:hAnsi="Arial"/>
                <w:sz w:val="18"/>
                <w:szCs w:val="18"/>
                <w:color w:val="auto"/>
              </w:rPr>
              <w:t>1,182,217</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40" w:type="dxa"/>
            <w:vAlign w:val="bottom"/>
            <w:tcBorders>
              <w:left w:val="single" w:sz="8" w:color="424E6A"/>
              <w:bottom w:val="single" w:sz="8" w:color="424E6A"/>
            </w:tcBorders>
          </w:tcPr>
          <w:p>
            <w:pPr>
              <w:spacing w:after="0"/>
              <w:rPr>
                <w:sz w:val="5"/>
                <w:szCs w:val="5"/>
                <w:color w:val="auto"/>
              </w:rPr>
            </w:pPr>
          </w:p>
        </w:tc>
        <w:tc>
          <w:tcPr>
            <w:tcW w:w="82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vMerge w:val="continue"/>
          </w:tcPr>
          <w:p>
            <w:pPr>
              <w:spacing w:after="0"/>
              <w:rPr>
                <w:sz w:val="5"/>
                <w:szCs w:val="5"/>
                <w:color w:val="auto"/>
              </w:rPr>
            </w:pPr>
          </w:p>
        </w:tc>
        <w:tc>
          <w:tcPr>
            <w:tcW w:w="74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gridSpan w:val="2"/>
            <w:vMerge w:val="continue"/>
          </w:tcPr>
          <w:p>
            <w:pPr>
              <w:spacing w:after="0"/>
              <w:rPr>
                <w:sz w:val="5"/>
                <w:szCs w:val="5"/>
                <w:color w:val="auto"/>
              </w:rPr>
            </w:pPr>
          </w:p>
        </w:tc>
        <w:tc>
          <w:tcPr>
            <w:tcW w:w="260" w:type="dxa"/>
            <w:vAlign w:val="bottom"/>
            <w:tcBorders>
              <w:bottom w:val="single" w:sz="8" w:color="424E6A"/>
            </w:tcBorders>
          </w:tcPr>
          <w:p>
            <w:pPr>
              <w:ind w:left="10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vMerge w:val="continue"/>
          </w:tcPr>
          <w:p>
            <w:pPr>
              <w:spacing w:after="0"/>
              <w:rPr>
                <w:sz w:val="5"/>
                <w:szCs w:val="5"/>
                <w:color w:val="auto"/>
              </w:rPr>
            </w:pP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40" w:type="dxa"/>
            <w:vAlign w:val="bottom"/>
            <w:tcBorders>
              <w:left w:val="single" w:sz="8" w:color="424E6A"/>
            </w:tcBorders>
          </w:tcPr>
          <w:p>
            <w:pPr>
              <w:spacing w:after="0"/>
              <w:rPr>
                <w:sz w:val="15"/>
                <w:szCs w:val="15"/>
                <w:color w:val="auto"/>
              </w:rPr>
            </w:pPr>
          </w:p>
        </w:tc>
        <w:tc>
          <w:tcPr>
            <w:tcW w:w="820" w:type="dxa"/>
            <w:vAlign w:val="bottom"/>
            <w:tcBorders>
              <w:right w:val="single" w:sz="8" w:color="424E6A"/>
            </w:tcBorders>
            <w:vMerge w:val="restart"/>
          </w:tcPr>
          <w:p>
            <w:pPr>
              <w:ind w:left="74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7"/>
                <w:szCs w:val="17"/>
                <w:color w:val="auto"/>
              </w:rPr>
              <w:t>71,550</w:t>
            </w:r>
            <w:r>
              <w:rPr>
                <w:rFonts w:ascii="Arial" w:cs="Arial" w:eastAsia="Arial" w:hAnsi="Arial"/>
                <w:sz w:val="21"/>
                <w:szCs w:val="21"/>
                <w:color w:val="auto"/>
                <w:vertAlign w:val="superscript"/>
              </w:rPr>
              <w:t>(6)</w:t>
            </w:r>
          </w:p>
        </w:tc>
        <w:tc>
          <w:tcPr>
            <w:tcW w:w="240" w:type="dxa"/>
            <w:vAlign w:val="bottom"/>
            <w:tcBorders>
              <w:right w:val="single" w:sz="8" w:color="424E6A"/>
            </w:tcBorders>
            <w:gridSpan w:val="2"/>
            <w:vMerge w:val="restart"/>
          </w:tcPr>
          <w:p>
            <w:pPr>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1,285,038</w:t>
            </w:r>
          </w:p>
        </w:tc>
        <w:tc>
          <w:tcPr>
            <w:tcW w:w="24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83" w:lineRule="exact"/>
              <w:rPr>
                <w:sz w:val="20"/>
                <w:szCs w:val="20"/>
                <w:color w:val="auto"/>
              </w:rPr>
            </w:pPr>
            <w:r>
              <w:rPr>
                <w:rFonts w:ascii="Arial" w:cs="Arial" w:eastAsia="Arial" w:hAnsi="Arial"/>
                <w:sz w:val="17"/>
                <w:szCs w:val="17"/>
                <w:color w:val="auto"/>
              </w:rPr>
              <w:t>71,550</w:t>
            </w:r>
            <w:r>
              <w:rPr>
                <w:rFonts w:ascii="Arial" w:cs="Arial" w:eastAsia="Arial" w:hAnsi="Arial"/>
                <w:sz w:val="21"/>
                <w:szCs w:val="21"/>
                <w:color w:val="auto"/>
                <w:vertAlign w:val="superscript"/>
              </w:rPr>
              <w:t>(7)</w:t>
            </w:r>
          </w:p>
        </w:tc>
        <w:tc>
          <w:tcPr>
            <w:tcW w:w="2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
              <w:spacing w:after="0" w:line="182" w:lineRule="exact"/>
              <w:rPr>
                <w:sz w:val="20"/>
                <w:szCs w:val="20"/>
                <w:color w:val="auto"/>
              </w:rPr>
            </w:pPr>
            <w:r>
              <w:rPr>
                <w:rFonts w:ascii="Arial" w:cs="Arial" w:eastAsia="Arial" w:hAnsi="Arial"/>
                <w:sz w:val="18"/>
                <w:szCs w:val="18"/>
                <w:color w:val="auto"/>
              </w:rPr>
              <w:t>1,285,038</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40" w:type="dxa"/>
            <w:vAlign w:val="bottom"/>
            <w:tcBorders>
              <w:left w:val="single" w:sz="8" w:color="424E6A"/>
              <w:bottom w:val="single" w:sz="8" w:color="424E6A"/>
            </w:tcBorders>
          </w:tcPr>
          <w:p>
            <w:pPr>
              <w:spacing w:after="0"/>
              <w:rPr>
                <w:sz w:val="5"/>
                <w:szCs w:val="5"/>
                <w:color w:val="auto"/>
              </w:rPr>
            </w:pPr>
          </w:p>
        </w:tc>
        <w:tc>
          <w:tcPr>
            <w:tcW w:w="82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vMerge w:val="continue"/>
          </w:tcPr>
          <w:p>
            <w:pPr>
              <w:spacing w:after="0"/>
              <w:rPr>
                <w:sz w:val="5"/>
                <w:szCs w:val="5"/>
                <w:color w:val="auto"/>
              </w:rPr>
            </w:pPr>
          </w:p>
        </w:tc>
        <w:tc>
          <w:tcPr>
            <w:tcW w:w="74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gridSpan w:val="2"/>
            <w:vMerge w:val="continue"/>
          </w:tcPr>
          <w:p>
            <w:pPr>
              <w:spacing w:after="0"/>
              <w:rPr>
                <w:sz w:val="5"/>
                <w:szCs w:val="5"/>
                <w:color w:val="auto"/>
              </w:rPr>
            </w:pPr>
          </w:p>
        </w:tc>
        <w:tc>
          <w:tcPr>
            <w:tcW w:w="260" w:type="dxa"/>
            <w:vAlign w:val="bottom"/>
            <w:tcBorders>
              <w:bottom w:val="single" w:sz="8" w:color="424E6A"/>
            </w:tcBorders>
          </w:tcPr>
          <w:p>
            <w:pPr>
              <w:ind w:left="10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vMerge w:val="continue"/>
          </w:tcPr>
          <w:p>
            <w:pPr>
              <w:spacing w:after="0"/>
              <w:rPr>
                <w:sz w:val="5"/>
                <w:szCs w:val="5"/>
                <w:color w:val="auto"/>
              </w:rPr>
            </w:pP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40" w:type="dxa"/>
            <w:vAlign w:val="bottom"/>
            <w:tcBorders>
              <w:left w:val="single" w:sz="8" w:color="424E6A"/>
            </w:tcBorders>
          </w:tcPr>
          <w:p>
            <w:pPr>
              <w:spacing w:after="0"/>
              <w:rPr>
                <w:sz w:val="15"/>
                <w:szCs w:val="15"/>
                <w:color w:val="auto"/>
              </w:rPr>
            </w:pPr>
          </w:p>
        </w:tc>
        <w:tc>
          <w:tcPr>
            <w:tcW w:w="820" w:type="dxa"/>
            <w:vAlign w:val="bottom"/>
            <w:tcBorders>
              <w:right w:val="single" w:sz="8" w:color="424E6A"/>
            </w:tcBorders>
            <w:vMerge w:val="restart"/>
          </w:tcPr>
          <w:p>
            <w:pPr>
              <w:ind w:left="74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7"/>
                <w:szCs w:val="17"/>
                <w:color w:val="auto"/>
              </w:rPr>
              <w:t>72,450</w:t>
            </w:r>
            <w:r>
              <w:rPr>
                <w:rFonts w:ascii="Arial" w:cs="Arial" w:eastAsia="Arial" w:hAnsi="Arial"/>
                <w:sz w:val="21"/>
                <w:szCs w:val="21"/>
                <w:color w:val="auto"/>
                <w:vertAlign w:val="superscript"/>
              </w:rPr>
              <w:t>(8)</w:t>
            </w:r>
          </w:p>
        </w:tc>
        <w:tc>
          <w:tcPr>
            <w:tcW w:w="240" w:type="dxa"/>
            <w:vAlign w:val="bottom"/>
            <w:tcBorders>
              <w:right w:val="single" w:sz="8" w:color="424E6A"/>
            </w:tcBorders>
            <w:gridSpan w:val="2"/>
            <w:vMerge w:val="restart"/>
          </w:tcPr>
          <w:p>
            <w:pPr>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1,301,202</w:t>
            </w:r>
          </w:p>
        </w:tc>
        <w:tc>
          <w:tcPr>
            <w:tcW w:w="24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83" w:lineRule="exact"/>
              <w:rPr>
                <w:sz w:val="20"/>
                <w:szCs w:val="20"/>
                <w:color w:val="auto"/>
              </w:rPr>
            </w:pPr>
            <w:r>
              <w:rPr>
                <w:rFonts w:ascii="Arial" w:cs="Arial" w:eastAsia="Arial" w:hAnsi="Arial"/>
                <w:sz w:val="17"/>
                <w:szCs w:val="17"/>
                <w:color w:val="auto"/>
              </w:rPr>
              <w:t>72,450</w:t>
            </w:r>
            <w:r>
              <w:rPr>
                <w:rFonts w:ascii="Arial" w:cs="Arial" w:eastAsia="Arial" w:hAnsi="Arial"/>
                <w:sz w:val="21"/>
                <w:szCs w:val="21"/>
                <w:color w:val="auto"/>
                <w:vertAlign w:val="superscript"/>
              </w:rPr>
              <w:t>(9)</w:t>
            </w:r>
          </w:p>
        </w:tc>
        <w:tc>
          <w:tcPr>
            <w:tcW w:w="2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
              <w:spacing w:after="0" w:line="182" w:lineRule="exact"/>
              <w:rPr>
                <w:sz w:val="20"/>
                <w:szCs w:val="20"/>
                <w:color w:val="auto"/>
              </w:rPr>
            </w:pPr>
            <w:r>
              <w:rPr>
                <w:rFonts w:ascii="Arial" w:cs="Arial" w:eastAsia="Arial" w:hAnsi="Arial"/>
                <w:sz w:val="18"/>
                <w:szCs w:val="18"/>
                <w:color w:val="auto"/>
              </w:rPr>
              <w:t>1,301,202</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40" w:type="dxa"/>
            <w:vAlign w:val="bottom"/>
            <w:tcBorders>
              <w:left w:val="single" w:sz="8" w:color="424E6A"/>
              <w:bottom w:val="single" w:sz="8" w:color="424E6A"/>
            </w:tcBorders>
          </w:tcPr>
          <w:p>
            <w:pPr>
              <w:spacing w:after="0"/>
              <w:rPr>
                <w:sz w:val="5"/>
                <w:szCs w:val="5"/>
                <w:color w:val="auto"/>
              </w:rPr>
            </w:pPr>
          </w:p>
        </w:tc>
        <w:tc>
          <w:tcPr>
            <w:tcW w:w="82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vMerge w:val="continue"/>
          </w:tcPr>
          <w:p>
            <w:pPr>
              <w:spacing w:after="0"/>
              <w:rPr>
                <w:sz w:val="5"/>
                <w:szCs w:val="5"/>
                <w:color w:val="auto"/>
              </w:rPr>
            </w:pPr>
          </w:p>
        </w:tc>
        <w:tc>
          <w:tcPr>
            <w:tcW w:w="74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gridSpan w:val="2"/>
            <w:vMerge w:val="continue"/>
          </w:tcPr>
          <w:p>
            <w:pPr>
              <w:spacing w:after="0"/>
              <w:rPr>
                <w:sz w:val="5"/>
                <w:szCs w:val="5"/>
                <w:color w:val="auto"/>
              </w:rPr>
            </w:pPr>
          </w:p>
        </w:tc>
        <w:tc>
          <w:tcPr>
            <w:tcW w:w="260" w:type="dxa"/>
            <w:vAlign w:val="bottom"/>
            <w:tcBorders>
              <w:bottom w:val="single" w:sz="8" w:color="424E6A"/>
            </w:tcBorders>
          </w:tcPr>
          <w:p>
            <w:pPr>
              <w:ind w:left="10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vMerge w:val="continue"/>
          </w:tcPr>
          <w:p>
            <w:pPr>
              <w:spacing w:after="0"/>
              <w:rPr>
                <w:sz w:val="5"/>
                <w:szCs w:val="5"/>
                <w:color w:val="auto"/>
              </w:rPr>
            </w:pP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40" w:type="dxa"/>
            <w:vAlign w:val="bottom"/>
            <w:tcBorders>
              <w:left w:val="single" w:sz="8" w:color="424E6A"/>
            </w:tcBorders>
          </w:tcPr>
          <w:p>
            <w:pPr>
              <w:spacing w:after="0"/>
              <w:rPr>
                <w:sz w:val="15"/>
                <w:szCs w:val="15"/>
                <w:color w:val="auto"/>
              </w:rPr>
            </w:pPr>
          </w:p>
        </w:tc>
        <w:tc>
          <w:tcPr>
            <w:tcW w:w="820" w:type="dxa"/>
            <w:vAlign w:val="bottom"/>
            <w:tcBorders>
              <w:right w:val="single" w:sz="8" w:color="424E6A"/>
            </w:tcBorders>
            <w:vMerge w:val="restart"/>
          </w:tcPr>
          <w:p>
            <w:pPr>
              <w:ind w:left="74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424E6A"/>
            </w:tcBorders>
            <w:gridSpan w:val="4"/>
          </w:tcPr>
          <w:p>
            <w:pPr>
              <w:jc w:val="right"/>
              <w:ind w:right="128"/>
              <w:spacing w:after="0" w:line="183" w:lineRule="exact"/>
              <w:rPr>
                <w:sz w:val="20"/>
                <w:szCs w:val="20"/>
                <w:color w:val="auto"/>
              </w:rPr>
            </w:pPr>
            <w:r>
              <w:rPr>
                <w:rFonts w:ascii="Arial" w:cs="Arial" w:eastAsia="Arial" w:hAnsi="Arial"/>
                <w:sz w:val="17"/>
                <w:szCs w:val="17"/>
                <w:color w:val="auto"/>
              </w:rPr>
              <w:t>545,550</w:t>
            </w:r>
            <w:r>
              <w:rPr>
                <w:rFonts w:ascii="Arial" w:cs="Arial" w:eastAsia="Arial" w:hAnsi="Arial"/>
                <w:sz w:val="21"/>
                <w:szCs w:val="21"/>
                <w:color w:val="auto"/>
                <w:vertAlign w:val="superscript"/>
              </w:rPr>
              <w:t>(11)</w:t>
            </w:r>
          </w:p>
        </w:tc>
        <w:tc>
          <w:tcPr>
            <w:tcW w:w="10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9,798,078</w:t>
            </w:r>
          </w:p>
        </w:tc>
        <w:tc>
          <w:tcPr>
            <w:tcW w:w="24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8"/>
              <w:spacing w:after="0" w:line="182" w:lineRule="exact"/>
              <w:rPr>
                <w:sz w:val="20"/>
                <w:szCs w:val="20"/>
                <w:color w:val="auto"/>
              </w:rPr>
            </w:pPr>
            <w:r>
              <w:rPr>
                <w:rFonts w:ascii="Arial" w:cs="Arial" w:eastAsia="Arial" w:hAnsi="Arial"/>
                <w:sz w:val="18"/>
                <w:szCs w:val="18"/>
                <w:color w:val="auto"/>
              </w:rPr>
              <w:t>—</w:t>
            </w:r>
          </w:p>
        </w:tc>
        <w:tc>
          <w:tcPr>
            <w:tcW w:w="2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8"/>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40" w:type="dxa"/>
            <w:vAlign w:val="bottom"/>
            <w:tcBorders>
              <w:left w:val="single" w:sz="8" w:color="424E6A"/>
              <w:bottom w:val="single" w:sz="8" w:color="424E6A"/>
            </w:tcBorders>
          </w:tcPr>
          <w:p>
            <w:pPr>
              <w:spacing w:after="0"/>
              <w:rPr>
                <w:sz w:val="5"/>
                <w:szCs w:val="5"/>
                <w:color w:val="auto"/>
              </w:rPr>
            </w:pPr>
          </w:p>
        </w:tc>
        <w:tc>
          <w:tcPr>
            <w:tcW w:w="82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tcPr>
          <w:p>
            <w:pPr>
              <w:ind w:left="180"/>
              <w:spacing w:after="0" w:line="68" w:lineRule="exact"/>
              <w:rPr>
                <w:sz w:val="20"/>
                <w:szCs w:val="20"/>
                <w:color w:val="auto"/>
              </w:rPr>
            </w:pPr>
            <w:r>
              <w:rPr>
                <w:rFonts w:ascii="Arial" w:cs="Arial" w:eastAsia="Arial" w:hAnsi="Arial"/>
                <w:sz w:val="7"/>
                <w:szCs w:val="7"/>
                <w:color w:val="auto"/>
              </w:rPr>
              <w:t>​</w:t>
            </w:r>
          </w:p>
        </w:tc>
        <w:tc>
          <w:tcPr>
            <w:tcW w:w="74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gridSpan w:val="2"/>
          </w:tcPr>
          <w:p>
            <w:pPr>
              <w:spacing w:after="0" w:line="68" w:lineRule="exact"/>
              <w:rPr>
                <w:sz w:val="20"/>
                <w:szCs w:val="20"/>
                <w:color w:val="auto"/>
              </w:rPr>
            </w:pPr>
            <w:r>
              <w:rPr>
                <w:rFonts w:ascii="Arial" w:cs="Arial" w:eastAsia="Arial" w:hAnsi="Arial"/>
                <w:sz w:val="7"/>
                <w:szCs w:val="7"/>
                <w:color w:val="auto"/>
              </w:rPr>
              <w:t>​ ​</w:t>
            </w:r>
          </w:p>
        </w:tc>
        <w:tc>
          <w:tcPr>
            <w:tcW w:w="260" w:type="dxa"/>
            <w:vAlign w:val="bottom"/>
            <w:tcBorders>
              <w:bottom w:val="single" w:sz="8" w:color="424E6A"/>
            </w:tcBorders>
          </w:tcPr>
          <w:p>
            <w:pPr>
              <w:ind w:left="10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vMerge w:val="continue"/>
          </w:tcPr>
          <w:p>
            <w:pPr>
              <w:spacing w:after="0"/>
              <w:rPr>
                <w:sz w:val="5"/>
                <w:szCs w:val="5"/>
                <w:color w:val="auto"/>
              </w:rPr>
            </w:pP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vMerge w:val="continue"/>
          </w:tcPr>
          <w:p>
            <w:pPr>
              <w:spacing w:after="0"/>
              <w:rPr>
                <w:sz w:val="5"/>
                <w:szCs w:val="5"/>
                <w:color w:val="auto"/>
              </w:rPr>
            </w:pP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620" w:right="759" w:hanging="360"/>
        <w:spacing w:after="0" w:line="228" w:lineRule="auto"/>
        <w:tabs>
          <w:tab w:leader="none" w:pos="1620" w:val="left"/>
        </w:tabs>
        <w:numPr>
          <w:ilvl w:val="0"/>
          <w:numId w:val="52"/>
        </w:numPr>
        <w:rPr>
          <w:rFonts w:ascii="Arial" w:cs="Arial" w:eastAsia="Arial" w:hAnsi="Arial"/>
          <w:sz w:val="27"/>
          <w:szCs w:val="27"/>
          <w:color w:val="auto"/>
          <w:vertAlign w:val="superscript"/>
        </w:rPr>
      </w:pPr>
      <w:r>
        <w:rPr>
          <w:rFonts w:ascii="Arial" w:cs="Arial" w:eastAsia="Arial" w:hAnsi="Arial"/>
          <w:sz w:val="18"/>
          <w:szCs w:val="18"/>
          <w:color w:val="auto"/>
        </w:rPr>
        <w:t>Market value of phantom units reported in these columns is calculated by multiplying the closing market price ($17.96) of PAA’s common units on December 31, 2025 (the last trading day of the fiscal year) by the target number of units. No discount is applied for remaining performance threshold or service period requirements.</w:t>
      </w:r>
    </w:p>
    <w:p>
      <w:pPr>
        <w:spacing w:after="0" w:line="46" w:lineRule="exact"/>
        <w:rPr>
          <w:rFonts w:ascii="Arial" w:cs="Arial" w:eastAsia="Arial" w:hAnsi="Arial"/>
          <w:sz w:val="27"/>
          <w:szCs w:val="27"/>
          <w:color w:val="auto"/>
          <w:vertAlign w:val="superscript"/>
        </w:rPr>
      </w:pPr>
    </w:p>
    <w:p>
      <w:pPr>
        <w:ind w:left="1620" w:right="419" w:hanging="360"/>
        <w:spacing w:after="0" w:line="235" w:lineRule="auto"/>
        <w:tabs>
          <w:tab w:leader="none" w:pos="1620" w:val="left"/>
        </w:tabs>
        <w:numPr>
          <w:ilvl w:val="0"/>
          <w:numId w:val="52"/>
        </w:numPr>
        <w:rPr>
          <w:rFonts w:ascii="Arial" w:cs="Arial" w:eastAsia="Arial" w:hAnsi="Arial"/>
          <w:sz w:val="27"/>
          <w:szCs w:val="27"/>
          <w:color w:val="auto"/>
          <w:vertAlign w:val="superscript"/>
        </w:rPr>
      </w:pPr>
      <w:r>
        <w:rPr>
          <w:rFonts w:ascii="Arial" w:cs="Arial" w:eastAsia="Arial" w:hAnsi="Arial"/>
          <w:sz w:val="18"/>
          <w:szCs w:val="18"/>
          <w:color w:val="auto"/>
        </w:rPr>
        <w:t>Represents phantom units granted to Mr. Chiang in August 2018 in connection with his promotion to CEO. The original terms of this grant provided that any phantom units or related DERs that had not vested by October 1, 2025 would have expired at that time. In August 2025, this grant was amended to extend the expiration date from October 2025 to October 2030. The remaining terms of the original grant, including the number of units, vesting terms and other provisions, were not changed as a result of the amendment. The phantom units will potentially vest (i) 25% on the</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439"/>
        <w:spacing w:after="0" w:line="259" w:lineRule="auto"/>
        <w:rPr>
          <w:sz w:val="20"/>
          <w:szCs w:val="20"/>
          <w:color w:val="auto"/>
        </w:rPr>
      </w:pPr>
      <w:r>
        <w:rPr>
          <w:rFonts w:ascii="Arial" w:cs="Arial" w:eastAsia="Arial" w:hAnsi="Arial"/>
          <w:sz w:val="17"/>
          <w:szCs w:val="17"/>
          <w:color w:val="auto"/>
        </w:rPr>
        <w:t>first distribution date on which PAA generates DCF per common unit of at least $3.00 on a trailing four quarter basis, and (ii) 75% on the first distribution date on which PAA generates DCF per common unit of at least $3.50 on a trailing four quarter basis. The phantom units have associated DERs that have vested or will vest as follows: (i) one-third vested on the May 2019 distribution date as a result of PAA generating DCF per common unit of at least $2.50 on a trailing four quarter basis,</w:t>
      </w:r>
    </w:p>
    <w:p>
      <w:pPr>
        <w:spacing w:after="0" w:line="3" w:lineRule="exact"/>
        <w:rPr>
          <w:sz w:val="20"/>
          <w:szCs w:val="20"/>
          <w:color w:val="auto"/>
        </w:rPr>
      </w:pPr>
    </w:p>
    <w:p>
      <w:pPr>
        <w:ind w:left="1620" w:right="479"/>
        <w:spacing w:after="0" w:line="241" w:lineRule="auto"/>
        <w:rPr>
          <w:sz w:val="20"/>
          <w:szCs w:val="20"/>
          <w:color w:val="auto"/>
        </w:rPr>
      </w:pPr>
      <w:r>
        <w:rPr>
          <w:rFonts w:ascii="Arial" w:cs="Arial" w:eastAsia="Arial" w:hAnsi="Arial"/>
          <w:sz w:val="18"/>
          <w:szCs w:val="18"/>
          <w:color w:val="auto"/>
        </w:rPr>
        <w:t>(ii) one-third vested on the February 2026 distribution date as a result of PAA generating DCF per common unit of at least $2.60 on a trailing four quarter basis, and (iii) one-third will vest on the first distribution date on which PAA generates DCF per common unit of at least $2.80 on a trailing four quarter basis. The phantom units and associated DERs will also vest upon termination of employment under certain specified circumstances, including as a result of death, disability, termination without cause, change of control or retirement on terms and timing that are approved by the Board. Any phantom units and associated DERs that have not vested by October 1, 2030 will expire at that time.</w:t>
      </w:r>
    </w:p>
    <w:p>
      <w:pPr>
        <w:spacing w:after="0" w:line="47" w:lineRule="exact"/>
        <w:rPr>
          <w:sz w:val="20"/>
          <w:szCs w:val="20"/>
          <w:color w:val="auto"/>
        </w:rPr>
      </w:pPr>
    </w:p>
    <w:p>
      <w:pPr>
        <w:ind w:left="1620" w:right="419" w:hanging="360"/>
        <w:spacing w:after="0" w:line="245" w:lineRule="auto"/>
        <w:tabs>
          <w:tab w:leader="none" w:pos="1620" w:val="left"/>
        </w:tabs>
        <w:numPr>
          <w:ilvl w:val="0"/>
          <w:numId w:val="53"/>
        </w:numPr>
        <w:rPr>
          <w:rFonts w:ascii="Arial" w:cs="Arial" w:eastAsia="Arial" w:hAnsi="Arial"/>
          <w:sz w:val="27"/>
          <w:szCs w:val="27"/>
          <w:color w:val="auto"/>
          <w:vertAlign w:val="superscript"/>
        </w:rPr>
      </w:pPr>
      <w:r>
        <w:rPr>
          <w:rFonts w:ascii="Arial" w:cs="Arial" w:eastAsia="Arial" w:hAnsi="Arial"/>
          <w:sz w:val="18"/>
          <w:szCs w:val="18"/>
          <w:color w:val="auto"/>
        </w:rPr>
        <w:t>Represents the applicable portion of one-time special retention phantom unit awards granted in November 2019. The original terms of these phantom units provided that they would vest (i) 50% on the August 2026 distribution date, (ii) 25% on the later of the August 2026 distribution date and the first distribution date following PAA’s achievement of DCF per CUE of at least $2.80 on a trailing four quarter basis, and (iii) 25% on the later of the August 2026 distribution date and the first distribution date following PAA’s achievement of DCF per CUE of at least $3.15 on a trailing four quarter basis. Vesting of a portion of the associated DERs was also tied to PAA’s achievement of specified DCF per CUE levels. The vesting terms with respect to the performance-based portion of these phantom units (50% of the amount awarded) were amended in February 2022. As amended, the November 2019 phantom unit awards will vest as follows: (i) 50% will vest on the August 2026 distribution date (this is unchanged from the original terms), and (ii) up to 50% will potentially vest at a scaled payout range of between 0% and 100% based on the TSR ranking of PAA relative to a designated comparator group as measured over a four and one-half year period beginning on January 1, 2022 and ending on June 30, 2026. The unvested DERs associated with the November 2019 phantom unit awards that were originally tied to achievement of DCF/CUE targets were also amended such that they began accruing on January 1, 2022 and will be paid in cash in a lump sum on the August 2026 distribution date with respect to the number of phantom units, if any, that vest on such date.</w:t>
      </w:r>
    </w:p>
    <w:p>
      <w:pPr>
        <w:spacing w:after="0" w:line="33" w:lineRule="exact"/>
        <w:rPr>
          <w:rFonts w:ascii="Arial" w:cs="Arial" w:eastAsia="Arial" w:hAnsi="Arial"/>
          <w:sz w:val="27"/>
          <w:szCs w:val="27"/>
          <w:color w:val="auto"/>
          <w:vertAlign w:val="superscript"/>
        </w:rPr>
      </w:pPr>
    </w:p>
    <w:p>
      <w:pPr>
        <w:ind w:left="1620" w:right="419" w:hanging="360"/>
        <w:spacing w:after="0" w:line="228" w:lineRule="auto"/>
        <w:tabs>
          <w:tab w:leader="none" w:pos="1620" w:val="left"/>
        </w:tabs>
        <w:numPr>
          <w:ilvl w:val="0"/>
          <w:numId w:val="53"/>
        </w:numPr>
        <w:rPr>
          <w:rFonts w:ascii="Arial" w:cs="Arial" w:eastAsia="Arial" w:hAnsi="Arial"/>
          <w:sz w:val="27"/>
          <w:szCs w:val="27"/>
          <w:color w:val="auto"/>
          <w:vertAlign w:val="superscript"/>
        </w:rPr>
      </w:pPr>
      <w:r>
        <w:rPr>
          <w:rFonts w:ascii="Arial" w:cs="Arial" w:eastAsia="Arial" w:hAnsi="Arial"/>
          <w:sz w:val="18"/>
          <w:szCs w:val="18"/>
          <w:color w:val="auto"/>
        </w:rPr>
        <w:t>Represents time-based phantom units granted in August 2023 that will vest on the August 2026 distribution date. The associated DERs will accrue for the first year and such accrued amount will be paid in cash in a lump sum on the August 2024 distribution date; beginning in November 2024, the associated DERs will be paid quarterly in cash on each distribution payment date.</w:t>
      </w:r>
    </w:p>
    <w:p>
      <w:pPr>
        <w:spacing w:after="0" w:line="46" w:lineRule="exact"/>
        <w:rPr>
          <w:rFonts w:ascii="Arial" w:cs="Arial" w:eastAsia="Arial" w:hAnsi="Arial"/>
          <w:sz w:val="27"/>
          <w:szCs w:val="27"/>
          <w:color w:val="auto"/>
          <w:vertAlign w:val="superscript"/>
        </w:rPr>
      </w:pPr>
    </w:p>
    <w:p>
      <w:pPr>
        <w:ind w:left="1620" w:right="419" w:hanging="360"/>
        <w:spacing w:after="0" w:line="242" w:lineRule="auto"/>
        <w:tabs>
          <w:tab w:leader="none" w:pos="1620" w:val="left"/>
        </w:tabs>
        <w:numPr>
          <w:ilvl w:val="0"/>
          <w:numId w:val="53"/>
        </w:numPr>
        <w:rPr>
          <w:rFonts w:ascii="Arial" w:cs="Arial" w:eastAsia="Arial" w:hAnsi="Arial"/>
          <w:sz w:val="27"/>
          <w:szCs w:val="27"/>
          <w:color w:val="auto"/>
          <w:vertAlign w:val="superscript"/>
        </w:rPr>
      </w:pPr>
      <w:r>
        <w:rPr>
          <w:rFonts w:ascii="Arial" w:cs="Arial" w:eastAsia="Arial" w:hAnsi="Arial"/>
          <w:sz w:val="18"/>
          <w:szCs w:val="18"/>
          <w:color w:val="auto"/>
        </w:rPr>
        <w:t>Represents the target number of performance-based phantom units granted in August 2023 that will potentially vest on the August 2026 distribution date at a scaled payout range of between 0% and 200% based on: (i) with respect to 50% of the performance-based award, PAA’s TSR over the three-year period ending June 30, 2026 compared to the TSR of the TSR Comparator Peer Group (payout may be reduced if absolute TSR is negative); and (ii) with respect to the other 50% of the performance-based award, PAA achieving cumulative DCF per CUE of $7.45 over the three-year period ending June 30, 2026 (payout may be decreased by 25 basis points if PAA’s leverage ratio as of June 30, 2026 is greater than the upper end of our guidance range). DERs will accrue during the three-year performance period and will be paid in cash in a lump sum on the August 2026 distribution date with respect to the number of phantom units, if any, that vest on such date. Any phantom units and associated DERs that have not vested by the August 2026 distribution date will expire at that time.</w:t>
      </w:r>
    </w:p>
    <w:p>
      <w:pPr>
        <w:spacing w:after="0" w:line="50" w:lineRule="exact"/>
        <w:rPr>
          <w:rFonts w:ascii="Arial" w:cs="Arial" w:eastAsia="Arial" w:hAnsi="Arial"/>
          <w:sz w:val="27"/>
          <w:szCs w:val="27"/>
          <w:color w:val="auto"/>
          <w:vertAlign w:val="superscript"/>
        </w:rPr>
      </w:pPr>
    </w:p>
    <w:p>
      <w:pPr>
        <w:ind w:left="1620" w:right="419" w:hanging="360"/>
        <w:spacing w:after="0" w:line="228" w:lineRule="auto"/>
        <w:tabs>
          <w:tab w:leader="none" w:pos="1620" w:val="left"/>
        </w:tabs>
        <w:numPr>
          <w:ilvl w:val="0"/>
          <w:numId w:val="53"/>
        </w:numPr>
        <w:rPr>
          <w:rFonts w:ascii="Arial" w:cs="Arial" w:eastAsia="Arial" w:hAnsi="Arial"/>
          <w:sz w:val="27"/>
          <w:szCs w:val="27"/>
          <w:color w:val="auto"/>
          <w:vertAlign w:val="superscript"/>
        </w:rPr>
      </w:pPr>
      <w:r>
        <w:rPr>
          <w:rFonts w:ascii="Arial" w:cs="Arial" w:eastAsia="Arial" w:hAnsi="Arial"/>
          <w:sz w:val="18"/>
          <w:szCs w:val="18"/>
          <w:color w:val="auto"/>
        </w:rPr>
        <w:t>Represents time-based phantom units granted in August 2024 that will vest on the August 2027 distribution date. The associated DERs will accrue for the first year and such accrued amount will be paid in cash in a lump sum on the August 2025 distribution date; beginning in November 2025, the associated DERs will be paid quarterly in cash on each distribution payment date.</w:t>
      </w:r>
    </w:p>
    <w:p>
      <w:pPr>
        <w:spacing w:after="0" w:line="46" w:lineRule="exact"/>
        <w:rPr>
          <w:rFonts w:ascii="Arial" w:cs="Arial" w:eastAsia="Arial" w:hAnsi="Arial"/>
          <w:sz w:val="27"/>
          <w:szCs w:val="27"/>
          <w:color w:val="auto"/>
          <w:vertAlign w:val="superscript"/>
        </w:rPr>
      </w:pPr>
    </w:p>
    <w:p>
      <w:pPr>
        <w:ind w:left="1620" w:right="419" w:hanging="360"/>
        <w:spacing w:after="0" w:line="228" w:lineRule="auto"/>
        <w:tabs>
          <w:tab w:leader="none" w:pos="1620" w:val="left"/>
        </w:tabs>
        <w:numPr>
          <w:ilvl w:val="0"/>
          <w:numId w:val="53"/>
        </w:numPr>
        <w:rPr>
          <w:rFonts w:ascii="Arial" w:cs="Arial" w:eastAsia="Arial" w:hAnsi="Arial"/>
          <w:sz w:val="27"/>
          <w:szCs w:val="27"/>
          <w:color w:val="auto"/>
          <w:vertAlign w:val="superscript"/>
        </w:rPr>
      </w:pPr>
      <w:r>
        <w:rPr>
          <w:rFonts w:ascii="Arial" w:cs="Arial" w:eastAsia="Arial" w:hAnsi="Arial"/>
          <w:sz w:val="18"/>
          <w:szCs w:val="18"/>
          <w:color w:val="auto"/>
        </w:rPr>
        <w:t>Represents the target number of performance-based phantom units granted in August 2024 that will potentially vest on the August 2027 distribution date at a scaled payout range of between 0% and 200% based on: (i) with respect to 50% of the performance-based award, PAA’s TSR over the three-year period ending June 30, 2027 compared to the TSR of the TSR Comparator Peer Group</w:t>
      </w:r>
    </w:p>
    <w:p>
      <w:pPr>
        <w:sectPr>
          <w:pgSz w:w="11900" w:h="16838" w:orient="portrait"/>
          <w:cols w:equalWidth="0" w:num="1">
            <w:col w:w="9879"/>
          </w:cols>
          <w:pgMar w:left="580" w:top="97" w:right="1440" w:bottom="1440" w:gutter="0" w:footer="0" w:header="0"/>
        </w:sectPr>
      </w:pPr>
    </w:p>
    <w:p>
      <w:pPr>
        <w:spacing w:after="0" w:line="38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579"/>
        <w:spacing w:after="0" w:line="255" w:lineRule="auto"/>
        <w:rPr>
          <w:sz w:val="20"/>
          <w:szCs w:val="20"/>
          <w:color w:val="auto"/>
        </w:rPr>
      </w:pPr>
      <w:r>
        <w:rPr>
          <w:rFonts w:ascii="Arial" w:cs="Arial" w:eastAsia="Arial" w:hAnsi="Arial"/>
          <w:sz w:val="18"/>
          <w:szCs w:val="18"/>
          <w:color w:val="auto"/>
        </w:rPr>
        <w:t>(payout may be reduced if absolute TSR is negative); and (ii) with respect to the other 50% of the performance-based award, PAA achieving cumulative DCF per CUE of $7.75 over the three-year period ending June 30, 2027 (payout may be decreased by 25 basis points if PAA’s leverage ratio as of June 30, 2027 is greater than the upper end of our guidance range). DERs will accrue during the three-year performance period and will be paid in cash in a lump sum on the August 2027 distribution date with respect to the number of phantom units, if any, that vest on such date. Any phantom units and associated DERs that have not vested by the August 2027 distribution date will expire at that time.</w:t>
      </w:r>
    </w:p>
    <w:p>
      <w:pPr>
        <w:spacing w:after="0" w:line="50" w:lineRule="exact"/>
        <w:rPr>
          <w:sz w:val="20"/>
          <w:szCs w:val="20"/>
          <w:color w:val="auto"/>
        </w:rPr>
      </w:pPr>
    </w:p>
    <w:p>
      <w:pPr>
        <w:ind w:left="1620" w:right="419" w:hanging="360"/>
        <w:spacing w:after="0" w:line="228" w:lineRule="auto"/>
        <w:tabs>
          <w:tab w:leader="none" w:pos="1620" w:val="left"/>
        </w:tabs>
        <w:numPr>
          <w:ilvl w:val="0"/>
          <w:numId w:val="54"/>
        </w:numPr>
        <w:rPr>
          <w:rFonts w:ascii="Arial" w:cs="Arial" w:eastAsia="Arial" w:hAnsi="Arial"/>
          <w:sz w:val="27"/>
          <w:szCs w:val="27"/>
          <w:color w:val="auto"/>
          <w:vertAlign w:val="superscript"/>
        </w:rPr>
      </w:pPr>
      <w:r>
        <w:rPr>
          <w:rFonts w:ascii="Arial" w:cs="Arial" w:eastAsia="Arial" w:hAnsi="Arial"/>
          <w:sz w:val="18"/>
          <w:szCs w:val="18"/>
          <w:color w:val="auto"/>
        </w:rPr>
        <w:t>Represents time-based phantom units granted in August 2025 that will vest on the August 2028 distribution date. The associated DERs will accrue for the first year and such accrued amount will be paid in cash in a lump sum on the August 2026 distribution date; beginning in November 2026, the associated DERs will be paid quarterly in cash on each distribution payment date.</w:t>
      </w:r>
    </w:p>
    <w:p>
      <w:pPr>
        <w:spacing w:after="0" w:line="46" w:lineRule="exact"/>
        <w:rPr>
          <w:rFonts w:ascii="Arial" w:cs="Arial" w:eastAsia="Arial" w:hAnsi="Arial"/>
          <w:sz w:val="27"/>
          <w:szCs w:val="27"/>
          <w:color w:val="auto"/>
          <w:vertAlign w:val="superscript"/>
        </w:rPr>
      </w:pPr>
    </w:p>
    <w:p>
      <w:pPr>
        <w:ind w:left="1620" w:right="419" w:hanging="360"/>
        <w:spacing w:after="0" w:line="242" w:lineRule="auto"/>
        <w:tabs>
          <w:tab w:leader="none" w:pos="1620" w:val="left"/>
        </w:tabs>
        <w:numPr>
          <w:ilvl w:val="0"/>
          <w:numId w:val="54"/>
        </w:numPr>
        <w:rPr>
          <w:rFonts w:ascii="Arial" w:cs="Arial" w:eastAsia="Arial" w:hAnsi="Arial"/>
          <w:sz w:val="27"/>
          <w:szCs w:val="27"/>
          <w:color w:val="auto"/>
          <w:vertAlign w:val="superscript"/>
        </w:rPr>
      </w:pPr>
      <w:r>
        <w:rPr>
          <w:rFonts w:ascii="Arial" w:cs="Arial" w:eastAsia="Arial" w:hAnsi="Arial"/>
          <w:sz w:val="18"/>
          <w:szCs w:val="18"/>
          <w:color w:val="auto"/>
        </w:rPr>
        <w:t>Represents the target number of performance-based phantom units granted in August 2025 that will potentially vest on the August 2028 distribution date at a scaled payout range of between 0% and 200% based on: (i) with respect to 50% of the performance-based award, PAA’s TSR over the three-year period ending June 30, 2028 compared to the TSR of the TSR Comparator Peer Group (payout may be reduced if absolute TSR is negative); and (ii) with respect to the other 50% of the performance-based award, PAA achieving cumulative DCF per CUE of $8.40 over the three-year period ending June 30, 2028 (payout may be decreased by 25 basis points if PAA’s leverage ratio as of June 30, 2028 is greater than the upper end of our guidance range). DERs will accrue during the three-year performance period and will be paid in cash in a lump sum on the August 2028 distribution date with respect to the number of phantom units, if any, that vest on such date. Any phantom units and associated DERs that have not vested by the August 2028 distribution date will expire at that time.</w:t>
      </w:r>
    </w:p>
    <w:p>
      <w:pPr>
        <w:spacing w:after="0" w:line="5" w:lineRule="exact"/>
        <w:rPr>
          <w:rFonts w:ascii="Arial" w:cs="Arial" w:eastAsia="Arial" w:hAnsi="Arial"/>
          <w:sz w:val="27"/>
          <w:szCs w:val="27"/>
          <w:color w:val="auto"/>
          <w:vertAlign w:val="superscript"/>
        </w:rPr>
      </w:pPr>
    </w:p>
    <w:p>
      <w:pPr>
        <w:ind w:left="1620" w:hanging="360"/>
        <w:spacing w:after="0" w:line="215" w:lineRule="auto"/>
        <w:tabs>
          <w:tab w:leader="none" w:pos="1620" w:val="left"/>
        </w:tabs>
        <w:numPr>
          <w:ilvl w:val="0"/>
          <w:numId w:val="54"/>
        </w:numPr>
        <w:rPr>
          <w:rFonts w:ascii="Arial" w:cs="Arial" w:eastAsia="Arial" w:hAnsi="Arial"/>
          <w:sz w:val="27"/>
          <w:szCs w:val="27"/>
          <w:color w:val="auto"/>
          <w:vertAlign w:val="superscript"/>
        </w:rPr>
      </w:pPr>
      <w:r>
        <w:rPr>
          <w:rFonts w:ascii="Arial" w:cs="Arial" w:eastAsia="Arial" w:hAnsi="Arial"/>
          <w:sz w:val="18"/>
          <w:szCs w:val="18"/>
          <w:color w:val="auto"/>
        </w:rPr>
        <w:t>Represents one-time special retention phantom unit awards granted to Mr. Chandler in</w:t>
      </w:r>
    </w:p>
    <w:p>
      <w:pPr>
        <w:ind w:left="1620" w:right="419"/>
        <w:spacing w:after="0" w:line="265" w:lineRule="auto"/>
        <w:rPr>
          <w:rFonts w:ascii="Arial" w:cs="Arial" w:eastAsia="Arial" w:hAnsi="Arial"/>
          <w:sz w:val="27"/>
          <w:szCs w:val="27"/>
          <w:color w:val="auto"/>
          <w:vertAlign w:val="superscript"/>
        </w:rPr>
      </w:pPr>
      <w:r>
        <w:rPr>
          <w:rFonts w:ascii="Arial" w:cs="Arial" w:eastAsia="Arial" w:hAnsi="Arial"/>
          <w:sz w:val="17"/>
          <w:szCs w:val="17"/>
          <w:color w:val="auto"/>
        </w:rPr>
        <w:t>August 2025. These phantom unit awards will vest on the August 2028 distribution date assuming continued service through such date. DERs associated with these phantom units will vest as follows:</w:t>
      </w:r>
    </w:p>
    <w:p>
      <w:pPr>
        <w:ind w:left="1620" w:right="499"/>
        <w:spacing w:after="0" w:line="252" w:lineRule="auto"/>
        <w:rPr>
          <w:rFonts w:ascii="Arial" w:cs="Arial" w:eastAsia="Arial" w:hAnsi="Arial"/>
          <w:sz w:val="27"/>
          <w:szCs w:val="27"/>
          <w:color w:val="auto"/>
          <w:vertAlign w:val="superscript"/>
        </w:rPr>
      </w:pPr>
      <w:r>
        <w:rPr>
          <w:rFonts w:ascii="Arial" w:cs="Arial" w:eastAsia="Arial" w:hAnsi="Arial"/>
          <w:sz w:val="18"/>
          <w:szCs w:val="18"/>
          <w:color w:val="auto"/>
        </w:rPr>
        <w:t>(i) one-third will accrue for the first year and will be paid in a lump sum on the August 2026 distribution date; beginning in November 2026, this portion of the DERs will be paid quarterly until the phantom units vest or terminate; and (ii) beginning with the August 2026 distribution date, an additional one-third of the DERs will vest each year on the August distribution date (such that 100% of the DERs will have vested by the August 2027 distribution date) and will be paid quarterly until the phantom units vest or terminate. The phantom units and associated DERs will also vest upon termination of employment under certain specified circumstances, including as a result of death, disability, termination without cause, change of control or retirement on terms and timing that are approved by the Board.</w:t>
      </w:r>
    </w:p>
    <w:p>
      <w:pPr>
        <w:spacing w:after="0" w:line="51" w:lineRule="exact"/>
        <w:rPr>
          <w:rFonts w:ascii="Arial" w:cs="Arial" w:eastAsia="Arial" w:hAnsi="Arial"/>
          <w:sz w:val="27"/>
          <w:szCs w:val="27"/>
          <w:color w:val="auto"/>
          <w:vertAlign w:val="superscript"/>
        </w:rPr>
      </w:pPr>
    </w:p>
    <w:p>
      <w:pPr>
        <w:ind w:left="1620" w:right="479" w:hanging="360"/>
        <w:spacing w:after="0" w:line="242" w:lineRule="auto"/>
        <w:tabs>
          <w:tab w:leader="none" w:pos="1620" w:val="left"/>
        </w:tabs>
        <w:numPr>
          <w:ilvl w:val="0"/>
          <w:numId w:val="54"/>
        </w:numPr>
        <w:rPr>
          <w:rFonts w:ascii="Arial" w:cs="Arial" w:eastAsia="Arial" w:hAnsi="Arial"/>
          <w:sz w:val="27"/>
          <w:szCs w:val="27"/>
          <w:color w:val="auto"/>
          <w:vertAlign w:val="superscript"/>
        </w:rPr>
      </w:pPr>
      <w:r>
        <w:rPr>
          <w:rFonts w:ascii="Arial" w:cs="Arial" w:eastAsia="Arial" w:hAnsi="Arial"/>
          <w:sz w:val="18"/>
          <w:szCs w:val="18"/>
          <w:color w:val="auto"/>
        </w:rPr>
        <w:t>Represents one-time special retention phantom unit awards granted to Mr. Goebel in August 2025. These phantom unit awards will vest on the August 2030 distribution date assuming continued service through such date. DERs associated with these phantom units will vest as follows: (i) 20% will accrue for the first year and will be paid in a lump sum on the August 2026 distribution date; beginning in November 2026, this portion of the DERs will be paid quarterly until the phantom units vest or terminate; and (ii) beginning with the August 2026 distribution date, an additional 20% of the DERs will vest each year on the August distribution date (such that 100% of the DERs will have vested by the August 2029 distribution date) and will be paid quarterly until the phantom units vest or terminate. The phantom units and associated DERs will also vest upon termination of employment under certain specified circumstances, including as a result of death, disability, termination without cause, change of control or retirement on terms and timing that are approved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Option Exercises and Units Vested</w:t>
      </w:r>
    </w:p>
    <w:p>
      <w:pPr>
        <w:spacing w:after="0" w:line="158" w:lineRule="exact"/>
        <w:rPr>
          <w:sz w:val="20"/>
          <w:szCs w:val="20"/>
          <w:color w:val="auto"/>
        </w:rPr>
      </w:pPr>
    </w:p>
    <w:p>
      <w:pPr>
        <w:ind w:left="1260" w:right="499" w:firstLine="360"/>
        <w:spacing w:after="0" w:line="262" w:lineRule="auto"/>
        <w:rPr>
          <w:sz w:val="20"/>
          <w:szCs w:val="20"/>
          <w:color w:val="auto"/>
        </w:rPr>
      </w:pPr>
      <w:r>
        <w:rPr>
          <w:rFonts w:ascii="Arial" w:cs="Arial" w:eastAsia="Arial" w:hAnsi="Arial"/>
          <w:sz w:val="18"/>
          <w:szCs w:val="18"/>
          <w:color w:val="auto"/>
        </w:rPr>
        <w:t>We have never issued options under our long-term incentive plan; all of the grants awarded under our long-term incentive plan have been phantom unit grants. The following table sets forth certain information regarding the vesting of phantom units during the fiscal year ended December 31, 2025 with respect to our Named Executive Officers.</w:t>
      </w:r>
    </w:p>
    <w:p>
      <w:pPr>
        <w:spacing w:after="0" w:line="155" w:lineRule="exact"/>
        <w:rPr>
          <w:sz w:val="20"/>
          <w:szCs w:val="20"/>
          <w:color w:val="auto"/>
        </w:rPr>
      </w:pPr>
    </w:p>
    <w:tbl>
      <w:tblPr>
        <w:tblLayout w:type="fixed"/>
        <w:tblInd w:w="1270" w:type="dxa"/>
        <w:tblCellMar>
          <w:top w:w="0" w:type="dxa"/>
          <w:left w:w="0" w:type="dxa"/>
          <w:bottom w:w="0" w:type="dxa"/>
          <w:right w:w="0" w:type="dxa"/>
        </w:tblCellMar>
      </w:tblPr>
      <w:tr>
        <w:trPr>
          <w:trHeight w:val="290"/>
        </w:trPr>
        <w:tc>
          <w:tcPr>
            <w:tcW w:w="3440" w:type="dxa"/>
            <w:vAlign w:val="bottom"/>
            <w:tcBorders>
              <w:left w:val="single" w:sz="8" w:color="424E6A"/>
              <w:bottom w:val="single" w:sz="8" w:color="424E6A"/>
            </w:tcBorders>
            <w:shd w:val="clear" w:color="auto" w:fill="424E6A"/>
          </w:tcPr>
          <w:p>
            <w:pPr>
              <w:spacing w:after="0"/>
              <w:rPr>
                <w:sz w:val="24"/>
                <w:szCs w:val="24"/>
                <w:color w:val="auto"/>
              </w:rPr>
            </w:pPr>
          </w:p>
        </w:tc>
        <w:tc>
          <w:tcPr>
            <w:tcW w:w="2200" w:type="dxa"/>
            <w:vAlign w:val="bottom"/>
            <w:tcBorders>
              <w:bottom w:val="single" w:sz="8" w:color="424E6A"/>
              <w:right w:val="single" w:sz="8" w:color="424E6A"/>
            </w:tcBorders>
            <w:shd w:val="clear" w:color="auto" w:fill="424E6A"/>
          </w:tcPr>
          <w:p>
            <w:pPr>
              <w:spacing w:after="0"/>
              <w:rPr>
                <w:sz w:val="24"/>
                <w:szCs w:val="24"/>
                <w:color w:val="auto"/>
              </w:rPr>
            </w:pPr>
          </w:p>
        </w:tc>
        <w:tc>
          <w:tcPr>
            <w:tcW w:w="160" w:type="dxa"/>
            <w:vAlign w:val="bottom"/>
            <w:tcBorders>
              <w:bottom w:val="single" w:sz="8" w:color="auto"/>
            </w:tcBorders>
            <w:shd w:val="clear" w:color="auto" w:fill="424E6A"/>
          </w:tcPr>
          <w:p>
            <w:pPr>
              <w:spacing w:after="0"/>
              <w:rPr>
                <w:sz w:val="24"/>
                <w:szCs w:val="24"/>
                <w:color w:val="auto"/>
              </w:rPr>
            </w:pPr>
          </w:p>
        </w:tc>
        <w:tc>
          <w:tcPr>
            <w:tcW w:w="2340" w:type="dxa"/>
            <w:vAlign w:val="bottom"/>
            <w:tcBorders>
              <w:bottom w:val="single" w:sz="8" w:color="auto"/>
            </w:tcBorders>
            <w:gridSpan w:val="5"/>
            <w:shd w:val="clear" w:color="auto" w:fill="424E6A"/>
          </w:tcPr>
          <w:p>
            <w:pPr>
              <w:jc w:val="center"/>
              <w:spacing w:after="0"/>
              <w:rPr>
                <w:sz w:val="20"/>
                <w:szCs w:val="20"/>
                <w:color w:val="auto"/>
              </w:rPr>
            </w:pPr>
            <w:r>
              <w:rPr>
                <w:rFonts w:ascii="Arial" w:cs="Arial" w:eastAsia="Arial" w:hAnsi="Arial"/>
                <w:sz w:val="14"/>
                <w:szCs w:val="14"/>
                <w:b w:val="1"/>
                <w:bCs w:val="1"/>
                <w:color w:val="FFFFFF"/>
              </w:rPr>
              <w:t>Unit Awards</w:t>
            </w:r>
          </w:p>
        </w:tc>
        <w:tc>
          <w:tcPr>
            <w:tcW w:w="80" w:type="dxa"/>
            <w:vAlign w:val="bottom"/>
            <w:tcBorders>
              <w:bottom w:val="single" w:sz="8" w:color="auto"/>
              <w:right w:val="single" w:sz="8" w:color="424E6A"/>
            </w:tcBorders>
            <w:shd w:val="clear" w:color="auto" w:fill="424E6A"/>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440" w:type="dxa"/>
            <w:vAlign w:val="bottom"/>
            <w:tcBorders>
              <w:left w:val="single" w:sz="8" w:color="424E6A"/>
            </w:tcBorders>
            <w:shd w:val="clear" w:color="auto" w:fill="424E6A"/>
          </w:tcPr>
          <w:p>
            <w:pPr>
              <w:spacing w:after="0"/>
              <w:rPr>
                <w:sz w:val="15"/>
                <w:szCs w:val="15"/>
                <w:color w:val="auto"/>
              </w:rPr>
            </w:pPr>
          </w:p>
        </w:tc>
        <w:tc>
          <w:tcPr>
            <w:tcW w:w="2200" w:type="dxa"/>
            <w:vAlign w:val="bottom"/>
            <w:tcBorders>
              <w:right w:val="single" w:sz="8" w:color="424E6A"/>
            </w:tcBorders>
            <w:shd w:val="clear" w:color="auto" w:fill="424E6A"/>
          </w:tcPr>
          <w:p>
            <w:pPr>
              <w:spacing w:after="0"/>
              <w:rPr>
                <w:sz w:val="15"/>
                <w:szCs w:val="15"/>
                <w:color w:val="auto"/>
              </w:rPr>
            </w:pPr>
          </w:p>
        </w:tc>
        <w:tc>
          <w:tcPr>
            <w:tcW w:w="160" w:type="dxa"/>
            <w:vAlign w:val="bottom"/>
            <w:shd w:val="clear" w:color="auto" w:fill="424E6A"/>
          </w:tcPr>
          <w:p>
            <w:pPr>
              <w:spacing w:after="0"/>
              <w:rPr>
                <w:sz w:val="15"/>
                <w:szCs w:val="15"/>
                <w:color w:val="auto"/>
              </w:rPr>
            </w:pPr>
          </w:p>
        </w:tc>
        <w:tc>
          <w:tcPr>
            <w:tcW w:w="1000" w:type="dxa"/>
            <w:vAlign w:val="bottom"/>
            <w:shd w:val="clear" w:color="auto" w:fill="424E6A"/>
          </w:tcPr>
          <w:p>
            <w:pPr>
              <w:jc w:val="center"/>
              <w:ind w:right="16"/>
              <w:spacing w:after="0"/>
              <w:rPr>
                <w:sz w:val="20"/>
                <w:szCs w:val="20"/>
                <w:color w:val="auto"/>
              </w:rPr>
            </w:pPr>
            <w:r>
              <w:rPr>
                <w:rFonts w:ascii="Arial" w:cs="Arial" w:eastAsia="Arial" w:hAnsi="Arial"/>
                <w:sz w:val="14"/>
                <w:szCs w:val="14"/>
                <w:b w:val="1"/>
                <w:bCs w:val="1"/>
                <w:color w:val="FFFFFF"/>
              </w:rPr>
              <w:t>Number of</w:t>
            </w:r>
          </w:p>
        </w:tc>
        <w:tc>
          <w:tcPr>
            <w:tcW w:w="40" w:type="dxa"/>
            <w:vAlign w:val="bottom"/>
            <w:shd w:val="clear" w:color="auto" w:fill="424E6A"/>
          </w:tcPr>
          <w:p>
            <w:pPr>
              <w:spacing w:after="0"/>
              <w:rPr>
                <w:sz w:val="15"/>
                <w:szCs w:val="15"/>
                <w:color w:val="auto"/>
              </w:rPr>
            </w:pPr>
          </w:p>
        </w:tc>
        <w:tc>
          <w:tcPr>
            <w:tcW w:w="100" w:type="dxa"/>
            <w:vAlign w:val="bottom"/>
            <w:tcBorders>
              <w:right w:val="single" w:sz="8" w:color="424E6A"/>
            </w:tcBorders>
            <w:shd w:val="clear" w:color="auto" w:fill="424E6A"/>
          </w:tcPr>
          <w:p>
            <w:pPr>
              <w:spacing w:after="0"/>
              <w:rPr>
                <w:sz w:val="15"/>
                <w:szCs w:val="15"/>
                <w:color w:val="auto"/>
              </w:rPr>
            </w:pPr>
          </w:p>
        </w:tc>
        <w:tc>
          <w:tcPr>
            <w:tcW w:w="120" w:type="dxa"/>
            <w:vAlign w:val="bottom"/>
            <w:shd w:val="clear" w:color="auto" w:fill="424E6A"/>
          </w:tcPr>
          <w:p>
            <w:pPr>
              <w:spacing w:after="0"/>
              <w:rPr>
                <w:sz w:val="15"/>
                <w:szCs w:val="15"/>
                <w:color w:val="auto"/>
              </w:rPr>
            </w:pPr>
          </w:p>
        </w:tc>
        <w:tc>
          <w:tcPr>
            <w:tcW w:w="1080" w:type="dxa"/>
            <w:vAlign w:val="bottom"/>
            <w:shd w:val="clear" w:color="auto" w:fill="424E6A"/>
          </w:tcPr>
          <w:p>
            <w:pPr>
              <w:spacing w:after="0"/>
              <w:rPr>
                <w:sz w:val="15"/>
                <w:szCs w:val="15"/>
                <w:color w:val="auto"/>
              </w:rPr>
            </w:pPr>
          </w:p>
        </w:tc>
        <w:tc>
          <w:tcPr>
            <w:tcW w:w="80" w:type="dxa"/>
            <w:vAlign w:val="bottom"/>
            <w:tcBorders>
              <w:right w:val="single" w:sz="8" w:color="424E6A"/>
            </w:tcBorders>
            <w:shd w:val="clear" w:color="auto" w:fill="424E6A"/>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440" w:type="dxa"/>
            <w:vAlign w:val="bottom"/>
            <w:tcBorders>
              <w:left w:val="single" w:sz="8" w:color="424E6A"/>
            </w:tcBorders>
            <w:shd w:val="clear" w:color="auto" w:fill="424E6A"/>
          </w:tcPr>
          <w:p>
            <w:pPr>
              <w:spacing w:after="0"/>
              <w:rPr>
                <w:sz w:val="14"/>
                <w:szCs w:val="14"/>
                <w:color w:val="auto"/>
              </w:rPr>
            </w:pPr>
          </w:p>
        </w:tc>
        <w:tc>
          <w:tcPr>
            <w:tcW w:w="220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000" w:type="dxa"/>
            <w:vAlign w:val="bottom"/>
            <w:shd w:val="clear" w:color="auto" w:fill="424E6A"/>
          </w:tcPr>
          <w:p>
            <w:pPr>
              <w:jc w:val="center"/>
              <w:ind w:right="16"/>
              <w:spacing w:after="0"/>
              <w:rPr>
                <w:sz w:val="20"/>
                <w:szCs w:val="20"/>
                <w:color w:val="auto"/>
              </w:rPr>
            </w:pPr>
            <w:r>
              <w:rPr>
                <w:rFonts w:ascii="Arial" w:cs="Arial" w:eastAsia="Arial" w:hAnsi="Arial"/>
                <w:sz w:val="14"/>
                <w:szCs w:val="14"/>
                <w:b w:val="1"/>
                <w:bCs w:val="1"/>
                <w:color w:val="FFFFFF"/>
              </w:rPr>
              <w:t>Units</w:t>
            </w:r>
          </w:p>
        </w:tc>
        <w:tc>
          <w:tcPr>
            <w:tcW w:w="40" w:type="dxa"/>
            <w:vAlign w:val="bottom"/>
            <w:shd w:val="clear" w:color="auto" w:fill="424E6A"/>
          </w:tcPr>
          <w:p>
            <w:pPr>
              <w:spacing w:after="0"/>
              <w:rPr>
                <w:sz w:val="14"/>
                <w:szCs w:val="14"/>
                <w:color w:val="auto"/>
              </w:rPr>
            </w:pPr>
          </w:p>
        </w:tc>
        <w:tc>
          <w:tcPr>
            <w:tcW w:w="100" w:type="dxa"/>
            <w:vAlign w:val="bottom"/>
            <w:tcBorders>
              <w:right w:val="single" w:sz="8" w:color="424E6A"/>
            </w:tcBorders>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1080" w:type="dxa"/>
            <w:vAlign w:val="bottom"/>
            <w:shd w:val="clear" w:color="auto" w:fill="424E6A"/>
          </w:tcPr>
          <w:p>
            <w:pPr>
              <w:jc w:val="center"/>
              <w:ind w:right="17"/>
              <w:spacing w:after="0"/>
              <w:rPr>
                <w:sz w:val="20"/>
                <w:szCs w:val="20"/>
                <w:color w:val="auto"/>
              </w:rPr>
            </w:pPr>
            <w:r>
              <w:rPr>
                <w:rFonts w:ascii="Arial" w:cs="Arial" w:eastAsia="Arial" w:hAnsi="Arial"/>
                <w:sz w:val="14"/>
                <w:szCs w:val="14"/>
                <w:b w:val="1"/>
                <w:bCs w:val="1"/>
                <w:color w:val="FFFFFF"/>
              </w:rPr>
              <w:t>Value Realized</w:t>
            </w:r>
          </w:p>
        </w:tc>
        <w:tc>
          <w:tcPr>
            <w:tcW w:w="8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tcBorders>
              <w:left w:val="single" w:sz="8" w:color="424E6A"/>
            </w:tcBorders>
            <w:vMerge w:val="restart"/>
            <w:shd w:val="clear" w:color="auto" w:fill="424E6A"/>
          </w:tcPr>
          <w:p>
            <w:pPr>
              <w:ind w:left="60"/>
              <w:spacing w:after="0"/>
              <w:rPr>
                <w:sz w:val="20"/>
                <w:szCs w:val="20"/>
                <w:color w:val="auto"/>
              </w:rPr>
            </w:pPr>
            <w:r>
              <w:rPr>
                <w:rFonts w:ascii="Arial" w:cs="Arial" w:eastAsia="Arial" w:hAnsi="Arial"/>
                <w:sz w:val="14"/>
                <w:szCs w:val="14"/>
                <w:b w:val="1"/>
                <w:bCs w:val="1"/>
                <w:color w:val="FFFFFF"/>
              </w:rPr>
              <w:t>Name</w:t>
            </w:r>
          </w:p>
        </w:tc>
        <w:tc>
          <w:tcPr>
            <w:tcW w:w="220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000" w:type="dxa"/>
            <w:vAlign w:val="bottom"/>
            <w:shd w:val="clear" w:color="auto" w:fill="424E6A"/>
          </w:tcPr>
          <w:p>
            <w:pPr>
              <w:jc w:val="center"/>
              <w:ind w:right="16"/>
              <w:spacing w:after="0"/>
              <w:rPr>
                <w:sz w:val="20"/>
                <w:szCs w:val="20"/>
                <w:color w:val="auto"/>
              </w:rPr>
            </w:pPr>
            <w:r>
              <w:rPr>
                <w:rFonts w:ascii="Arial" w:cs="Arial" w:eastAsia="Arial" w:hAnsi="Arial"/>
                <w:sz w:val="14"/>
                <w:szCs w:val="14"/>
                <w:b w:val="1"/>
                <w:bCs w:val="1"/>
                <w:color w:val="FFFFFF"/>
              </w:rPr>
              <w:t>Acquired on</w:t>
            </w:r>
          </w:p>
        </w:tc>
        <w:tc>
          <w:tcPr>
            <w:tcW w:w="40" w:type="dxa"/>
            <w:vAlign w:val="bottom"/>
            <w:shd w:val="clear" w:color="auto" w:fill="424E6A"/>
          </w:tcPr>
          <w:p>
            <w:pPr>
              <w:spacing w:after="0"/>
              <w:rPr>
                <w:sz w:val="14"/>
                <w:szCs w:val="14"/>
                <w:color w:val="auto"/>
              </w:rPr>
            </w:pPr>
          </w:p>
        </w:tc>
        <w:tc>
          <w:tcPr>
            <w:tcW w:w="100" w:type="dxa"/>
            <w:vAlign w:val="bottom"/>
            <w:tcBorders>
              <w:right w:val="single" w:sz="8" w:color="424E6A"/>
            </w:tcBorders>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10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on</w:t>
            </w:r>
          </w:p>
        </w:tc>
        <w:tc>
          <w:tcPr>
            <w:tcW w:w="8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440" w:type="dxa"/>
            <w:vAlign w:val="bottom"/>
            <w:tcBorders>
              <w:left w:val="single" w:sz="8" w:color="424E6A"/>
            </w:tcBorders>
            <w:vMerge w:val="continue"/>
            <w:shd w:val="clear" w:color="auto" w:fill="424E6A"/>
          </w:tcPr>
          <w:p>
            <w:pPr>
              <w:spacing w:after="0"/>
              <w:rPr>
                <w:sz w:val="18"/>
                <w:szCs w:val="18"/>
                <w:color w:val="auto"/>
              </w:rPr>
            </w:pPr>
          </w:p>
        </w:tc>
        <w:tc>
          <w:tcPr>
            <w:tcW w:w="2200" w:type="dxa"/>
            <w:vAlign w:val="bottom"/>
            <w:tcBorders>
              <w:right w:val="single" w:sz="8" w:color="424E6A"/>
            </w:tcBorders>
            <w:shd w:val="clear" w:color="auto" w:fill="424E6A"/>
          </w:tcPr>
          <w:p>
            <w:pPr>
              <w:spacing w:after="0"/>
              <w:rPr>
                <w:sz w:val="18"/>
                <w:szCs w:val="18"/>
                <w:color w:val="auto"/>
              </w:rPr>
            </w:pPr>
          </w:p>
        </w:tc>
        <w:tc>
          <w:tcPr>
            <w:tcW w:w="160" w:type="dxa"/>
            <w:vAlign w:val="bottom"/>
            <w:shd w:val="clear" w:color="auto" w:fill="424E6A"/>
          </w:tcPr>
          <w:p>
            <w:pPr>
              <w:ind w:left="60"/>
              <w:spacing w:after="0"/>
              <w:rPr>
                <w:sz w:val="20"/>
                <w:szCs w:val="20"/>
                <w:color w:val="auto"/>
              </w:rPr>
            </w:pPr>
            <w:r>
              <w:rPr>
                <w:rFonts w:ascii="Arial" w:cs="Arial" w:eastAsia="Arial" w:hAnsi="Arial"/>
                <w:sz w:val="14"/>
                <w:szCs w:val="14"/>
                <w:b w:val="1"/>
                <w:bCs w:val="1"/>
                <w:color w:val="FFFFFF"/>
              </w:rPr>
              <w:t>​</w:t>
            </w:r>
          </w:p>
        </w:tc>
        <w:tc>
          <w:tcPr>
            <w:tcW w:w="10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8"/>
              </w:rPr>
              <w:t>Vesting (#)</w:t>
            </w:r>
            <w:r>
              <w:rPr>
                <w:rFonts w:ascii="Arial" w:cs="Arial" w:eastAsia="Arial" w:hAnsi="Arial"/>
                <w:sz w:val="17"/>
                <w:szCs w:val="17"/>
                <w:b w:val="1"/>
                <w:bCs w:val="1"/>
                <w:color w:val="FFFFFF"/>
                <w:w w:val="98"/>
                <w:vertAlign w:val="superscript"/>
              </w:rPr>
              <w:t>(1)</w:t>
            </w:r>
          </w:p>
        </w:tc>
        <w:tc>
          <w:tcPr>
            <w:tcW w:w="40" w:type="dxa"/>
            <w:vAlign w:val="bottom"/>
            <w:shd w:val="clear" w:color="auto" w:fill="424E6A"/>
          </w:tcPr>
          <w:p>
            <w:pPr>
              <w:spacing w:after="0"/>
              <w:rPr>
                <w:sz w:val="18"/>
                <w:szCs w:val="18"/>
                <w:color w:val="auto"/>
              </w:rPr>
            </w:pPr>
          </w:p>
        </w:tc>
        <w:tc>
          <w:tcPr>
            <w:tcW w:w="220" w:type="dxa"/>
            <w:vAlign w:val="bottom"/>
            <w:tcBorders>
              <w:bottom w:val="single" w:sz="8" w:color="424E6A"/>
            </w:tcBorders>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 ​</w:t>
            </w:r>
          </w:p>
        </w:tc>
        <w:tc>
          <w:tcPr>
            <w:tcW w:w="1080" w:type="dxa"/>
            <w:vAlign w:val="bottom"/>
            <w:tcBorders>
              <w:bottom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Vesting ($)</w:t>
            </w:r>
          </w:p>
        </w:tc>
        <w:tc>
          <w:tcPr>
            <w:tcW w:w="80" w:type="dxa"/>
            <w:vAlign w:val="bottom"/>
            <w:tcBorders>
              <w:bottom w:val="single" w:sz="8" w:color="424E6A"/>
              <w:right w:val="single" w:sz="8" w:color="424E6A"/>
            </w:tcBorders>
            <w:shd w:val="clear" w:color="auto" w:fill="424E6A"/>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40" w:type="dxa"/>
            <w:vAlign w:val="bottom"/>
            <w:tcBorders>
              <w:left w:val="single" w:sz="8" w:color="424E6A"/>
            </w:tcBorders>
          </w:tcPr>
          <w:p>
            <w:pPr>
              <w:ind w:left="60"/>
              <w:spacing w:after="0" w:line="169" w:lineRule="exact"/>
              <w:rPr>
                <w:sz w:val="20"/>
                <w:szCs w:val="20"/>
                <w:color w:val="auto"/>
              </w:rPr>
            </w:pPr>
            <w:r>
              <w:rPr>
                <w:rFonts w:ascii="Arial" w:cs="Arial" w:eastAsia="Arial" w:hAnsi="Arial"/>
                <w:sz w:val="18"/>
                <w:szCs w:val="18"/>
                <w:color w:val="auto"/>
              </w:rPr>
              <w:t>Willie Chiang</w:t>
            </w:r>
          </w:p>
        </w:tc>
        <w:tc>
          <w:tcPr>
            <w:tcW w:w="2200" w:type="dxa"/>
            <w:vAlign w:val="bottom"/>
            <w:tcBorders>
              <w:right w:val="single" w:sz="8" w:color="424E6A"/>
            </w:tcBorders>
            <w:vMerge w:val="restart"/>
          </w:tcPr>
          <w:p>
            <w:pPr>
              <w:ind w:left="214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000" w:type="dxa"/>
            <w:vAlign w:val="bottom"/>
          </w:tcPr>
          <w:p>
            <w:pPr>
              <w:ind w:left="160"/>
              <w:spacing w:after="0" w:line="169" w:lineRule="exact"/>
              <w:rPr>
                <w:sz w:val="20"/>
                <w:szCs w:val="20"/>
                <w:color w:val="auto"/>
              </w:rPr>
            </w:pPr>
            <w:r>
              <w:rPr>
                <w:rFonts w:ascii="Arial" w:cs="Arial" w:eastAsia="Arial" w:hAnsi="Arial"/>
                <w:sz w:val="15"/>
                <w:szCs w:val="15"/>
                <w:color w:val="auto"/>
              </w:rPr>
              <w:t>561,055</w:t>
            </w:r>
            <w:r>
              <w:rPr>
                <w:rFonts w:ascii="Arial" w:cs="Arial" w:eastAsia="Arial" w:hAnsi="Arial"/>
                <w:sz w:val="19"/>
                <w:szCs w:val="19"/>
                <w:color w:val="auto"/>
                <w:vertAlign w:val="superscript"/>
              </w:rPr>
              <w:t>(2)</w:t>
            </w:r>
          </w:p>
        </w:tc>
        <w:tc>
          <w:tcPr>
            <w:tcW w:w="140" w:type="dxa"/>
            <w:vAlign w:val="bottom"/>
            <w:tcBorders>
              <w:right w:val="single" w:sz="8" w:color="424E6A"/>
            </w:tcBorders>
            <w:gridSpan w:val="2"/>
            <w:vMerge w:val="restart"/>
          </w:tcPr>
          <w:p>
            <w:pPr>
              <w:ind w:left="4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080" w:type="dxa"/>
            <w:vAlign w:val="bottom"/>
          </w:tcPr>
          <w:p>
            <w:pPr>
              <w:ind w:left="140"/>
              <w:spacing w:after="0" w:line="169" w:lineRule="exact"/>
              <w:rPr>
                <w:sz w:val="20"/>
                <w:szCs w:val="20"/>
                <w:color w:val="auto"/>
              </w:rPr>
            </w:pPr>
            <w:r>
              <w:rPr>
                <w:rFonts w:ascii="Arial" w:cs="Arial" w:eastAsia="Arial" w:hAnsi="Arial"/>
                <w:sz w:val="15"/>
                <w:szCs w:val="15"/>
                <w:color w:val="auto"/>
              </w:rPr>
              <w:t>9,975,558</w:t>
            </w:r>
            <w:r>
              <w:rPr>
                <w:rFonts w:ascii="Arial" w:cs="Arial" w:eastAsia="Arial" w:hAnsi="Arial"/>
                <w:sz w:val="19"/>
                <w:szCs w:val="19"/>
                <w:color w:val="auto"/>
                <w:vertAlign w:val="superscript"/>
              </w:rPr>
              <w:t>(3)</w:t>
            </w:r>
          </w:p>
        </w:tc>
        <w:tc>
          <w:tcPr>
            <w:tcW w:w="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3440" w:type="dxa"/>
            <w:vAlign w:val="bottom"/>
            <w:tcBorders>
              <w:left w:val="single" w:sz="8" w:color="424E6A"/>
              <w:bottom w:val="single" w:sz="8" w:color="424E6A"/>
            </w:tcBorders>
          </w:tcPr>
          <w:p>
            <w:pPr>
              <w:spacing w:after="0"/>
              <w:rPr>
                <w:sz w:val="5"/>
                <w:szCs w:val="5"/>
                <w:color w:val="auto"/>
              </w:rPr>
            </w:pPr>
          </w:p>
        </w:tc>
        <w:tc>
          <w:tcPr>
            <w:tcW w:w="2200" w:type="dxa"/>
            <w:vAlign w:val="bottom"/>
            <w:tcBorders>
              <w:bottom w:val="single" w:sz="8" w:color="424E6A"/>
              <w:right w:val="single" w:sz="8" w:color="424E6A"/>
            </w:tcBorders>
            <w:vMerge w:val="continue"/>
          </w:tcPr>
          <w:p>
            <w:pPr>
              <w:spacing w:after="0"/>
              <w:rPr>
                <w:sz w:val="5"/>
                <w:szCs w:val="5"/>
                <w:color w:val="auto"/>
              </w:rPr>
            </w:pPr>
          </w:p>
        </w:tc>
        <w:tc>
          <w:tcPr>
            <w:tcW w:w="160" w:type="dxa"/>
            <w:vAlign w:val="bottom"/>
            <w:tcBorders>
              <w:bottom w:val="single" w:sz="8" w:color="424E6A"/>
            </w:tcBorders>
            <w:vMerge w:val="continue"/>
          </w:tcPr>
          <w:p>
            <w:pPr>
              <w:spacing w:after="0"/>
              <w:rPr>
                <w:sz w:val="5"/>
                <w:szCs w:val="5"/>
                <w:color w:val="auto"/>
              </w:rPr>
            </w:pPr>
          </w:p>
        </w:tc>
        <w:tc>
          <w:tcPr>
            <w:tcW w:w="100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140" w:type="dxa"/>
            <w:vAlign w:val="bottom"/>
            <w:tcBorders>
              <w:bottom w:val="single" w:sz="8" w:color="424E6A"/>
              <w:right w:val="single" w:sz="8" w:color="424E6A"/>
            </w:tcBorders>
            <w:gridSpan w:val="2"/>
            <w:vMerge w:val="continue"/>
          </w:tcPr>
          <w:p>
            <w:pPr>
              <w:spacing w:after="0"/>
              <w:rPr>
                <w:sz w:val="5"/>
                <w:szCs w:val="5"/>
                <w:color w:val="auto"/>
              </w:rPr>
            </w:pPr>
          </w:p>
        </w:tc>
        <w:tc>
          <w:tcPr>
            <w:tcW w:w="120" w:type="dxa"/>
            <w:vAlign w:val="bottom"/>
            <w:tcBorders>
              <w:bottom w:val="single" w:sz="8" w:color="424E6A"/>
            </w:tcBorders>
            <w:vMerge w:val="continue"/>
          </w:tcPr>
          <w:p>
            <w:pPr>
              <w:spacing w:after="0"/>
              <w:rPr>
                <w:sz w:val="5"/>
                <w:szCs w:val="5"/>
                <w:color w:val="auto"/>
              </w:rPr>
            </w:pPr>
          </w:p>
        </w:tc>
        <w:tc>
          <w:tcPr>
            <w:tcW w:w="1080" w:type="dxa"/>
            <w:vAlign w:val="bottom"/>
            <w:tcBorders>
              <w:bottom w:val="single" w:sz="8" w:color="424E6A"/>
            </w:tcBorders>
          </w:tcPr>
          <w:p>
            <w:pPr>
              <w:ind w:left="120"/>
              <w:spacing w:after="0" w:line="68" w:lineRule="exact"/>
              <w:rPr>
                <w:sz w:val="20"/>
                <w:szCs w:val="20"/>
                <w:color w:val="auto"/>
              </w:rPr>
            </w:pPr>
            <w:r>
              <w:rPr>
                <w:rFonts w:ascii="Arial" w:cs="Arial" w:eastAsia="Arial" w:hAnsi="Arial"/>
                <w:sz w:val="7"/>
                <w:szCs w:val="7"/>
                <w:color w:val="auto"/>
              </w:rPr>
              <w:t>​</w:t>
            </w:r>
          </w:p>
        </w:tc>
        <w:tc>
          <w:tcPr>
            <w:tcW w:w="8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3440" w:type="dxa"/>
            <w:vAlign w:val="bottom"/>
            <w:tcBorders>
              <w:left w:val="single" w:sz="8" w:color="424E6A"/>
              <w:bottom w:val="single" w:sz="8" w:color="D9DCE1"/>
            </w:tcBorders>
            <w:shd w:val="clear" w:color="auto" w:fill="D9DCE1"/>
          </w:tcPr>
          <w:p>
            <w:pPr>
              <w:spacing w:after="0"/>
              <w:rPr>
                <w:sz w:val="24"/>
                <w:szCs w:val="24"/>
                <w:color w:val="auto"/>
              </w:rPr>
            </w:pPr>
          </w:p>
        </w:tc>
        <w:tc>
          <w:tcPr>
            <w:tcW w:w="2200" w:type="dxa"/>
            <w:vAlign w:val="bottom"/>
            <w:tcBorders>
              <w:bottom w:val="single" w:sz="8" w:color="D9DCE1"/>
              <w:right w:val="single" w:sz="8" w:color="424E6A"/>
            </w:tcBorders>
            <w:shd w:val="clear" w:color="auto" w:fill="D9DCE1"/>
          </w:tcPr>
          <w:p>
            <w:pPr>
              <w:ind w:left="2140"/>
              <w:spacing w:after="0"/>
              <w:rPr>
                <w:sz w:val="20"/>
                <w:szCs w:val="20"/>
                <w:color w:val="auto"/>
              </w:rPr>
            </w:pPr>
            <w:r>
              <w:rPr>
                <w:rFonts w:ascii="Arial" w:cs="Arial" w:eastAsia="Arial" w:hAnsi="Arial"/>
                <w:sz w:val="14"/>
                <w:szCs w:val="14"/>
                <w:b w:val="1"/>
                <w:bCs w:val="1"/>
                <w:color w:val="FFFFFF"/>
              </w:rPr>
              <w:t>​</w:t>
            </w:r>
          </w:p>
        </w:tc>
        <w:tc>
          <w:tcPr>
            <w:tcW w:w="16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100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D9DCE1"/>
              <w:right w:val="single" w:sz="8" w:color="424E6A"/>
            </w:tcBorders>
            <w:gridSpan w:val="2"/>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1080" w:type="dxa"/>
            <w:vAlign w:val="bottom"/>
            <w:tcBorders>
              <w:bottom w:val="single" w:sz="8" w:color="D9DCE1"/>
            </w:tcBorders>
            <w:shd w:val="clear" w:color="auto" w:fill="D9DCE1"/>
          </w:tcPr>
          <w:p>
            <w:pPr>
              <w:ind w:left="12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83"/>
        </w:trPr>
        <w:tc>
          <w:tcPr>
            <w:tcW w:w="3440" w:type="dxa"/>
            <w:vAlign w:val="bottom"/>
            <w:tcBorders>
              <w:top w:val="single" w:sz="8" w:color="424E6A"/>
              <w:left w:val="single" w:sz="8" w:color="424E6A"/>
            </w:tcBorders>
          </w:tcPr>
          <w:p>
            <w:pPr>
              <w:ind w:left="60"/>
              <w:spacing w:after="0" w:line="182" w:lineRule="exact"/>
              <w:rPr>
                <w:sz w:val="20"/>
                <w:szCs w:val="20"/>
                <w:color w:val="auto"/>
              </w:rPr>
            </w:pPr>
            <w:r>
              <w:rPr>
                <w:rFonts w:ascii="Arial" w:cs="Arial" w:eastAsia="Arial" w:hAnsi="Arial"/>
                <w:sz w:val="18"/>
                <w:szCs w:val="18"/>
                <w:color w:val="auto"/>
              </w:rPr>
              <w:t>Al Swanson</w:t>
            </w:r>
          </w:p>
        </w:tc>
        <w:tc>
          <w:tcPr>
            <w:tcW w:w="2200" w:type="dxa"/>
            <w:vAlign w:val="bottom"/>
            <w:tcBorders>
              <w:top w:val="single" w:sz="8" w:color="424E6A"/>
              <w:right w:val="single" w:sz="8" w:color="424E6A"/>
            </w:tcBorders>
            <w:vMerge w:val="restart"/>
          </w:tcPr>
          <w:p>
            <w:pPr>
              <w:ind w:left="21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424E6A"/>
            </w:tcBorders>
            <w:vMerge w:val="restart"/>
          </w:tcPr>
          <w:p>
            <w:pPr>
              <w:ind w:left="6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424E6A"/>
            </w:tcBorders>
          </w:tcPr>
          <w:p>
            <w:pPr>
              <w:ind w:left="160"/>
              <w:spacing w:after="0" w:line="183" w:lineRule="exact"/>
              <w:rPr>
                <w:sz w:val="20"/>
                <w:szCs w:val="20"/>
                <w:color w:val="auto"/>
              </w:rPr>
            </w:pPr>
            <w:r>
              <w:rPr>
                <w:rFonts w:ascii="Arial" w:cs="Arial" w:eastAsia="Arial" w:hAnsi="Arial"/>
                <w:sz w:val="17"/>
                <w:szCs w:val="17"/>
                <w:color w:val="auto"/>
              </w:rPr>
              <w:t>176,731</w:t>
            </w:r>
            <w:r>
              <w:rPr>
                <w:rFonts w:ascii="Arial" w:cs="Arial" w:eastAsia="Arial" w:hAnsi="Arial"/>
                <w:sz w:val="21"/>
                <w:szCs w:val="21"/>
                <w:color w:val="auto"/>
                <w:vertAlign w:val="superscript"/>
              </w:rPr>
              <w:t>(2)</w:t>
            </w:r>
          </w:p>
        </w:tc>
        <w:tc>
          <w:tcPr>
            <w:tcW w:w="140" w:type="dxa"/>
            <w:vAlign w:val="bottom"/>
            <w:tcBorders>
              <w:top w:val="single" w:sz="8" w:color="424E6A"/>
              <w:right w:val="single" w:sz="8" w:color="424E6A"/>
            </w:tcBorders>
            <w:gridSpan w:val="2"/>
            <w:vMerge w:val="restart"/>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424E6A"/>
            </w:tcBorders>
          </w:tcPr>
          <w:p>
            <w:pPr>
              <w:ind w:left="140"/>
              <w:spacing w:after="0" w:line="183" w:lineRule="exact"/>
              <w:rPr>
                <w:sz w:val="20"/>
                <w:szCs w:val="20"/>
                <w:color w:val="auto"/>
              </w:rPr>
            </w:pPr>
            <w:r>
              <w:rPr>
                <w:rFonts w:ascii="Arial" w:cs="Arial" w:eastAsia="Arial" w:hAnsi="Arial"/>
                <w:sz w:val="17"/>
                <w:szCs w:val="17"/>
                <w:color w:val="auto"/>
                <w:w w:val="99"/>
              </w:rPr>
              <w:t>3,142,277</w:t>
            </w:r>
            <w:r>
              <w:rPr>
                <w:rFonts w:ascii="Arial" w:cs="Arial" w:eastAsia="Arial" w:hAnsi="Arial"/>
                <w:sz w:val="21"/>
                <w:szCs w:val="21"/>
                <w:color w:val="auto"/>
                <w:w w:val="99"/>
                <w:vertAlign w:val="superscript"/>
              </w:rPr>
              <w:t>(3)</w:t>
            </w:r>
          </w:p>
        </w:tc>
        <w:tc>
          <w:tcPr>
            <w:tcW w:w="80" w:type="dxa"/>
            <w:vAlign w:val="bottom"/>
            <w:tcBorders>
              <w:top w:val="single" w:sz="8" w:color="424E6A"/>
              <w:right w:val="single" w:sz="8" w:color="424E6A"/>
            </w:tcBorders>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3440" w:type="dxa"/>
            <w:vAlign w:val="bottom"/>
            <w:tcBorders>
              <w:left w:val="single" w:sz="8" w:color="424E6A"/>
              <w:bottom w:val="single" w:sz="8" w:color="424E6A"/>
            </w:tcBorders>
          </w:tcPr>
          <w:p>
            <w:pPr>
              <w:spacing w:after="0"/>
              <w:rPr>
                <w:sz w:val="5"/>
                <w:szCs w:val="5"/>
                <w:color w:val="auto"/>
              </w:rPr>
            </w:pPr>
          </w:p>
        </w:tc>
        <w:tc>
          <w:tcPr>
            <w:tcW w:w="2200" w:type="dxa"/>
            <w:vAlign w:val="bottom"/>
            <w:tcBorders>
              <w:bottom w:val="single" w:sz="8" w:color="424E6A"/>
              <w:right w:val="single" w:sz="8" w:color="424E6A"/>
            </w:tcBorders>
            <w:vMerge w:val="continue"/>
          </w:tcPr>
          <w:p>
            <w:pPr>
              <w:spacing w:after="0"/>
              <w:rPr>
                <w:sz w:val="5"/>
                <w:szCs w:val="5"/>
                <w:color w:val="auto"/>
              </w:rPr>
            </w:pPr>
          </w:p>
        </w:tc>
        <w:tc>
          <w:tcPr>
            <w:tcW w:w="160" w:type="dxa"/>
            <w:vAlign w:val="bottom"/>
            <w:tcBorders>
              <w:bottom w:val="single" w:sz="8" w:color="424E6A"/>
            </w:tcBorders>
            <w:vMerge w:val="continue"/>
          </w:tcPr>
          <w:p>
            <w:pPr>
              <w:spacing w:after="0"/>
              <w:rPr>
                <w:sz w:val="5"/>
                <w:szCs w:val="5"/>
                <w:color w:val="auto"/>
              </w:rPr>
            </w:pPr>
          </w:p>
        </w:tc>
        <w:tc>
          <w:tcPr>
            <w:tcW w:w="100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140" w:type="dxa"/>
            <w:vAlign w:val="bottom"/>
            <w:tcBorders>
              <w:bottom w:val="single" w:sz="8" w:color="424E6A"/>
              <w:right w:val="single" w:sz="8" w:color="424E6A"/>
            </w:tcBorders>
            <w:gridSpan w:val="2"/>
            <w:vMerge w:val="continue"/>
          </w:tcPr>
          <w:p>
            <w:pPr>
              <w:spacing w:after="0"/>
              <w:rPr>
                <w:sz w:val="5"/>
                <w:szCs w:val="5"/>
                <w:color w:val="auto"/>
              </w:rPr>
            </w:pPr>
          </w:p>
        </w:tc>
        <w:tc>
          <w:tcPr>
            <w:tcW w:w="120" w:type="dxa"/>
            <w:vAlign w:val="bottom"/>
            <w:tcBorders>
              <w:bottom w:val="single" w:sz="8" w:color="424E6A"/>
            </w:tcBorders>
            <w:vMerge w:val="continue"/>
          </w:tcPr>
          <w:p>
            <w:pPr>
              <w:spacing w:after="0"/>
              <w:rPr>
                <w:sz w:val="5"/>
                <w:szCs w:val="5"/>
                <w:color w:val="auto"/>
              </w:rPr>
            </w:pPr>
          </w:p>
        </w:tc>
        <w:tc>
          <w:tcPr>
            <w:tcW w:w="1080" w:type="dxa"/>
            <w:vAlign w:val="bottom"/>
            <w:tcBorders>
              <w:bottom w:val="single" w:sz="8" w:color="424E6A"/>
            </w:tcBorders>
          </w:tcPr>
          <w:p>
            <w:pPr>
              <w:ind w:left="120"/>
              <w:spacing w:after="0" w:line="68" w:lineRule="exact"/>
              <w:rPr>
                <w:sz w:val="20"/>
                <w:szCs w:val="20"/>
                <w:color w:val="auto"/>
              </w:rPr>
            </w:pPr>
            <w:r>
              <w:rPr>
                <w:rFonts w:ascii="Arial" w:cs="Arial" w:eastAsia="Arial" w:hAnsi="Arial"/>
                <w:sz w:val="7"/>
                <w:szCs w:val="7"/>
                <w:color w:val="auto"/>
              </w:rPr>
              <w:t>​</w:t>
            </w:r>
          </w:p>
        </w:tc>
        <w:tc>
          <w:tcPr>
            <w:tcW w:w="8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3440" w:type="dxa"/>
            <w:vAlign w:val="bottom"/>
            <w:tcBorders>
              <w:left w:val="single" w:sz="8" w:color="424E6A"/>
              <w:bottom w:val="single" w:sz="8" w:color="D9DCE1"/>
            </w:tcBorders>
            <w:shd w:val="clear" w:color="auto" w:fill="D9DCE1"/>
          </w:tcPr>
          <w:p>
            <w:pPr>
              <w:spacing w:after="0"/>
              <w:rPr>
                <w:sz w:val="24"/>
                <w:szCs w:val="24"/>
                <w:color w:val="auto"/>
              </w:rPr>
            </w:pPr>
          </w:p>
        </w:tc>
        <w:tc>
          <w:tcPr>
            <w:tcW w:w="2200" w:type="dxa"/>
            <w:vAlign w:val="bottom"/>
            <w:tcBorders>
              <w:bottom w:val="single" w:sz="8" w:color="D9DCE1"/>
              <w:right w:val="single" w:sz="8" w:color="424E6A"/>
            </w:tcBorders>
            <w:shd w:val="clear" w:color="auto" w:fill="D9DCE1"/>
          </w:tcPr>
          <w:p>
            <w:pPr>
              <w:ind w:left="2140"/>
              <w:spacing w:after="0"/>
              <w:rPr>
                <w:sz w:val="20"/>
                <w:szCs w:val="20"/>
                <w:color w:val="auto"/>
              </w:rPr>
            </w:pPr>
            <w:r>
              <w:rPr>
                <w:rFonts w:ascii="Arial" w:cs="Arial" w:eastAsia="Arial" w:hAnsi="Arial"/>
                <w:sz w:val="14"/>
                <w:szCs w:val="14"/>
                <w:b w:val="1"/>
                <w:bCs w:val="1"/>
                <w:color w:val="FFFFFF"/>
              </w:rPr>
              <w:t>​</w:t>
            </w:r>
          </w:p>
        </w:tc>
        <w:tc>
          <w:tcPr>
            <w:tcW w:w="16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100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D9DCE1"/>
              <w:right w:val="single" w:sz="8" w:color="424E6A"/>
            </w:tcBorders>
            <w:gridSpan w:val="2"/>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1080" w:type="dxa"/>
            <w:vAlign w:val="bottom"/>
            <w:tcBorders>
              <w:bottom w:val="single" w:sz="8" w:color="D9DCE1"/>
            </w:tcBorders>
            <w:shd w:val="clear" w:color="auto" w:fill="D9DCE1"/>
          </w:tcPr>
          <w:p>
            <w:pPr>
              <w:ind w:left="12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83"/>
        </w:trPr>
        <w:tc>
          <w:tcPr>
            <w:tcW w:w="3440" w:type="dxa"/>
            <w:vAlign w:val="bottom"/>
            <w:tcBorders>
              <w:top w:val="single" w:sz="8" w:color="424E6A"/>
              <w:left w:val="single" w:sz="8" w:color="424E6A"/>
            </w:tcBorders>
          </w:tcPr>
          <w:p>
            <w:pPr>
              <w:ind w:left="60"/>
              <w:spacing w:after="0" w:line="182" w:lineRule="exact"/>
              <w:rPr>
                <w:sz w:val="20"/>
                <w:szCs w:val="20"/>
                <w:color w:val="auto"/>
              </w:rPr>
            </w:pPr>
            <w:r>
              <w:rPr>
                <w:rFonts w:ascii="Arial" w:cs="Arial" w:eastAsia="Arial" w:hAnsi="Arial"/>
                <w:sz w:val="18"/>
                <w:szCs w:val="18"/>
                <w:color w:val="auto"/>
              </w:rPr>
              <w:t>Richard McGee</w:t>
            </w:r>
          </w:p>
        </w:tc>
        <w:tc>
          <w:tcPr>
            <w:tcW w:w="2200" w:type="dxa"/>
            <w:vAlign w:val="bottom"/>
            <w:tcBorders>
              <w:top w:val="single" w:sz="8" w:color="424E6A"/>
              <w:right w:val="single" w:sz="8" w:color="424E6A"/>
            </w:tcBorders>
            <w:vMerge w:val="restart"/>
          </w:tcPr>
          <w:p>
            <w:pPr>
              <w:ind w:left="21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424E6A"/>
            </w:tcBorders>
            <w:vMerge w:val="restart"/>
          </w:tcPr>
          <w:p>
            <w:pPr>
              <w:ind w:left="6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424E6A"/>
            </w:tcBorders>
          </w:tcPr>
          <w:p>
            <w:pPr>
              <w:ind w:left="160"/>
              <w:spacing w:after="0" w:line="183" w:lineRule="exact"/>
              <w:rPr>
                <w:sz w:val="20"/>
                <w:szCs w:val="20"/>
                <w:color w:val="auto"/>
              </w:rPr>
            </w:pPr>
            <w:r>
              <w:rPr>
                <w:rFonts w:ascii="Arial" w:cs="Arial" w:eastAsia="Arial" w:hAnsi="Arial"/>
                <w:sz w:val="17"/>
                <w:szCs w:val="17"/>
                <w:color w:val="auto"/>
              </w:rPr>
              <w:t>176,731</w:t>
            </w:r>
            <w:r>
              <w:rPr>
                <w:rFonts w:ascii="Arial" w:cs="Arial" w:eastAsia="Arial" w:hAnsi="Arial"/>
                <w:sz w:val="21"/>
                <w:szCs w:val="21"/>
                <w:color w:val="auto"/>
                <w:vertAlign w:val="superscript"/>
              </w:rPr>
              <w:t>(2)</w:t>
            </w:r>
          </w:p>
        </w:tc>
        <w:tc>
          <w:tcPr>
            <w:tcW w:w="140" w:type="dxa"/>
            <w:vAlign w:val="bottom"/>
            <w:tcBorders>
              <w:top w:val="single" w:sz="8" w:color="424E6A"/>
              <w:right w:val="single" w:sz="8" w:color="424E6A"/>
            </w:tcBorders>
            <w:gridSpan w:val="2"/>
            <w:vMerge w:val="restart"/>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424E6A"/>
            </w:tcBorders>
          </w:tcPr>
          <w:p>
            <w:pPr>
              <w:ind w:left="140"/>
              <w:spacing w:after="0" w:line="183" w:lineRule="exact"/>
              <w:rPr>
                <w:sz w:val="20"/>
                <w:szCs w:val="20"/>
                <w:color w:val="auto"/>
              </w:rPr>
            </w:pPr>
            <w:r>
              <w:rPr>
                <w:rFonts w:ascii="Arial" w:cs="Arial" w:eastAsia="Arial" w:hAnsi="Arial"/>
                <w:sz w:val="17"/>
                <w:szCs w:val="17"/>
                <w:color w:val="auto"/>
                <w:w w:val="99"/>
              </w:rPr>
              <w:t>3,142,277</w:t>
            </w:r>
            <w:r>
              <w:rPr>
                <w:rFonts w:ascii="Arial" w:cs="Arial" w:eastAsia="Arial" w:hAnsi="Arial"/>
                <w:sz w:val="21"/>
                <w:szCs w:val="21"/>
                <w:color w:val="auto"/>
                <w:w w:val="99"/>
                <w:vertAlign w:val="superscript"/>
              </w:rPr>
              <w:t>(3)</w:t>
            </w:r>
          </w:p>
        </w:tc>
        <w:tc>
          <w:tcPr>
            <w:tcW w:w="80" w:type="dxa"/>
            <w:vAlign w:val="bottom"/>
            <w:tcBorders>
              <w:top w:val="single" w:sz="8" w:color="424E6A"/>
              <w:right w:val="single" w:sz="8" w:color="424E6A"/>
            </w:tcBorders>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3440" w:type="dxa"/>
            <w:vAlign w:val="bottom"/>
            <w:tcBorders>
              <w:left w:val="single" w:sz="8" w:color="424E6A"/>
              <w:bottom w:val="single" w:sz="8" w:color="424E6A"/>
            </w:tcBorders>
          </w:tcPr>
          <w:p>
            <w:pPr>
              <w:spacing w:after="0"/>
              <w:rPr>
                <w:sz w:val="5"/>
                <w:szCs w:val="5"/>
                <w:color w:val="auto"/>
              </w:rPr>
            </w:pPr>
          </w:p>
        </w:tc>
        <w:tc>
          <w:tcPr>
            <w:tcW w:w="2200" w:type="dxa"/>
            <w:vAlign w:val="bottom"/>
            <w:tcBorders>
              <w:bottom w:val="single" w:sz="8" w:color="424E6A"/>
              <w:right w:val="single" w:sz="8" w:color="424E6A"/>
            </w:tcBorders>
            <w:vMerge w:val="continue"/>
          </w:tcPr>
          <w:p>
            <w:pPr>
              <w:spacing w:after="0"/>
              <w:rPr>
                <w:sz w:val="5"/>
                <w:szCs w:val="5"/>
                <w:color w:val="auto"/>
              </w:rPr>
            </w:pPr>
          </w:p>
        </w:tc>
        <w:tc>
          <w:tcPr>
            <w:tcW w:w="160" w:type="dxa"/>
            <w:vAlign w:val="bottom"/>
            <w:tcBorders>
              <w:bottom w:val="single" w:sz="8" w:color="424E6A"/>
            </w:tcBorders>
            <w:vMerge w:val="continue"/>
          </w:tcPr>
          <w:p>
            <w:pPr>
              <w:spacing w:after="0"/>
              <w:rPr>
                <w:sz w:val="5"/>
                <w:szCs w:val="5"/>
                <w:color w:val="auto"/>
              </w:rPr>
            </w:pPr>
          </w:p>
        </w:tc>
        <w:tc>
          <w:tcPr>
            <w:tcW w:w="100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140" w:type="dxa"/>
            <w:vAlign w:val="bottom"/>
            <w:tcBorders>
              <w:bottom w:val="single" w:sz="8" w:color="424E6A"/>
              <w:right w:val="single" w:sz="8" w:color="424E6A"/>
            </w:tcBorders>
            <w:gridSpan w:val="2"/>
            <w:vMerge w:val="continue"/>
          </w:tcPr>
          <w:p>
            <w:pPr>
              <w:spacing w:after="0"/>
              <w:rPr>
                <w:sz w:val="5"/>
                <w:szCs w:val="5"/>
                <w:color w:val="auto"/>
              </w:rPr>
            </w:pPr>
          </w:p>
        </w:tc>
        <w:tc>
          <w:tcPr>
            <w:tcW w:w="120" w:type="dxa"/>
            <w:vAlign w:val="bottom"/>
            <w:tcBorders>
              <w:bottom w:val="single" w:sz="8" w:color="424E6A"/>
            </w:tcBorders>
            <w:vMerge w:val="continue"/>
          </w:tcPr>
          <w:p>
            <w:pPr>
              <w:spacing w:after="0"/>
              <w:rPr>
                <w:sz w:val="5"/>
                <w:szCs w:val="5"/>
                <w:color w:val="auto"/>
              </w:rPr>
            </w:pPr>
          </w:p>
        </w:tc>
        <w:tc>
          <w:tcPr>
            <w:tcW w:w="1080" w:type="dxa"/>
            <w:vAlign w:val="bottom"/>
            <w:tcBorders>
              <w:bottom w:val="single" w:sz="8" w:color="424E6A"/>
            </w:tcBorders>
          </w:tcPr>
          <w:p>
            <w:pPr>
              <w:ind w:left="120"/>
              <w:spacing w:after="0" w:line="68" w:lineRule="exact"/>
              <w:rPr>
                <w:sz w:val="20"/>
                <w:szCs w:val="20"/>
                <w:color w:val="auto"/>
              </w:rPr>
            </w:pPr>
            <w:r>
              <w:rPr>
                <w:rFonts w:ascii="Arial" w:cs="Arial" w:eastAsia="Arial" w:hAnsi="Arial"/>
                <w:sz w:val="7"/>
                <w:szCs w:val="7"/>
                <w:color w:val="auto"/>
              </w:rPr>
              <w:t>​</w:t>
            </w:r>
          </w:p>
        </w:tc>
        <w:tc>
          <w:tcPr>
            <w:tcW w:w="8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3440" w:type="dxa"/>
            <w:vAlign w:val="bottom"/>
            <w:tcBorders>
              <w:left w:val="single" w:sz="8" w:color="424E6A"/>
              <w:bottom w:val="single" w:sz="8" w:color="D9DCE1"/>
            </w:tcBorders>
            <w:shd w:val="clear" w:color="auto" w:fill="D9DCE1"/>
          </w:tcPr>
          <w:p>
            <w:pPr>
              <w:spacing w:after="0"/>
              <w:rPr>
                <w:sz w:val="24"/>
                <w:szCs w:val="24"/>
                <w:color w:val="auto"/>
              </w:rPr>
            </w:pPr>
          </w:p>
        </w:tc>
        <w:tc>
          <w:tcPr>
            <w:tcW w:w="2200" w:type="dxa"/>
            <w:vAlign w:val="bottom"/>
            <w:tcBorders>
              <w:bottom w:val="single" w:sz="8" w:color="D9DCE1"/>
              <w:right w:val="single" w:sz="8" w:color="424E6A"/>
            </w:tcBorders>
            <w:shd w:val="clear" w:color="auto" w:fill="D9DCE1"/>
          </w:tcPr>
          <w:p>
            <w:pPr>
              <w:ind w:left="2140"/>
              <w:spacing w:after="0"/>
              <w:rPr>
                <w:sz w:val="20"/>
                <w:szCs w:val="20"/>
                <w:color w:val="auto"/>
              </w:rPr>
            </w:pPr>
            <w:r>
              <w:rPr>
                <w:rFonts w:ascii="Arial" w:cs="Arial" w:eastAsia="Arial" w:hAnsi="Arial"/>
                <w:sz w:val="14"/>
                <w:szCs w:val="14"/>
                <w:b w:val="1"/>
                <w:bCs w:val="1"/>
                <w:color w:val="FFFFFF"/>
              </w:rPr>
              <w:t>​</w:t>
            </w:r>
          </w:p>
        </w:tc>
        <w:tc>
          <w:tcPr>
            <w:tcW w:w="16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100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D9DCE1"/>
              <w:right w:val="single" w:sz="8" w:color="424E6A"/>
            </w:tcBorders>
            <w:gridSpan w:val="2"/>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1080" w:type="dxa"/>
            <w:vAlign w:val="bottom"/>
            <w:tcBorders>
              <w:bottom w:val="single" w:sz="8" w:color="D9DCE1"/>
            </w:tcBorders>
            <w:shd w:val="clear" w:color="auto" w:fill="D9DCE1"/>
          </w:tcPr>
          <w:p>
            <w:pPr>
              <w:ind w:left="12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83"/>
        </w:trPr>
        <w:tc>
          <w:tcPr>
            <w:tcW w:w="3440" w:type="dxa"/>
            <w:vAlign w:val="bottom"/>
            <w:tcBorders>
              <w:top w:val="single" w:sz="8" w:color="424E6A"/>
              <w:left w:val="single" w:sz="8" w:color="424E6A"/>
            </w:tcBorders>
          </w:tcPr>
          <w:p>
            <w:pPr>
              <w:ind w:left="60"/>
              <w:spacing w:after="0" w:line="182" w:lineRule="exact"/>
              <w:rPr>
                <w:sz w:val="20"/>
                <w:szCs w:val="20"/>
                <w:color w:val="auto"/>
              </w:rPr>
            </w:pPr>
            <w:r>
              <w:rPr>
                <w:rFonts w:ascii="Arial" w:cs="Arial" w:eastAsia="Arial" w:hAnsi="Arial"/>
                <w:sz w:val="18"/>
                <w:szCs w:val="18"/>
                <w:color w:val="auto"/>
              </w:rPr>
              <w:t>Chris Chandler</w:t>
            </w:r>
          </w:p>
        </w:tc>
        <w:tc>
          <w:tcPr>
            <w:tcW w:w="2200" w:type="dxa"/>
            <w:vAlign w:val="bottom"/>
            <w:tcBorders>
              <w:top w:val="single" w:sz="8" w:color="424E6A"/>
              <w:right w:val="single" w:sz="8" w:color="424E6A"/>
            </w:tcBorders>
            <w:vMerge w:val="restart"/>
          </w:tcPr>
          <w:p>
            <w:pPr>
              <w:ind w:left="21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424E6A"/>
            </w:tcBorders>
            <w:vMerge w:val="restart"/>
          </w:tcPr>
          <w:p>
            <w:pPr>
              <w:ind w:left="6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424E6A"/>
            </w:tcBorders>
          </w:tcPr>
          <w:p>
            <w:pPr>
              <w:ind w:left="160"/>
              <w:spacing w:after="0" w:line="183" w:lineRule="exact"/>
              <w:rPr>
                <w:sz w:val="20"/>
                <w:szCs w:val="20"/>
                <w:color w:val="auto"/>
              </w:rPr>
            </w:pPr>
            <w:r>
              <w:rPr>
                <w:rFonts w:ascii="Arial" w:cs="Arial" w:eastAsia="Arial" w:hAnsi="Arial"/>
                <w:sz w:val="17"/>
                <w:szCs w:val="17"/>
                <w:color w:val="auto"/>
              </w:rPr>
              <w:t>227,864</w:t>
            </w:r>
            <w:r>
              <w:rPr>
                <w:rFonts w:ascii="Arial" w:cs="Arial" w:eastAsia="Arial" w:hAnsi="Arial"/>
                <w:sz w:val="21"/>
                <w:szCs w:val="21"/>
                <w:color w:val="auto"/>
                <w:vertAlign w:val="superscript"/>
              </w:rPr>
              <w:t>(2)</w:t>
            </w:r>
          </w:p>
        </w:tc>
        <w:tc>
          <w:tcPr>
            <w:tcW w:w="140" w:type="dxa"/>
            <w:vAlign w:val="bottom"/>
            <w:tcBorders>
              <w:top w:val="single" w:sz="8" w:color="424E6A"/>
              <w:right w:val="single" w:sz="8" w:color="424E6A"/>
            </w:tcBorders>
            <w:gridSpan w:val="2"/>
            <w:vMerge w:val="restart"/>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424E6A"/>
            </w:tcBorders>
          </w:tcPr>
          <w:p>
            <w:pPr>
              <w:ind w:left="140"/>
              <w:spacing w:after="0" w:line="183" w:lineRule="exact"/>
              <w:rPr>
                <w:sz w:val="20"/>
                <w:szCs w:val="20"/>
                <w:color w:val="auto"/>
              </w:rPr>
            </w:pPr>
            <w:r>
              <w:rPr>
                <w:rFonts w:ascii="Arial" w:cs="Arial" w:eastAsia="Arial" w:hAnsi="Arial"/>
                <w:sz w:val="17"/>
                <w:szCs w:val="17"/>
                <w:color w:val="auto"/>
                <w:w w:val="99"/>
              </w:rPr>
              <w:t>4,051,422</w:t>
            </w:r>
            <w:r>
              <w:rPr>
                <w:rFonts w:ascii="Arial" w:cs="Arial" w:eastAsia="Arial" w:hAnsi="Arial"/>
                <w:sz w:val="21"/>
                <w:szCs w:val="21"/>
                <w:color w:val="auto"/>
                <w:w w:val="99"/>
                <w:vertAlign w:val="superscript"/>
              </w:rPr>
              <w:t>(3)</w:t>
            </w:r>
          </w:p>
        </w:tc>
        <w:tc>
          <w:tcPr>
            <w:tcW w:w="80" w:type="dxa"/>
            <w:vAlign w:val="bottom"/>
            <w:tcBorders>
              <w:top w:val="single" w:sz="8" w:color="424E6A"/>
              <w:right w:val="single" w:sz="8" w:color="424E6A"/>
            </w:tcBorders>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3440" w:type="dxa"/>
            <w:vAlign w:val="bottom"/>
            <w:tcBorders>
              <w:left w:val="single" w:sz="8" w:color="424E6A"/>
              <w:bottom w:val="single" w:sz="8" w:color="424E6A"/>
            </w:tcBorders>
          </w:tcPr>
          <w:p>
            <w:pPr>
              <w:spacing w:after="0"/>
              <w:rPr>
                <w:sz w:val="5"/>
                <w:szCs w:val="5"/>
                <w:color w:val="auto"/>
              </w:rPr>
            </w:pPr>
          </w:p>
        </w:tc>
        <w:tc>
          <w:tcPr>
            <w:tcW w:w="2200" w:type="dxa"/>
            <w:vAlign w:val="bottom"/>
            <w:tcBorders>
              <w:bottom w:val="single" w:sz="8" w:color="424E6A"/>
              <w:right w:val="single" w:sz="8" w:color="424E6A"/>
            </w:tcBorders>
            <w:vMerge w:val="continue"/>
          </w:tcPr>
          <w:p>
            <w:pPr>
              <w:spacing w:after="0"/>
              <w:rPr>
                <w:sz w:val="5"/>
                <w:szCs w:val="5"/>
                <w:color w:val="auto"/>
              </w:rPr>
            </w:pPr>
          </w:p>
        </w:tc>
        <w:tc>
          <w:tcPr>
            <w:tcW w:w="160" w:type="dxa"/>
            <w:vAlign w:val="bottom"/>
            <w:tcBorders>
              <w:bottom w:val="single" w:sz="8" w:color="424E6A"/>
            </w:tcBorders>
            <w:vMerge w:val="continue"/>
          </w:tcPr>
          <w:p>
            <w:pPr>
              <w:spacing w:after="0"/>
              <w:rPr>
                <w:sz w:val="5"/>
                <w:szCs w:val="5"/>
                <w:color w:val="auto"/>
              </w:rPr>
            </w:pPr>
          </w:p>
        </w:tc>
        <w:tc>
          <w:tcPr>
            <w:tcW w:w="100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140" w:type="dxa"/>
            <w:vAlign w:val="bottom"/>
            <w:tcBorders>
              <w:bottom w:val="single" w:sz="8" w:color="424E6A"/>
              <w:right w:val="single" w:sz="8" w:color="424E6A"/>
            </w:tcBorders>
            <w:gridSpan w:val="2"/>
            <w:vMerge w:val="continue"/>
          </w:tcPr>
          <w:p>
            <w:pPr>
              <w:spacing w:after="0"/>
              <w:rPr>
                <w:sz w:val="5"/>
                <w:szCs w:val="5"/>
                <w:color w:val="auto"/>
              </w:rPr>
            </w:pPr>
          </w:p>
        </w:tc>
        <w:tc>
          <w:tcPr>
            <w:tcW w:w="120" w:type="dxa"/>
            <w:vAlign w:val="bottom"/>
            <w:tcBorders>
              <w:bottom w:val="single" w:sz="8" w:color="424E6A"/>
            </w:tcBorders>
            <w:vMerge w:val="continue"/>
          </w:tcPr>
          <w:p>
            <w:pPr>
              <w:spacing w:after="0"/>
              <w:rPr>
                <w:sz w:val="5"/>
                <w:szCs w:val="5"/>
                <w:color w:val="auto"/>
              </w:rPr>
            </w:pPr>
          </w:p>
        </w:tc>
        <w:tc>
          <w:tcPr>
            <w:tcW w:w="1080" w:type="dxa"/>
            <w:vAlign w:val="bottom"/>
            <w:tcBorders>
              <w:bottom w:val="single" w:sz="8" w:color="424E6A"/>
            </w:tcBorders>
          </w:tcPr>
          <w:p>
            <w:pPr>
              <w:ind w:left="120"/>
              <w:spacing w:after="0" w:line="68" w:lineRule="exact"/>
              <w:rPr>
                <w:sz w:val="20"/>
                <w:szCs w:val="20"/>
                <w:color w:val="auto"/>
              </w:rPr>
            </w:pPr>
            <w:r>
              <w:rPr>
                <w:rFonts w:ascii="Arial" w:cs="Arial" w:eastAsia="Arial" w:hAnsi="Arial"/>
                <w:sz w:val="7"/>
                <w:szCs w:val="7"/>
                <w:color w:val="auto"/>
              </w:rPr>
              <w:t>​</w:t>
            </w:r>
          </w:p>
        </w:tc>
        <w:tc>
          <w:tcPr>
            <w:tcW w:w="8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3440" w:type="dxa"/>
            <w:vAlign w:val="bottom"/>
            <w:tcBorders>
              <w:left w:val="single" w:sz="8" w:color="424E6A"/>
              <w:bottom w:val="single" w:sz="8" w:color="D9DCE1"/>
            </w:tcBorders>
            <w:shd w:val="clear" w:color="auto" w:fill="D9DCE1"/>
          </w:tcPr>
          <w:p>
            <w:pPr>
              <w:spacing w:after="0"/>
              <w:rPr>
                <w:sz w:val="24"/>
                <w:szCs w:val="24"/>
                <w:color w:val="auto"/>
              </w:rPr>
            </w:pPr>
          </w:p>
        </w:tc>
        <w:tc>
          <w:tcPr>
            <w:tcW w:w="2200" w:type="dxa"/>
            <w:vAlign w:val="bottom"/>
            <w:tcBorders>
              <w:bottom w:val="single" w:sz="8" w:color="D9DCE1"/>
              <w:right w:val="single" w:sz="8" w:color="424E6A"/>
            </w:tcBorders>
            <w:shd w:val="clear" w:color="auto" w:fill="D9DCE1"/>
          </w:tcPr>
          <w:p>
            <w:pPr>
              <w:ind w:left="2140"/>
              <w:spacing w:after="0"/>
              <w:rPr>
                <w:sz w:val="20"/>
                <w:szCs w:val="20"/>
                <w:color w:val="auto"/>
              </w:rPr>
            </w:pPr>
            <w:r>
              <w:rPr>
                <w:rFonts w:ascii="Arial" w:cs="Arial" w:eastAsia="Arial" w:hAnsi="Arial"/>
                <w:sz w:val="14"/>
                <w:szCs w:val="14"/>
                <w:b w:val="1"/>
                <w:bCs w:val="1"/>
                <w:color w:val="FFFFFF"/>
              </w:rPr>
              <w:t>​</w:t>
            </w:r>
          </w:p>
        </w:tc>
        <w:tc>
          <w:tcPr>
            <w:tcW w:w="16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100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D9DCE1"/>
              <w:right w:val="single" w:sz="8" w:color="424E6A"/>
            </w:tcBorders>
            <w:gridSpan w:val="2"/>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1080" w:type="dxa"/>
            <w:vAlign w:val="bottom"/>
            <w:tcBorders>
              <w:bottom w:val="single" w:sz="8" w:color="D9DCE1"/>
            </w:tcBorders>
            <w:shd w:val="clear" w:color="auto" w:fill="D9DCE1"/>
          </w:tcPr>
          <w:p>
            <w:pPr>
              <w:ind w:left="12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83"/>
        </w:trPr>
        <w:tc>
          <w:tcPr>
            <w:tcW w:w="3440" w:type="dxa"/>
            <w:vAlign w:val="bottom"/>
            <w:tcBorders>
              <w:top w:val="single" w:sz="8" w:color="424E6A"/>
              <w:left w:val="single" w:sz="8" w:color="424E6A"/>
            </w:tcBorders>
          </w:tcPr>
          <w:p>
            <w:pPr>
              <w:ind w:left="60"/>
              <w:spacing w:after="0" w:line="182" w:lineRule="exact"/>
              <w:rPr>
                <w:sz w:val="20"/>
                <w:szCs w:val="20"/>
                <w:color w:val="auto"/>
              </w:rPr>
            </w:pPr>
            <w:r>
              <w:rPr>
                <w:rFonts w:ascii="Arial" w:cs="Arial" w:eastAsia="Arial" w:hAnsi="Arial"/>
                <w:sz w:val="18"/>
                <w:szCs w:val="18"/>
                <w:color w:val="auto"/>
              </w:rPr>
              <w:t>Jeremy Goebel</w:t>
            </w:r>
          </w:p>
        </w:tc>
        <w:tc>
          <w:tcPr>
            <w:tcW w:w="2200" w:type="dxa"/>
            <w:vAlign w:val="bottom"/>
            <w:tcBorders>
              <w:top w:val="single" w:sz="8" w:color="424E6A"/>
              <w:right w:val="single" w:sz="8" w:color="424E6A"/>
            </w:tcBorders>
            <w:vMerge w:val="restart"/>
          </w:tcPr>
          <w:p>
            <w:pPr>
              <w:ind w:left="21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424E6A"/>
            </w:tcBorders>
            <w:vMerge w:val="restart"/>
          </w:tcPr>
          <w:p>
            <w:pPr>
              <w:ind w:left="6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424E6A"/>
            </w:tcBorders>
          </w:tcPr>
          <w:p>
            <w:pPr>
              <w:ind w:left="160"/>
              <w:spacing w:after="0" w:line="183" w:lineRule="exact"/>
              <w:rPr>
                <w:sz w:val="20"/>
                <w:szCs w:val="20"/>
                <w:color w:val="auto"/>
              </w:rPr>
            </w:pPr>
            <w:r>
              <w:rPr>
                <w:rFonts w:ascii="Arial" w:cs="Arial" w:eastAsia="Arial" w:hAnsi="Arial"/>
                <w:sz w:val="17"/>
                <w:szCs w:val="17"/>
                <w:color w:val="auto"/>
              </w:rPr>
              <w:t>227,864</w:t>
            </w:r>
            <w:r>
              <w:rPr>
                <w:rFonts w:ascii="Arial" w:cs="Arial" w:eastAsia="Arial" w:hAnsi="Arial"/>
                <w:sz w:val="21"/>
                <w:szCs w:val="21"/>
                <w:color w:val="auto"/>
                <w:vertAlign w:val="superscript"/>
              </w:rPr>
              <w:t>(2)</w:t>
            </w:r>
          </w:p>
        </w:tc>
        <w:tc>
          <w:tcPr>
            <w:tcW w:w="140" w:type="dxa"/>
            <w:vAlign w:val="bottom"/>
            <w:tcBorders>
              <w:top w:val="single" w:sz="8" w:color="424E6A"/>
              <w:right w:val="single" w:sz="8" w:color="424E6A"/>
            </w:tcBorders>
            <w:gridSpan w:val="2"/>
            <w:vMerge w:val="restart"/>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424E6A"/>
            </w:tcBorders>
          </w:tcPr>
          <w:p>
            <w:pPr>
              <w:ind w:left="140"/>
              <w:spacing w:after="0" w:line="183" w:lineRule="exact"/>
              <w:rPr>
                <w:sz w:val="20"/>
                <w:szCs w:val="20"/>
                <w:color w:val="auto"/>
              </w:rPr>
            </w:pPr>
            <w:r>
              <w:rPr>
                <w:rFonts w:ascii="Arial" w:cs="Arial" w:eastAsia="Arial" w:hAnsi="Arial"/>
                <w:sz w:val="17"/>
                <w:szCs w:val="17"/>
                <w:color w:val="auto"/>
                <w:w w:val="99"/>
              </w:rPr>
              <w:t>4,051,422</w:t>
            </w:r>
            <w:r>
              <w:rPr>
                <w:rFonts w:ascii="Arial" w:cs="Arial" w:eastAsia="Arial" w:hAnsi="Arial"/>
                <w:sz w:val="21"/>
                <w:szCs w:val="21"/>
                <w:color w:val="auto"/>
                <w:w w:val="99"/>
                <w:vertAlign w:val="superscript"/>
              </w:rPr>
              <w:t>(3)</w:t>
            </w:r>
          </w:p>
        </w:tc>
        <w:tc>
          <w:tcPr>
            <w:tcW w:w="80" w:type="dxa"/>
            <w:vAlign w:val="bottom"/>
            <w:tcBorders>
              <w:top w:val="single" w:sz="8" w:color="424E6A"/>
              <w:right w:val="single" w:sz="8" w:color="424E6A"/>
            </w:tcBorders>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3440" w:type="dxa"/>
            <w:vAlign w:val="bottom"/>
            <w:tcBorders>
              <w:left w:val="single" w:sz="8" w:color="424E6A"/>
              <w:bottom w:val="single" w:sz="8" w:color="424E6A"/>
            </w:tcBorders>
          </w:tcPr>
          <w:p>
            <w:pPr>
              <w:spacing w:after="0"/>
              <w:rPr>
                <w:sz w:val="5"/>
                <w:szCs w:val="5"/>
                <w:color w:val="auto"/>
              </w:rPr>
            </w:pPr>
          </w:p>
        </w:tc>
        <w:tc>
          <w:tcPr>
            <w:tcW w:w="2200" w:type="dxa"/>
            <w:vAlign w:val="bottom"/>
            <w:tcBorders>
              <w:bottom w:val="single" w:sz="8" w:color="424E6A"/>
              <w:right w:val="single" w:sz="8" w:color="424E6A"/>
            </w:tcBorders>
            <w:vMerge w:val="continue"/>
          </w:tcPr>
          <w:p>
            <w:pPr>
              <w:spacing w:after="0"/>
              <w:rPr>
                <w:sz w:val="5"/>
                <w:szCs w:val="5"/>
                <w:color w:val="auto"/>
              </w:rPr>
            </w:pPr>
          </w:p>
        </w:tc>
        <w:tc>
          <w:tcPr>
            <w:tcW w:w="160" w:type="dxa"/>
            <w:vAlign w:val="bottom"/>
            <w:tcBorders>
              <w:bottom w:val="single" w:sz="8" w:color="424E6A"/>
            </w:tcBorders>
            <w:vMerge w:val="continue"/>
          </w:tcPr>
          <w:p>
            <w:pPr>
              <w:spacing w:after="0"/>
              <w:rPr>
                <w:sz w:val="5"/>
                <w:szCs w:val="5"/>
                <w:color w:val="auto"/>
              </w:rPr>
            </w:pPr>
          </w:p>
        </w:tc>
        <w:tc>
          <w:tcPr>
            <w:tcW w:w="100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140" w:type="dxa"/>
            <w:vAlign w:val="bottom"/>
            <w:tcBorders>
              <w:bottom w:val="single" w:sz="8" w:color="424E6A"/>
              <w:right w:val="single" w:sz="8" w:color="424E6A"/>
            </w:tcBorders>
            <w:gridSpan w:val="2"/>
            <w:vMerge w:val="continue"/>
          </w:tcPr>
          <w:p>
            <w:pPr>
              <w:spacing w:after="0"/>
              <w:rPr>
                <w:sz w:val="5"/>
                <w:szCs w:val="5"/>
                <w:color w:val="auto"/>
              </w:rPr>
            </w:pPr>
          </w:p>
        </w:tc>
        <w:tc>
          <w:tcPr>
            <w:tcW w:w="120" w:type="dxa"/>
            <w:vAlign w:val="bottom"/>
            <w:tcBorders>
              <w:bottom w:val="single" w:sz="8" w:color="424E6A"/>
            </w:tcBorders>
            <w:vMerge w:val="continue"/>
          </w:tcPr>
          <w:p>
            <w:pPr>
              <w:spacing w:after="0"/>
              <w:rPr>
                <w:sz w:val="5"/>
                <w:szCs w:val="5"/>
                <w:color w:val="auto"/>
              </w:rPr>
            </w:pPr>
          </w:p>
        </w:tc>
        <w:tc>
          <w:tcPr>
            <w:tcW w:w="1080" w:type="dxa"/>
            <w:vAlign w:val="bottom"/>
            <w:tcBorders>
              <w:bottom w:val="single" w:sz="8" w:color="424E6A"/>
            </w:tcBorders>
          </w:tcPr>
          <w:p>
            <w:pPr>
              <w:ind w:left="120"/>
              <w:spacing w:after="0" w:line="68" w:lineRule="exact"/>
              <w:rPr>
                <w:sz w:val="20"/>
                <w:szCs w:val="20"/>
                <w:color w:val="auto"/>
              </w:rPr>
            </w:pPr>
            <w:r>
              <w:rPr>
                <w:rFonts w:ascii="Arial" w:cs="Arial" w:eastAsia="Arial" w:hAnsi="Arial"/>
                <w:sz w:val="7"/>
                <w:szCs w:val="7"/>
                <w:color w:val="auto"/>
              </w:rPr>
              <w:t>​</w:t>
            </w:r>
          </w:p>
        </w:tc>
        <w:tc>
          <w:tcPr>
            <w:tcW w:w="8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620" w:right="719" w:hanging="360"/>
        <w:spacing w:after="0" w:line="210" w:lineRule="auto"/>
        <w:tabs>
          <w:tab w:leader="none" w:pos="1620" w:val="left"/>
        </w:tabs>
        <w:numPr>
          <w:ilvl w:val="0"/>
          <w:numId w:val="55"/>
        </w:numPr>
        <w:rPr>
          <w:rFonts w:ascii="Arial" w:cs="Arial" w:eastAsia="Arial" w:hAnsi="Arial"/>
          <w:sz w:val="27"/>
          <w:szCs w:val="27"/>
          <w:color w:val="auto"/>
          <w:vertAlign w:val="superscript"/>
        </w:rPr>
      </w:pPr>
      <w:r>
        <w:rPr>
          <w:rFonts w:ascii="Arial" w:cs="Arial" w:eastAsia="Arial" w:hAnsi="Arial"/>
          <w:sz w:val="18"/>
          <w:szCs w:val="18"/>
          <w:color w:val="auto"/>
        </w:rPr>
        <w:t>Represents the gross number of phantom units that vested during the year ended December 31, 2025. The actual number of units delivered was net of income tax withholding.</w:t>
      </w:r>
    </w:p>
    <w:p>
      <w:pPr>
        <w:spacing w:after="0" w:line="60" w:lineRule="exact"/>
        <w:rPr>
          <w:rFonts w:ascii="Arial" w:cs="Arial" w:eastAsia="Arial" w:hAnsi="Arial"/>
          <w:sz w:val="27"/>
          <w:szCs w:val="27"/>
          <w:color w:val="auto"/>
          <w:vertAlign w:val="superscript"/>
        </w:rPr>
      </w:pPr>
    </w:p>
    <w:p>
      <w:pPr>
        <w:ind w:left="1620" w:right="419" w:hanging="360"/>
        <w:spacing w:after="0" w:line="257" w:lineRule="auto"/>
        <w:tabs>
          <w:tab w:leader="none" w:pos="1620" w:val="left"/>
        </w:tabs>
        <w:numPr>
          <w:ilvl w:val="0"/>
          <w:numId w:val="55"/>
        </w:numPr>
        <w:rPr>
          <w:rFonts w:ascii="Arial" w:cs="Arial" w:eastAsia="Arial" w:hAnsi="Arial"/>
          <w:sz w:val="26"/>
          <w:szCs w:val="26"/>
          <w:color w:val="auto"/>
          <w:vertAlign w:val="superscript"/>
        </w:rPr>
      </w:pPr>
      <w:r>
        <w:rPr>
          <w:rFonts w:ascii="Arial" w:cs="Arial" w:eastAsia="Arial" w:hAnsi="Arial"/>
          <w:sz w:val="17"/>
          <w:szCs w:val="17"/>
          <w:color w:val="auto"/>
        </w:rPr>
        <w:t>Represents phantom units originally granted in August 2022 that vested in August 2025. Pursuant to the terms of the 2022 grants, (i) 50% of the phantom units were time based with vesting to occur in August 2025, and (ii) 50% of the phantom units were performance based with potential vesting to occur in August 2025 at a scaled payout range of between 0% and 200% based on: (A) with respect to 50% of the performance-based portion, PAA’s TSR over the three year period ending June 30, 2025 compared to the TSR of the applicable TSR peer group and (B) with respect to the other 50% of the performance-based portion, PAA achieving a cumulative adjusted DCF per CUE target of $7.05 over the three-year period ending June 30, 2025. With respect to the performance-based portion of the 2022 grants, the final payout percentage for the TSR portion was 167% (based on a TSR ranking of 3 out of 13) and the final payout percentage for the DCF/​CUE portion was 143% (based on achieving cumulative DCF/CUE of $7.43). Taking all vesting criteria (50% time, 25% TSR and 25% DCF/CUE) into account, the 2022 grants paid out at 127.5% of target.</w:t>
      </w:r>
    </w:p>
    <w:p>
      <w:pPr>
        <w:spacing w:after="0" w:line="36" w:lineRule="exact"/>
        <w:rPr>
          <w:rFonts w:ascii="Arial" w:cs="Arial" w:eastAsia="Arial" w:hAnsi="Arial"/>
          <w:sz w:val="26"/>
          <w:szCs w:val="26"/>
          <w:color w:val="auto"/>
          <w:vertAlign w:val="superscript"/>
        </w:rPr>
      </w:pPr>
    </w:p>
    <w:p>
      <w:pPr>
        <w:ind w:left="1620" w:right="659" w:hanging="360"/>
        <w:spacing w:after="0" w:line="228" w:lineRule="auto"/>
        <w:tabs>
          <w:tab w:leader="none" w:pos="1620" w:val="left"/>
        </w:tabs>
        <w:numPr>
          <w:ilvl w:val="0"/>
          <w:numId w:val="55"/>
        </w:numPr>
        <w:rPr>
          <w:rFonts w:ascii="Arial" w:cs="Arial" w:eastAsia="Arial" w:hAnsi="Arial"/>
          <w:sz w:val="27"/>
          <w:szCs w:val="27"/>
          <w:color w:val="auto"/>
          <w:vertAlign w:val="superscript"/>
        </w:rPr>
      </w:pPr>
      <w:r>
        <w:rPr>
          <w:rFonts w:ascii="Arial" w:cs="Arial" w:eastAsia="Arial" w:hAnsi="Arial"/>
          <w:sz w:val="18"/>
          <w:szCs w:val="18"/>
          <w:color w:val="auto"/>
        </w:rPr>
        <w:t>Consistent with the terms of the applicable Long-Term Incentive Plan, the value realized upon vesting is computed by multiplying the closing market price ($17.78) of PAA’s common units on August 13, 2025 (the trading date immediately preceding the vesting date) by the number of units that vested.</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Pension Benefits</w:t>
      </w:r>
    </w:p>
    <w:p>
      <w:pPr>
        <w:spacing w:after="0" w:line="158" w:lineRule="exact"/>
        <w:rPr>
          <w:sz w:val="20"/>
          <w:szCs w:val="20"/>
          <w:color w:val="auto"/>
        </w:rPr>
      </w:pPr>
    </w:p>
    <w:p>
      <w:pPr>
        <w:jc w:val="both"/>
        <w:ind w:left="1260" w:right="819" w:firstLine="360"/>
        <w:spacing w:after="0" w:line="268" w:lineRule="auto"/>
        <w:rPr>
          <w:sz w:val="20"/>
          <w:szCs w:val="20"/>
          <w:color w:val="auto"/>
        </w:rPr>
      </w:pPr>
      <w:r>
        <w:rPr>
          <w:rFonts w:ascii="Arial" w:cs="Arial" w:eastAsia="Arial" w:hAnsi="Arial"/>
          <w:sz w:val="18"/>
          <w:szCs w:val="18"/>
          <w:color w:val="auto"/>
        </w:rPr>
        <w:t>GP LLC sponsors a 401(k) plan that is available to all U.S. employees. We do not maintain any pension or defined benefit programs in which any of our employees, including the Named Executive Officers, participate.</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Nonqualified Deferred Compensation and Other Nonqualified Deferred Compensation Plans</w:t>
      </w:r>
    </w:p>
    <w:p>
      <w:pPr>
        <w:spacing w:after="0" w:line="144" w:lineRule="exact"/>
        <w:rPr>
          <w:sz w:val="20"/>
          <w:szCs w:val="20"/>
          <w:color w:val="auto"/>
        </w:rPr>
      </w:pPr>
    </w:p>
    <w:p>
      <w:pPr>
        <w:ind w:left="1260" w:right="539" w:firstLine="360"/>
        <w:spacing w:after="0" w:line="287" w:lineRule="auto"/>
        <w:rPr>
          <w:sz w:val="20"/>
          <w:szCs w:val="20"/>
          <w:color w:val="auto"/>
        </w:rPr>
      </w:pPr>
      <w:r>
        <w:rPr>
          <w:rFonts w:ascii="Arial" w:cs="Arial" w:eastAsia="Arial" w:hAnsi="Arial"/>
          <w:sz w:val="18"/>
          <w:szCs w:val="18"/>
          <w:color w:val="auto"/>
        </w:rPr>
        <w:t>We do not maintain any nonqualified deferred compensation plans or programs in which any of our employees, including our Named Executive Officers, participate.</w:t>
      </w:r>
    </w:p>
    <w:p>
      <w:pPr>
        <w:spacing w:after="0" w:line="34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58" w:lineRule="exact"/>
        <w:rPr>
          <w:sz w:val="20"/>
          <w:szCs w:val="20"/>
          <w:color w:val="auto"/>
        </w:rPr>
      </w:pPr>
    </w:p>
    <w:p>
      <w:pPr>
        <w:ind w:left="1260" w:right="679" w:firstLine="360"/>
        <w:spacing w:after="0" w:line="318" w:lineRule="auto"/>
        <w:rPr>
          <w:sz w:val="20"/>
          <w:szCs w:val="20"/>
          <w:color w:val="auto"/>
        </w:rPr>
      </w:pPr>
      <w:r>
        <w:rPr>
          <w:rFonts w:ascii="Arial" w:cs="Arial" w:eastAsia="Arial" w:hAnsi="Arial"/>
          <w:sz w:val="17"/>
          <w:szCs w:val="17"/>
          <w:color w:val="auto"/>
        </w:rPr>
        <w:t>The following table sets forth potential amounts payable to the Named Executive Officers upon termination of employment under various circumstances, and as if terminated on December 31, 2025.</w:t>
      </w:r>
    </w:p>
    <w:p>
      <w:pPr>
        <w:spacing w:after="0" w:line="108" w:lineRule="exact"/>
        <w:rPr>
          <w:sz w:val="20"/>
          <w:szCs w:val="20"/>
          <w:color w:val="auto"/>
        </w:rPr>
      </w:pPr>
    </w:p>
    <w:tbl>
      <w:tblPr>
        <w:tblLayout w:type="fixed"/>
        <w:tblInd w:w="1270" w:type="dxa"/>
        <w:tblCellMar>
          <w:top w:w="0" w:type="dxa"/>
          <w:left w:w="0" w:type="dxa"/>
          <w:bottom w:w="0" w:type="dxa"/>
          <w:right w:w="0" w:type="dxa"/>
        </w:tblCellMar>
      </w:tblPr>
      <w:tr>
        <w:trPr>
          <w:trHeight w:val="247"/>
        </w:trPr>
        <w:tc>
          <w:tcPr>
            <w:tcW w:w="2440" w:type="dxa"/>
            <w:vAlign w:val="bottom"/>
            <w:tcBorders>
              <w:left w:val="single" w:sz="8" w:color="424E6A"/>
            </w:tcBorders>
            <w:shd w:val="clear" w:color="auto" w:fill="424E6A"/>
          </w:tcPr>
          <w:p>
            <w:pPr>
              <w:spacing w:after="0"/>
              <w:rPr>
                <w:sz w:val="21"/>
                <w:szCs w:val="21"/>
                <w:color w:val="auto"/>
              </w:rPr>
            </w:pPr>
          </w:p>
        </w:tc>
        <w:tc>
          <w:tcPr>
            <w:tcW w:w="840" w:type="dxa"/>
            <w:vAlign w:val="bottom"/>
            <w:tcBorders>
              <w:right w:val="single" w:sz="8" w:color="424E6A"/>
            </w:tcBorders>
            <w:shd w:val="clear" w:color="auto" w:fill="424E6A"/>
          </w:tcPr>
          <w:p>
            <w:pPr>
              <w:spacing w:after="0"/>
              <w:rPr>
                <w:sz w:val="21"/>
                <w:szCs w:val="21"/>
                <w:color w:val="auto"/>
              </w:rPr>
            </w:pPr>
          </w:p>
        </w:tc>
        <w:tc>
          <w:tcPr>
            <w:tcW w:w="140" w:type="dxa"/>
            <w:vAlign w:val="bottom"/>
            <w:shd w:val="clear" w:color="auto" w:fill="424E6A"/>
          </w:tcPr>
          <w:p>
            <w:pPr>
              <w:spacing w:after="0"/>
              <w:rPr>
                <w:sz w:val="21"/>
                <w:szCs w:val="21"/>
                <w:color w:val="auto"/>
              </w:rPr>
            </w:pPr>
          </w:p>
        </w:tc>
        <w:tc>
          <w:tcPr>
            <w:tcW w:w="780" w:type="dxa"/>
            <w:vAlign w:val="bottom"/>
            <w:shd w:val="clear" w:color="auto" w:fill="424E6A"/>
          </w:tcPr>
          <w:p>
            <w:pPr>
              <w:jc w:val="center"/>
              <w:ind w:right="48"/>
              <w:spacing w:after="0"/>
              <w:rPr>
                <w:sz w:val="20"/>
                <w:szCs w:val="20"/>
                <w:color w:val="auto"/>
              </w:rPr>
            </w:pPr>
            <w:r>
              <w:rPr>
                <w:rFonts w:ascii="Arial" w:cs="Arial" w:eastAsia="Arial" w:hAnsi="Arial"/>
                <w:sz w:val="14"/>
                <w:szCs w:val="14"/>
                <w:b w:val="1"/>
                <w:bCs w:val="1"/>
                <w:color w:val="FFFFFF"/>
              </w:rPr>
              <w:t>By</w:t>
            </w:r>
          </w:p>
        </w:tc>
        <w:tc>
          <w:tcPr>
            <w:tcW w:w="160" w:type="dxa"/>
            <w:vAlign w:val="bottom"/>
            <w:tcBorders>
              <w:right w:val="single" w:sz="8" w:color="424E6A"/>
            </w:tcBorders>
            <w:shd w:val="clear" w:color="auto" w:fill="424E6A"/>
          </w:tcPr>
          <w:p>
            <w:pPr>
              <w:spacing w:after="0"/>
              <w:rPr>
                <w:sz w:val="21"/>
                <w:szCs w:val="21"/>
                <w:color w:val="auto"/>
              </w:rPr>
            </w:pPr>
          </w:p>
        </w:tc>
        <w:tc>
          <w:tcPr>
            <w:tcW w:w="240" w:type="dxa"/>
            <w:vAlign w:val="bottom"/>
            <w:shd w:val="clear" w:color="auto" w:fill="424E6A"/>
          </w:tcPr>
          <w:p>
            <w:pPr>
              <w:spacing w:after="0"/>
              <w:rPr>
                <w:sz w:val="21"/>
                <w:szCs w:val="21"/>
                <w:color w:val="auto"/>
              </w:rPr>
            </w:pPr>
          </w:p>
        </w:tc>
        <w:tc>
          <w:tcPr>
            <w:tcW w:w="740" w:type="dxa"/>
            <w:vAlign w:val="bottom"/>
            <w:shd w:val="clear" w:color="auto" w:fill="424E6A"/>
          </w:tcPr>
          <w:p>
            <w:pPr>
              <w:jc w:val="center"/>
              <w:ind w:right="88"/>
              <w:spacing w:after="0"/>
              <w:rPr>
                <w:sz w:val="20"/>
                <w:szCs w:val="20"/>
                <w:color w:val="auto"/>
              </w:rPr>
            </w:pPr>
            <w:r>
              <w:rPr>
                <w:rFonts w:ascii="Arial" w:cs="Arial" w:eastAsia="Arial" w:hAnsi="Arial"/>
                <w:sz w:val="14"/>
                <w:szCs w:val="14"/>
                <w:b w:val="1"/>
                <w:bCs w:val="1"/>
                <w:color w:val="FFFFFF"/>
              </w:rPr>
              <w:t>By</w:t>
            </w:r>
          </w:p>
        </w:tc>
        <w:tc>
          <w:tcPr>
            <w:tcW w:w="160" w:type="dxa"/>
            <w:vAlign w:val="bottom"/>
            <w:tcBorders>
              <w:right w:val="single" w:sz="8" w:color="424E6A"/>
            </w:tcBorders>
            <w:shd w:val="clear" w:color="auto" w:fill="424E6A"/>
          </w:tcPr>
          <w:p>
            <w:pPr>
              <w:spacing w:after="0"/>
              <w:rPr>
                <w:sz w:val="21"/>
                <w:szCs w:val="21"/>
                <w:color w:val="auto"/>
              </w:rPr>
            </w:pPr>
          </w:p>
        </w:tc>
        <w:tc>
          <w:tcPr>
            <w:tcW w:w="140" w:type="dxa"/>
            <w:vAlign w:val="bottom"/>
            <w:shd w:val="clear" w:color="auto" w:fill="424E6A"/>
          </w:tcPr>
          <w:p>
            <w:pPr>
              <w:spacing w:after="0"/>
              <w:rPr>
                <w:sz w:val="21"/>
                <w:szCs w:val="21"/>
                <w:color w:val="auto"/>
              </w:rPr>
            </w:pPr>
          </w:p>
        </w:tc>
        <w:tc>
          <w:tcPr>
            <w:tcW w:w="240" w:type="dxa"/>
            <w:vAlign w:val="bottom"/>
            <w:shd w:val="clear" w:color="auto" w:fill="424E6A"/>
          </w:tcPr>
          <w:p>
            <w:pPr>
              <w:spacing w:after="0"/>
              <w:rPr>
                <w:sz w:val="21"/>
                <w:szCs w:val="21"/>
                <w:color w:val="auto"/>
              </w:rPr>
            </w:pPr>
          </w:p>
        </w:tc>
        <w:tc>
          <w:tcPr>
            <w:tcW w:w="760" w:type="dxa"/>
            <w:vAlign w:val="bottom"/>
            <w:shd w:val="clear" w:color="auto" w:fill="424E6A"/>
          </w:tcPr>
          <w:p>
            <w:pPr>
              <w:spacing w:after="0"/>
              <w:rPr>
                <w:sz w:val="21"/>
                <w:szCs w:val="21"/>
                <w:color w:val="auto"/>
              </w:rPr>
            </w:pPr>
          </w:p>
        </w:tc>
        <w:tc>
          <w:tcPr>
            <w:tcW w:w="220" w:type="dxa"/>
            <w:vAlign w:val="bottom"/>
            <w:tcBorders>
              <w:right w:val="single" w:sz="8" w:color="424E6A"/>
            </w:tcBorders>
            <w:shd w:val="clear" w:color="auto" w:fill="424E6A"/>
          </w:tcPr>
          <w:p>
            <w:pPr>
              <w:spacing w:after="0"/>
              <w:rPr>
                <w:sz w:val="21"/>
                <w:szCs w:val="21"/>
                <w:color w:val="auto"/>
              </w:rPr>
            </w:pPr>
          </w:p>
        </w:tc>
        <w:tc>
          <w:tcPr>
            <w:tcW w:w="160" w:type="dxa"/>
            <w:vAlign w:val="bottom"/>
            <w:shd w:val="clear" w:color="auto" w:fill="424E6A"/>
          </w:tcPr>
          <w:p>
            <w:pPr>
              <w:spacing w:after="0"/>
              <w:rPr>
                <w:sz w:val="21"/>
                <w:szCs w:val="21"/>
                <w:color w:val="auto"/>
              </w:rPr>
            </w:pPr>
          </w:p>
        </w:tc>
        <w:tc>
          <w:tcPr>
            <w:tcW w:w="9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In Connection</w:t>
            </w:r>
          </w:p>
        </w:tc>
        <w:tc>
          <w:tcPr>
            <w:tcW w:w="220" w:type="dxa"/>
            <w:vAlign w:val="bottom"/>
            <w:tcBorders>
              <w:right w:val="single" w:sz="8" w:color="424E6A"/>
            </w:tcBorders>
            <w:shd w:val="clear" w:color="auto" w:fill="424E6A"/>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440" w:type="dxa"/>
            <w:vAlign w:val="bottom"/>
            <w:tcBorders>
              <w:left w:val="single" w:sz="8" w:color="424E6A"/>
            </w:tcBorders>
            <w:shd w:val="clear" w:color="auto" w:fill="424E6A"/>
          </w:tcPr>
          <w:p>
            <w:pPr>
              <w:spacing w:after="0"/>
              <w:rPr>
                <w:sz w:val="14"/>
                <w:szCs w:val="14"/>
                <w:color w:val="auto"/>
              </w:rPr>
            </w:pPr>
          </w:p>
        </w:tc>
        <w:tc>
          <w:tcPr>
            <w:tcW w:w="840" w:type="dxa"/>
            <w:vAlign w:val="bottom"/>
            <w:tcBorders>
              <w:right w:val="single" w:sz="8" w:color="424E6A"/>
            </w:tcBorders>
            <w:shd w:val="clear" w:color="auto" w:fill="424E6A"/>
          </w:tcPr>
          <w:p>
            <w:pPr>
              <w:spacing w:after="0"/>
              <w:rPr>
                <w:sz w:val="14"/>
                <w:szCs w:val="14"/>
                <w:color w:val="auto"/>
              </w:rPr>
            </w:pPr>
          </w:p>
        </w:tc>
        <w:tc>
          <w:tcPr>
            <w:tcW w:w="9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Reason of</w:t>
            </w:r>
          </w:p>
        </w:tc>
        <w:tc>
          <w:tcPr>
            <w:tcW w:w="160" w:type="dxa"/>
            <w:vAlign w:val="bottom"/>
            <w:tcBorders>
              <w:right w:val="single" w:sz="8" w:color="424E6A"/>
            </w:tcBorders>
            <w:shd w:val="clear" w:color="auto" w:fill="424E6A"/>
          </w:tcPr>
          <w:p>
            <w:pPr>
              <w:spacing w:after="0"/>
              <w:rPr>
                <w:sz w:val="14"/>
                <w:szCs w:val="14"/>
                <w:color w:val="auto"/>
              </w:rPr>
            </w:pPr>
          </w:p>
        </w:tc>
        <w:tc>
          <w:tcPr>
            <w:tcW w:w="980" w:type="dxa"/>
            <w:vAlign w:val="bottom"/>
            <w:gridSpan w:val="2"/>
            <w:shd w:val="clear" w:color="auto" w:fill="424E6A"/>
          </w:tcPr>
          <w:p>
            <w:pPr>
              <w:jc w:val="center"/>
              <w:ind w:left="14"/>
              <w:spacing w:after="0"/>
              <w:rPr>
                <w:sz w:val="20"/>
                <w:szCs w:val="20"/>
                <w:color w:val="auto"/>
              </w:rPr>
            </w:pPr>
            <w:r>
              <w:rPr>
                <w:rFonts w:ascii="Arial" w:cs="Arial" w:eastAsia="Arial" w:hAnsi="Arial"/>
                <w:sz w:val="14"/>
                <w:szCs w:val="14"/>
                <w:b w:val="1"/>
                <w:bCs w:val="1"/>
                <w:color w:val="FFFFFF"/>
              </w:rPr>
              <w:t>Company</w:t>
            </w:r>
          </w:p>
        </w:tc>
        <w:tc>
          <w:tcPr>
            <w:tcW w:w="16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10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In Connection</w:t>
            </w:r>
          </w:p>
        </w:tc>
        <w:tc>
          <w:tcPr>
            <w:tcW w:w="22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800" w:type="dxa"/>
            <w:vAlign w:val="bottom"/>
            <w:shd w:val="clear" w:color="auto" w:fill="424E6A"/>
          </w:tcPr>
          <w:p>
            <w:pPr>
              <w:jc w:val="center"/>
              <w:ind w:right="88"/>
              <w:spacing w:after="0"/>
              <w:rPr>
                <w:sz w:val="20"/>
                <w:szCs w:val="20"/>
                <w:color w:val="auto"/>
              </w:rPr>
            </w:pPr>
            <w:r>
              <w:rPr>
                <w:rFonts w:ascii="Arial" w:cs="Arial" w:eastAsia="Arial" w:hAnsi="Arial"/>
                <w:sz w:val="14"/>
                <w:szCs w:val="14"/>
                <w:b w:val="1"/>
                <w:bCs w:val="1"/>
                <w:color w:val="FFFFFF"/>
              </w:rPr>
              <w:t>with a</w:t>
            </w:r>
          </w:p>
        </w:tc>
        <w:tc>
          <w:tcPr>
            <w:tcW w:w="22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tcBorders>
              <w:left w:val="single" w:sz="8" w:color="424E6A"/>
            </w:tcBorders>
            <w:shd w:val="clear" w:color="auto" w:fill="424E6A"/>
          </w:tcPr>
          <w:p>
            <w:pPr>
              <w:spacing w:after="0"/>
              <w:rPr>
                <w:sz w:val="14"/>
                <w:szCs w:val="14"/>
                <w:color w:val="auto"/>
              </w:rPr>
            </w:pPr>
          </w:p>
        </w:tc>
        <w:tc>
          <w:tcPr>
            <w:tcW w:w="84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780" w:type="dxa"/>
            <w:vAlign w:val="bottom"/>
            <w:shd w:val="clear" w:color="auto" w:fill="424E6A"/>
          </w:tcPr>
          <w:p>
            <w:pPr>
              <w:jc w:val="center"/>
              <w:ind w:right="48"/>
              <w:spacing w:after="0"/>
              <w:rPr>
                <w:sz w:val="20"/>
                <w:szCs w:val="20"/>
                <w:color w:val="auto"/>
              </w:rPr>
            </w:pPr>
            <w:r>
              <w:rPr>
                <w:rFonts w:ascii="Arial" w:cs="Arial" w:eastAsia="Arial" w:hAnsi="Arial"/>
                <w:sz w:val="14"/>
                <w:szCs w:val="14"/>
                <w:b w:val="1"/>
                <w:bCs w:val="1"/>
                <w:color w:val="FFFFFF"/>
              </w:rPr>
              <w:t>Death or</w:t>
            </w:r>
          </w:p>
        </w:tc>
        <w:tc>
          <w:tcPr>
            <w:tcW w:w="160" w:type="dxa"/>
            <w:vAlign w:val="bottom"/>
            <w:tcBorders>
              <w:right w:val="single" w:sz="8" w:color="424E6A"/>
            </w:tcBorders>
            <w:shd w:val="clear" w:color="auto" w:fill="424E6A"/>
          </w:tcPr>
          <w:p>
            <w:pPr>
              <w:spacing w:after="0"/>
              <w:rPr>
                <w:sz w:val="14"/>
                <w:szCs w:val="14"/>
                <w:color w:val="auto"/>
              </w:rPr>
            </w:pPr>
          </w:p>
        </w:tc>
        <w:tc>
          <w:tcPr>
            <w:tcW w:w="240" w:type="dxa"/>
            <w:vAlign w:val="bottom"/>
            <w:shd w:val="clear" w:color="auto" w:fill="424E6A"/>
          </w:tcPr>
          <w:p>
            <w:pPr>
              <w:spacing w:after="0"/>
              <w:rPr>
                <w:sz w:val="14"/>
                <w:szCs w:val="14"/>
                <w:color w:val="auto"/>
              </w:rPr>
            </w:pPr>
          </w:p>
        </w:tc>
        <w:tc>
          <w:tcPr>
            <w:tcW w:w="740" w:type="dxa"/>
            <w:vAlign w:val="bottom"/>
            <w:shd w:val="clear" w:color="auto" w:fill="424E6A"/>
          </w:tcPr>
          <w:p>
            <w:pPr>
              <w:jc w:val="center"/>
              <w:ind w:right="88"/>
              <w:spacing w:after="0"/>
              <w:rPr>
                <w:sz w:val="20"/>
                <w:szCs w:val="20"/>
                <w:color w:val="auto"/>
              </w:rPr>
            </w:pPr>
            <w:r>
              <w:rPr>
                <w:rFonts w:ascii="Arial" w:cs="Arial" w:eastAsia="Arial" w:hAnsi="Arial"/>
                <w:sz w:val="14"/>
                <w:szCs w:val="14"/>
                <w:b w:val="1"/>
                <w:bCs w:val="1"/>
                <w:color w:val="FFFFFF"/>
              </w:rPr>
              <w:t>without</w:t>
            </w:r>
          </w:p>
        </w:tc>
        <w:tc>
          <w:tcPr>
            <w:tcW w:w="16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240" w:type="dxa"/>
            <w:vAlign w:val="bottom"/>
            <w:shd w:val="clear" w:color="auto" w:fill="424E6A"/>
          </w:tcPr>
          <w:p>
            <w:pPr>
              <w:spacing w:after="0"/>
              <w:rPr>
                <w:sz w:val="14"/>
                <w:szCs w:val="14"/>
                <w:color w:val="auto"/>
              </w:rPr>
            </w:pPr>
          </w:p>
        </w:tc>
        <w:tc>
          <w:tcPr>
            <w:tcW w:w="760" w:type="dxa"/>
            <w:vAlign w:val="bottom"/>
            <w:shd w:val="clear" w:color="auto" w:fill="424E6A"/>
          </w:tcPr>
          <w:p>
            <w:pPr>
              <w:jc w:val="center"/>
              <w:ind w:right="149"/>
              <w:spacing w:after="0"/>
              <w:rPr>
                <w:sz w:val="20"/>
                <w:szCs w:val="20"/>
                <w:color w:val="auto"/>
              </w:rPr>
            </w:pPr>
            <w:r>
              <w:rPr>
                <w:rFonts w:ascii="Arial" w:cs="Arial" w:eastAsia="Arial" w:hAnsi="Arial"/>
                <w:sz w:val="14"/>
                <w:szCs w:val="14"/>
                <w:b w:val="1"/>
                <w:bCs w:val="1"/>
                <w:color w:val="FFFFFF"/>
              </w:rPr>
              <w:t>with a</w:t>
            </w:r>
          </w:p>
        </w:tc>
        <w:tc>
          <w:tcPr>
            <w:tcW w:w="22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9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Change In</w:t>
            </w:r>
          </w:p>
        </w:tc>
        <w:tc>
          <w:tcPr>
            <w:tcW w:w="22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tcBorders>
              <w:left w:val="single" w:sz="8" w:color="424E6A"/>
            </w:tcBorders>
            <w:shd w:val="clear" w:color="auto" w:fill="424E6A"/>
          </w:tcPr>
          <w:p>
            <w:pPr>
              <w:spacing w:after="0"/>
              <w:rPr>
                <w:sz w:val="14"/>
                <w:szCs w:val="14"/>
                <w:color w:val="auto"/>
              </w:rPr>
            </w:pPr>
          </w:p>
        </w:tc>
        <w:tc>
          <w:tcPr>
            <w:tcW w:w="84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780" w:type="dxa"/>
            <w:vAlign w:val="bottom"/>
            <w:shd w:val="clear" w:color="auto" w:fill="424E6A"/>
          </w:tcPr>
          <w:p>
            <w:pPr>
              <w:jc w:val="center"/>
              <w:ind w:right="68"/>
              <w:spacing w:after="0"/>
              <w:rPr>
                <w:sz w:val="20"/>
                <w:szCs w:val="20"/>
                <w:color w:val="auto"/>
              </w:rPr>
            </w:pPr>
            <w:r>
              <w:rPr>
                <w:rFonts w:ascii="Arial" w:cs="Arial" w:eastAsia="Arial" w:hAnsi="Arial"/>
                <w:sz w:val="14"/>
                <w:szCs w:val="14"/>
                <w:b w:val="1"/>
                <w:bCs w:val="1"/>
                <w:color w:val="FFFFFF"/>
              </w:rPr>
              <w:t>Disability</w:t>
            </w:r>
          </w:p>
        </w:tc>
        <w:tc>
          <w:tcPr>
            <w:tcW w:w="160" w:type="dxa"/>
            <w:vAlign w:val="bottom"/>
            <w:tcBorders>
              <w:right w:val="single" w:sz="8" w:color="424E6A"/>
            </w:tcBorders>
            <w:shd w:val="clear" w:color="auto" w:fill="424E6A"/>
          </w:tcPr>
          <w:p>
            <w:pPr>
              <w:spacing w:after="0"/>
              <w:rPr>
                <w:sz w:val="14"/>
                <w:szCs w:val="14"/>
                <w:color w:val="auto"/>
              </w:rPr>
            </w:pPr>
          </w:p>
        </w:tc>
        <w:tc>
          <w:tcPr>
            <w:tcW w:w="240" w:type="dxa"/>
            <w:vAlign w:val="bottom"/>
            <w:shd w:val="clear" w:color="auto" w:fill="424E6A"/>
          </w:tcPr>
          <w:p>
            <w:pPr>
              <w:spacing w:after="0"/>
              <w:rPr>
                <w:sz w:val="14"/>
                <w:szCs w:val="14"/>
                <w:color w:val="auto"/>
              </w:rPr>
            </w:pPr>
          </w:p>
        </w:tc>
        <w:tc>
          <w:tcPr>
            <w:tcW w:w="740" w:type="dxa"/>
            <w:vAlign w:val="bottom"/>
            <w:shd w:val="clear" w:color="auto" w:fill="424E6A"/>
          </w:tcPr>
          <w:p>
            <w:pPr>
              <w:jc w:val="center"/>
              <w:ind w:right="88"/>
              <w:spacing w:after="0"/>
              <w:rPr>
                <w:sz w:val="20"/>
                <w:szCs w:val="20"/>
                <w:color w:val="auto"/>
              </w:rPr>
            </w:pPr>
            <w:r>
              <w:rPr>
                <w:rFonts w:ascii="Arial" w:cs="Arial" w:eastAsia="Arial" w:hAnsi="Arial"/>
                <w:sz w:val="14"/>
                <w:szCs w:val="14"/>
                <w:b w:val="1"/>
                <w:bCs w:val="1"/>
                <w:color w:val="FFFFFF"/>
                <w:w w:val="99"/>
              </w:rPr>
              <w:t>Cause</w:t>
            </w:r>
          </w:p>
        </w:tc>
        <w:tc>
          <w:tcPr>
            <w:tcW w:w="16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10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Retirement</w:t>
            </w:r>
          </w:p>
        </w:tc>
        <w:tc>
          <w:tcPr>
            <w:tcW w:w="22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800" w:type="dxa"/>
            <w:vAlign w:val="bottom"/>
            <w:shd w:val="clear" w:color="auto" w:fill="424E6A"/>
          </w:tcPr>
          <w:p>
            <w:pPr>
              <w:jc w:val="center"/>
              <w:ind w:right="108"/>
              <w:spacing w:after="0"/>
              <w:rPr>
                <w:sz w:val="20"/>
                <w:szCs w:val="20"/>
                <w:color w:val="auto"/>
              </w:rPr>
            </w:pPr>
            <w:r>
              <w:rPr>
                <w:rFonts w:ascii="Arial" w:cs="Arial" w:eastAsia="Arial" w:hAnsi="Arial"/>
                <w:sz w:val="14"/>
                <w:szCs w:val="14"/>
                <w:b w:val="1"/>
                <w:bCs w:val="1"/>
                <w:color w:val="FFFFFF"/>
              </w:rPr>
              <w:t>Control</w:t>
            </w:r>
          </w:p>
        </w:tc>
        <w:tc>
          <w:tcPr>
            <w:tcW w:w="22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440" w:type="dxa"/>
            <w:vAlign w:val="bottom"/>
            <w:tcBorders>
              <w:left w:val="single" w:sz="8" w:color="424E6A"/>
            </w:tcBorders>
            <w:shd w:val="clear" w:color="auto" w:fill="424E6A"/>
          </w:tcPr>
          <w:p>
            <w:pPr>
              <w:spacing w:after="0"/>
              <w:rPr>
                <w:sz w:val="18"/>
                <w:szCs w:val="18"/>
                <w:color w:val="auto"/>
              </w:rPr>
            </w:pPr>
          </w:p>
        </w:tc>
        <w:tc>
          <w:tcPr>
            <w:tcW w:w="980" w:type="dxa"/>
            <w:vAlign w:val="bottom"/>
            <w:gridSpan w:val="2"/>
            <w:shd w:val="clear" w:color="auto" w:fill="424E6A"/>
          </w:tcPr>
          <w:p>
            <w:pPr>
              <w:ind w:left="780"/>
              <w:spacing w:after="0"/>
              <w:rPr>
                <w:sz w:val="20"/>
                <w:szCs w:val="20"/>
                <w:color w:val="auto"/>
              </w:rPr>
            </w:pPr>
            <w:r>
              <w:rPr>
                <w:rFonts w:ascii="Arial" w:cs="Arial" w:eastAsia="Arial" w:hAnsi="Arial"/>
                <w:sz w:val="14"/>
                <w:szCs w:val="14"/>
                <w:b w:val="1"/>
                <w:bCs w:val="1"/>
                <w:color w:val="FFFFFF"/>
              </w:rPr>
              <w:t>​ ​</w:t>
            </w:r>
          </w:p>
        </w:tc>
        <w:tc>
          <w:tcPr>
            <w:tcW w:w="780" w:type="dxa"/>
            <w:vAlign w:val="bottom"/>
            <w:shd w:val="clear" w:color="auto" w:fill="424E6A"/>
          </w:tcPr>
          <w:p>
            <w:pPr>
              <w:jc w:val="right"/>
              <w:ind w:right="268"/>
              <w:spacing w:after="0"/>
              <w:rPr>
                <w:sz w:val="20"/>
                <w:szCs w:val="20"/>
                <w:color w:val="auto"/>
              </w:rPr>
            </w:pPr>
            <w:r>
              <w:rPr>
                <w:rFonts w:ascii="Arial" w:cs="Arial" w:eastAsia="Arial" w:hAnsi="Arial"/>
                <w:sz w:val="14"/>
                <w:szCs w:val="14"/>
                <w:b w:val="1"/>
                <w:bCs w:val="1"/>
                <w:color w:val="FFFFFF"/>
              </w:rPr>
              <w:t>($)</w:t>
            </w:r>
          </w:p>
        </w:tc>
        <w:tc>
          <w:tcPr>
            <w:tcW w:w="400" w:type="dxa"/>
            <w:vAlign w:val="bottom"/>
            <w:gridSpan w:val="2"/>
            <w:shd w:val="clear" w:color="auto" w:fill="424E6A"/>
          </w:tcPr>
          <w:p>
            <w:pPr>
              <w:ind w:left="40"/>
              <w:spacing w:after="0"/>
              <w:rPr>
                <w:sz w:val="20"/>
                <w:szCs w:val="20"/>
                <w:color w:val="auto"/>
              </w:rPr>
            </w:pPr>
            <w:r>
              <w:rPr>
                <w:rFonts w:ascii="Arial" w:cs="Arial" w:eastAsia="Arial" w:hAnsi="Arial"/>
                <w:sz w:val="14"/>
                <w:szCs w:val="14"/>
                <w:b w:val="1"/>
                <w:bCs w:val="1"/>
                <w:color w:val="FFFFFF"/>
              </w:rPr>
              <w:t>​  ​</w:t>
            </w:r>
          </w:p>
        </w:tc>
        <w:tc>
          <w:tcPr>
            <w:tcW w:w="740" w:type="dxa"/>
            <w:vAlign w:val="bottom"/>
            <w:shd w:val="clear" w:color="auto" w:fill="424E6A"/>
          </w:tcPr>
          <w:p>
            <w:pPr>
              <w:jc w:val="right"/>
              <w:ind w:right="268"/>
              <w:spacing w:after="0"/>
              <w:rPr>
                <w:sz w:val="20"/>
                <w:szCs w:val="20"/>
                <w:color w:val="auto"/>
              </w:rPr>
            </w:pPr>
            <w:r>
              <w:rPr>
                <w:rFonts w:ascii="Arial" w:cs="Arial" w:eastAsia="Arial" w:hAnsi="Arial"/>
                <w:sz w:val="14"/>
                <w:szCs w:val="14"/>
                <w:b w:val="1"/>
                <w:bCs w:val="1"/>
                <w:color w:val="FFFFFF"/>
              </w:rPr>
              <w:t>($)</w:t>
            </w:r>
          </w:p>
        </w:tc>
        <w:tc>
          <w:tcPr>
            <w:tcW w:w="300" w:type="dxa"/>
            <w:vAlign w:val="bottom"/>
            <w:gridSpan w:val="2"/>
            <w:shd w:val="clear" w:color="auto" w:fill="424E6A"/>
          </w:tcPr>
          <w:p>
            <w:pPr>
              <w:ind w:left="60"/>
              <w:spacing w:after="0"/>
              <w:rPr>
                <w:sz w:val="20"/>
                <w:szCs w:val="20"/>
                <w:color w:val="auto"/>
              </w:rPr>
            </w:pPr>
            <w:r>
              <w:rPr>
                <w:rFonts w:ascii="Arial" w:cs="Arial" w:eastAsia="Arial" w:hAnsi="Arial"/>
                <w:sz w:val="14"/>
                <w:szCs w:val="14"/>
                <w:b w:val="1"/>
                <w:bCs w:val="1"/>
                <w:color w:val="FFFFFF"/>
              </w:rPr>
              <w:t>​  ​</w:t>
            </w:r>
          </w:p>
        </w:tc>
        <w:tc>
          <w:tcPr>
            <w:tcW w:w="240" w:type="dxa"/>
            <w:vAlign w:val="bottom"/>
            <w:shd w:val="clear" w:color="auto" w:fill="424E6A"/>
          </w:tcPr>
          <w:p>
            <w:pPr>
              <w:spacing w:after="0"/>
              <w:rPr>
                <w:sz w:val="18"/>
                <w:szCs w:val="18"/>
                <w:color w:val="auto"/>
              </w:rPr>
            </w:pPr>
          </w:p>
        </w:tc>
        <w:tc>
          <w:tcPr>
            <w:tcW w:w="760" w:type="dxa"/>
            <w:vAlign w:val="bottom"/>
            <w:shd w:val="clear" w:color="auto" w:fill="424E6A"/>
          </w:tcPr>
          <w:p>
            <w:pPr>
              <w:jc w:val="right"/>
              <w:ind w:right="309"/>
              <w:spacing w:after="0"/>
              <w:rPr>
                <w:sz w:val="20"/>
                <w:szCs w:val="20"/>
                <w:color w:val="auto"/>
              </w:rPr>
            </w:pPr>
            <w:r>
              <w:rPr>
                <w:rFonts w:ascii="Arial" w:cs="Arial" w:eastAsia="Arial" w:hAnsi="Arial"/>
                <w:sz w:val="14"/>
                <w:szCs w:val="14"/>
                <w:b w:val="1"/>
                <w:bCs w:val="1"/>
                <w:color w:val="FFFFFF"/>
              </w:rPr>
              <w:t>($)</w:t>
            </w:r>
          </w:p>
        </w:tc>
        <w:tc>
          <w:tcPr>
            <w:tcW w:w="38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180" w:type="dxa"/>
            <w:vAlign w:val="bottom"/>
            <w:shd w:val="clear" w:color="auto" w:fill="424E6A"/>
          </w:tcPr>
          <w:p>
            <w:pPr>
              <w:spacing w:after="0"/>
              <w:rPr>
                <w:sz w:val="18"/>
                <w:szCs w:val="18"/>
                <w:color w:val="auto"/>
              </w:rPr>
            </w:pPr>
          </w:p>
        </w:tc>
        <w:tc>
          <w:tcPr>
            <w:tcW w:w="800" w:type="dxa"/>
            <w:vAlign w:val="bottom"/>
            <w:shd w:val="clear" w:color="auto" w:fill="424E6A"/>
          </w:tcPr>
          <w:p>
            <w:pPr>
              <w:jc w:val="right"/>
              <w:ind w:right="308"/>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right w:val="single" w:sz="8" w:color="424E6A"/>
            </w:tcBorders>
            <w:shd w:val="clear" w:color="auto" w:fill="424E6A"/>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44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5"/>
                <w:szCs w:val="15"/>
                <w:b w:val="1"/>
                <w:bCs w:val="1"/>
                <w:color w:val="auto"/>
              </w:rPr>
              <w:t>Willie Chiang</w:t>
            </w:r>
            <w:r>
              <w:rPr>
                <w:rFonts w:ascii="Arial" w:cs="Arial" w:eastAsia="Arial" w:hAnsi="Arial"/>
                <w:sz w:val="19"/>
                <w:szCs w:val="19"/>
                <w:b w:val="1"/>
                <w:bCs w:val="1"/>
                <w:color w:val="auto"/>
                <w:vertAlign w:val="superscript"/>
              </w:rPr>
              <w:t>(4)</w:t>
            </w:r>
          </w:p>
        </w:tc>
        <w:tc>
          <w:tcPr>
            <w:tcW w:w="840" w:type="dxa"/>
            <w:vAlign w:val="bottom"/>
            <w:tcBorders>
              <w:bottom w:val="single" w:sz="8" w:color="424E6A"/>
              <w:right w:val="single" w:sz="8" w:color="424E6A"/>
            </w:tcBorders>
            <w:shd w:val="clear" w:color="auto" w:fill="D9DCE1"/>
          </w:tcPr>
          <w:p>
            <w:pPr>
              <w:ind w:left="780"/>
              <w:spacing w:after="0"/>
              <w:rPr>
                <w:sz w:val="20"/>
                <w:szCs w:val="20"/>
                <w:color w:val="auto"/>
              </w:rPr>
            </w:pPr>
            <w:r>
              <w:rPr>
                <w:rFonts w:ascii="Arial" w:cs="Arial" w:eastAsia="Arial" w:hAnsi="Arial"/>
                <w:sz w:val="15"/>
                <w:szCs w:val="15"/>
                <w:b w:val="1"/>
                <w:bCs w:val="1"/>
                <w:color w:val="auto"/>
              </w:rPr>
              <w:t>​</w:t>
            </w:r>
          </w:p>
        </w:tc>
        <w:tc>
          <w:tcPr>
            <w:tcW w:w="1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424E6A"/>
            </w:tcBorders>
            <w:shd w:val="clear" w:color="auto" w:fill="D9DCE1"/>
          </w:tcPr>
          <w:p>
            <w:pPr>
              <w:spacing w:after="0"/>
              <w:rPr>
                <w:sz w:val="21"/>
                <w:szCs w:val="21"/>
                <w:color w:val="auto"/>
              </w:rPr>
            </w:pPr>
          </w:p>
        </w:tc>
        <w:tc>
          <w:tcPr>
            <w:tcW w:w="16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5"/>
                <w:szCs w:val="15"/>
                <w:b w:val="1"/>
                <w:bCs w:val="1"/>
                <w:color w:val="auto"/>
              </w:rPr>
              <w:t>​</w:t>
            </w:r>
          </w:p>
        </w:tc>
        <w:tc>
          <w:tcPr>
            <w:tcW w:w="2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5"/>
                <w:szCs w:val="15"/>
                <w:b w:val="1"/>
                <w:bCs w:val="1"/>
                <w:color w:val="auto"/>
              </w:rPr>
              <w:t>​ ​</w:t>
            </w:r>
          </w:p>
        </w:tc>
        <w:tc>
          <w:tcPr>
            <w:tcW w:w="740" w:type="dxa"/>
            <w:vAlign w:val="bottom"/>
            <w:tcBorders>
              <w:bottom w:val="single" w:sz="8" w:color="424E6A"/>
            </w:tcBorders>
            <w:shd w:val="clear" w:color="auto" w:fill="D9DCE1"/>
          </w:tcPr>
          <w:p>
            <w:pPr>
              <w:spacing w:after="0"/>
              <w:rPr>
                <w:sz w:val="21"/>
                <w:szCs w:val="21"/>
                <w:color w:val="auto"/>
              </w:rPr>
            </w:pPr>
          </w:p>
        </w:tc>
        <w:tc>
          <w:tcPr>
            <w:tcW w:w="16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5"/>
                <w:szCs w:val="15"/>
                <w:b w:val="1"/>
                <w:bCs w:val="1"/>
                <w:color w:val="auto"/>
              </w:rPr>
              <w:t>​</w:t>
            </w:r>
          </w:p>
        </w:tc>
        <w:tc>
          <w:tcPr>
            <w:tcW w:w="1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5"/>
                <w:szCs w:val="15"/>
                <w:b w:val="1"/>
                <w:bCs w:val="1"/>
                <w:color w:val="auto"/>
              </w:rPr>
              <w:t>​</w:t>
            </w:r>
          </w:p>
        </w:tc>
        <w:tc>
          <w:tcPr>
            <w:tcW w:w="24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5"/>
                <w:szCs w:val="15"/>
                <w:b w:val="1"/>
                <w:bCs w:val="1"/>
                <w:color w:val="auto"/>
              </w:rPr>
              <w:t>​</w:t>
            </w:r>
          </w:p>
        </w:tc>
        <w:tc>
          <w:tcPr>
            <w:tcW w:w="760" w:type="dxa"/>
            <w:vAlign w:val="bottom"/>
            <w:tcBorders>
              <w:bottom w:val="single" w:sz="8" w:color="424E6A"/>
            </w:tcBorders>
            <w:shd w:val="clear" w:color="auto" w:fill="D9DCE1"/>
          </w:tcPr>
          <w:p>
            <w:pPr>
              <w:spacing w:after="0"/>
              <w:rPr>
                <w:sz w:val="21"/>
                <w:szCs w:val="21"/>
                <w:color w:val="auto"/>
              </w:rPr>
            </w:pPr>
          </w:p>
        </w:tc>
        <w:tc>
          <w:tcPr>
            <w:tcW w:w="220" w:type="dxa"/>
            <w:vAlign w:val="bottom"/>
            <w:tcBorders>
              <w:bottom w:val="single" w:sz="8" w:color="424E6A"/>
              <w:right w:val="single" w:sz="8" w:color="424E6A"/>
            </w:tcBorders>
            <w:shd w:val="clear" w:color="auto" w:fill="D9DCE1"/>
          </w:tcPr>
          <w:p>
            <w:pPr>
              <w:jc w:val="right"/>
              <w:ind w:right="4"/>
              <w:spacing w:after="0"/>
              <w:rPr>
                <w:sz w:val="20"/>
                <w:szCs w:val="20"/>
                <w:color w:val="auto"/>
              </w:rPr>
            </w:pPr>
            <w:r>
              <w:rPr>
                <w:rFonts w:ascii="Arial" w:cs="Arial" w:eastAsia="Arial" w:hAnsi="Arial"/>
                <w:sz w:val="15"/>
                <w:szCs w:val="15"/>
                <w:b w:val="1"/>
                <w:bCs w:val="1"/>
                <w:color w:val="auto"/>
              </w:rPr>
              <w:t>​ ​</w:t>
            </w:r>
          </w:p>
        </w:tc>
        <w:tc>
          <w:tcPr>
            <w:tcW w:w="16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5"/>
                <w:szCs w:val="15"/>
                <w:b w:val="1"/>
                <w:bCs w:val="1"/>
                <w:color w:val="auto"/>
              </w:rPr>
              <w:t>​</w:t>
            </w:r>
          </w:p>
        </w:tc>
        <w:tc>
          <w:tcPr>
            <w:tcW w:w="180" w:type="dxa"/>
            <w:vAlign w:val="bottom"/>
            <w:tcBorders>
              <w:bottom w:val="single" w:sz="8" w:color="424E6A"/>
            </w:tcBorders>
            <w:shd w:val="clear" w:color="auto" w:fill="D9DCE1"/>
          </w:tcPr>
          <w:p>
            <w:pPr>
              <w:ind w:left="120"/>
              <w:spacing w:after="0"/>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424E6A"/>
            </w:tcBorders>
            <w:shd w:val="clear" w:color="auto" w:fill="D9DCE1"/>
          </w:tcPr>
          <w:p>
            <w:pPr>
              <w:spacing w:after="0"/>
              <w:rPr>
                <w:sz w:val="21"/>
                <w:szCs w:val="21"/>
                <w:color w:val="auto"/>
              </w:rPr>
            </w:pPr>
          </w:p>
        </w:tc>
        <w:tc>
          <w:tcPr>
            <w:tcW w:w="220" w:type="dxa"/>
            <w:vAlign w:val="bottom"/>
            <w:tcBorders>
              <w:bottom w:val="single" w:sz="8" w:color="424E6A"/>
              <w:right w:val="single" w:sz="8" w:color="424E6A"/>
            </w:tcBorders>
            <w:shd w:val="clear" w:color="auto" w:fill="D9DCE1"/>
          </w:tcPr>
          <w:p>
            <w:pPr>
              <w:jc w:val="right"/>
              <w:ind w:right="98"/>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56"/>
        </w:trPr>
        <w:tc>
          <w:tcPr>
            <w:tcW w:w="2440" w:type="dxa"/>
            <w:vAlign w:val="bottom"/>
            <w:tcBorders>
              <w:left w:val="single" w:sz="8" w:color="424E6A"/>
            </w:tcBorders>
          </w:tcPr>
          <w:p>
            <w:pPr>
              <w:ind w:left="220"/>
              <w:spacing w:after="0" w:line="156" w:lineRule="exact"/>
              <w:rPr>
                <w:sz w:val="20"/>
                <w:szCs w:val="20"/>
                <w:color w:val="auto"/>
              </w:rPr>
            </w:pPr>
            <w:r>
              <w:rPr>
                <w:rFonts w:ascii="Arial" w:cs="Arial" w:eastAsia="Arial" w:hAnsi="Arial"/>
                <w:sz w:val="15"/>
                <w:szCs w:val="15"/>
                <w:color w:val="auto"/>
              </w:rPr>
              <w:t>Equity Compensation</w:t>
            </w:r>
          </w:p>
        </w:tc>
        <w:tc>
          <w:tcPr>
            <w:tcW w:w="840" w:type="dxa"/>
            <w:vAlign w:val="bottom"/>
            <w:tcBorders>
              <w:right w:val="single" w:sz="8" w:color="424E6A"/>
            </w:tcBorders>
            <w:vMerge w:val="restart"/>
          </w:tcPr>
          <w:p>
            <w:pPr>
              <w:ind w:left="780"/>
              <w:spacing w:after="0"/>
              <w:rPr>
                <w:sz w:val="20"/>
                <w:szCs w:val="20"/>
                <w:color w:val="auto"/>
              </w:rPr>
            </w:pPr>
            <w:r>
              <w:rPr>
                <w:rFonts w:ascii="Arial" w:cs="Arial" w:eastAsia="Arial" w:hAnsi="Arial"/>
                <w:sz w:val="15"/>
                <w:szCs w:val="15"/>
                <w:color w:val="auto"/>
              </w:rPr>
              <w:t>​</w:t>
            </w:r>
          </w:p>
        </w:tc>
        <w:tc>
          <w:tcPr>
            <w:tcW w:w="1080" w:type="dxa"/>
            <w:vAlign w:val="bottom"/>
            <w:tcBorders>
              <w:right w:val="single" w:sz="8" w:color="424E6A"/>
            </w:tcBorders>
            <w:gridSpan w:val="3"/>
          </w:tcPr>
          <w:p>
            <w:pPr>
              <w:jc w:val="right"/>
              <w:ind w:right="17"/>
              <w:spacing w:after="0" w:line="156" w:lineRule="exact"/>
              <w:rPr>
                <w:sz w:val="20"/>
                <w:szCs w:val="20"/>
                <w:color w:val="auto"/>
              </w:rPr>
            </w:pPr>
            <w:r>
              <w:rPr>
                <w:rFonts w:ascii="Arial" w:cs="Arial" w:eastAsia="Arial" w:hAnsi="Arial"/>
                <w:sz w:val="15"/>
                <w:szCs w:val="15"/>
                <w:color w:val="auto"/>
              </w:rPr>
              <w:t>21,226,026</w:t>
            </w:r>
            <w:r>
              <w:rPr>
                <w:rFonts w:ascii="Arial" w:cs="Arial" w:eastAsia="Arial" w:hAnsi="Arial"/>
                <w:sz w:val="18"/>
                <w:szCs w:val="18"/>
                <w:color w:val="auto"/>
                <w:vertAlign w:val="superscript"/>
              </w:rPr>
              <w:t>(1)</w:t>
            </w:r>
          </w:p>
        </w:tc>
        <w:tc>
          <w:tcPr>
            <w:tcW w:w="1140" w:type="dxa"/>
            <w:vAlign w:val="bottom"/>
            <w:tcBorders>
              <w:right w:val="single" w:sz="8" w:color="424E6A"/>
            </w:tcBorders>
            <w:gridSpan w:val="3"/>
          </w:tcPr>
          <w:p>
            <w:pPr>
              <w:jc w:val="right"/>
              <w:ind w:right="17"/>
              <w:spacing w:after="0" w:line="156" w:lineRule="exact"/>
              <w:rPr>
                <w:sz w:val="20"/>
                <w:szCs w:val="20"/>
                <w:color w:val="auto"/>
              </w:rPr>
            </w:pPr>
            <w:r>
              <w:rPr>
                <w:rFonts w:ascii="Arial" w:cs="Arial" w:eastAsia="Arial" w:hAnsi="Arial"/>
                <w:sz w:val="15"/>
                <w:szCs w:val="15"/>
                <w:color w:val="auto"/>
              </w:rPr>
              <w:t>16,554,140</w:t>
            </w:r>
            <w:r>
              <w:rPr>
                <w:rFonts w:ascii="Arial" w:cs="Arial" w:eastAsia="Arial" w:hAnsi="Arial"/>
                <w:sz w:val="18"/>
                <w:szCs w:val="18"/>
                <w:color w:val="auto"/>
                <w:vertAlign w:val="superscript"/>
              </w:rPr>
              <w:t>(2)</w:t>
            </w:r>
          </w:p>
        </w:tc>
        <w:tc>
          <w:tcPr>
            <w:tcW w:w="140" w:type="dxa"/>
            <w:vAlign w:val="bottom"/>
          </w:tcPr>
          <w:p>
            <w:pPr>
              <w:spacing w:after="0"/>
              <w:rPr>
                <w:sz w:val="13"/>
                <w:szCs w:val="13"/>
                <w:color w:val="auto"/>
              </w:rPr>
            </w:pPr>
          </w:p>
        </w:tc>
        <w:tc>
          <w:tcPr>
            <w:tcW w:w="1220" w:type="dxa"/>
            <w:vAlign w:val="bottom"/>
            <w:tcBorders>
              <w:right w:val="single" w:sz="8" w:color="424E6A"/>
            </w:tcBorders>
            <w:gridSpan w:val="3"/>
          </w:tcPr>
          <w:p>
            <w:pPr>
              <w:jc w:val="right"/>
              <w:ind w:right="84"/>
              <w:spacing w:after="0" w:line="156" w:lineRule="exact"/>
              <w:rPr>
                <w:sz w:val="20"/>
                <w:szCs w:val="20"/>
                <w:color w:val="auto"/>
              </w:rPr>
            </w:pPr>
            <w:r>
              <w:rPr>
                <w:rFonts w:ascii="Arial" w:cs="Arial" w:eastAsia="Arial" w:hAnsi="Arial"/>
                <w:sz w:val="15"/>
                <w:szCs w:val="15"/>
                <w:color w:val="auto"/>
              </w:rPr>
              <w:t>$21,226,026</w:t>
            </w:r>
            <w:r>
              <w:rPr>
                <w:rFonts w:ascii="Arial" w:cs="Arial" w:eastAsia="Arial" w:hAnsi="Arial"/>
                <w:sz w:val="18"/>
                <w:szCs w:val="18"/>
                <w:color w:val="auto"/>
                <w:vertAlign w:val="superscript"/>
              </w:rPr>
              <w:t>(3)</w:t>
            </w: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right w:val="single" w:sz="8" w:color="424E6A"/>
            </w:tcBorders>
            <w:gridSpan w:val="3"/>
          </w:tcPr>
          <w:p>
            <w:pPr>
              <w:jc w:val="right"/>
              <w:ind w:right="118"/>
              <w:spacing w:after="0" w:line="156" w:lineRule="exact"/>
              <w:rPr>
                <w:sz w:val="20"/>
                <w:szCs w:val="20"/>
                <w:color w:val="auto"/>
              </w:rPr>
            </w:pPr>
            <w:r>
              <w:rPr>
                <w:rFonts w:ascii="Arial" w:cs="Arial" w:eastAsia="Arial" w:hAnsi="Arial"/>
                <w:sz w:val="15"/>
                <w:szCs w:val="15"/>
                <w:color w:val="auto"/>
              </w:rPr>
              <w:t>28,721,632</w:t>
            </w:r>
            <w:r>
              <w:rPr>
                <w:rFonts w:ascii="Arial" w:cs="Arial" w:eastAsia="Arial" w:hAnsi="Arial"/>
                <w:sz w:val="18"/>
                <w:szCs w:val="18"/>
                <w:color w:val="auto"/>
                <w:vertAlign w:val="superscript"/>
              </w:rPr>
              <w:t>(3)</w:t>
            </w:r>
          </w:p>
        </w:tc>
        <w:tc>
          <w:tcPr>
            <w:tcW w:w="0" w:type="dxa"/>
            <w:vAlign w:val="bottom"/>
          </w:tcPr>
          <w:p>
            <w:pPr>
              <w:spacing w:after="0"/>
              <w:rPr>
                <w:sz w:val="1"/>
                <w:szCs w:val="1"/>
                <w:color w:val="auto"/>
              </w:rPr>
            </w:pPr>
          </w:p>
        </w:tc>
      </w:tr>
      <w:tr>
        <w:trPr>
          <w:trHeight w:val="68"/>
        </w:trPr>
        <w:tc>
          <w:tcPr>
            <w:tcW w:w="2440" w:type="dxa"/>
            <w:vAlign w:val="bottom"/>
            <w:tcBorders>
              <w:left w:val="single" w:sz="8" w:color="424E6A"/>
              <w:bottom w:val="single" w:sz="8" w:color="424E6A"/>
            </w:tcBorders>
          </w:tcPr>
          <w:p>
            <w:pPr>
              <w:spacing w:after="0"/>
              <w:rPr>
                <w:sz w:val="5"/>
                <w:szCs w:val="5"/>
                <w:color w:val="auto"/>
              </w:rPr>
            </w:pPr>
          </w:p>
        </w:tc>
        <w:tc>
          <w:tcPr>
            <w:tcW w:w="84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tcPr>
          <w:p>
            <w:pPr>
              <w:ind w:left="40"/>
              <w:spacing w:after="0" w:line="68" w:lineRule="exact"/>
              <w:rPr>
                <w:sz w:val="20"/>
                <w:szCs w:val="20"/>
                <w:color w:val="auto"/>
              </w:rPr>
            </w:pPr>
            <w:r>
              <w:rPr>
                <w:rFonts w:ascii="Arial" w:cs="Arial" w:eastAsia="Arial" w:hAnsi="Arial"/>
                <w:sz w:val="7"/>
                <w:szCs w:val="7"/>
                <w:color w:val="auto"/>
              </w:rPr>
              <w:t>​​</w:t>
            </w:r>
          </w:p>
        </w:tc>
        <w:tc>
          <w:tcPr>
            <w:tcW w:w="780" w:type="dxa"/>
            <w:vAlign w:val="bottom"/>
            <w:tcBorders>
              <w:bottom w:val="single" w:sz="8" w:color="424E6A"/>
            </w:tcBorders>
          </w:tcPr>
          <w:p>
            <w:pPr>
              <w:spacing w:after="0"/>
              <w:rPr>
                <w:sz w:val="5"/>
                <w:szCs w:val="5"/>
                <w:color w:val="auto"/>
              </w:rPr>
            </w:pPr>
          </w:p>
        </w:tc>
        <w:tc>
          <w:tcPr>
            <w:tcW w:w="160" w:type="dxa"/>
            <w:vAlign w:val="bottom"/>
            <w:tcBorders>
              <w:bottom w:val="single" w:sz="8" w:color="424E6A"/>
              <w:right w:val="single" w:sz="8" w:color="424E6A"/>
            </w:tcBorders>
          </w:tcPr>
          <w:p>
            <w:pPr>
              <w:ind w:left="40"/>
              <w:spacing w:after="0" w:line="68" w:lineRule="exact"/>
              <w:rPr>
                <w:sz w:val="20"/>
                <w:szCs w:val="20"/>
                <w:color w:val="auto"/>
              </w:rPr>
            </w:pPr>
            <w:r>
              <w:rPr>
                <w:rFonts w:ascii="Arial" w:cs="Arial" w:eastAsia="Arial" w:hAnsi="Arial"/>
                <w:sz w:val="7"/>
                <w:szCs w:val="7"/>
                <w:color w:val="auto"/>
              </w:rPr>
              <w:t>​</w:t>
            </w:r>
          </w:p>
        </w:tc>
        <w:tc>
          <w:tcPr>
            <w:tcW w:w="240" w:type="dxa"/>
            <w:vAlign w:val="bottom"/>
            <w:tcBorders>
              <w:bottom w:val="single" w:sz="8" w:color="424E6A"/>
            </w:tcBorders>
          </w:tcPr>
          <w:p>
            <w:pPr>
              <w:ind w:left="80"/>
              <w:spacing w:after="0" w:line="68" w:lineRule="exact"/>
              <w:rPr>
                <w:sz w:val="20"/>
                <w:szCs w:val="20"/>
                <w:color w:val="auto"/>
              </w:rPr>
            </w:pPr>
            <w:r>
              <w:rPr>
                <w:rFonts w:ascii="Arial" w:cs="Arial" w:eastAsia="Arial" w:hAnsi="Arial"/>
                <w:sz w:val="7"/>
                <w:szCs w:val="7"/>
                <w:color w:val="auto"/>
              </w:rPr>
              <w:t>​ ​</w:t>
            </w:r>
          </w:p>
        </w:tc>
        <w:tc>
          <w:tcPr>
            <w:tcW w:w="740" w:type="dxa"/>
            <w:vAlign w:val="bottom"/>
            <w:tcBorders>
              <w:bottom w:val="single" w:sz="8" w:color="424E6A"/>
            </w:tcBorders>
          </w:tcPr>
          <w:p>
            <w:pPr>
              <w:spacing w:after="0"/>
              <w:rPr>
                <w:sz w:val="5"/>
                <w:szCs w:val="5"/>
                <w:color w:val="auto"/>
              </w:rPr>
            </w:pPr>
          </w:p>
        </w:tc>
        <w:tc>
          <w:tcPr>
            <w:tcW w:w="160" w:type="dxa"/>
            <w:vAlign w:val="bottom"/>
            <w:tcBorders>
              <w:bottom w:val="single" w:sz="8" w:color="424E6A"/>
              <w:right w:val="single" w:sz="8" w:color="424E6A"/>
            </w:tcBorders>
          </w:tcPr>
          <w:p>
            <w:pPr>
              <w:ind w:left="60"/>
              <w:spacing w:after="0" w:line="68" w:lineRule="exact"/>
              <w:rPr>
                <w:sz w:val="20"/>
                <w:szCs w:val="20"/>
                <w:color w:val="auto"/>
              </w:rPr>
            </w:pPr>
            <w:r>
              <w:rPr>
                <w:rFonts w:ascii="Arial" w:cs="Arial" w:eastAsia="Arial" w:hAnsi="Arial"/>
                <w:sz w:val="7"/>
                <w:szCs w:val="7"/>
                <w:color w:val="auto"/>
              </w:rPr>
              <w:t>​</w:t>
            </w:r>
          </w:p>
        </w:tc>
        <w:tc>
          <w:tcPr>
            <w:tcW w:w="380" w:type="dxa"/>
            <w:vAlign w:val="bottom"/>
            <w:tcBorders>
              <w:bottom w:val="single" w:sz="8" w:color="424E6A"/>
            </w:tcBorders>
            <w:gridSpan w:val="2"/>
          </w:tcPr>
          <w:p>
            <w:pPr>
              <w:ind w:left="8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220" w:type="dxa"/>
            <w:vAlign w:val="bottom"/>
            <w:tcBorders>
              <w:bottom w:val="single" w:sz="8" w:color="424E6A"/>
              <w:right w:val="single" w:sz="8" w:color="424E6A"/>
            </w:tcBorders>
          </w:tcPr>
          <w:p>
            <w:pPr>
              <w:jc w:val="right"/>
              <w:ind w:right="4"/>
              <w:spacing w:after="0" w:line="68" w:lineRule="exact"/>
              <w:rPr>
                <w:sz w:val="20"/>
                <w:szCs w:val="20"/>
                <w:color w:val="auto"/>
              </w:rPr>
            </w:pPr>
            <w:r>
              <w:rPr>
                <w:rFonts w:ascii="Arial" w:cs="Arial" w:eastAsia="Arial" w:hAnsi="Arial"/>
                <w:sz w:val="7"/>
                <w:szCs w:val="7"/>
                <w:color w:val="auto"/>
              </w:rPr>
              <w:t>​ ​</w:t>
            </w:r>
          </w:p>
        </w:tc>
        <w:tc>
          <w:tcPr>
            <w:tcW w:w="160" w:type="dxa"/>
            <w:vAlign w:val="bottom"/>
            <w:tcBorders>
              <w:bottom w:val="single" w:sz="8" w:color="424E6A"/>
            </w:tcBorders>
            <w:vMerge w:val="continue"/>
          </w:tcPr>
          <w:p>
            <w:pPr>
              <w:spacing w:after="0"/>
              <w:rPr>
                <w:sz w:val="5"/>
                <w:szCs w:val="5"/>
                <w:color w:val="auto"/>
              </w:rPr>
            </w:pPr>
          </w:p>
        </w:tc>
        <w:tc>
          <w:tcPr>
            <w:tcW w:w="180" w:type="dxa"/>
            <w:vAlign w:val="bottom"/>
            <w:tcBorders>
              <w:bottom w:val="single" w:sz="8" w:color="424E6A"/>
            </w:tcBorders>
          </w:tcPr>
          <w:p>
            <w:pPr>
              <w:ind w:left="120"/>
              <w:spacing w:after="0" w:line="68" w:lineRule="exact"/>
              <w:rPr>
                <w:sz w:val="20"/>
                <w:szCs w:val="20"/>
                <w:color w:val="auto"/>
              </w:rPr>
            </w:pPr>
            <w:r>
              <w:rPr>
                <w:rFonts w:ascii="Arial" w:cs="Arial" w:eastAsia="Arial" w:hAnsi="Arial"/>
                <w:sz w:val="7"/>
                <w:szCs w:val="7"/>
                <w:color w:val="auto"/>
              </w:rPr>
              <w:t>​</w:t>
            </w:r>
          </w:p>
        </w:tc>
        <w:tc>
          <w:tcPr>
            <w:tcW w:w="800" w:type="dxa"/>
            <w:vAlign w:val="bottom"/>
            <w:tcBorders>
              <w:bottom w:val="single" w:sz="8" w:color="424E6A"/>
            </w:tcBorders>
          </w:tcPr>
          <w:p>
            <w:pPr>
              <w:spacing w:after="0"/>
              <w:rPr>
                <w:sz w:val="5"/>
                <w:szCs w:val="5"/>
                <w:color w:val="auto"/>
              </w:rPr>
            </w:pPr>
          </w:p>
        </w:tc>
        <w:tc>
          <w:tcPr>
            <w:tcW w:w="220" w:type="dxa"/>
            <w:vAlign w:val="bottom"/>
            <w:tcBorders>
              <w:bottom w:val="single" w:sz="8" w:color="424E6A"/>
              <w:right w:val="single" w:sz="8" w:color="424E6A"/>
            </w:tcBorders>
          </w:tcPr>
          <w:p>
            <w:pPr>
              <w:jc w:val="right"/>
              <w:ind w:right="98"/>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23"/>
        </w:trPr>
        <w:tc>
          <w:tcPr>
            <w:tcW w:w="2440" w:type="dxa"/>
            <w:vAlign w:val="bottom"/>
            <w:tcBorders>
              <w:left w:val="single" w:sz="8" w:color="424E6A"/>
              <w:bottom w:val="single" w:sz="8" w:color="424E6A"/>
            </w:tcBorders>
          </w:tcPr>
          <w:p>
            <w:pPr>
              <w:ind w:left="220"/>
              <w:spacing w:after="0"/>
              <w:rPr>
                <w:sz w:val="20"/>
                <w:szCs w:val="20"/>
                <w:color w:val="auto"/>
              </w:rPr>
            </w:pPr>
            <w:r>
              <w:rPr>
                <w:rFonts w:ascii="Arial" w:cs="Arial" w:eastAsia="Arial" w:hAnsi="Arial"/>
                <w:sz w:val="15"/>
                <w:szCs w:val="15"/>
                <w:color w:val="auto"/>
              </w:rPr>
              <w:t>Total</w:t>
            </w:r>
          </w:p>
        </w:tc>
        <w:tc>
          <w:tcPr>
            <w:tcW w:w="840" w:type="dxa"/>
            <w:vAlign w:val="bottom"/>
            <w:tcBorders>
              <w:bottom w:val="single" w:sz="8" w:color="424E6A"/>
              <w:right w:val="single" w:sz="8" w:color="424E6A"/>
            </w:tcBorders>
          </w:tcPr>
          <w:p>
            <w:pPr>
              <w:ind w:left="780"/>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424E6A"/>
            </w:tcBorders>
            <w:gridSpan w:val="2"/>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21,226,026</w:t>
            </w:r>
          </w:p>
        </w:tc>
        <w:tc>
          <w:tcPr>
            <w:tcW w:w="16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424E6A"/>
            </w:tcBorders>
            <w:gridSpan w:val="2"/>
          </w:tcPr>
          <w:p>
            <w:pPr>
              <w:ind w:left="80"/>
              <w:spacing w:after="0" w:line="223"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16,554,140</w:t>
            </w:r>
          </w:p>
        </w:tc>
        <w:tc>
          <w:tcPr>
            <w:tcW w:w="16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424E6A"/>
              <w:right w:val="single" w:sz="8" w:color="424E6A"/>
            </w:tcBorders>
            <w:gridSpan w:val="3"/>
          </w:tcPr>
          <w:p>
            <w:pPr>
              <w:jc w:val="right"/>
              <w:ind w:right="4"/>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$21,226,026 </w:t>
            </w:r>
            <w:r>
              <w:rPr>
                <w:rFonts w:ascii="Arial" w:cs="Arial" w:eastAsia="Arial" w:hAnsi="Arial"/>
                <w:sz w:val="25"/>
                <w:szCs w:val="25"/>
                <w:color w:val="auto"/>
                <w:vertAlign w:val="subscript"/>
              </w:rPr>
              <w:t>​ ​</w:t>
            </w:r>
          </w:p>
        </w:tc>
        <w:tc>
          <w:tcPr>
            <w:tcW w:w="160" w:type="dxa"/>
            <w:vAlign w:val="bottom"/>
            <w:tcBorders>
              <w:bottom w:val="single" w:sz="8" w:color="424E6A"/>
            </w:tcBorders>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424E6A"/>
            </w:tcBorders>
            <w:gridSpan w:val="2"/>
          </w:tcPr>
          <w:p>
            <w:pPr>
              <w:ind w:left="1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28,721,632</w:t>
            </w:r>
          </w:p>
        </w:tc>
        <w:tc>
          <w:tcPr>
            <w:tcW w:w="220" w:type="dxa"/>
            <w:vAlign w:val="bottom"/>
            <w:tcBorders>
              <w:bottom w:val="single" w:sz="8" w:color="424E6A"/>
              <w:right w:val="single" w:sz="8" w:color="424E6A"/>
            </w:tcBorders>
          </w:tcPr>
          <w:p>
            <w:pPr>
              <w:jc w:val="right"/>
              <w:ind w:right="9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7"/>
        </w:trPr>
        <w:tc>
          <w:tcPr>
            <w:tcW w:w="244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5"/>
                <w:szCs w:val="15"/>
                <w:b w:val="1"/>
                <w:bCs w:val="1"/>
                <w:color w:val="auto"/>
              </w:rPr>
              <w:t>Al Swanson</w:t>
            </w:r>
            <w:r>
              <w:rPr>
                <w:rFonts w:ascii="Arial" w:cs="Arial" w:eastAsia="Arial" w:hAnsi="Arial"/>
                <w:sz w:val="19"/>
                <w:szCs w:val="19"/>
                <w:b w:val="1"/>
                <w:bCs w:val="1"/>
                <w:color w:val="auto"/>
                <w:vertAlign w:val="superscript"/>
              </w:rPr>
              <w:t>(4)</w:t>
            </w:r>
          </w:p>
        </w:tc>
        <w:tc>
          <w:tcPr>
            <w:tcW w:w="840" w:type="dxa"/>
            <w:vAlign w:val="bottom"/>
            <w:tcBorders>
              <w:bottom w:val="single" w:sz="8" w:color="424E6A"/>
              <w:right w:val="single" w:sz="8" w:color="424E6A"/>
            </w:tcBorders>
            <w:shd w:val="clear" w:color="auto" w:fill="D9DCE1"/>
          </w:tcPr>
          <w:p>
            <w:pPr>
              <w:ind w:left="780"/>
              <w:spacing w:after="0"/>
              <w:rPr>
                <w:sz w:val="20"/>
                <w:szCs w:val="20"/>
                <w:color w:val="auto"/>
              </w:rPr>
            </w:pPr>
            <w:r>
              <w:rPr>
                <w:rFonts w:ascii="Arial" w:cs="Arial" w:eastAsia="Arial" w:hAnsi="Arial"/>
                <w:sz w:val="15"/>
                <w:szCs w:val="15"/>
                <w:b w:val="1"/>
                <w:bCs w:val="1"/>
                <w:color w:val="auto"/>
              </w:rPr>
              <w:t>​</w:t>
            </w:r>
          </w:p>
        </w:tc>
        <w:tc>
          <w:tcPr>
            <w:tcW w:w="1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424E6A"/>
            </w:tcBorders>
            <w:shd w:val="clear" w:color="auto" w:fill="D9DCE1"/>
          </w:tcPr>
          <w:p>
            <w:pPr>
              <w:spacing w:after="0"/>
              <w:rPr>
                <w:sz w:val="20"/>
                <w:szCs w:val="20"/>
                <w:color w:val="auto"/>
              </w:rPr>
            </w:pPr>
          </w:p>
        </w:tc>
        <w:tc>
          <w:tcPr>
            <w:tcW w:w="16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5"/>
                <w:szCs w:val="15"/>
                <w:b w:val="1"/>
                <w:bCs w:val="1"/>
                <w:color w:val="auto"/>
              </w:rPr>
              <w:t>​</w:t>
            </w:r>
          </w:p>
        </w:tc>
        <w:tc>
          <w:tcPr>
            <w:tcW w:w="2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5"/>
                <w:szCs w:val="15"/>
                <w:b w:val="1"/>
                <w:bCs w:val="1"/>
                <w:color w:val="auto"/>
              </w:rPr>
              <w:t>​ ​</w:t>
            </w:r>
          </w:p>
        </w:tc>
        <w:tc>
          <w:tcPr>
            <w:tcW w:w="740" w:type="dxa"/>
            <w:vAlign w:val="bottom"/>
            <w:tcBorders>
              <w:bottom w:val="single" w:sz="8" w:color="424E6A"/>
            </w:tcBorders>
            <w:shd w:val="clear" w:color="auto" w:fill="D9DCE1"/>
          </w:tcPr>
          <w:p>
            <w:pPr>
              <w:spacing w:after="0"/>
              <w:rPr>
                <w:sz w:val="20"/>
                <w:szCs w:val="20"/>
                <w:color w:val="auto"/>
              </w:rPr>
            </w:pPr>
          </w:p>
        </w:tc>
        <w:tc>
          <w:tcPr>
            <w:tcW w:w="16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5"/>
                <w:szCs w:val="15"/>
                <w:b w:val="1"/>
                <w:bCs w:val="1"/>
                <w:color w:val="auto"/>
              </w:rPr>
              <w:t>​</w:t>
            </w:r>
          </w:p>
        </w:tc>
        <w:tc>
          <w:tcPr>
            <w:tcW w:w="1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5"/>
                <w:szCs w:val="15"/>
                <w:b w:val="1"/>
                <w:bCs w:val="1"/>
                <w:color w:val="auto"/>
              </w:rPr>
              <w:t>​</w:t>
            </w:r>
          </w:p>
        </w:tc>
        <w:tc>
          <w:tcPr>
            <w:tcW w:w="24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5"/>
                <w:szCs w:val="15"/>
                <w:b w:val="1"/>
                <w:bCs w:val="1"/>
                <w:color w:val="auto"/>
              </w:rPr>
              <w:t>​</w:t>
            </w:r>
          </w:p>
        </w:tc>
        <w:tc>
          <w:tcPr>
            <w:tcW w:w="760" w:type="dxa"/>
            <w:vAlign w:val="bottom"/>
            <w:tcBorders>
              <w:bottom w:val="single" w:sz="8" w:color="424E6A"/>
            </w:tcBorders>
            <w:shd w:val="clear" w:color="auto" w:fill="D9DCE1"/>
          </w:tcPr>
          <w:p>
            <w:pPr>
              <w:spacing w:after="0"/>
              <w:rPr>
                <w:sz w:val="20"/>
                <w:szCs w:val="20"/>
                <w:color w:val="auto"/>
              </w:rPr>
            </w:pPr>
          </w:p>
        </w:tc>
        <w:tc>
          <w:tcPr>
            <w:tcW w:w="220" w:type="dxa"/>
            <w:vAlign w:val="bottom"/>
            <w:tcBorders>
              <w:bottom w:val="single" w:sz="8" w:color="424E6A"/>
              <w:right w:val="single" w:sz="8" w:color="424E6A"/>
            </w:tcBorders>
            <w:shd w:val="clear" w:color="auto" w:fill="D9DCE1"/>
          </w:tcPr>
          <w:p>
            <w:pPr>
              <w:jc w:val="right"/>
              <w:ind w:right="4"/>
              <w:spacing w:after="0"/>
              <w:rPr>
                <w:sz w:val="20"/>
                <w:szCs w:val="20"/>
                <w:color w:val="auto"/>
              </w:rPr>
            </w:pPr>
            <w:r>
              <w:rPr>
                <w:rFonts w:ascii="Arial" w:cs="Arial" w:eastAsia="Arial" w:hAnsi="Arial"/>
                <w:sz w:val="15"/>
                <w:szCs w:val="15"/>
                <w:b w:val="1"/>
                <w:bCs w:val="1"/>
                <w:color w:val="auto"/>
              </w:rPr>
              <w:t>​ ​</w:t>
            </w:r>
          </w:p>
        </w:tc>
        <w:tc>
          <w:tcPr>
            <w:tcW w:w="16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5"/>
                <w:szCs w:val="15"/>
                <w:b w:val="1"/>
                <w:bCs w:val="1"/>
                <w:color w:val="auto"/>
              </w:rPr>
              <w:t>​</w:t>
            </w:r>
          </w:p>
        </w:tc>
        <w:tc>
          <w:tcPr>
            <w:tcW w:w="180" w:type="dxa"/>
            <w:vAlign w:val="bottom"/>
            <w:tcBorders>
              <w:bottom w:val="single" w:sz="8" w:color="424E6A"/>
            </w:tcBorders>
            <w:shd w:val="clear" w:color="auto" w:fill="D9DCE1"/>
          </w:tcPr>
          <w:p>
            <w:pPr>
              <w:ind w:left="120"/>
              <w:spacing w:after="0"/>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424E6A"/>
            </w:tcBorders>
            <w:shd w:val="clear" w:color="auto" w:fill="D9DCE1"/>
          </w:tcPr>
          <w:p>
            <w:pPr>
              <w:spacing w:after="0"/>
              <w:rPr>
                <w:sz w:val="20"/>
                <w:szCs w:val="20"/>
                <w:color w:val="auto"/>
              </w:rPr>
            </w:pPr>
          </w:p>
        </w:tc>
        <w:tc>
          <w:tcPr>
            <w:tcW w:w="220" w:type="dxa"/>
            <w:vAlign w:val="bottom"/>
            <w:tcBorders>
              <w:bottom w:val="single" w:sz="8" w:color="424E6A"/>
              <w:right w:val="single" w:sz="8" w:color="424E6A"/>
            </w:tcBorders>
            <w:shd w:val="clear" w:color="auto" w:fill="D9DCE1"/>
          </w:tcPr>
          <w:p>
            <w:pPr>
              <w:jc w:val="right"/>
              <w:ind w:right="98"/>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55"/>
        </w:trPr>
        <w:tc>
          <w:tcPr>
            <w:tcW w:w="2440" w:type="dxa"/>
            <w:vAlign w:val="bottom"/>
            <w:tcBorders>
              <w:left w:val="single" w:sz="8" w:color="424E6A"/>
            </w:tcBorders>
          </w:tcPr>
          <w:p>
            <w:pPr>
              <w:ind w:left="220"/>
              <w:spacing w:after="0" w:line="156" w:lineRule="exact"/>
              <w:rPr>
                <w:sz w:val="20"/>
                <w:szCs w:val="20"/>
                <w:color w:val="auto"/>
              </w:rPr>
            </w:pPr>
            <w:r>
              <w:rPr>
                <w:rFonts w:ascii="Arial" w:cs="Arial" w:eastAsia="Arial" w:hAnsi="Arial"/>
                <w:sz w:val="15"/>
                <w:szCs w:val="15"/>
                <w:color w:val="auto"/>
              </w:rPr>
              <w:t>Equity Compensation</w:t>
            </w:r>
          </w:p>
        </w:tc>
        <w:tc>
          <w:tcPr>
            <w:tcW w:w="840" w:type="dxa"/>
            <w:vAlign w:val="bottom"/>
            <w:tcBorders>
              <w:right w:val="single" w:sz="8" w:color="424E6A"/>
            </w:tcBorders>
            <w:vMerge w:val="restart"/>
          </w:tcPr>
          <w:p>
            <w:pPr>
              <w:ind w:left="780"/>
              <w:spacing w:after="0"/>
              <w:rPr>
                <w:sz w:val="20"/>
                <w:szCs w:val="20"/>
                <w:color w:val="auto"/>
              </w:rPr>
            </w:pPr>
            <w:r>
              <w:rPr>
                <w:rFonts w:ascii="Arial" w:cs="Arial" w:eastAsia="Arial" w:hAnsi="Arial"/>
                <w:sz w:val="15"/>
                <w:szCs w:val="15"/>
                <w:color w:val="auto"/>
              </w:rPr>
              <w:t>​</w:t>
            </w:r>
          </w:p>
        </w:tc>
        <w:tc>
          <w:tcPr>
            <w:tcW w:w="14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940" w:type="dxa"/>
            <w:vAlign w:val="bottom"/>
            <w:tcBorders>
              <w:right w:val="single" w:sz="8" w:color="424E6A"/>
            </w:tcBorders>
            <w:gridSpan w:val="2"/>
          </w:tcPr>
          <w:p>
            <w:pPr>
              <w:jc w:val="right"/>
              <w:ind w:right="17"/>
              <w:spacing w:after="0" w:line="156" w:lineRule="exact"/>
              <w:rPr>
                <w:sz w:val="20"/>
                <w:szCs w:val="20"/>
                <w:color w:val="auto"/>
              </w:rPr>
            </w:pPr>
            <w:r>
              <w:rPr>
                <w:rFonts w:ascii="Arial" w:cs="Arial" w:eastAsia="Arial" w:hAnsi="Arial"/>
                <w:sz w:val="15"/>
                <w:szCs w:val="15"/>
                <w:color w:val="auto"/>
              </w:rPr>
              <w:t>3,774,294</w:t>
            </w:r>
            <w:r>
              <w:rPr>
                <w:rFonts w:ascii="Arial" w:cs="Arial" w:eastAsia="Arial" w:hAnsi="Arial"/>
                <w:sz w:val="18"/>
                <w:szCs w:val="18"/>
                <w:color w:val="auto"/>
                <w:vertAlign w:val="superscript"/>
              </w:rPr>
              <w:t>(1)</w:t>
            </w:r>
          </w:p>
        </w:tc>
        <w:tc>
          <w:tcPr>
            <w:tcW w:w="240" w:type="dxa"/>
            <w:vAlign w:val="bottom"/>
            <w:vMerge w:val="restart"/>
          </w:tcPr>
          <w:p>
            <w:pPr>
              <w:ind w:left="80"/>
              <w:spacing w:after="0"/>
              <w:rPr>
                <w:sz w:val="20"/>
                <w:szCs w:val="20"/>
                <w:color w:val="auto"/>
              </w:rPr>
            </w:pPr>
            <w:r>
              <w:rPr>
                <w:rFonts w:ascii="Arial" w:cs="Arial" w:eastAsia="Arial" w:hAnsi="Arial"/>
                <w:sz w:val="15"/>
                <w:szCs w:val="15"/>
                <w:color w:val="auto"/>
              </w:rPr>
              <w:t>​ ​</w:t>
            </w:r>
          </w:p>
        </w:tc>
        <w:tc>
          <w:tcPr>
            <w:tcW w:w="900" w:type="dxa"/>
            <w:vAlign w:val="bottom"/>
            <w:tcBorders>
              <w:right w:val="single" w:sz="8" w:color="424E6A"/>
            </w:tcBorders>
            <w:gridSpan w:val="2"/>
          </w:tcPr>
          <w:p>
            <w:pPr>
              <w:jc w:val="right"/>
              <w:ind w:right="17"/>
              <w:spacing w:after="0" w:line="156" w:lineRule="exact"/>
              <w:rPr>
                <w:sz w:val="20"/>
                <w:szCs w:val="20"/>
                <w:color w:val="auto"/>
              </w:rPr>
            </w:pPr>
            <w:r>
              <w:rPr>
                <w:rFonts w:ascii="Arial" w:cs="Arial" w:eastAsia="Arial" w:hAnsi="Arial"/>
                <w:sz w:val="15"/>
                <w:szCs w:val="15"/>
                <w:color w:val="auto"/>
                <w:w w:val="98"/>
              </w:rPr>
              <w:t>2,347,913</w:t>
            </w:r>
            <w:r>
              <w:rPr>
                <w:rFonts w:ascii="Arial" w:cs="Arial" w:eastAsia="Arial" w:hAnsi="Arial"/>
                <w:sz w:val="18"/>
                <w:szCs w:val="18"/>
                <w:color w:val="auto"/>
                <w:w w:val="98"/>
                <w:vertAlign w:val="superscript"/>
              </w:rPr>
              <w:t>(2)</w:t>
            </w:r>
          </w:p>
        </w:tc>
        <w:tc>
          <w:tcPr>
            <w:tcW w:w="140" w:type="dxa"/>
            <w:vAlign w:val="bottom"/>
          </w:tcPr>
          <w:p>
            <w:pPr>
              <w:spacing w:after="0"/>
              <w:rPr>
                <w:sz w:val="13"/>
                <w:szCs w:val="13"/>
                <w:color w:val="auto"/>
              </w:rPr>
            </w:pPr>
          </w:p>
        </w:tc>
        <w:tc>
          <w:tcPr>
            <w:tcW w:w="240" w:type="dxa"/>
            <w:vAlign w:val="bottom"/>
          </w:tcPr>
          <w:p>
            <w:pPr>
              <w:ind w:left="100"/>
              <w:spacing w:after="0" w:line="156" w:lineRule="exact"/>
              <w:rPr>
                <w:sz w:val="20"/>
                <w:szCs w:val="20"/>
                <w:color w:val="auto"/>
              </w:rPr>
            </w:pPr>
            <w:r>
              <w:rPr>
                <w:rFonts w:ascii="Arial" w:cs="Arial" w:eastAsia="Arial" w:hAnsi="Arial"/>
                <w:sz w:val="15"/>
                <w:szCs w:val="15"/>
                <w:color w:val="auto"/>
              </w:rPr>
              <w:t>$</w:t>
            </w:r>
          </w:p>
        </w:tc>
        <w:tc>
          <w:tcPr>
            <w:tcW w:w="980" w:type="dxa"/>
            <w:vAlign w:val="bottom"/>
            <w:tcBorders>
              <w:right w:val="single" w:sz="8" w:color="424E6A"/>
            </w:tcBorders>
            <w:gridSpan w:val="2"/>
          </w:tcPr>
          <w:p>
            <w:pPr>
              <w:jc w:val="right"/>
              <w:ind w:right="84"/>
              <w:spacing w:after="0" w:line="156" w:lineRule="exact"/>
              <w:rPr>
                <w:sz w:val="20"/>
                <w:szCs w:val="20"/>
                <w:color w:val="auto"/>
              </w:rPr>
            </w:pPr>
            <w:r>
              <w:rPr>
                <w:rFonts w:ascii="Arial" w:cs="Arial" w:eastAsia="Arial" w:hAnsi="Arial"/>
                <w:sz w:val="15"/>
                <w:szCs w:val="15"/>
                <w:color w:val="auto"/>
              </w:rPr>
              <w:t>3,774,294</w:t>
            </w:r>
            <w:r>
              <w:rPr>
                <w:rFonts w:ascii="Arial" w:cs="Arial" w:eastAsia="Arial" w:hAnsi="Arial"/>
                <w:sz w:val="18"/>
                <w:szCs w:val="18"/>
                <w:color w:val="auto"/>
                <w:vertAlign w:val="superscript"/>
              </w:rPr>
              <w:t>(3)</w:t>
            </w: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80" w:type="dxa"/>
            <w:vAlign w:val="bottom"/>
            <w:vMerge w:val="restart"/>
          </w:tcPr>
          <w:p>
            <w:pPr>
              <w:ind w:left="120"/>
              <w:spacing w:after="0"/>
              <w:rPr>
                <w:sz w:val="20"/>
                <w:szCs w:val="20"/>
                <w:color w:val="auto"/>
              </w:rPr>
            </w:pPr>
            <w:r>
              <w:rPr>
                <w:rFonts w:ascii="Arial" w:cs="Arial" w:eastAsia="Arial" w:hAnsi="Arial"/>
                <w:sz w:val="15"/>
                <w:szCs w:val="15"/>
                <w:color w:val="auto"/>
              </w:rPr>
              <w:t>​</w:t>
            </w:r>
          </w:p>
        </w:tc>
        <w:tc>
          <w:tcPr>
            <w:tcW w:w="1020" w:type="dxa"/>
            <w:vAlign w:val="bottom"/>
            <w:tcBorders>
              <w:right w:val="single" w:sz="8" w:color="424E6A"/>
            </w:tcBorders>
            <w:gridSpan w:val="2"/>
          </w:tcPr>
          <w:p>
            <w:pPr>
              <w:jc w:val="right"/>
              <w:ind w:right="118"/>
              <w:spacing w:after="0" w:line="156" w:lineRule="exact"/>
              <w:rPr>
                <w:sz w:val="20"/>
                <w:szCs w:val="20"/>
                <w:color w:val="auto"/>
              </w:rPr>
            </w:pPr>
            <w:r>
              <w:rPr>
                <w:rFonts w:ascii="Arial" w:cs="Arial" w:eastAsia="Arial" w:hAnsi="Arial"/>
                <w:sz w:val="15"/>
                <w:szCs w:val="15"/>
                <w:color w:val="auto"/>
              </w:rPr>
              <w:t>5,729,240</w:t>
            </w:r>
            <w:r>
              <w:rPr>
                <w:rFonts w:ascii="Arial" w:cs="Arial" w:eastAsia="Arial" w:hAnsi="Arial"/>
                <w:sz w:val="18"/>
                <w:szCs w:val="18"/>
                <w:color w:val="auto"/>
                <w:vertAlign w:val="superscript"/>
              </w:rPr>
              <w:t>(3)</w:t>
            </w:r>
          </w:p>
        </w:tc>
        <w:tc>
          <w:tcPr>
            <w:tcW w:w="0" w:type="dxa"/>
            <w:vAlign w:val="bottom"/>
          </w:tcPr>
          <w:p>
            <w:pPr>
              <w:spacing w:after="0"/>
              <w:rPr>
                <w:sz w:val="1"/>
                <w:szCs w:val="1"/>
                <w:color w:val="auto"/>
              </w:rPr>
            </w:pPr>
          </w:p>
        </w:tc>
      </w:tr>
      <w:tr>
        <w:trPr>
          <w:trHeight w:val="68"/>
        </w:trPr>
        <w:tc>
          <w:tcPr>
            <w:tcW w:w="2440" w:type="dxa"/>
            <w:vAlign w:val="bottom"/>
            <w:tcBorders>
              <w:left w:val="single" w:sz="8" w:color="424E6A"/>
              <w:bottom w:val="single" w:sz="8" w:color="424E6A"/>
            </w:tcBorders>
          </w:tcPr>
          <w:p>
            <w:pPr>
              <w:spacing w:after="0"/>
              <w:rPr>
                <w:sz w:val="5"/>
                <w:szCs w:val="5"/>
                <w:color w:val="auto"/>
              </w:rPr>
            </w:pPr>
          </w:p>
        </w:tc>
        <w:tc>
          <w:tcPr>
            <w:tcW w:w="84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780" w:type="dxa"/>
            <w:vAlign w:val="bottom"/>
            <w:tcBorders>
              <w:bottom w:val="single" w:sz="8" w:color="424E6A"/>
            </w:tcBorders>
          </w:tcPr>
          <w:p>
            <w:pPr>
              <w:spacing w:after="0"/>
              <w:rPr>
                <w:sz w:val="5"/>
                <w:szCs w:val="5"/>
                <w:color w:val="auto"/>
              </w:rPr>
            </w:pPr>
          </w:p>
        </w:tc>
        <w:tc>
          <w:tcPr>
            <w:tcW w:w="160" w:type="dxa"/>
            <w:vAlign w:val="bottom"/>
            <w:tcBorders>
              <w:bottom w:val="single" w:sz="8" w:color="424E6A"/>
              <w:right w:val="single" w:sz="8" w:color="424E6A"/>
            </w:tcBorders>
          </w:tcPr>
          <w:p>
            <w:pPr>
              <w:ind w:left="40"/>
              <w:spacing w:after="0" w:line="68" w:lineRule="exact"/>
              <w:rPr>
                <w:sz w:val="20"/>
                <w:szCs w:val="20"/>
                <w:color w:val="auto"/>
              </w:rPr>
            </w:pPr>
            <w:r>
              <w:rPr>
                <w:rFonts w:ascii="Arial" w:cs="Arial" w:eastAsia="Arial" w:hAnsi="Arial"/>
                <w:sz w:val="7"/>
                <w:szCs w:val="7"/>
                <w:color w:val="auto"/>
              </w:rPr>
              <w:t>​</w:t>
            </w:r>
          </w:p>
        </w:tc>
        <w:tc>
          <w:tcPr>
            <w:tcW w:w="240" w:type="dxa"/>
            <w:vAlign w:val="bottom"/>
            <w:tcBorders>
              <w:bottom w:val="single" w:sz="8" w:color="424E6A"/>
            </w:tcBorders>
            <w:vMerge w:val="continue"/>
          </w:tcPr>
          <w:p>
            <w:pPr>
              <w:spacing w:after="0"/>
              <w:rPr>
                <w:sz w:val="5"/>
                <w:szCs w:val="5"/>
                <w:color w:val="auto"/>
              </w:rPr>
            </w:pPr>
          </w:p>
        </w:tc>
        <w:tc>
          <w:tcPr>
            <w:tcW w:w="740" w:type="dxa"/>
            <w:vAlign w:val="bottom"/>
            <w:tcBorders>
              <w:bottom w:val="single" w:sz="8" w:color="424E6A"/>
            </w:tcBorders>
          </w:tcPr>
          <w:p>
            <w:pPr>
              <w:spacing w:after="0"/>
              <w:rPr>
                <w:sz w:val="5"/>
                <w:szCs w:val="5"/>
                <w:color w:val="auto"/>
              </w:rPr>
            </w:pPr>
          </w:p>
        </w:tc>
        <w:tc>
          <w:tcPr>
            <w:tcW w:w="160" w:type="dxa"/>
            <w:vAlign w:val="bottom"/>
            <w:tcBorders>
              <w:bottom w:val="single" w:sz="8" w:color="424E6A"/>
              <w:right w:val="single" w:sz="8" w:color="424E6A"/>
            </w:tcBorders>
          </w:tcPr>
          <w:p>
            <w:pPr>
              <w:ind w:left="60"/>
              <w:spacing w:after="0" w:line="68" w:lineRule="exact"/>
              <w:rPr>
                <w:sz w:val="20"/>
                <w:szCs w:val="20"/>
                <w:color w:val="auto"/>
              </w:rPr>
            </w:pPr>
            <w:r>
              <w:rPr>
                <w:rFonts w:ascii="Arial" w:cs="Arial" w:eastAsia="Arial" w:hAnsi="Arial"/>
                <w:sz w:val="7"/>
                <w:szCs w:val="7"/>
                <w:color w:val="auto"/>
              </w:rPr>
              <w:t>​</w:t>
            </w:r>
          </w:p>
        </w:tc>
        <w:tc>
          <w:tcPr>
            <w:tcW w:w="380" w:type="dxa"/>
            <w:vAlign w:val="bottom"/>
            <w:tcBorders>
              <w:bottom w:val="single" w:sz="8" w:color="424E6A"/>
            </w:tcBorders>
            <w:gridSpan w:val="2"/>
          </w:tcPr>
          <w:p>
            <w:pPr>
              <w:ind w:left="8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220" w:type="dxa"/>
            <w:vAlign w:val="bottom"/>
            <w:tcBorders>
              <w:bottom w:val="single" w:sz="8" w:color="424E6A"/>
              <w:right w:val="single" w:sz="8" w:color="424E6A"/>
            </w:tcBorders>
          </w:tcPr>
          <w:p>
            <w:pPr>
              <w:jc w:val="right"/>
              <w:ind w:right="4"/>
              <w:spacing w:after="0" w:line="68" w:lineRule="exact"/>
              <w:rPr>
                <w:sz w:val="20"/>
                <w:szCs w:val="20"/>
                <w:color w:val="auto"/>
              </w:rPr>
            </w:pPr>
            <w:r>
              <w:rPr>
                <w:rFonts w:ascii="Arial" w:cs="Arial" w:eastAsia="Arial" w:hAnsi="Arial"/>
                <w:sz w:val="7"/>
                <w:szCs w:val="7"/>
                <w:color w:val="auto"/>
              </w:rPr>
              <w:t>​ ​</w:t>
            </w:r>
          </w:p>
        </w:tc>
        <w:tc>
          <w:tcPr>
            <w:tcW w:w="160" w:type="dxa"/>
            <w:vAlign w:val="bottom"/>
            <w:tcBorders>
              <w:bottom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800" w:type="dxa"/>
            <w:vAlign w:val="bottom"/>
            <w:tcBorders>
              <w:bottom w:val="single" w:sz="8" w:color="424E6A"/>
            </w:tcBorders>
          </w:tcPr>
          <w:p>
            <w:pPr>
              <w:spacing w:after="0"/>
              <w:rPr>
                <w:sz w:val="5"/>
                <w:szCs w:val="5"/>
                <w:color w:val="auto"/>
              </w:rPr>
            </w:pPr>
          </w:p>
        </w:tc>
        <w:tc>
          <w:tcPr>
            <w:tcW w:w="220" w:type="dxa"/>
            <w:vAlign w:val="bottom"/>
            <w:tcBorders>
              <w:bottom w:val="single" w:sz="8" w:color="424E6A"/>
              <w:right w:val="single" w:sz="8" w:color="424E6A"/>
            </w:tcBorders>
          </w:tcPr>
          <w:p>
            <w:pPr>
              <w:jc w:val="right"/>
              <w:ind w:right="98"/>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23"/>
        </w:trPr>
        <w:tc>
          <w:tcPr>
            <w:tcW w:w="2440" w:type="dxa"/>
            <w:vAlign w:val="bottom"/>
            <w:tcBorders>
              <w:left w:val="single" w:sz="8" w:color="424E6A"/>
              <w:bottom w:val="single" w:sz="8" w:color="424E6A"/>
            </w:tcBorders>
          </w:tcPr>
          <w:p>
            <w:pPr>
              <w:ind w:left="220"/>
              <w:spacing w:after="0"/>
              <w:rPr>
                <w:sz w:val="20"/>
                <w:szCs w:val="20"/>
                <w:color w:val="auto"/>
              </w:rPr>
            </w:pPr>
            <w:r>
              <w:rPr>
                <w:rFonts w:ascii="Arial" w:cs="Arial" w:eastAsia="Arial" w:hAnsi="Arial"/>
                <w:sz w:val="15"/>
                <w:szCs w:val="15"/>
                <w:color w:val="auto"/>
              </w:rPr>
              <w:t>Total</w:t>
            </w:r>
          </w:p>
        </w:tc>
        <w:tc>
          <w:tcPr>
            <w:tcW w:w="840" w:type="dxa"/>
            <w:vAlign w:val="bottom"/>
            <w:tcBorders>
              <w:bottom w:val="single" w:sz="8" w:color="424E6A"/>
              <w:right w:val="single" w:sz="8" w:color="424E6A"/>
            </w:tcBorders>
          </w:tcPr>
          <w:p>
            <w:pPr>
              <w:ind w:left="780"/>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424E6A"/>
            </w:tcBorders>
            <w:gridSpan w:val="2"/>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3,774,294</w:t>
            </w:r>
          </w:p>
        </w:tc>
        <w:tc>
          <w:tcPr>
            <w:tcW w:w="16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424E6A"/>
            </w:tcBorders>
            <w:gridSpan w:val="2"/>
          </w:tcPr>
          <w:p>
            <w:pPr>
              <w:ind w:left="80"/>
              <w:spacing w:after="0" w:line="223"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 xml:space="preserve"> 2,347,913</w:t>
            </w:r>
          </w:p>
        </w:tc>
        <w:tc>
          <w:tcPr>
            <w:tcW w:w="16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424E6A"/>
            </w:tcBorders>
          </w:tcPr>
          <w:p>
            <w:pPr>
              <w:ind w:left="10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980" w:type="dxa"/>
            <w:vAlign w:val="bottom"/>
            <w:tcBorders>
              <w:bottom w:val="single" w:sz="8" w:color="424E6A"/>
              <w:right w:val="single" w:sz="8" w:color="424E6A"/>
            </w:tcBorders>
            <w:gridSpan w:val="2"/>
          </w:tcPr>
          <w:p>
            <w:pPr>
              <w:jc w:val="right"/>
              <w:ind w:right="4"/>
              <w:spacing w:after="0" w:line="223" w:lineRule="exact"/>
              <w:rPr>
                <w:sz w:val="20"/>
                <w:szCs w:val="20"/>
                <w:color w:val="auto"/>
              </w:rPr>
            </w:pPr>
            <w:r>
              <w:rPr>
                <w:rFonts w:ascii="Arial" w:cs="Arial" w:eastAsia="Arial" w:hAnsi="Arial"/>
                <w:sz w:val="13"/>
                <w:szCs w:val="13"/>
                <w:color w:val="auto"/>
              </w:rPr>
              <w:t xml:space="preserve">3,774,294 </w:t>
            </w:r>
            <w:r>
              <w:rPr>
                <w:rFonts w:ascii="Arial" w:cs="Arial" w:eastAsia="Arial" w:hAnsi="Arial"/>
                <w:sz w:val="25"/>
                <w:szCs w:val="25"/>
                <w:color w:val="auto"/>
                <w:vertAlign w:val="subscript"/>
              </w:rPr>
              <w:t>​ ​</w:t>
            </w:r>
          </w:p>
        </w:tc>
        <w:tc>
          <w:tcPr>
            <w:tcW w:w="160" w:type="dxa"/>
            <w:vAlign w:val="bottom"/>
            <w:tcBorders>
              <w:bottom w:val="single" w:sz="8" w:color="424E6A"/>
            </w:tcBorders>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424E6A"/>
            </w:tcBorders>
            <w:gridSpan w:val="2"/>
          </w:tcPr>
          <w:p>
            <w:pPr>
              <w:ind w:left="1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5,729,240</w:t>
            </w:r>
          </w:p>
        </w:tc>
        <w:tc>
          <w:tcPr>
            <w:tcW w:w="220" w:type="dxa"/>
            <w:vAlign w:val="bottom"/>
            <w:tcBorders>
              <w:bottom w:val="single" w:sz="8" w:color="424E6A"/>
              <w:right w:val="single" w:sz="8" w:color="424E6A"/>
            </w:tcBorders>
          </w:tcPr>
          <w:p>
            <w:pPr>
              <w:jc w:val="right"/>
              <w:ind w:right="9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7"/>
        </w:trPr>
        <w:tc>
          <w:tcPr>
            <w:tcW w:w="244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5"/>
                <w:szCs w:val="15"/>
                <w:b w:val="1"/>
                <w:bCs w:val="1"/>
                <w:color w:val="auto"/>
              </w:rPr>
              <w:t>Richard McGee</w:t>
            </w:r>
            <w:r>
              <w:rPr>
                <w:rFonts w:ascii="Arial" w:cs="Arial" w:eastAsia="Arial" w:hAnsi="Arial"/>
                <w:sz w:val="19"/>
                <w:szCs w:val="19"/>
                <w:b w:val="1"/>
                <w:bCs w:val="1"/>
                <w:color w:val="auto"/>
                <w:vertAlign w:val="superscript"/>
              </w:rPr>
              <w:t>(4)</w:t>
            </w:r>
          </w:p>
        </w:tc>
        <w:tc>
          <w:tcPr>
            <w:tcW w:w="840" w:type="dxa"/>
            <w:vAlign w:val="bottom"/>
            <w:tcBorders>
              <w:bottom w:val="single" w:sz="8" w:color="424E6A"/>
              <w:right w:val="single" w:sz="8" w:color="424E6A"/>
            </w:tcBorders>
            <w:shd w:val="clear" w:color="auto" w:fill="D9DCE1"/>
          </w:tcPr>
          <w:p>
            <w:pPr>
              <w:ind w:left="780"/>
              <w:spacing w:after="0"/>
              <w:rPr>
                <w:sz w:val="20"/>
                <w:szCs w:val="20"/>
                <w:color w:val="auto"/>
              </w:rPr>
            </w:pPr>
            <w:r>
              <w:rPr>
                <w:rFonts w:ascii="Arial" w:cs="Arial" w:eastAsia="Arial" w:hAnsi="Arial"/>
                <w:sz w:val="15"/>
                <w:szCs w:val="15"/>
                <w:b w:val="1"/>
                <w:bCs w:val="1"/>
                <w:color w:val="auto"/>
              </w:rPr>
              <w:t>​</w:t>
            </w:r>
          </w:p>
        </w:tc>
        <w:tc>
          <w:tcPr>
            <w:tcW w:w="1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424E6A"/>
            </w:tcBorders>
            <w:shd w:val="clear" w:color="auto" w:fill="D9DCE1"/>
          </w:tcPr>
          <w:p>
            <w:pPr>
              <w:spacing w:after="0"/>
              <w:rPr>
                <w:sz w:val="20"/>
                <w:szCs w:val="20"/>
                <w:color w:val="auto"/>
              </w:rPr>
            </w:pPr>
          </w:p>
        </w:tc>
        <w:tc>
          <w:tcPr>
            <w:tcW w:w="16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5"/>
                <w:szCs w:val="15"/>
                <w:b w:val="1"/>
                <w:bCs w:val="1"/>
                <w:color w:val="auto"/>
              </w:rPr>
              <w:t>​</w:t>
            </w:r>
          </w:p>
        </w:tc>
        <w:tc>
          <w:tcPr>
            <w:tcW w:w="2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5"/>
                <w:szCs w:val="15"/>
                <w:b w:val="1"/>
                <w:bCs w:val="1"/>
                <w:color w:val="auto"/>
              </w:rPr>
              <w:t>​ ​</w:t>
            </w:r>
          </w:p>
        </w:tc>
        <w:tc>
          <w:tcPr>
            <w:tcW w:w="740" w:type="dxa"/>
            <w:vAlign w:val="bottom"/>
            <w:tcBorders>
              <w:bottom w:val="single" w:sz="8" w:color="424E6A"/>
            </w:tcBorders>
            <w:shd w:val="clear" w:color="auto" w:fill="D9DCE1"/>
          </w:tcPr>
          <w:p>
            <w:pPr>
              <w:spacing w:after="0"/>
              <w:rPr>
                <w:sz w:val="20"/>
                <w:szCs w:val="20"/>
                <w:color w:val="auto"/>
              </w:rPr>
            </w:pPr>
          </w:p>
        </w:tc>
        <w:tc>
          <w:tcPr>
            <w:tcW w:w="16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5"/>
                <w:szCs w:val="15"/>
                <w:b w:val="1"/>
                <w:bCs w:val="1"/>
                <w:color w:val="auto"/>
              </w:rPr>
              <w:t>​</w:t>
            </w:r>
          </w:p>
        </w:tc>
        <w:tc>
          <w:tcPr>
            <w:tcW w:w="1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5"/>
                <w:szCs w:val="15"/>
                <w:b w:val="1"/>
                <w:bCs w:val="1"/>
                <w:color w:val="auto"/>
              </w:rPr>
              <w:t>​</w:t>
            </w:r>
          </w:p>
        </w:tc>
        <w:tc>
          <w:tcPr>
            <w:tcW w:w="24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5"/>
                <w:szCs w:val="15"/>
                <w:b w:val="1"/>
                <w:bCs w:val="1"/>
                <w:color w:val="auto"/>
              </w:rPr>
              <w:t>​</w:t>
            </w:r>
          </w:p>
        </w:tc>
        <w:tc>
          <w:tcPr>
            <w:tcW w:w="760" w:type="dxa"/>
            <w:vAlign w:val="bottom"/>
            <w:tcBorders>
              <w:bottom w:val="single" w:sz="8" w:color="424E6A"/>
            </w:tcBorders>
            <w:shd w:val="clear" w:color="auto" w:fill="D9DCE1"/>
          </w:tcPr>
          <w:p>
            <w:pPr>
              <w:spacing w:after="0"/>
              <w:rPr>
                <w:sz w:val="20"/>
                <w:szCs w:val="20"/>
                <w:color w:val="auto"/>
              </w:rPr>
            </w:pPr>
          </w:p>
        </w:tc>
        <w:tc>
          <w:tcPr>
            <w:tcW w:w="220" w:type="dxa"/>
            <w:vAlign w:val="bottom"/>
            <w:tcBorders>
              <w:bottom w:val="single" w:sz="8" w:color="424E6A"/>
              <w:right w:val="single" w:sz="8" w:color="424E6A"/>
            </w:tcBorders>
            <w:shd w:val="clear" w:color="auto" w:fill="D9DCE1"/>
          </w:tcPr>
          <w:p>
            <w:pPr>
              <w:jc w:val="right"/>
              <w:ind w:right="4"/>
              <w:spacing w:after="0"/>
              <w:rPr>
                <w:sz w:val="20"/>
                <w:szCs w:val="20"/>
                <w:color w:val="auto"/>
              </w:rPr>
            </w:pPr>
            <w:r>
              <w:rPr>
                <w:rFonts w:ascii="Arial" w:cs="Arial" w:eastAsia="Arial" w:hAnsi="Arial"/>
                <w:sz w:val="15"/>
                <w:szCs w:val="15"/>
                <w:b w:val="1"/>
                <w:bCs w:val="1"/>
                <w:color w:val="auto"/>
              </w:rPr>
              <w:t>​ ​</w:t>
            </w:r>
          </w:p>
        </w:tc>
        <w:tc>
          <w:tcPr>
            <w:tcW w:w="16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5"/>
                <w:szCs w:val="15"/>
                <w:b w:val="1"/>
                <w:bCs w:val="1"/>
                <w:color w:val="auto"/>
              </w:rPr>
              <w:t>​</w:t>
            </w:r>
          </w:p>
        </w:tc>
        <w:tc>
          <w:tcPr>
            <w:tcW w:w="180" w:type="dxa"/>
            <w:vAlign w:val="bottom"/>
            <w:tcBorders>
              <w:bottom w:val="single" w:sz="8" w:color="424E6A"/>
            </w:tcBorders>
            <w:shd w:val="clear" w:color="auto" w:fill="D9DCE1"/>
          </w:tcPr>
          <w:p>
            <w:pPr>
              <w:ind w:left="120"/>
              <w:spacing w:after="0"/>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424E6A"/>
            </w:tcBorders>
            <w:shd w:val="clear" w:color="auto" w:fill="D9DCE1"/>
          </w:tcPr>
          <w:p>
            <w:pPr>
              <w:spacing w:after="0"/>
              <w:rPr>
                <w:sz w:val="20"/>
                <w:szCs w:val="20"/>
                <w:color w:val="auto"/>
              </w:rPr>
            </w:pPr>
          </w:p>
        </w:tc>
        <w:tc>
          <w:tcPr>
            <w:tcW w:w="220" w:type="dxa"/>
            <w:vAlign w:val="bottom"/>
            <w:tcBorders>
              <w:bottom w:val="single" w:sz="8" w:color="424E6A"/>
              <w:right w:val="single" w:sz="8" w:color="424E6A"/>
            </w:tcBorders>
            <w:shd w:val="clear" w:color="auto" w:fill="D9DCE1"/>
          </w:tcPr>
          <w:p>
            <w:pPr>
              <w:jc w:val="right"/>
              <w:ind w:right="98"/>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55"/>
        </w:trPr>
        <w:tc>
          <w:tcPr>
            <w:tcW w:w="2440" w:type="dxa"/>
            <w:vAlign w:val="bottom"/>
            <w:tcBorders>
              <w:left w:val="single" w:sz="8" w:color="424E6A"/>
            </w:tcBorders>
          </w:tcPr>
          <w:p>
            <w:pPr>
              <w:ind w:left="220"/>
              <w:spacing w:after="0" w:line="156" w:lineRule="exact"/>
              <w:rPr>
                <w:sz w:val="20"/>
                <w:szCs w:val="20"/>
                <w:color w:val="auto"/>
              </w:rPr>
            </w:pPr>
            <w:r>
              <w:rPr>
                <w:rFonts w:ascii="Arial" w:cs="Arial" w:eastAsia="Arial" w:hAnsi="Arial"/>
                <w:sz w:val="15"/>
                <w:szCs w:val="15"/>
                <w:color w:val="auto"/>
              </w:rPr>
              <w:t>Equity Compensation</w:t>
            </w:r>
          </w:p>
        </w:tc>
        <w:tc>
          <w:tcPr>
            <w:tcW w:w="840" w:type="dxa"/>
            <w:vAlign w:val="bottom"/>
            <w:tcBorders>
              <w:right w:val="single" w:sz="8" w:color="424E6A"/>
            </w:tcBorders>
            <w:vMerge w:val="restart"/>
          </w:tcPr>
          <w:p>
            <w:pPr>
              <w:ind w:left="780"/>
              <w:spacing w:after="0"/>
              <w:rPr>
                <w:sz w:val="20"/>
                <w:szCs w:val="20"/>
                <w:color w:val="auto"/>
              </w:rPr>
            </w:pPr>
            <w:r>
              <w:rPr>
                <w:rFonts w:ascii="Arial" w:cs="Arial" w:eastAsia="Arial" w:hAnsi="Arial"/>
                <w:sz w:val="15"/>
                <w:szCs w:val="15"/>
                <w:color w:val="auto"/>
              </w:rPr>
              <w:t>​</w:t>
            </w:r>
          </w:p>
        </w:tc>
        <w:tc>
          <w:tcPr>
            <w:tcW w:w="14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940" w:type="dxa"/>
            <w:vAlign w:val="bottom"/>
            <w:tcBorders>
              <w:right w:val="single" w:sz="8" w:color="424E6A"/>
            </w:tcBorders>
            <w:gridSpan w:val="2"/>
          </w:tcPr>
          <w:p>
            <w:pPr>
              <w:jc w:val="right"/>
              <w:ind w:right="17"/>
              <w:spacing w:after="0" w:line="156" w:lineRule="exact"/>
              <w:rPr>
                <w:sz w:val="20"/>
                <w:szCs w:val="20"/>
                <w:color w:val="auto"/>
              </w:rPr>
            </w:pPr>
            <w:r>
              <w:rPr>
                <w:rFonts w:ascii="Arial" w:cs="Arial" w:eastAsia="Arial" w:hAnsi="Arial"/>
                <w:sz w:val="15"/>
                <w:szCs w:val="15"/>
                <w:color w:val="auto"/>
              </w:rPr>
              <w:t>3,774,294</w:t>
            </w:r>
            <w:r>
              <w:rPr>
                <w:rFonts w:ascii="Arial" w:cs="Arial" w:eastAsia="Arial" w:hAnsi="Arial"/>
                <w:sz w:val="18"/>
                <w:szCs w:val="18"/>
                <w:color w:val="auto"/>
                <w:vertAlign w:val="superscript"/>
              </w:rPr>
              <w:t>(1)</w:t>
            </w:r>
          </w:p>
        </w:tc>
        <w:tc>
          <w:tcPr>
            <w:tcW w:w="240" w:type="dxa"/>
            <w:vAlign w:val="bottom"/>
            <w:vMerge w:val="restart"/>
          </w:tcPr>
          <w:p>
            <w:pPr>
              <w:ind w:left="80"/>
              <w:spacing w:after="0"/>
              <w:rPr>
                <w:sz w:val="20"/>
                <w:szCs w:val="20"/>
                <w:color w:val="auto"/>
              </w:rPr>
            </w:pPr>
            <w:r>
              <w:rPr>
                <w:rFonts w:ascii="Arial" w:cs="Arial" w:eastAsia="Arial" w:hAnsi="Arial"/>
                <w:sz w:val="15"/>
                <w:szCs w:val="15"/>
                <w:color w:val="auto"/>
              </w:rPr>
              <w:t>​ ​</w:t>
            </w:r>
          </w:p>
        </w:tc>
        <w:tc>
          <w:tcPr>
            <w:tcW w:w="900" w:type="dxa"/>
            <w:vAlign w:val="bottom"/>
            <w:tcBorders>
              <w:right w:val="single" w:sz="8" w:color="424E6A"/>
            </w:tcBorders>
            <w:gridSpan w:val="2"/>
          </w:tcPr>
          <w:p>
            <w:pPr>
              <w:jc w:val="right"/>
              <w:ind w:right="17"/>
              <w:spacing w:after="0" w:line="156" w:lineRule="exact"/>
              <w:rPr>
                <w:sz w:val="20"/>
                <w:szCs w:val="20"/>
                <w:color w:val="auto"/>
              </w:rPr>
            </w:pPr>
            <w:r>
              <w:rPr>
                <w:rFonts w:ascii="Arial" w:cs="Arial" w:eastAsia="Arial" w:hAnsi="Arial"/>
                <w:sz w:val="15"/>
                <w:szCs w:val="15"/>
                <w:color w:val="auto"/>
                <w:w w:val="98"/>
              </w:rPr>
              <w:t>2,347,913</w:t>
            </w:r>
            <w:r>
              <w:rPr>
                <w:rFonts w:ascii="Arial" w:cs="Arial" w:eastAsia="Arial" w:hAnsi="Arial"/>
                <w:sz w:val="18"/>
                <w:szCs w:val="18"/>
                <w:color w:val="auto"/>
                <w:w w:val="98"/>
                <w:vertAlign w:val="superscript"/>
              </w:rPr>
              <w:t>(2)</w:t>
            </w:r>
          </w:p>
        </w:tc>
        <w:tc>
          <w:tcPr>
            <w:tcW w:w="140" w:type="dxa"/>
            <w:vAlign w:val="bottom"/>
          </w:tcPr>
          <w:p>
            <w:pPr>
              <w:spacing w:after="0"/>
              <w:rPr>
                <w:sz w:val="13"/>
                <w:szCs w:val="13"/>
                <w:color w:val="auto"/>
              </w:rPr>
            </w:pPr>
          </w:p>
        </w:tc>
        <w:tc>
          <w:tcPr>
            <w:tcW w:w="240" w:type="dxa"/>
            <w:vAlign w:val="bottom"/>
          </w:tcPr>
          <w:p>
            <w:pPr>
              <w:ind w:left="100"/>
              <w:spacing w:after="0" w:line="156" w:lineRule="exact"/>
              <w:rPr>
                <w:sz w:val="20"/>
                <w:szCs w:val="20"/>
                <w:color w:val="auto"/>
              </w:rPr>
            </w:pPr>
            <w:r>
              <w:rPr>
                <w:rFonts w:ascii="Arial" w:cs="Arial" w:eastAsia="Arial" w:hAnsi="Arial"/>
                <w:sz w:val="15"/>
                <w:szCs w:val="15"/>
                <w:color w:val="auto"/>
              </w:rPr>
              <w:t>$</w:t>
            </w:r>
          </w:p>
        </w:tc>
        <w:tc>
          <w:tcPr>
            <w:tcW w:w="980" w:type="dxa"/>
            <w:vAlign w:val="bottom"/>
            <w:tcBorders>
              <w:right w:val="single" w:sz="8" w:color="424E6A"/>
            </w:tcBorders>
            <w:gridSpan w:val="2"/>
          </w:tcPr>
          <w:p>
            <w:pPr>
              <w:jc w:val="right"/>
              <w:ind w:right="84"/>
              <w:spacing w:after="0" w:line="156" w:lineRule="exact"/>
              <w:rPr>
                <w:sz w:val="20"/>
                <w:szCs w:val="20"/>
                <w:color w:val="auto"/>
              </w:rPr>
            </w:pPr>
            <w:r>
              <w:rPr>
                <w:rFonts w:ascii="Arial" w:cs="Arial" w:eastAsia="Arial" w:hAnsi="Arial"/>
                <w:sz w:val="15"/>
                <w:szCs w:val="15"/>
                <w:color w:val="auto"/>
              </w:rPr>
              <w:t>3,774,294</w:t>
            </w:r>
            <w:r>
              <w:rPr>
                <w:rFonts w:ascii="Arial" w:cs="Arial" w:eastAsia="Arial" w:hAnsi="Arial"/>
                <w:sz w:val="18"/>
                <w:szCs w:val="18"/>
                <w:color w:val="auto"/>
                <w:vertAlign w:val="superscript"/>
              </w:rPr>
              <w:t>(3)</w:t>
            </w: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80" w:type="dxa"/>
            <w:vAlign w:val="bottom"/>
            <w:vMerge w:val="restart"/>
          </w:tcPr>
          <w:p>
            <w:pPr>
              <w:ind w:left="120"/>
              <w:spacing w:after="0"/>
              <w:rPr>
                <w:sz w:val="20"/>
                <w:szCs w:val="20"/>
                <w:color w:val="auto"/>
              </w:rPr>
            </w:pPr>
            <w:r>
              <w:rPr>
                <w:rFonts w:ascii="Arial" w:cs="Arial" w:eastAsia="Arial" w:hAnsi="Arial"/>
                <w:sz w:val="15"/>
                <w:szCs w:val="15"/>
                <w:color w:val="auto"/>
              </w:rPr>
              <w:t>​</w:t>
            </w:r>
          </w:p>
        </w:tc>
        <w:tc>
          <w:tcPr>
            <w:tcW w:w="1020" w:type="dxa"/>
            <w:vAlign w:val="bottom"/>
            <w:tcBorders>
              <w:right w:val="single" w:sz="8" w:color="424E6A"/>
            </w:tcBorders>
            <w:gridSpan w:val="2"/>
          </w:tcPr>
          <w:p>
            <w:pPr>
              <w:jc w:val="right"/>
              <w:ind w:right="118"/>
              <w:spacing w:after="0" w:line="156" w:lineRule="exact"/>
              <w:rPr>
                <w:sz w:val="20"/>
                <w:szCs w:val="20"/>
                <w:color w:val="auto"/>
              </w:rPr>
            </w:pPr>
            <w:r>
              <w:rPr>
                <w:rFonts w:ascii="Arial" w:cs="Arial" w:eastAsia="Arial" w:hAnsi="Arial"/>
                <w:sz w:val="15"/>
                <w:szCs w:val="15"/>
                <w:color w:val="auto"/>
              </w:rPr>
              <w:t>5,797,488</w:t>
            </w:r>
            <w:r>
              <w:rPr>
                <w:rFonts w:ascii="Arial" w:cs="Arial" w:eastAsia="Arial" w:hAnsi="Arial"/>
                <w:sz w:val="18"/>
                <w:szCs w:val="18"/>
                <w:color w:val="auto"/>
                <w:vertAlign w:val="superscript"/>
              </w:rPr>
              <w:t>(3)</w:t>
            </w:r>
          </w:p>
        </w:tc>
        <w:tc>
          <w:tcPr>
            <w:tcW w:w="0" w:type="dxa"/>
            <w:vAlign w:val="bottom"/>
          </w:tcPr>
          <w:p>
            <w:pPr>
              <w:spacing w:after="0"/>
              <w:rPr>
                <w:sz w:val="1"/>
                <w:szCs w:val="1"/>
                <w:color w:val="auto"/>
              </w:rPr>
            </w:pPr>
          </w:p>
        </w:tc>
      </w:tr>
      <w:tr>
        <w:trPr>
          <w:trHeight w:val="68"/>
        </w:trPr>
        <w:tc>
          <w:tcPr>
            <w:tcW w:w="2440" w:type="dxa"/>
            <w:vAlign w:val="bottom"/>
            <w:tcBorders>
              <w:left w:val="single" w:sz="8" w:color="424E6A"/>
              <w:bottom w:val="single" w:sz="8" w:color="424E6A"/>
            </w:tcBorders>
          </w:tcPr>
          <w:p>
            <w:pPr>
              <w:spacing w:after="0"/>
              <w:rPr>
                <w:sz w:val="5"/>
                <w:szCs w:val="5"/>
                <w:color w:val="auto"/>
              </w:rPr>
            </w:pPr>
          </w:p>
        </w:tc>
        <w:tc>
          <w:tcPr>
            <w:tcW w:w="84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780" w:type="dxa"/>
            <w:vAlign w:val="bottom"/>
            <w:tcBorders>
              <w:bottom w:val="single" w:sz="8" w:color="424E6A"/>
            </w:tcBorders>
          </w:tcPr>
          <w:p>
            <w:pPr>
              <w:spacing w:after="0"/>
              <w:rPr>
                <w:sz w:val="5"/>
                <w:szCs w:val="5"/>
                <w:color w:val="auto"/>
              </w:rPr>
            </w:pPr>
          </w:p>
        </w:tc>
        <w:tc>
          <w:tcPr>
            <w:tcW w:w="160" w:type="dxa"/>
            <w:vAlign w:val="bottom"/>
            <w:tcBorders>
              <w:bottom w:val="single" w:sz="8" w:color="424E6A"/>
              <w:right w:val="single" w:sz="8" w:color="424E6A"/>
            </w:tcBorders>
          </w:tcPr>
          <w:p>
            <w:pPr>
              <w:ind w:left="40"/>
              <w:spacing w:after="0" w:line="68" w:lineRule="exact"/>
              <w:rPr>
                <w:sz w:val="20"/>
                <w:szCs w:val="20"/>
                <w:color w:val="auto"/>
              </w:rPr>
            </w:pPr>
            <w:r>
              <w:rPr>
                <w:rFonts w:ascii="Arial" w:cs="Arial" w:eastAsia="Arial" w:hAnsi="Arial"/>
                <w:sz w:val="7"/>
                <w:szCs w:val="7"/>
                <w:color w:val="auto"/>
              </w:rPr>
              <w:t>​</w:t>
            </w:r>
          </w:p>
        </w:tc>
        <w:tc>
          <w:tcPr>
            <w:tcW w:w="240" w:type="dxa"/>
            <w:vAlign w:val="bottom"/>
            <w:tcBorders>
              <w:bottom w:val="single" w:sz="8" w:color="424E6A"/>
            </w:tcBorders>
            <w:vMerge w:val="continue"/>
          </w:tcPr>
          <w:p>
            <w:pPr>
              <w:spacing w:after="0"/>
              <w:rPr>
                <w:sz w:val="5"/>
                <w:szCs w:val="5"/>
                <w:color w:val="auto"/>
              </w:rPr>
            </w:pPr>
          </w:p>
        </w:tc>
        <w:tc>
          <w:tcPr>
            <w:tcW w:w="740" w:type="dxa"/>
            <w:vAlign w:val="bottom"/>
            <w:tcBorders>
              <w:bottom w:val="single" w:sz="8" w:color="424E6A"/>
            </w:tcBorders>
          </w:tcPr>
          <w:p>
            <w:pPr>
              <w:spacing w:after="0"/>
              <w:rPr>
                <w:sz w:val="5"/>
                <w:szCs w:val="5"/>
                <w:color w:val="auto"/>
              </w:rPr>
            </w:pPr>
          </w:p>
        </w:tc>
        <w:tc>
          <w:tcPr>
            <w:tcW w:w="160" w:type="dxa"/>
            <w:vAlign w:val="bottom"/>
            <w:tcBorders>
              <w:bottom w:val="single" w:sz="8" w:color="424E6A"/>
              <w:right w:val="single" w:sz="8" w:color="424E6A"/>
            </w:tcBorders>
          </w:tcPr>
          <w:p>
            <w:pPr>
              <w:ind w:left="60"/>
              <w:spacing w:after="0" w:line="68" w:lineRule="exact"/>
              <w:rPr>
                <w:sz w:val="20"/>
                <w:szCs w:val="20"/>
                <w:color w:val="auto"/>
              </w:rPr>
            </w:pPr>
            <w:r>
              <w:rPr>
                <w:rFonts w:ascii="Arial" w:cs="Arial" w:eastAsia="Arial" w:hAnsi="Arial"/>
                <w:sz w:val="7"/>
                <w:szCs w:val="7"/>
                <w:color w:val="auto"/>
              </w:rPr>
              <w:t>​</w:t>
            </w:r>
          </w:p>
        </w:tc>
        <w:tc>
          <w:tcPr>
            <w:tcW w:w="380" w:type="dxa"/>
            <w:vAlign w:val="bottom"/>
            <w:tcBorders>
              <w:bottom w:val="single" w:sz="8" w:color="424E6A"/>
            </w:tcBorders>
            <w:gridSpan w:val="2"/>
          </w:tcPr>
          <w:p>
            <w:pPr>
              <w:ind w:left="8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220" w:type="dxa"/>
            <w:vAlign w:val="bottom"/>
            <w:tcBorders>
              <w:bottom w:val="single" w:sz="8" w:color="424E6A"/>
              <w:right w:val="single" w:sz="8" w:color="424E6A"/>
            </w:tcBorders>
          </w:tcPr>
          <w:p>
            <w:pPr>
              <w:jc w:val="right"/>
              <w:ind w:right="4"/>
              <w:spacing w:after="0" w:line="68" w:lineRule="exact"/>
              <w:rPr>
                <w:sz w:val="20"/>
                <w:szCs w:val="20"/>
                <w:color w:val="auto"/>
              </w:rPr>
            </w:pPr>
            <w:r>
              <w:rPr>
                <w:rFonts w:ascii="Arial" w:cs="Arial" w:eastAsia="Arial" w:hAnsi="Arial"/>
                <w:sz w:val="7"/>
                <w:szCs w:val="7"/>
                <w:color w:val="auto"/>
              </w:rPr>
              <w:t>​ ​</w:t>
            </w:r>
          </w:p>
        </w:tc>
        <w:tc>
          <w:tcPr>
            <w:tcW w:w="160" w:type="dxa"/>
            <w:vAlign w:val="bottom"/>
            <w:tcBorders>
              <w:bottom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800" w:type="dxa"/>
            <w:vAlign w:val="bottom"/>
            <w:tcBorders>
              <w:bottom w:val="single" w:sz="8" w:color="424E6A"/>
            </w:tcBorders>
          </w:tcPr>
          <w:p>
            <w:pPr>
              <w:spacing w:after="0"/>
              <w:rPr>
                <w:sz w:val="5"/>
                <w:szCs w:val="5"/>
                <w:color w:val="auto"/>
              </w:rPr>
            </w:pPr>
          </w:p>
        </w:tc>
        <w:tc>
          <w:tcPr>
            <w:tcW w:w="220" w:type="dxa"/>
            <w:vAlign w:val="bottom"/>
            <w:tcBorders>
              <w:bottom w:val="single" w:sz="8" w:color="424E6A"/>
              <w:right w:val="single" w:sz="8" w:color="424E6A"/>
            </w:tcBorders>
          </w:tcPr>
          <w:p>
            <w:pPr>
              <w:jc w:val="right"/>
              <w:ind w:right="98"/>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23"/>
        </w:trPr>
        <w:tc>
          <w:tcPr>
            <w:tcW w:w="2440" w:type="dxa"/>
            <w:vAlign w:val="bottom"/>
            <w:tcBorders>
              <w:left w:val="single" w:sz="8" w:color="424E6A"/>
              <w:bottom w:val="single" w:sz="8" w:color="424E6A"/>
            </w:tcBorders>
          </w:tcPr>
          <w:p>
            <w:pPr>
              <w:ind w:left="220"/>
              <w:spacing w:after="0"/>
              <w:rPr>
                <w:sz w:val="20"/>
                <w:szCs w:val="20"/>
                <w:color w:val="auto"/>
              </w:rPr>
            </w:pPr>
            <w:r>
              <w:rPr>
                <w:rFonts w:ascii="Arial" w:cs="Arial" w:eastAsia="Arial" w:hAnsi="Arial"/>
                <w:sz w:val="15"/>
                <w:szCs w:val="15"/>
                <w:color w:val="auto"/>
              </w:rPr>
              <w:t>Total</w:t>
            </w:r>
          </w:p>
        </w:tc>
        <w:tc>
          <w:tcPr>
            <w:tcW w:w="840" w:type="dxa"/>
            <w:vAlign w:val="bottom"/>
            <w:tcBorders>
              <w:bottom w:val="single" w:sz="8" w:color="424E6A"/>
              <w:right w:val="single" w:sz="8" w:color="424E6A"/>
            </w:tcBorders>
          </w:tcPr>
          <w:p>
            <w:pPr>
              <w:ind w:left="780"/>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424E6A"/>
            </w:tcBorders>
            <w:gridSpan w:val="2"/>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3,774,294</w:t>
            </w:r>
          </w:p>
        </w:tc>
        <w:tc>
          <w:tcPr>
            <w:tcW w:w="16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424E6A"/>
            </w:tcBorders>
            <w:gridSpan w:val="2"/>
          </w:tcPr>
          <w:p>
            <w:pPr>
              <w:ind w:left="80"/>
              <w:spacing w:after="0" w:line="223"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 xml:space="preserve"> 2,347,913</w:t>
            </w:r>
          </w:p>
        </w:tc>
        <w:tc>
          <w:tcPr>
            <w:tcW w:w="16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424E6A"/>
            </w:tcBorders>
          </w:tcPr>
          <w:p>
            <w:pPr>
              <w:ind w:left="10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980" w:type="dxa"/>
            <w:vAlign w:val="bottom"/>
            <w:tcBorders>
              <w:bottom w:val="single" w:sz="8" w:color="424E6A"/>
              <w:right w:val="single" w:sz="8" w:color="424E6A"/>
            </w:tcBorders>
            <w:gridSpan w:val="2"/>
          </w:tcPr>
          <w:p>
            <w:pPr>
              <w:jc w:val="right"/>
              <w:ind w:right="4"/>
              <w:spacing w:after="0" w:line="223" w:lineRule="exact"/>
              <w:rPr>
                <w:sz w:val="20"/>
                <w:szCs w:val="20"/>
                <w:color w:val="auto"/>
              </w:rPr>
            </w:pPr>
            <w:r>
              <w:rPr>
                <w:rFonts w:ascii="Arial" w:cs="Arial" w:eastAsia="Arial" w:hAnsi="Arial"/>
                <w:sz w:val="13"/>
                <w:szCs w:val="13"/>
                <w:color w:val="auto"/>
              </w:rPr>
              <w:t xml:space="preserve">3,774,294 </w:t>
            </w:r>
            <w:r>
              <w:rPr>
                <w:rFonts w:ascii="Arial" w:cs="Arial" w:eastAsia="Arial" w:hAnsi="Arial"/>
                <w:sz w:val="25"/>
                <w:szCs w:val="25"/>
                <w:color w:val="auto"/>
                <w:vertAlign w:val="subscript"/>
              </w:rPr>
              <w:t>​ ​</w:t>
            </w:r>
          </w:p>
        </w:tc>
        <w:tc>
          <w:tcPr>
            <w:tcW w:w="160" w:type="dxa"/>
            <w:vAlign w:val="bottom"/>
            <w:tcBorders>
              <w:bottom w:val="single" w:sz="8" w:color="424E6A"/>
            </w:tcBorders>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424E6A"/>
            </w:tcBorders>
            <w:gridSpan w:val="2"/>
          </w:tcPr>
          <w:p>
            <w:pPr>
              <w:ind w:left="1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5,797,488</w:t>
            </w:r>
          </w:p>
        </w:tc>
        <w:tc>
          <w:tcPr>
            <w:tcW w:w="220" w:type="dxa"/>
            <w:vAlign w:val="bottom"/>
            <w:tcBorders>
              <w:bottom w:val="single" w:sz="8" w:color="424E6A"/>
              <w:right w:val="single" w:sz="8" w:color="424E6A"/>
            </w:tcBorders>
          </w:tcPr>
          <w:p>
            <w:pPr>
              <w:jc w:val="right"/>
              <w:ind w:right="9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7"/>
        </w:trPr>
        <w:tc>
          <w:tcPr>
            <w:tcW w:w="244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5"/>
                <w:szCs w:val="15"/>
                <w:b w:val="1"/>
                <w:bCs w:val="1"/>
                <w:color w:val="auto"/>
              </w:rPr>
              <w:t>Chris Chandler</w:t>
            </w:r>
            <w:r>
              <w:rPr>
                <w:rFonts w:ascii="Arial" w:cs="Arial" w:eastAsia="Arial" w:hAnsi="Arial"/>
                <w:sz w:val="19"/>
                <w:szCs w:val="19"/>
                <w:b w:val="1"/>
                <w:bCs w:val="1"/>
                <w:color w:val="auto"/>
                <w:vertAlign w:val="superscript"/>
              </w:rPr>
              <w:t>(4)</w:t>
            </w:r>
          </w:p>
        </w:tc>
        <w:tc>
          <w:tcPr>
            <w:tcW w:w="840" w:type="dxa"/>
            <w:vAlign w:val="bottom"/>
            <w:tcBorders>
              <w:bottom w:val="single" w:sz="8" w:color="424E6A"/>
              <w:right w:val="single" w:sz="8" w:color="424E6A"/>
            </w:tcBorders>
            <w:shd w:val="clear" w:color="auto" w:fill="D9DCE1"/>
          </w:tcPr>
          <w:p>
            <w:pPr>
              <w:ind w:left="780"/>
              <w:spacing w:after="0"/>
              <w:rPr>
                <w:sz w:val="20"/>
                <w:szCs w:val="20"/>
                <w:color w:val="auto"/>
              </w:rPr>
            </w:pPr>
            <w:r>
              <w:rPr>
                <w:rFonts w:ascii="Arial" w:cs="Arial" w:eastAsia="Arial" w:hAnsi="Arial"/>
                <w:sz w:val="15"/>
                <w:szCs w:val="15"/>
                <w:b w:val="1"/>
                <w:bCs w:val="1"/>
                <w:color w:val="auto"/>
              </w:rPr>
              <w:t>​</w:t>
            </w:r>
          </w:p>
        </w:tc>
        <w:tc>
          <w:tcPr>
            <w:tcW w:w="1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424E6A"/>
            </w:tcBorders>
            <w:shd w:val="clear" w:color="auto" w:fill="D9DCE1"/>
          </w:tcPr>
          <w:p>
            <w:pPr>
              <w:spacing w:after="0"/>
              <w:rPr>
                <w:sz w:val="20"/>
                <w:szCs w:val="20"/>
                <w:color w:val="auto"/>
              </w:rPr>
            </w:pPr>
          </w:p>
        </w:tc>
        <w:tc>
          <w:tcPr>
            <w:tcW w:w="16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5"/>
                <w:szCs w:val="15"/>
                <w:b w:val="1"/>
                <w:bCs w:val="1"/>
                <w:color w:val="auto"/>
              </w:rPr>
              <w:t>​</w:t>
            </w:r>
          </w:p>
        </w:tc>
        <w:tc>
          <w:tcPr>
            <w:tcW w:w="2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5"/>
                <w:szCs w:val="15"/>
                <w:b w:val="1"/>
                <w:bCs w:val="1"/>
                <w:color w:val="auto"/>
              </w:rPr>
              <w:t>​ ​</w:t>
            </w:r>
          </w:p>
        </w:tc>
        <w:tc>
          <w:tcPr>
            <w:tcW w:w="740" w:type="dxa"/>
            <w:vAlign w:val="bottom"/>
            <w:tcBorders>
              <w:bottom w:val="single" w:sz="8" w:color="424E6A"/>
            </w:tcBorders>
            <w:shd w:val="clear" w:color="auto" w:fill="D9DCE1"/>
          </w:tcPr>
          <w:p>
            <w:pPr>
              <w:spacing w:after="0"/>
              <w:rPr>
                <w:sz w:val="20"/>
                <w:szCs w:val="20"/>
                <w:color w:val="auto"/>
              </w:rPr>
            </w:pPr>
          </w:p>
        </w:tc>
        <w:tc>
          <w:tcPr>
            <w:tcW w:w="16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5"/>
                <w:szCs w:val="15"/>
                <w:b w:val="1"/>
                <w:bCs w:val="1"/>
                <w:color w:val="auto"/>
              </w:rPr>
              <w:t>​</w:t>
            </w:r>
          </w:p>
        </w:tc>
        <w:tc>
          <w:tcPr>
            <w:tcW w:w="1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5"/>
                <w:szCs w:val="15"/>
                <w:b w:val="1"/>
                <w:bCs w:val="1"/>
                <w:color w:val="auto"/>
              </w:rPr>
              <w:t>​</w:t>
            </w:r>
          </w:p>
        </w:tc>
        <w:tc>
          <w:tcPr>
            <w:tcW w:w="24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5"/>
                <w:szCs w:val="15"/>
                <w:b w:val="1"/>
                <w:bCs w:val="1"/>
                <w:color w:val="auto"/>
              </w:rPr>
              <w:t>​</w:t>
            </w:r>
          </w:p>
        </w:tc>
        <w:tc>
          <w:tcPr>
            <w:tcW w:w="760" w:type="dxa"/>
            <w:vAlign w:val="bottom"/>
            <w:tcBorders>
              <w:bottom w:val="single" w:sz="8" w:color="424E6A"/>
            </w:tcBorders>
            <w:shd w:val="clear" w:color="auto" w:fill="D9DCE1"/>
          </w:tcPr>
          <w:p>
            <w:pPr>
              <w:spacing w:after="0"/>
              <w:rPr>
                <w:sz w:val="20"/>
                <w:szCs w:val="20"/>
                <w:color w:val="auto"/>
              </w:rPr>
            </w:pPr>
          </w:p>
        </w:tc>
        <w:tc>
          <w:tcPr>
            <w:tcW w:w="220" w:type="dxa"/>
            <w:vAlign w:val="bottom"/>
            <w:tcBorders>
              <w:bottom w:val="single" w:sz="8" w:color="424E6A"/>
              <w:right w:val="single" w:sz="8" w:color="424E6A"/>
            </w:tcBorders>
            <w:shd w:val="clear" w:color="auto" w:fill="D9DCE1"/>
          </w:tcPr>
          <w:p>
            <w:pPr>
              <w:jc w:val="right"/>
              <w:ind w:right="4"/>
              <w:spacing w:after="0"/>
              <w:rPr>
                <w:sz w:val="20"/>
                <w:szCs w:val="20"/>
                <w:color w:val="auto"/>
              </w:rPr>
            </w:pPr>
            <w:r>
              <w:rPr>
                <w:rFonts w:ascii="Arial" w:cs="Arial" w:eastAsia="Arial" w:hAnsi="Arial"/>
                <w:sz w:val="15"/>
                <w:szCs w:val="15"/>
                <w:b w:val="1"/>
                <w:bCs w:val="1"/>
                <w:color w:val="auto"/>
              </w:rPr>
              <w:t>​ ​</w:t>
            </w:r>
          </w:p>
        </w:tc>
        <w:tc>
          <w:tcPr>
            <w:tcW w:w="16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5"/>
                <w:szCs w:val="15"/>
                <w:b w:val="1"/>
                <w:bCs w:val="1"/>
                <w:color w:val="auto"/>
              </w:rPr>
              <w:t>​</w:t>
            </w:r>
          </w:p>
        </w:tc>
        <w:tc>
          <w:tcPr>
            <w:tcW w:w="180" w:type="dxa"/>
            <w:vAlign w:val="bottom"/>
            <w:tcBorders>
              <w:bottom w:val="single" w:sz="8" w:color="424E6A"/>
            </w:tcBorders>
            <w:shd w:val="clear" w:color="auto" w:fill="D9DCE1"/>
          </w:tcPr>
          <w:p>
            <w:pPr>
              <w:ind w:left="120"/>
              <w:spacing w:after="0"/>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424E6A"/>
            </w:tcBorders>
            <w:shd w:val="clear" w:color="auto" w:fill="D9DCE1"/>
          </w:tcPr>
          <w:p>
            <w:pPr>
              <w:spacing w:after="0"/>
              <w:rPr>
                <w:sz w:val="20"/>
                <w:szCs w:val="20"/>
                <w:color w:val="auto"/>
              </w:rPr>
            </w:pPr>
          </w:p>
        </w:tc>
        <w:tc>
          <w:tcPr>
            <w:tcW w:w="220" w:type="dxa"/>
            <w:vAlign w:val="bottom"/>
            <w:tcBorders>
              <w:bottom w:val="single" w:sz="8" w:color="424E6A"/>
              <w:right w:val="single" w:sz="8" w:color="424E6A"/>
            </w:tcBorders>
            <w:shd w:val="clear" w:color="auto" w:fill="D9DCE1"/>
          </w:tcPr>
          <w:p>
            <w:pPr>
              <w:jc w:val="right"/>
              <w:ind w:right="98"/>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55"/>
        </w:trPr>
        <w:tc>
          <w:tcPr>
            <w:tcW w:w="2440" w:type="dxa"/>
            <w:vAlign w:val="bottom"/>
            <w:tcBorders>
              <w:left w:val="single" w:sz="8" w:color="424E6A"/>
            </w:tcBorders>
          </w:tcPr>
          <w:p>
            <w:pPr>
              <w:ind w:left="220"/>
              <w:spacing w:after="0" w:line="156" w:lineRule="exact"/>
              <w:rPr>
                <w:sz w:val="20"/>
                <w:szCs w:val="20"/>
                <w:color w:val="auto"/>
              </w:rPr>
            </w:pPr>
            <w:r>
              <w:rPr>
                <w:rFonts w:ascii="Arial" w:cs="Arial" w:eastAsia="Arial" w:hAnsi="Arial"/>
                <w:sz w:val="15"/>
                <w:szCs w:val="15"/>
                <w:color w:val="auto"/>
              </w:rPr>
              <w:t>Equity Compensation</w:t>
            </w:r>
          </w:p>
        </w:tc>
        <w:tc>
          <w:tcPr>
            <w:tcW w:w="840" w:type="dxa"/>
            <w:vAlign w:val="bottom"/>
            <w:tcBorders>
              <w:right w:val="single" w:sz="8" w:color="424E6A"/>
            </w:tcBorders>
            <w:vMerge w:val="restart"/>
          </w:tcPr>
          <w:p>
            <w:pPr>
              <w:ind w:left="780"/>
              <w:spacing w:after="0"/>
              <w:rPr>
                <w:sz w:val="20"/>
                <w:szCs w:val="20"/>
                <w:color w:val="auto"/>
              </w:rPr>
            </w:pPr>
            <w:r>
              <w:rPr>
                <w:rFonts w:ascii="Arial" w:cs="Arial" w:eastAsia="Arial" w:hAnsi="Arial"/>
                <w:sz w:val="15"/>
                <w:szCs w:val="15"/>
                <w:color w:val="auto"/>
              </w:rPr>
              <w:t>​</w:t>
            </w:r>
          </w:p>
        </w:tc>
        <w:tc>
          <w:tcPr>
            <w:tcW w:w="1080" w:type="dxa"/>
            <w:vAlign w:val="bottom"/>
            <w:tcBorders>
              <w:right w:val="single" w:sz="8" w:color="424E6A"/>
            </w:tcBorders>
            <w:gridSpan w:val="3"/>
          </w:tcPr>
          <w:p>
            <w:pPr>
              <w:jc w:val="right"/>
              <w:ind w:right="17"/>
              <w:spacing w:after="0" w:line="156" w:lineRule="exact"/>
              <w:rPr>
                <w:sz w:val="20"/>
                <w:szCs w:val="20"/>
                <w:color w:val="auto"/>
              </w:rPr>
            </w:pPr>
            <w:r>
              <w:rPr>
                <w:rFonts w:ascii="Arial" w:cs="Arial" w:eastAsia="Arial" w:hAnsi="Arial"/>
                <w:sz w:val="15"/>
                <w:szCs w:val="15"/>
                <w:color w:val="auto"/>
              </w:rPr>
              <w:t>13,914,510</w:t>
            </w:r>
            <w:r>
              <w:rPr>
                <w:rFonts w:ascii="Arial" w:cs="Arial" w:eastAsia="Arial" w:hAnsi="Arial"/>
                <w:sz w:val="18"/>
                <w:szCs w:val="18"/>
                <w:color w:val="auto"/>
                <w:vertAlign w:val="superscript"/>
              </w:rPr>
              <w:t>(1)</w:t>
            </w:r>
          </w:p>
        </w:tc>
        <w:tc>
          <w:tcPr>
            <w:tcW w:w="1140" w:type="dxa"/>
            <w:vAlign w:val="bottom"/>
            <w:tcBorders>
              <w:right w:val="single" w:sz="8" w:color="424E6A"/>
            </w:tcBorders>
            <w:gridSpan w:val="3"/>
          </w:tcPr>
          <w:p>
            <w:pPr>
              <w:jc w:val="right"/>
              <w:ind w:right="17"/>
              <w:spacing w:after="0" w:line="156" w:lineRule="exact"/>
              <w:rPr>
                <w:sz w:val="20"/>
                <w:szCs w:val="20"/>
                <w:color w:val="auto"/>
              </w:rPr>
            </w:pPr>
            <w:r>
              <w:rPr>
                <w:rFonts w:ascii="Arial" w:cs="Arial" w:eastAsia="Arial" w:hAnsi="Arial"/>
                <w:sz w:val="15"/>
                <w:szCs w:val="15"/>
                <w:color w:val="auto"/>
              </w:rPr>
              <w:t>12,038,291</w:t>
            </w:r>
            <w:r>
              <w:rPr>
                <w:rFonts w:ascii="Arial" w:cs="Arial" w:eastAsia="Arial" w:hAnsi="Arial"/>
                <w:sz w:val="18"/>
                <w:szCs w:val="18"/>
                <w:color w:val="auto"/>
                <w:vertAlign w:val="superscript"/>
              </w:rPr>
              <w:t>(2)</w:t>
            </w:r>
          </w:p>
        </w:tc>
        <w:tc>
          <w:tcPr>
            <w:tcW w:w="140" w:type="dxa"/>
            <w:vAlign w:val="bottom"/>
          </w:tcPr>
          <w:p>
            <w:pPr>
              <w:spacing w:after="0"/>
              <w:rPr>
                <w:sz w:val="13"/>
                <w:szCs w:val="13"/>
                <w:color w:val="auto"/>
              </w:rPr>
            </w:pPr>
          </w:p>
        </w:tc>
        <w:tc>
          <w:tcPr>
            <w:tcW w:w="1220" w:type="dxa"/>
            <w:vAlign w:val="bottom"/>
            <w:tcBorders>
              <w:right w:val="single" w:sz="8" w:color="424E6A"/>
            </w:tcBorders>
            <w:gridSpan w:val="3"/>
          </w:tcPr>
          <w:p>
            <w:pPr>
              <w:jc w:val="right"/>
              <w:ind w:right="84"/>
              <w:spacing w:after="0" w:line="156" w:lineRule="exact"/>
              <w:rPr>
                <w:sz w:val="20"/>
                <w:szCs w:val="20"/>
                <w:color w:val="auto"/>
              </w:rPr>
            </w:pPr>
            <w:r>
              <w:rPr>
                <w:rFonts w:ascii="Arial" w:cs="Arial" w:eastAsia="Arial" w:hAnsi="Arial"/>
                <w:sz w:val="15"/>
                <w:szCs w:val="15"/>
                <w:color w:val="auto"/>
              </w:rPr>
              <w:t>$13,914,510</w:t>
            </w:r>
            <w:r>
              <w:rPr>
                <w:rFonts w:ascii="Arial" w:cs="Arial" w:eastAsia="Arial" w:hAnsi="Arial"/>
                <w:sz w:val="18"/>
                <w:szCs w:val="18"/>
                <w:color w:val="auto"/>
                <w:vertAlign w:val="superscript"/>
              </w:rPr>
              <w:t>(3)</w:t>
            </w: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right w:val="single" w:sz="8" w:color="424E6A"/>
            </w:tcBorders>
            <w:gridSpan w:val="3"/>
          </w:tcPr>
          <w:p>
            <w:pPr>
              <w:jc w:val="right"/>
              <w:ind w:right="118"/>
              <w:spacing w:after="0" w:line="156" w:lineRule="exact"/>
              <w:rPr>
                <w:sz w:val="20"/>
                <w:szCs w:val="20"/>
                <w:color w:val="auto"/>
              </w:rPr>
            </w:pPr>
            <w:r>
              <w:rPr>
                <w:rFonts w:ascii="Arial" w:cs="Arial" w:eastAsia="Arial" w:hAnsi="Arial"/>
                <w:sz w:val="15"/>
                <w:szCs w:val="15"/>
                <w:color w:val="auto"/>
              </w:rPr>
              <w:t>22,396,120</w:t>
            </w:r>
            <w:r>
              <w:rPr>
                <w:rFonts w:ascii="Arial" w:cs="Arial" w:eastAsia="Arial" w:hAnsi="Arial"/>
                <w:sz w:val="18"/>
                <w:szCs w:val="18"/>
                <w:color w:val="auto"/>
                <w:vertAlign w:val="superscript"/>
              </w:rPr>
              <w:t>(3)</w:t>
            </w:r>
          </w:p>
        </w:tc>
        <w:tc>
          <w:tcPr>
            <w:tcW w:w="0" w:type="dxa"/>
            <w:vAlign w:val="bottom"/>
          </w:tcPr>
          <w:p>
            <w:pPr>
              <w:spacing w:after="0"/>
              <w:rPr>
                <w:sz w:val="1"/>
                <w:szCs w:val="1"/>
                <w:color w:val="auto"/>
              </w:rPr>
            </w:pPr>
          </w:p>
        </w:tc>
      </w:tr>
      <w:tr>
        <w:trPr>
          <w:trHeight w:val="68"/>
        </w:trPr>
        <w:tc>
          <w:tcPr>
            <w:tcW w:w="2440" w:type="dxa"/>
            <w:vAlign w:val="bottom"/>
            <w:tcBorders>
              <w:left w:val="single" w:sz="8" w:color="424E6A"/>
              <w:bottom w:val="single" w:sz="8" w:color="424E6A"/>
            </w:tcBorders>
          </w:tcPr>
          <w:p>
            <w:pPr>
              <w:spacing w:after="0"/>
              <w:rPr>
                <w:sz w:val="5"/>
                <w:szCs w:val="5"/>
                <w:color w:val="auto"/>
              </w:rPr>
            </w:pPr>
          </w:p>
        </w:tc>
        <w:tc>
          <w:tcPr>
            <w:tcW w:w="84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tcPr>
          <w:p>
            <w:pPr>
              <w:ind w:left="40"/>
              <w:spacing w:after="0" w:line="68" w:lineRule="exact"/>
              <w:rPr>
                <w:sz w:val="20"/>
                <w:szCs w:val="20"/>
                <w:color w:val="auto"/>
              </w:rPr>
            </w:pPr>
            <w:r>
              <w:rPr>
                <w:rFonts w:ascii="Arial" w:cs="Arial" w:eastAsia="Arial" w:hAnsi="Arial"/>
                <w:sz w:val="7"/>
                <w:szCs w:val="7"/>
                <w:color w:val="auto"/>
              </w:rPr>
              <w:t>​​</w:t>
            </w:r>
          </w:p>
        </w:tc>
        <w:tc>
          <w:tcPr>
            <w:tcW w:w="780" w:type="dxa"/>
            <w:vAlign w:val="bottom"/>
            <w:tcBorders>
              <w:bottom w:val="single" w:sz="8" w:color="424E6A"/>
            </w:tcBorders>
          </w:tcPr>
          <w:p>
            <w:pPr>
              <w:spacing w:after="0"/>
              <w:rPr>
                <w:sz w:val="5"/>
                <w:szCs w:val="5"/>
                <w:color w:val="auto"/>
              </w:rPr>
            </w:pPr>
          </w:p>
        </w:tc>
        <w:tc>
          <w:tcPr>
            <w:tcW w:w="160" w:type="dxa"/>
            <w:vAlign w:val="bottom"/>
            <w:tcBorders>
              <w:bottom w:val="single" w:sz="8" w:color="424E6A"/>
              <w:right w:val="single" w:sz="8" w:color="424E6A"/>
            </w:tcBorders>
          </w:tcPr>
          <w:p>
            <w:pPr>
              <w:ind w:left="40"/>
              <w:spacing w:after="0" w:line="68" w:lineRule="exact"/>
              <w:rPr>
                <w:sz w:val="20"/>
                <w:szCs w:val="20"/>
                <w:color w:val="auto"/>
              </w:rPr>
            </w:pPr>
            <w:r>
              <w:rPr>
                <w:rFonts w:ascii="Arial" w:cs="Arial" w:eastAsia="Arial" w:hAnsi="Arial"/>
                <w:sz w:val="7"/>
                <w:szCs w:val="7"/>
                <w:color w:val="auto"/>
              </w:rPr>
              <w:t>​</w:t>
            </w:r>
          </w:p>
        </w:tc>
        <w:tc>
          <w:tcPr>
            <w:tcW w:w="240" w:type="dxa"/>
            <w:vAlign w:val="bottom"/>
            <w:tcBorders>
              <w:bottom w:val="single" w:sz="8" w:color="424E6A"/>
            </w:tcBorders>
          </w:tcPr>
          <w:p>
            <w:pPr>
              <w:ind w:left="80"/>
              <w:spacing w:after="0" w:line="68" w:lineRule="exact"/>
              <w:rPr>
                <w:sz w:val="20"/>
                <w:szCs w:val="20"/>
                <w:color w:val="auto"/>
              </w:rPr>
            </w:pPr>
            <w:r>
              <w:rPr>
                <w:rFonts w:ascii="Arial" w:cs="Arial" w:eastAsia="Arial" w:hAnsi="Arial"/>
                <w:sz w:val="7"/>
                <w:szCs w:val="7"/>
                <w:color w:val="auto"/>
              </w:rPr>
              <w:t>​ ​</w:t>
            </w:r>
          </w:p>
        </w:tc>
        <w:tc>
          <w:tcPr>
            <w:tcW w:w="740" w:type="dxa"/>
            <w:vAlign w:val="bottom"/>
            <w:tcBorders>
              <w:bottom w:val="single" w:sz="8" w:color="424E6A"/>
            </w:tcBorders>
          </w:tcPr>
          <w:p>
            <w:pPr>
              <w:spacing w:after="0"/>
              <w:rPr>
                <w:sz w:val="5"/>
                <w:szCs w:val="5"/>
                <w:color w:val="auto"/>
              </w:rPr>
            </w:pPr>
          </w:p>
        </w:tc>
        <w:tc>
          <w:tcPr>
            <w:tcW w:w="160" w:type="dxa"/>
            <w:vAlign w:val="bottom"/>
            <w:tcBorders>
              <w:bottom w:val="single" w:sz="8" w:color="424E6A"/>
              <w:right w:val="single" w:sz="8" w:color="424E6A"/>
            </w:tcBorders>
          </w:tcPr>
          <w:p>
            <w:pPr>
              <w:ind w:left="60"/>
              <w:spacing w:after="0" w:line="68" w:lineRule="exact"/>
              <w:rPr>
                <w:sz w:val="20"/>
                <w:szCs w:val="20"/>
                <w:color w:val="auto"/>
              </w:rPr>
            </w:pPr>
            <w:r>
              <w:rPr>
                <w:rFonts w:ascii="Arial" w:cs="Arial" w:eastAsia="Arial" w:hAnsi="Arial"/>
                <w:sz w:val="7"/>
                <w:szCs w:val="7"/>
                <w:color w:val="auto"/>
              </w:rPr>
              <w:t>​</w:t>
            </w:r>
          </w:p>
        </w:tc>
        <w:tc>
          <w:tcPr>
            <w:tcW w:w="380" w:type="dxa"/>
            <w:vAlign w:val="bottom"/>
            <w:tcBorders>
              <w:bottom w:val="single" w:sz="8" w:color="424E6A"/>
            </w:tcBorders>
            <w:gridSpan w:val="2"/>
          </w:tcPr>
          <w:p>
            <w:pPr>
              <w:ind w:left="8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220" w:type="dxa"/>
            <w:vAlign w:val="bottom"/>
            <w:tcBorders>
              <w:bottom w:val="single" w:sz="8" w:color="424E6A"/>
              <w:right w:val="single" w:sz="8" w:color="424E6A"/>
            </w:tcBorders>
          </w:tcPr>
          <w:p>
            <w:pPr>
              <w:jc w:val="right"/>
              <w:ind w:right="4"/>
              <w:spacing w:after="0" w:line="68" w:lineRule="exact"/>
              <w:rPr>
                <w:sz w:val="20"/>
                <w:szCs w:val="20"/>
                <w:color w:val="auto"/>
              </w:rPr>
            </w:pPr>
            <w:r>
              <w:rPr>
                <w:rFonts w:ascii="Arial" w:cs="Arial" w:eastAsia="Arial" w:hAnsi="Arial"/>
                <w:sz w:val="7"/>
                <w:szCs w:val="7"/>
                <w:color w:val="auto"/>
              </w:rPr>
              <w:t>​ ​</w:t>
            </w:r>
          </w:p>
        </w:tc>
        <w:tc>
          <w:tcPr>
            <w:tcW w:w="160" w:type="dxa"/>
            <w:vAlign w:val="bottom"/>
            <w:tcBorders>
              <w:bottom w:val="single" w:sz="8" w:color="424E6A"/>
            </w:tcBorders>
            <w:vMerge w:val="continue"/>
          </w:tcPr>
          <w:p>
            <w:pPr>
              <w:spacing w:after="0"/>
              <w:rPr>
                <w:sz w:val="5"/>
                <w:szCs w:val="5"/>
                <w:color w:val="auto"/>
              </w:rPr>
            </w:pPr>
          </w:p>
        </w:tc>
        <w:tc>
          <w:tcPr>
            <w:tcW w:w="180" w:type="dxa"/>
            <w:vAlign w:val="bottom"/>
            <w:tcBorders>
              <w:bottom w:val="single" w:sz="8" w:color="424E6A"/>
            </w:tcBorders>
          </w:tcPr>
          <w:p>
            <w:pPr>
              <w:ind w:left="120"/>
              <w:spacing w:after="0" w:line="68" w:lineRule="exact"/>
              <w:rPr>
                <w:sz w:val="20"/>
                <w:szCs w:val="20"/>
                <w:color w:val="auto"/>
              </w:rPr>
            </w:pPr>
            <w:r>
              <w:rPr>
                <w:rFonts w:ascii="Arial" w:cs="Arial" w:eastAsia="Arial" w:hAnsi="Arial"/>
                <w:sz w:val="7"/>
                <w:szCs w:val="7"/>
                <w:color w:val="auto"/>
              </w:rPr>
              <w:t>​</w:t>
            </w:r>
          </w:p>
        </w:tc>
        <w:tc>
          <w:tcPr>
            <w:tcW w:w="800" w:type="dxa"/>
            <w:vAlign w:val="bottom"/>
            <w:tcBorders>
              <w:bottom w:val="single" w:sz="8" w:color="424E6A"/>
            </w:tcBorders>
          </w:tcPr>
          <w:p>
            <w:pPr>
              <w:spacing w:after="0"/>
              <w:rPr>
                <w:sz w:val="5"/>
                <w:szCs w:val="5"/>
                <w:color w:val="auto"/>
              </w:rPr>
            </w:pPr>
          </w:p>
        </w:tc>
        <w:tc>
          <w:tcPr>
            <w:tcW w:w="220" w:type="dxa"/>
            <w:vAlign w:val="bottom"/>
            <w:tcBorders>
              <w:bottom w:val="single" w:sz="8" w:color="424E6A"/>
              <w:right w:val="single" w:sz="8" w:color="424E6A"/>
            </w:tcBorders>
          </w:tcPr>
          <w:p>
            <w:pPr>
              <w:jc w:val="right"/>
              <w:ind w:right="98"/>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23"/>
        </w:trPr>
        <w:tc>
          <w:tcPr>
            <w:tcW w:w="2440" w:type="dxa"/>
            <w:vAlign w:val="bottom"/>
            <w:tcBorders>
              <w:left w:val="single" w:sz="8" w:color="424E6A"/>
              <w:bottom w:val="single" w:sz="8" w:color="424E6A"/>
            </w:tcBorders>
          </w:tcPr>
          <w:p>
            <w:pPr>
              <w:ind w:left="220"/>
              <w:spacing w:after="0"/>
              <w:rPr>
                <w:sz w:val="20"/>
                <w:szCs w:val="20"/>
                <w:color w:val="auto"/>
              </w:rPr>
            </w:pPr>
            <w:r>
              <w:rPr>
                <w:rFonts w:ascii="Arial" w:cs="Arial" w:eastAsia="Arial" w:hAnsi="Arial"/>
                <w:sz w:val="15"/>
                <w:szCs w:val="15"/>
                <w:color w:val="auto"/>
              </w:rPr>
              <w:t>Total</w:t>
            </w:r>
          </w:p>
        </w:tc>
        <w:tc>
          <w:tcPr>
            <w:tcW w:w="840" w:type="dxa"/>
            <w:vAlign w:val="bottom"/>
            <w:tcBorders>
              <w:bottom w:val="single" w:sz="8" w:color="424E6A"/>
              <w:right w:val="single" w:sz="8" w:color="424E6A"/>
            </w:tcBorders>
          </w:tcPr>
          <w:p>
            <w:pPr>
              <w:ind w:left="780"/>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424E6A"/>
            </w:tcBorders>
            <w:gridSpan w:val="2"/>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13,914,510</w:t>
            </w:r>
          </w:p>
        </w:tc>
        <w:tc>
          <w:tcPr>
            <w:tcW w:w="16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424E6A"/>
            </w:tcBorders>
            <w:gridSpan w:val="2"/>
          </w:tcPr>
          <w:p>
            <w:pPr>
              <w:ind w:left="80"/>
              <w:spacing w:after="0" w:line="223"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12,038,291</w:t>
            </w:r>
          </w:p>
        </w:tc>
        <w:tc>
          <w:tcPr>
            <w:tcW w:w="16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424E6A"/>
              <w:right w:val="single" w:sz="8" w:color="424E6A"/>
            </w:tcBorders>
            <w:gridSpan w:val="3"/>
          </w:tcPr>
          <w:p>
            <w:pPr>
              <w:jc w:val="right"/>
              <w:ind w:right="4"/>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$13,914,510 </w:t>
            </w:r>
            <w:r>
              <w:rPr>
                <w:rFonts w:ascii="Arial" w:cs="Arial" w:eastAsia="Arial" w:hAnsi="Arial"/>
                <w:sz w:val="25"/>
                <w:szCs w:val="25"/>
                <w:color w:val="auto"/>
                <w:vertAlign w:val="subscript"/>
              </w:rPr>
              <w:t>​ ​</w:t>
            </w:r>
          </w:p>
        </w:tc>
        <w:tc>
          <w:tcPr>
            <w:tcW w:w="160" w:type="dxa"/>
            <w:vAlign w:val="bottom"/>
            <w:tcBorders>
              <w:bottom w:val="single" w:sz="8" w:color="424E6A"/>
            </w:tcBorders>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424E6A"/>
            </w:tcBorders>
            <w:gridSpan w:val="2"/>
          </w:tcPr>
          <w:p>
            <w:pPr>
              <w:ind w:left="1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22,396,120</w:t>
            </w:r>
          </w:p>
        </w:tc>
        <w:tc>
          <w:tcPr>
            <w:tcW w:w="220" w:type="dxa"/>
            <w:vAlign w:val="bottom"/>
            <w:tcBorders>
              <w:bottom w:val="single" w:sz="8" w:color="424E6A"/>
              <w:right w:val="single" w:sz="8" w:color="424E6A"/>
            </w:tcBorders>
          </w:tcPr>
          <w:p>
            <w:pPr>
              <w:jc w:val="right"/>
              <w:ind w:right="9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7"/>
        </w:trPr>
        <w:tc>
          <w:tcPr>
            <w:tcW w:w="244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5"/>
                <w:szCs w:val="15"/>
                <w:b w:val="1"/>
                <w:bCs w:val="1"/>
                <w:color w:val="auto"/>
              </w:rPr>
              <w:t>Jeremy Goebel</w:t>
            </w:r>
            <w:r>
              <w:rPr>
                <w:rFonts w:ascii="Arial" w:cs="Arial" w:eastAsia="Arial" w:hAnsi="Arial"/>
                <w:sz w:val="19"/>
                <w:szCs w:val="19"/>
                <w:b w:val="1"/>
                <w:bCs w:val="1"/>
                <w:color w:val="auto"/>
                <w:vertAlign w:val="superscript"/>
              </w:rPr>
              <w:t>(4)</w:t>
            </w:r>
          </w:p>
        </w:tc>
        <w:tc>
          <w:tcPr>
            <w:tcW w:w="840" w:type="dxa"/>
            <w:vAlign w:val="bottom"/>
            <w:tcBorders>
              <w:bottom w:val="single" w:sz="8" w:color="424E6A"/>
              <w:right w:val="single" w:sz="8" w:color="424E6A"/>
            </w:tcBorders>
            <w:shd w:val="clear" w:color="auto" w:fill="D9DCE1"/>
          </w:tcPr>
          <w:p>
            <w:pPr>
              <w:ind w:left="780"/>
              <w:spacing w:after="0"/>
              <w:rPr>
                <w:sz w:val="20"/>
                <w:szCs w:val="20"/>
                <w:color w:val="auto"/>
              </w:rPr>
            </w:pPr>
            <w:r>
              <w:rPr>
                <w:rFonts w:ascii="Arial" w:cs="Arial" w:eastAsia="Arial" w:hAnsi="Arial"/>
                <w:sz w:val="15"/>
                <w:szCs w:val="15"/>
                <w:b w:val="1"/>
                <w:bCs w:val="1"/>
                <w:color w:val="auto"/>
              </w:rPr>
              <w:t>​</w:t>
            </w:r>
          </w:p>
        </w:tc>
        <w:tc>
          <w:tcPr>
            <w:tcW w:w="1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424E6A"/>
            </w:tcBorders>
            <w:shd w:val="clear" w:color="auto" w:fill="D9DCE1"/>
          </w:tcPr>
          <w:p>
            <w:pPr>
              <w:spacing w:after="0"/>
              <w:rPr>
                <w:sz w:val="20"/>
                <w:szCs w:val="20"/>
                <w:color w:val="auto"/>
              </w:rPr>
            </w:pPr>
          </w:p>
        </w:tc>
        <w:tc>
          <w:tcPr>
            <w:tcW w:w="16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5"/>
                <w:szCs w:val="15"/>
                <w:b w:val="1"/>
                <w:bCs w:val="1"/>
                <w:color w:val="auto"/>
              </w:rPr>
              <w:t>​</w:t>
            </w:r>
          </w:p>
        </w:tc>
        <w:tc>
          <w:tcPr>
            <w:tcW w:w="2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5"/>
                <w:szCs w:val="15"/>
                <w:b w:val="1"/>
                <w:bCs w:val="1"/>
                <w:color w:val="auto"/>
              </w:rPr>
              <w:t>​ ​</w:t>
            </w:r>
          </w:p>
        </w:tc>
        <w:tc>
          <w:tcPr>
            <w:tcW w:w="740" w:type="dxa"/>
            <w:vAlign w:val="bottom"/>
            <w:tcBorders>
              <w:bottom w:val="single" w:sz="8" w:color="424E6A"/>
            </w:tcBorders>
            <w:shd w:val="clear" w:color="auto" w:fill="D9DCE1"/>
          </w:tcPr>
          <w:p>
            <w:pPr>
              <w:spacing w:after="0"/>
              <w:rPr>
                <w:sz w:val="20"/>
                <w:szCs w:val="20"/>
                <w:color w:val="auto"/>
              </w:rPr>
            </w:pPr>
          </w:p>
        </w:tc>
        <w:tc>
          <w:tcPr>
            <w:tcW w:w="16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5"/>
                <w:szCs w:val="15"/>
                <w:b w:val="1"/>
                <w:bCs w:val="1"/>
                <w:color w:val="auto"/>
              </w:rPr>
              <w:t>​</w:t>
            </w:r>
          </w:p>
        </w:tc>
        <w:tc>
          <w:tcPr>
            <w:tcW w:w="1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5"/>
                <w:szCs w:val="15"/>
                <w:b w:val="1"/>
                <w:bCs w:val="1"/>
                <w:color w:val="auto"/>
              </w:rPr>
              <w:t>​</w:t>
            </w:r>
          </w:p>
        </w:tc>
        <w:tc>
          <w:tcPr>
            <w:tcW w:w="24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5"/>
                <w:szCs w:val="15"/>
                <w:b w:val="1"/>
                <w:bCs w:val="1"/>
                <w:color w:val="auto"/>
              </w:rPr>
              <w:t>​</w:t>
            </w:r>
          </w:p>
        </w:tc>
        <w:tc>
          <w:tcPr>
            <w:tcW w:w="760" w:type="dxa"/>
            <w:vAlign w:val="bottom"/>
            <w:tcBorders>
              <w:bottom w:val="single" w:sz="8" w:color="424E6A"/>
            </w:tcBorders>
            <w:shd w:val="clear" w:color="auto" w:fill="D9DCE1"/>
          </w:tcPr>
          <w:p>
            <w:pPr>
              <w:spacing w:after="0"/>
              <w:rPr>
                <w:sz w:val="20"/>
                <w:szCs w:val="20"/>
                <w:color w:val="auto"/>
              </w:rPr>
            </w:pPr>
          </w:p>
        </w:tc>
        <w:tc>
          <w:tcPr>
            <w:tcW w:w="220" w:type="dxa"/>
            <w:vAlign w:val="bottom"/>
            <w:tcBorders>
              <w:bottom w:val="single" w:sz="8" w:color="424E6A"/>
              <w:right w:val="single" w:sz="8" w:color="424E6A"/>
            </w:tcBorders>
            <w:shd w:val="clear" w:color="auto" w:fill="D9DCE1"/>
          </w:tcPr>
          <w:p>
            <w:pPr>
              <w:jc w:val="right"/>
              <w:ind w:right="4"/>
              <w:spacing w:after="0"/>
              <w:rPr>
                <w:sz w:val="20"/>
                <w:szCs w:val="20"/>
                <w:color w:val="auto"/>
              </w:rPr>
            </w:pPr>
            <w:r>
              <w:rPr>
                <w:rFonts w:ascii="Arial" w:cs="Arial" w:eastAsia="Arial" w:hAnsi="Arial"/>
                <w:sz w:val="15"/>
                <w:szCs w:val="15"/>
                <w:b w:val="1"/>
                <w:bCs w:val="1"/>
                <w:color w:val="auto"/>
              </w:rPr>
              <w:t>​ ​</w:t>
            </w:r>
          </w:p>
        </w:tc>
        <w:tc>
          <w:tcPr>
            <w:tcW w:w="16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5"/>
                <w:szCs w:val="15"/>
                <w:b w:val="1"/>
                <w:bCs w:val="1"/>
                <w:color w:val="auto"/>
              </w:rPr>
              <w:t>​</w:t>
            </w:r>
          </w:p>
        </w:tc>
        <w:tc>
          <w:tcPr>
            <w:tcW w:w="180" w:type="dxa"/>
            <w:vAlign w:val="bottom"/>
            <w:tcBorders>
              <w:bottom w:val="single" w:sz="8" w:color="424E6A"/>
            </w:tcBorders>
            <w:shd w:val="clear" w:color="auto" w:fill="D9DCE1"/>
          </w:tcPr>
          <w:p>
            <w:pPr>
              <w:ind w:left="120"/>
              <w:spacing w:after="0"/>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424E6A"/>
            </w:tcBorders>
            <w:shd w:val="clear" w:color="auto" w:fill="D9DCE1"/>
          </w:tcPr>
          <w:p>
            <w:pPr>
              <w:spacing w:after="0"/>
              <w:rPr>
                <w:sz w:val="20"/>
                <w:szCs w:val="20"/>
                <w:color w:val="auto"/>
              </w:rPr>
            </w:pPr>
          </w:p>
        </w:tc>
        <w:tc>
          <w:tcPr>
            <w:tcW w:w="220" w:type="dxa"/>
            <w:vAlign w:val="bottom"/>
            <w:tcBorders>
              <w:bottom w:val="single" w:sz="8" w:color="424E6A"/>
              <w:right w:val="single" w:sz="8" w:color="424E6A"/>
            </w:tcBorders>
            <w:shd w:val="clear" w:color="auto" w:fill="D9DCE1"/>
          </w:tcPr>
          <w:p>
            <w:pPr>
              <w:jc w:val="right"/>
              <w:ind w:right="98"/>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55"/>
        </w:trPr>
        <w:tc>
          <w:tcPr>
            <w:tcW w:w="2440" w:type="dxa"/>
            <w:vAlign w:val="bottom"/>
            <w:tcBorders>
              <w:left w:val="single" w:sz="8" w:color="424E6A"/>
            </w:tcBorders>
          </w:tcPr>
          <w:p>
            <w:pPr>
              <w:ind w:left="220"/>
              <w:spacing w:after="0" w:line="156" w:lineRule="exact"/>
              <w:rPr>
                <w:sz w:val="20"/>
                <w:szCs w:val="20"/>
                <w:color w:val="auto"/>
              </w:rPr>
            </w:pPr>
            <w:r>
              <w:rPr>
                <w:rFonts w:ascii="Arial" w:cs="Arial" w:eastAsia="Arial" w:hAnsi="Arial"/>
                <w:sz w:val="15"/>
                <w:szCs w:val="15"/>
                <w:color w:val="auto"/>
              </w:rPr>
              <w:t>Equity Compensation</w:t>
            </w:r>
          </w:p>
        </w:tc>
        <w:tc>
          <w:tcPr>
            <w:tcW w:w="840" w:type="dxa"/>
            <w:vAlign w:val="bottom"/>
            <w:tcBorders>
              <w:right w:val="single" w:sz="8" w:color="424E6A"/>
            </w:tcBorders>
            <w:vMerge w:val="restart"/>
          </w:tcPr>
          <w:p>
            <w:pPr>
              <w:ind w:left="780"/>
              <w:spacing w:after="0"/>
              <w:rPr>
                <w:sz w:val="20"/>
                <w:szCs w:val="20"/>
                <w:color w:val="auto"/>
              </w:rPr>
            </w:pPr>
            <w:r>
              <w:rPr>
                <w:rFonts w:ascii="Arial" w:cs="Arial" w:eastAsia="Arial" w:hAnsi="Arial"/>
                <w:sz w:val="15"/>
                <w:szCs w:val="15"/>
                <w:color w:val="auto"/>
              </w:rPr>
              <w:t>​</w:t>
            </w:r>
          </w:p>
        </w:tc>
        <w:tc>
          <w:tcPr>
            <w:tcW w:w="1080" w:type="dxa"/>
            <w:vAlign w:val="bottom"/>
            <w:tcBorders>
              <w:right w:val="single" w:sz="8" w:color="424E6A"/>
            </w:tcBorders>
            <w:gridSpan w:val="3"/>
          </w:tcPr>
          <w:p>
            <w:pPr>
              <w:jc w:val="right"/>
              <w:ind w:right="17"/>
              <w:spacing w:after="0" w:line="156" w:lineRule="exact"/>
              <w:rPr>
                <w:sz w:val="20"/>
                <w:szCs w:val="20"/>
                <w:color w:val="auto"/>
              </w:rPr>
            </w:pPr>
            <w:r>
              <w:rPr>
                <w:rFonts w:ascii="Arial" w:cs="Arial" w:eastAsia="Arial" w:hAnsi="Arial"/>
                <w:sz w:val="15"/>
                <w:szCs w:val="15"/>
                <w:color w:val="auto"/>
              </w:rPr>
              <w:t>13,914,510</w:t>
            </w:r>
            <w:r>
              <w:rPr>
                <w:rFonts w:ascii="Arial" w:cs="Arial" w:eastAsia="Arial" w:hAnsi="Arial"/>
                <w:sz w:val="18"/>
                <w:szCs w:val="18"/>
                <w:color w:val="auto"/>
                <w:vertAlign w:val="superscript"/>
              </w:rPr>
              <w:t>(1)</w:t>
            </w:r>
          </w:p>
        </w:tc>
        <w:tc>
          <w:tcPr>
            <w:tcW w:w="1140" w:type="dxa"/>
            <w:vAlign w:val="bottom"/>
            <w:tcBorders>
              <w:right w:val="single" w:sz="8" w:color="424E6A"/>
            </w:tcBorders>
            <w:gridSpan w:val="3"/>
          </w:tcPr>
          <w:p>
            <w:pPr>
              <w:jc w:val="right"/>
              <w:ind w:right="17"/>
              <w:spacing w:after="0" w:line="156" w:lineRule="exact"/>
              <w:rPr>
                <w:sz w:val="20"/>
                <w:szCs w:val="20"/>
                <w:color w:val="auto"/>
              </w:rPr>
            </w:pPr>
            <w:r>
              <w:rPr>
                <w:rFonts w:ascii="Arial" w:cs="Arial" w:eastAsia="Arial" w:hAnsi="Arial"/>
                <w:sz w:val="15"/>
                <w:szCs w:val="15"/>
                <w:color w:val="auto"/>
              </w:rPr>
              <w:t>12,038,291</w:t>
            </w:r>
            <w:r>
              <w:rPr>
                <w:rFonts w:ascii="Arial" w:cs="Arial" w:eastAsia="Arial" w:hAnsi="Arial"/>
                <w:sz w:val="18"/>
                <w:szCs w:val="18"/>
                <w:color w:val="auto"/>
                <w:vertAlign w:val="superscript"/>
              </w:rPr>
              <w:t>(2)</w:t>
            </w:r>
          </w:p>
        </w:tc>
        <w:tc>
          <w:tcPr>
            <w:tcW w:w="140" w:type="dxa"/>
            <w:vAlign w:val="bottom"/>
          </w:tcPr>
          <w:p>
            <w:pPr>
              <w:spacing w:after="0"/>
              <w:rPr>
                <w:sz w:val="13"/>
                <w:szCs w:val="13"/>
                <w:color w:val="auto"/>
              </w:rPr>
            </w:pPr>
          </w:p>
        </w:tc>
        <w:tc>
          <w:tcPr>
            <w:tcW w:w="1220" w:type="dxa"/>
            <w:vAlign w:val="bottom"/>
            <w:tcBorders>
              <w:right w:val="single" w:sz="8" w:color="424E6A"/>
            </w:tcBorders>
            <w:gridSpan w:val="3"/>
          </w:tcPr>
          <w:p>
            <w:pPr>
              <w:jc w:val="right"/>
              <w:ind w:right="84"/>
              <w:spacing w:after="0" w:line="156" w:lineRule="exact"/>
              <w:rPr>
                <w:sz w:val="20"/>
                <w:szCs w:val="20"/>
                <w:color w:val="auto"/>
              </w:rPr>
            </w:pPr>
            <w:r>
              <w:rPr>
                <w:rFonts w:ascii="Arial" w:cs="Arial" w:eastAsia="Arial" w:hAnsi="Arial"/>
                <w:sz w:val="15"/>
                <w:szCs w:val="15"/>
                <w:color w:val="auto"/>
              </w:rPr>
              <w:t>$13,914,510</w:t>
            </w:r>
            <w:r>
              <w:rPr>
                <w:rFonts w:ascii="Arial" w:cs="Arial" w:eastAsia="Arial" w:hAnsi="Arial"/>
                <w:sz w:val="18"/>
                <w:szCs w:val="18"/>
                <w:color w:val="auto"/>
                <w:vertAlign w:val="superscript"/>
              </w:rPr>
              <w:t>(3)</w:t>
            </w: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right w:val="single" w:sz="8" w:color="424E6A"/>
            </w:tcBorders>
            <w:gridSpan w:val="3"/>
          </w:tcPr>
          <w:p>
            <w:pPr>
              <w:jc w:val="right"/>
              <w:ind w:right="118"/>
              <w:spacing w:after="0" w:line="156" w:lineRule="exact"/>
              <w:rPr>
                <w:sz w:val="20"/>
                <w:szCs w:val="20"/>
                <w:color w:val="auto"/>
              </w:rPr>
            </w:pPr>
            <w:r>
              <w:rPr>
                <w:rFonts w:ascii="Arial" w:cs="Arial" w:eastAsia="Arial" w:hAnsi="Arial"/>
                <w:sz w:val="15"/>
                <w:szCs w:val="15"/>
                <w:color w:val="auto"/>
              </w:rPr>
              <w:t>26,314,992</w:t>
            </w:r>
            <w:r>
              <w:rPr>
                <w:rFonts w:ascii="Arial" w:cs="Arial" w:eastAsia="Arial" w:hAnsi="Arial"/>
                <w:sz w:val="18"/>
                <w:szCs w:val="18"/>
                <w:color w:val="auto"/>
                <w:vertAlign w:val="superscript"/>
              </w:rPr>
              <w:t>(3)</w:t>
            </w:r>
          </w:p>
        </w:tc>
        <w:tc>
          <w:tcPr>
            <w:tcW w:w="0" w:type="dxa"/>
            <w:vAlign w:val="bottom"/>
          </w:tcPr>
          <w:p>
            <w:pPr>
              <w:spacing w:after="0"/>
              <w:rPr>
                <w:sz w:val="1"/>
                <w:szCs w:val="1"/>
                <w:color w:val="auto"/>
              </w:rPr>
            </w:pPr>
          </w:p>
        </w:tc>
      </w:tr>
      <w:tr>
        <w:trPr>
          <w:trHeight w:val="67"/>
        </w:trPr>
        <w:tc>
          <w:tcPr>
            <w:tcW w:w="2440" w:type="dxa"/>
            <w:vAlign w:val="bottom"/>
            <w:tcBorders>
              <w:left w:val="single" w:sz="8" w:color="424E6A"/>
              <w:bottom w:val="single" w:sz="8" w:color="424E6A"/>
            </w:tcBorders>
          </w:tcPr>
          <w:p>
            <w:pPr>
              <w:spacing w:after="0"/>
              <w:rPr>
                <w:sz w:val="5"/>
                <w:szCs w:val="5"/>
                <w:color w:val="auto"/>
              </w:rPr>
            </w:pPr>
          </w:p>
        </w:tc>
        <w:tc>
          <w:tcPr>
            <w:tcW w:w="84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tcPr>
          <w:p>
            <w:pPr>
              <w:ind w:left="40"/>
              <w:spacing w:after="0" w:line="68" w:lineRule="exact"/>
              <w:rPr>
                <w:sz w:val="20"/>
                <w:szCs w:val="20"/>
                <w:color w:val="auto"/>
              </w:rPr>
            </w:pPr>
            <w:r>
              <w:rPr>
                <w:rFonts w:ascii="Arial" w:cs="Arial" w:eastAsia="Arial" w:hAnsi="Arial"/>
                <w:sz w:val="7"/>
                <w:szCs w:val="7"/>
                <w:color w:val="auto"/>
              </w:rPr>
              <w:t>​​</w:t>
            </w:r>
          </w:p>
        </w:tc>
        <w:tc>
          <w:tcPr>
            <w:tcW w:w="780" w:type="dxa"/>
            <w:vAlign w:val="bottom"/>
            <w:tcBorders>
              <w:bottom w:val="single" w:sz="8" w:color="424E6A"/>
            </w:tcBorders>
          </w:tcPr>
          <w:p>
            <w:pPr>
              <w:spacing w:after="0"/>
              <w:rPr>
                <w:sz w:val="5"/>
                <w:szCs w:val="5"/>
                <w:color w:val="auto"/>
              </w:rPr>
            </w:pPr>
          </w:p>
        </w:tc>
        <w:tc>
          <w:tcPr>
            <w:tcW w:w="160" w:type="dxa"/>
            <w:vAlign w:val="bottom"/>
            <w:tcBorders>
              <w:bottom w:val="single" w:sz="8" w:color="424E6A"/>
              <w:right w:val="single" w:sz="8" w:color="424E6A"/>
            </w:tcBorders>
          </w:tcPr>
          <w:p>
            <w:pPr>
              <w:ind w:left="40"/>
              <w:spacing w:after="0" w:line="68" w:lineRule="exact"/>
              <w:rPr>
                <w:sz w:val="20"/>
                <w:szCs w:val="20"/>
                <w:color w:val="auto"/>
              </w:rPr>
            </w:pPr>
            <w:r>
              <w:rPr>
                <w:rFonts w:ascii="Arial" w:cs="Arial" w:eastAsia="Arial" w:hAnsi="Arial"/>
                <w:sz w:val="7"/>
                <w:szCs w:val="7"/>
                <w:color w:val="auto"/>
              </w:rPr>
              <w:t>​</w:t>
            </w:r>
          </w:p>
        </w:tc>
        <w:tc>
          <w:tcPr>
            <w:tcW w:w="240" w:type="dxa"/>
            <w:vAlign w:val="bottom"/>
            <w:tcBorders>
              <w:bottom w:val="single" w:sz="8" w:color="424E6A"/>
            </w:tcBorders>
          </w:tcPr>
          <w:p>
            <w:pPr>
              <w:ind w:left="80"/>
              <w:spacing w:after="0" w:line="68" w:lineRule="exact"/>
              <w:rPr>
                <w:sz w:val="20"/>
                <w:szCs w:val="20"/>
                <w:color w:val="auto"/>
              </w:rPr>
            </w:pPr>
            <w:r>
              <w:rPr>
                <w:rFonts w:ascii="Arial" w:cs="Arial" w:eastAsia="Arial" w:hAnsi="Arial"/>
                <w:sz w:val="7"/>
                <w:szCs w:val="7"/>
                <w:color w:val="auto"/>
              </w:rPr>
              <w:t>​ ​</w:t>
            </w:r>
          </w:p>
        </w:tc>
        <w:tc>
          <w:tcPr>
            <w:tcW w:w="740" w:type="dxa"/>
            <w:vAlign w:val="bottom"/>
            <w:tcBorders>
              <w:bottom w:val="single" w:sz="8" w:color="424E6A"/>
            </w:tcBorders>
          </w:tcPr>
          <w:p>
            <w:pPr>
              <w:spacing w:after="0"/>
              <w:rPr>
                <w:sz w:val="5"/>
                <w:szCs w:val="5"/>
                <w:color w:val="auto"/>
              </w:rPr>
            </w:pPr>
          </w:p>
        </w:tc>
        <w:tc>
          <w:tcPr>
            <w:tcW w:w="160" w:type="dxa"/>
            <w:vAlign w:val="bottom"/>
            <w:tcBorders>
              <w:bottom w:val="single" w:sz="8" w:color="424E6A"/>
              <w:right w:val="single" w:sz="8" w:color="424E6A"/>
            </w:tcBorders>
          </w:tcPr>
          <w:p>
            <w:pPr>
              <w:ind w:left="60"/>
              <w:spacing w:after="0" w:line="68" w:lineRule="exact"/>
              <w:rPr>
                <w:sz w:val="20"/>
                <w:szCs w:val="20"/>
                <w:color w:val="auto"/>
              </w:rPr>
            </w:pPr>
            <w:r>
              <w:rPr>
                <w:rFonts w:ascii="Arial" w:cs="Arial" w:eastAsia="Arial" w:hAnsi="Arial"/>
                <w:sz w:val="7"/>
                <w:szCs w:val="7"/>
                <w:color w:val="auto"/>
              </w:rPr>
              <w:t>​</w:t>
            </w:r>
          </w:p>
        </w:tc>
        <w:tc>
          <w:tcPr>
            <w:tcW w:w="380" w:type="dxa"/>
            <w:vAlign w:val="bottom"/>
            <w:tcBorders>
              <w:bottom w:val="single" w:sz="8" w:color="424E6A"/>
            </w:tcBorders>
            <w:gridSpan w:val="2"/>
          </w:tcPr>
          <w:p>
            <w:pPr>
              <w:ind w:left="8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220" w:type="dxa"/>
            <w:vAlign w:val="bottom"/>
            <w:tcBorders>
              <w:bottom w:val="single" w:sz="8" w:color="424E6A"/>
              <w:right w:val="single" w:sz="8" w:color="424E6A"/>
            </w:tcBorders>
          </w:tcPr>
          <w:p>
            <w:pPr>
              <w:jc w:val="right"/>
              <w:ind w:right="4"/>
              <w:spacing w:after="0" w:line="68" w:lineRule="exact"/>
              <w:rPr>
                <w:sz w:val="20"/>
                <w:szCs w:val="20"/>
                <w:color w:val="auto"/>
              </w:rPr>
            </w:pPr>
            <w:r>
              <w:rPr>
                <w:rFonts w:ascii="Arial" w:cs="Arial" w:eastAsia="Arial" w:hAnsi="Arial"/>
                <w:sz w:val="7"/>
                <w:szCs w:val="7"/>
                <w:color w:val="auto"/>
              </w:rPr>
              <w:t>​ ​</w:t>
            </w:r>
          </w:p>
        </w:tc>
        <w:tc>
          <w:tcPr>
            <w:tcW w:w="160" w:type="dxa"/>
            <w:vAlign w:val="bottom"/>
            <w:tcBorders>
              <w:bottom w:val="single" w:sz="8" w:color="424E6A"/>
            </w:tcBorders>
            <w:vMerge w:val="continue"/>
          </w:tcPr>
          <w:p>
            <w:pPr>
              <w:spacing w:after="0"/>
              <w:rPr>
                <w:sz w:val="5"/>
                <w:szCs w:val="5"/>
                <w:color w:val="auto"/>
              </w:rPr>
            </w:pPr>
          </w:p>
        </w:tc>
        <w:tc>
          <w:tcPr>
            <w:tcW w:w="180" w:type="dxa"/>
            <w:vAlign w:val="bottom"/>
            <w:tcBorders>
              <w:bottom w:val="single" w:sz="8" w:color="424E6A"/>
            </w:tcBorders>
          </w:tcPr>
          <w:p>
            <w:pPr>
              <w:ind w:left="120"/>
              <w:spacing w:after="0" w:line="68" w:lineRule="exact"/>
              <w:rPr>
                <w:sz w:val="20"/>
                <w:szCs w:val="20"/>
                <w:color w:val="auto"/>
              </w:rPr>
            </w:pPr>
            <w:r>
              <w:rPr>
                <w:rFonts w:ascii="Arial" w:cs="Arial" w:eastAsia="Arial" w:hAnsi="Arial"/>
                <w:sz w:val="7"/>
                <w:szCs w:val="7"/>
                <w:color w:val="auto"/>
              </w:rPr>
              <w:t>​</w:t>
            </w:r>
          </w:p>
        </w:tc>
        <w:tc>
          <w:tcPr>
            <w:tcW w:w="800" w:type="dxa"/>
            <w:vAlign w:val="bottom"/>
            <w:tcBorders>
              <w:bottom w:val="single" w:sz="8" w:color="424E6A"/>
            </w:tcBorders>
          </w:tcPr>
          <w:p>
            <w:pPr>
              <w:spacing w:after="0"/>
              <w:rPr>
                <w:sz w:val="5"/>
                <w:szCs w:val="5"/>
                <w:color w:val="auto"/>
              </w:rPr>
            </w:pPr>
          </w:p>
        </w:tc>
        <w:tc>
          <w:tcPr>
            <w:tcW w:w="220" w:type="dxa"/>
            <w:vAlign w:val="bottom"/>
            <w:tcBorders>
              <w:bottom w:val="single" w:sz="8" w:color="424E6A"/>
              <w:right w:val="single" w:sz="8" w:color="424E6A"/>
            </w:tcBorders>
          </w:tcPr>
          <w:p>
            <w:pPr>
              <w:jc w:val="right"/>
              <w:ind w:right="98"/>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23"/>
        </w:trPr>
        <w:tc>
          <w:tcPr>
            <w:tcW w:w="2440" w:type="dxa"/>
            <w:vAlign w:val="bottom"/>
            <w:tcBorders>
              <w:left w:val="single" w:sz="8" w:color="424E6A"/>
              <w:bottom w:val="single" w:sz="8" w:color="424E6A"/>
            </w:tcBorders>
          </w:tcPr>
          <w:p>
            <w:pPr>
              <w:ind w:left="220"/>
              <w:spacing w:after="0"/>
              <w:rPr>
                <w:sz w:val="20"/>
                <w:szCs w:val="20"/>
                <w:color w:val="auto"/>
              </w:rPr>
            </w:pPr>
            <w:r>
              <w:rPr>
                <w:rFonts w:ascii="Arial" w:cs="Arial" w:eastAsia="Arial" w:hAnsi="Arial"/>
                <w:sz w:val="15"/>
                <w:szCs w:val="15"/>
                <w:color w:val="auto"/>
              </w:rPr>
              <w:t>Total</w:t>
            </w:r>
          </w:p>
        </w:tc>
        <w:tc>
          <w:tcPr>
            <w:tcW w:w="840" w:type="dxa"/>
            <w:vAlign w:val="bottom"/>
            <w:tcBorders>
              <w:bottom w:val="single" w:sz="8" w:color="424E6A"/>
              <w:right w:val="single" w:sz="8" w:color="424E6A"/>
            </w:tcBorders>
          </w:tcPr>
          <w:p>
            <w:pPr>
              <w:ind w:left="780"/>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424E6A"/>
            </w:tcBorders>
            <w:gridSpan w:val="2"/>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13,914,510</w:t>
            </w:r>
          </w:p>
        </w:tc>
        <w:tc>
          <w:tcPr>
            <w:tcW w:w="16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424E6A"/>
            </w:tcBorders>
            <w:gridSpan w:val="2"/>
          </w:tcPr>
          <w:p>
            <w:pPr>
              <w:ind w:left="80"/>
              <w:spacing w:after="0" w:line="223"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12,038,291</w:t>
            </w:r>
          </w:p>
        </w:tc>
        <w:tc>
          <w:tcPr>
            <w:tcW w:w="16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424E6A"/>
              <w:right w:val="single" w:sz="8" w:color="424E6A"/>
            </w:tcBorders>
            <w:gridSpan w:val="3"/>
          </w:tcPr>
          <w:p>
            <w:pPr>
              <w:jc w:val="right"/>
              <w:ind w:right="4"/>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$13,914,510 </w:t>
            </w:r>
            <w:r>
              <w:rPr>
                <w:rFonts w:ascii="Arial" w:cs="Arial" w:eastAsia="Arial" w:hAnsi="Arial"/>
                <w:sz w:val="25"/>
                <w:szCs w:val="25"/>
                <w:color w:val="auto"/>
                <w:vertAlign w:val="subscript"/>
              </w:rPr>
              <w:t>​ ​</w:t>
            </w:r>
          </w:p>
        </w:tc>
        <w:tc>
          <w:tcPr>
            <w:tcW w:w="160" w:type="dxa"/>
            <w:vAlign w:val="bottom"/>
            <w:tcBorders>
              <w:bottom w:val="single" w:sz="8" w:color="424E6A"/>
            </w:tcBorders>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424E6A"/>
            </w:tcBorders>
            <w:gridSpan w:val="2"/>
          </w:tcPr>
          <w:p>
            <w:pPr>
              <w:ind w:left="1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26,314,992</w:t>
            </w:r>
          </w:p>
        </w:tc>
        <w:tc>
          <w:tcPr>
            <w:tcW w:w="220" w:type="dxa"/>
            <w:vAlign w:val="bottom"/>
            <w:tcBorders>
              <w:bottom w:val="single" w:sz="8" w:color="424E6A"/>
              <w:right w:val="single" w:sz="8" w:color="424E6A"/>
            </w:tcBorders>
          </w:tcPr>
          <w:p>
            <w:pPr>
              <w:jc w:val="right"/>
              <w:ind w:right="9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620" w:right="439" w:hanging="360"/>
        <w:spacing w:after="0" w:line="245" w:lineRule="auto"/>
        <w:tabs>
          <w:tab w:leader="none" w:pos="1620" w:val="left"/>
        </w:tabs>
        <w:numPr>
          <w:ilvl w:val="0"/>
          <w:numId w:val="56"/>
        </w:numPr>
        <w:rPr>
          <w:rFonts w:ascii="Arial" w:cs="Arial" w:eastAsia="Arial" w:hAnsi="Arial"/>
          <w:sz w:val="26"/>
          <w:szCs w:val="26"/>
          <w:color w:val="auto"/>
          <w:vertAlign w:val="superscript"/>
        </w:rPr>
      </w:pPr>
      <w:r>
        <w:rPr>
          <w:rFonts w:ascii="Arial" w:cs="Arial" w:eastAsia="Arial" w:hAnsi="Arial"/>
          <w:sz w:val="17"/>
          <w:szCs w:val="17"/>
          <w:color w:val="auto"/>
        </w:rPr>
        <w:t>The letter evidencing the August 2018 phantom unit grant to Mr. Chiang provides that in the event of his death or disability after the second anniversary of the date of the applicable grant, all of his then outstanding phantom units awarded under such grants will be deemed nonforfeitable and will vest on the next following distribution date (and any associated DERs shall not be forfeited but shall vest, be payable and expire according to the terms of the applicable phantom unit grant letter).</w:t>
      </w:r>
    </w:p>
    <w:p>
      <w:pPr>
        <w:spacing w:after="0" w:line="17" w:lineRule="exact"/>
        <w:rPr>
          <w:rFonts w:ascii="Arial" w:cs="Arial" w:eastAsia="Arial" w:hAnsi="Arial"/>
          <w:sz w:val="26"/>
          <w:szCs w:val="26"/>
          <w:color w:val="auto"/>
          <w:vertAlign w:val="superscript"/>
        </w:rPr>
      </w:pPr>
    </w:p>
    <w:p>
      <w:pPr>
        <w:ind w:left="1620" w:right="459"/>
        <w:spacing w:after="0" w:line="255" w:lineRule="auto"/>
        <w:rPr>
          <w:rFonts w:ascii="Arial" w:cs="Arial" w:eastAsia="Arial" w:hAnsi="Arial"/>
          <w:sz w:val="26"/>
          <w:szCs w:val="26"/>
          <w:color w:val="auto"/>
          <w:vertAlign w:val="superscript"/>
        </w:rPr>
      </w:pPr>
      <w:r>
        <w:rPr>
          <w:rFonts w:ascii="Arial" w:cs="Arial" w:eastAsia="Arial" w:hAnsi="Arial"/>
          <w:sz w:val="18"/>
          <w:szCs w:val="18"/>
          <w:color w:val="auto"/>
        </w:rPr>
        <w:t>The letters evidencing the August 2023, August 2024 and August 2025 regular annual phantom unit grants awarded to Messrs. Chiang, Swanson, McGee, Chandler and Goebel and the letters evidencing the August 2025 special retention grants awarded to Messrs. Chandler and Goebel provide that in the event of their death or disability after the first anniversary of the date of the applicable grant, all of their then outstanding phantom units awarded under such grants will be deemed nonforfeitable and will vest on the next following distribution date (and any associated DERs shall not be forfeited but shall vest, be payable and expire according to the terms of the applicable phantom unit grant letter).</w:t>
      </w:r>
    </w:p>
    <w:p>
      <w:pPr>
        <w:spacing w:after="0" w:line="9" w:lineRule="exact"/>
        <w:rPr>
          <w:rFonts w:ascii="Arial" w:cs="Arial" w:eastAsia="Arial" w:hAnsi="Arial"/>
          <w:sz w:val="26"/>
          <w:szCs w:val="26"/>
          <w:color w:val="auto"/>
          <w:vertAlign w:val="superscript"/>
        </w:rPr>
      </w:pPr>
    </w:p>
    <w:p>
      <w:pPr>
        <w:ind w:left="1620" w:right="439"/>
        <w:spacing w:after="0" w:line="255" w:lineRule="auto"/>
        <w:rPr>
          <w:rFonts w:ascii="Arial" w:cs="Arial" w:eastAsia="Arial" w:hAnsi="Arial"/>
          <w:sz w:val="26"/>
          <w:szCs w:val="26"/>
          <w:color w:val="auto"/>
          <w:vertAlign w:val="superscript"/>
        </w:rPr>
      </w:pPr>
      <w:r>
        <w:rPr>
          <w:rFonts w:ascii="Arial" w:cs="Arial" w:eastAsia="Arial" w:hAnsi="Arial"/>
          <w:sz w:val="18"/>
          <w:szCs w:val="18"/>
          <w:color w:val="auto"/>
        </w:rPr>
        <w:t>The letters evidencing the November 2019 phantom unit grants awarded to Messrs. Chandler and Goebel, as amended, provide that in the event of their death or disability after the second anniversary of the date of grant, all of their then outstanding phantom units awarded under such grants and associated DERs will be deemed nonforfeitable and will vest on the next distribution date (assuming a TSR payout percentage of 100% with respect to the performance-based portion of the award).</w:t>
      </w:r>
    </w:p>
    <w:p>
      <w:pPr>
        <w:spacing w:after="0" w:line="3" w:lineRule="exact"/>
        <w:rPr>
          <w:rFonts w:ascii="Arial" w:cs="Arial" w:eastAsia="Arial" w:hAnsi="Arial"/>
          <w:sz w:val="26"/>
          <w:szCs w:val="26"/>
          <w:color w:val="auto"/>
          <w:vertAlign w:val="superscript"/>
        </w:rPr>
      </w:pPr>
    </w:p>
    <w:p>
      <w:pPr>
        <w:ind w:left="1620" w:right="959"/>
        <w:spacing w:after="0" w:line="266" w:lineRule="auto"/>
        <w:rPr>
          <w:rFonts w:ascii="Arial" w:cs="Arial" w:eastAsia="Arial" w:hAnsi="Arial"/>
          <w:sz w:val="26"/>
          <w:szCs w:val="26"/>
          <w:color w:val="auto"/>
          <w:vertAlign w:val="superscript"/>
        </w:rPr>
      </w:pPr>
      <w:r>
        <w:rPr>
          <w:rFonts w:ascii="Arial" w:cs="Arial" w:eastAsia="Arial" w:hAnsi="Arial"/>
          <w:sz w:val="18"/>
          <w:szCs w:val="18"/>
          <w:color w:val="auto"/>
        </w:rPr>
        <w:t>For these purposes, “disability” means a physical or mental infirmity that impairs the ability substantially to perform duties for a period of eighteen (18) months or that the general partner otherwise determines constitutes a disability.</w:t>
      </w:r>
    </w:p>
    <w:p>
      <w:pPr>
        <w:ind w:left="1620" w:right="439"/>
        <w:spacing w:after="0" w:line="282" w:lineRule="auto"/>
        <w:rPr>
          <w:rFonts w:ascii="Arial" w:cs="Arial" w:eastAsia="Arial" w:hAnsi="Arial"/>
          <w:sz w:val="26"/>
          <w:szCs w:val="26"/>
          <w:color w:val="auto"/>
          <w:vertAlign w:val="superscript"/>
        </w:rPr>
      </w:pPr>
      <w:r>
        <w:rPr>
          <w:rFonts w:ascii="Arial" w:cs="Arial" w:eastAsia="Arial" w:hAnsi="Arial"/>
          <w:sz w:val="17"/>
          <w:szCs w:val="17"/>
          <w:color w:val="auto"/>
        </w:rPr>
        <w:t>Assuming death or disability occurred on December 31, 2025, (i) all of the phantom units and associated DERs held by Messrs. Chiang, Swanson, McGee, Chandler and Goebel pursuant to their August 2023 and August 2024 grant letters; all of the phantom units and associated DERs held by Mr. Chiang pursuant to his August 2018 grant letter; and all of the phantom units and associated</w:t>
      </w:r>
    </w:p>
    <w:p>
      <w:pPr>
        <w:spacing w:after="0" w:line="33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459"/>
        <w:spacing w:after="0" w:line="273" w:lineRule="auto"/>
        <w:rPr>
          <w:sz w:val="20"/>
          <w:szCs w:val="20"/>
          <w:color w:val="auto"/>
        </w:rPr>
      </w:pPr>
      <w:r>
        <w:rPr>
          <w:rFonts w:ascii="Arial" w:cs="Arial" w:eastAsia="Arial" w:hAnsi="Arial"/>
          <w:sz w:val="17"/>
          <w:szCs w:val="17"/>
          <w:color w:val="auto"/>
        </w:rPr>
        <w:t>DERs held by Messrs. Chandler and Goebel pursuant to their November 2019 grant letters would have become nonforfeitable as of such date and would have vested on the February 2026 distribution date, and (ii) all of the phantom units and associated DERs held by Messrs. Chiang, Swanson, McGee, Chandler and Goebel pursuant to their regular annual August 2025 grant letters and all of the phantom units and associated DERs held by Messrs. Chandler and Goebel pursuant to their August 2025 special retention grant letters would have been forfeited. The dollar value given is based on the market value of PAA’s common units on December 31, 2025 ($17.96 per unit).</w:t>
      </w:r>
    </w:p>
    <w:p>
      <w:pPr>
        <w:spacing w:after="0" w:line="37" w:lineRule="exact"/>
        <w:rPr>
          <w:sz w:val="20"/>
          <w:szCs w:val="20"/>
          <w:color w:val="auto"/>
        </w:rPr>
      </w:pPr>
    </w:p>
    <w:p>
      <w:pPr>
        <w:ind w:left="1620" w:right="579" w:hanging="360"/>
        <w:spacing w:after="0" w:line="232" w:lineRule="auto"/>
        <w:tabs>
          <w:tab w:leader="none" w:pos="1620" w:val="left"/>
        </w:tabs>
        <w:numPr>
          <w:ilvl w:val="0"/>
          <w:numId w:val="57"/>
        </w:numPr>
        <w:rPr>
          <w:rFonts w:ascii="Arial" w:cs="Arial" w:eastAsia="Arial" w:hAnsi="Arial"/>
          <w:sz w:val="27"/>
          <w:szCs w:val="27"/>
          <w:color w:val="auto"/>
          <w:vertAlign w:val="superscript"/>
        </w:rPr>
      </w:pPr>
      <w:r>
        <w:rPr>
          <w:rFonts w:ascii="Arial" w:cs="Arial" w:eastAsia="Arial" w:hAnsi="Arial"/>
          <w:sz w:val="18"/>
          <w:szCs w:val="18"/>
          <w:color w:val="auto"/>
        </w:rPr>
        <w:t>Other than as described below, pursuant to the grant letters for the currently outstanding phantom unit grants awarded to the NEOs, if GP LLC terminated their employment other than for cause (as defined in footnote 3 below), all of their unvested phantom units awarded under such grants and associated DERs shall be deemed nonforfeitable on the date of such termination and shall vest on the next following distribution date.</w:t>
      </w:r>
    </w:p>
    <w:p>
      <w:pPr>
        <w:spacing w:after="0" w:line="6" w:lineRule="exact"/>
        <w:rPr>
          <w:rFonts w:ascii="Arial" w:cs="Arial" w:eastAsia="Arial" w:hAnsi="Arial"/>
          <w:sz w:val="27"/>
          <w:szCs w:val="27"/>
          <w:color w:val="auto"/>
          <w:vertAlign w:val="superscript"/>
        </w:rPr>
      </w:pPr>
    </w:p>
    <w:p>
      <w:pPr>
        <w:ind w:left="1620" w:right="539"/>
        <w:spacing w:after="0" w:line="256" w:lineRule="auto"/>
        <w:rPr>
          <w:rFonts w:ascii="Arial" w:cs="Arial" w:eastAsia="Arial" w:hAnsi="Arial"/>
          <w:sz w:val="27"/>
          <w:szCs w:val="27"/>
          <w:color w:val="auto"/>
          <w:vertAlign w:val="superscript"/>
        </w:rPr>
      </w:pPr>
      <w:r>
        <w:rPr>
          <w:rFonts w:ascii="Arial" w:cs="Arial" w:eastAsia="Arial" w:hAnsi="Arial"/>
          <w:sz w:val="18"/>
          <w:szCs w:val="18"/>
          <w:color w:val="auto"/>
        </w:rPr>
        <w:t>The phantom units granted to Messrs. Chandler and Goebel in November 2019, as amended, provide that if their employment is terminated other than for cause (as defined in footnote 3 below), a portion of the unvested phantom units will be deemed nonforfeitable and will vest on the next following distribution date, with the size of the portion starting at 40% for a termination prior to November 21, 2022, and increasing by 20% per year thereafter such that 100% of the unvested phantom units would be deemed nonforfeitable following a termination other than for cause on or after November 21, 2024.</w:t>
      </w:r>
    </w:p>
    <w:p>
      <w:pPr>
        <w:spacing w:after="0" w:line="7" w:lineRule="exact"/>
        <w:rPr>
          <w:rFonts w:ascii="Arial" w:cs="Arial" w:eastAsia="Arial" w:hAnsi="Arial"/>
          <w:sz w:val="27"/>
          <w:szCs w:val="27"/>
          <w:color w:val="auto"/>
          <w:vertAlign w:val="superscript"/>
        </w:rPr>
      </w:pPr>
    </w:p>
    <w:p>
      <w:pPr>
        <w:ind w:left="1620" w:right="559"/>
        <w:spacing w:after="0" w:line="253" w:lineRule="auto"/>
        <w:rPr>
          <w:rFonts w:ascii="Arial" w:cs="Arial" w:eastAsia="Arial" w:hAnsi="Arial"/>
          <w:sz w:val="27"/>
          <w:szCs w:val="27"/>
          <w:color w:val="auto"/>
          <w:vertAlign w:val="superscript"/>
        </w:rPr>
      </w:pPr>
      <w:r>
        <w:rPr>
          <w:rFonts w:ascii="Arial" w:cs="Arial" w:eastAsia="Arial" w:hAnsi="Arial"/>
          <w:sz w:val="18"/>
          <w:szCs w:val="18"/>
          <w:color w:val="auto"/>
        </w:rPr>
        <w:t>The regular annual phantom units granted to Messrs. Chiang, Swanson, McGee, Chandler and Goebel in August 2023, August 2024 and August 2025 and the special retention phantom units granted to Messrs. Chandler and Goebel and August 2025 provide that if their employment is terminated other than for cause prior to the first anniversary of the applicable date of grant, all of their unvested phantom units will be forfeited as of the date of such termination. If such termination occurs after the first anniversary of the applicable date of grant, a pro rata portion of the unvested phantom units (based on the portion of the applicable vesting period that has elapsed since the grant date and assuming a payout at target for any performance-based phantom units) will be deemed nonforfeitable and will vest on the next following distribution date.</w:t>
      </w:r>
    </w:p>
    <w:p>
      <w:pPr>
        <w:spacing w:after="0" w:line="7" w:lineRule="exact"/>
        <w:rPr>
          <w:rFonts w:ascii="Arial" w:cs="Arial" w:eastAsia="Arial" w:hAnsi="Arial"/>
          <w:sz w:val="27"/>
          <w:szCs w:val="27"/>
          <w:color w:val="auto"/>
          <w:vertAlign w:val="superscript"/>
        </w:rPr>
      </w:pPr>
    </w:p>
    <w:p>
      <w:pPr>
        <w:ind w:left="1620" w:right="699"/>
        <w:spacing w:after="0" w:line="256" w:lineRule="auto"/>
        <w:rPr>
          <w:rFonts w:ascii="Arial" w:cs="Arial" w:eastAsia="Arial" w:hAnsi="Arial"/>
          <w:sz w:val="27"/>
          <w:szCs w:val="27"/>
          <w:color w:val="auto"/>
          <w:vertAlign w:val="superscript"/>
        </w:rPr>
      </w:pPr>
      <w:r>
        <w:rPr>
          <w:rFonts w:ascii="Arial" w:cs="Arial" w:eastAsia="Arial" w:hAnsi="Arial"/>
          <w:sz w:val="18"/>
          <w:szCs w:val="18"/>
          <w:color w:val="auto"/>
        </w:rPr>
        <w:t>Mr. Chiang’s August 2018 phantom unit grant provides that if his employment is terminated other than for cause (as defined in footnote 3 below) a portion of the unvested phantom units will be deemed nonforfeitable and will vest on the next following distribution date, with the size of the portion starting at 20% for a termination prior to October 1, 2019, and increasing to 40% for a termination other than for cause between October 1, 2019 and October 1, 2020, 60% for a termination other than for cause between October 1, 2020 and October 1, 2021 and 100% for a termination other than for cause on or after October 1, 2021.</w:t>
      </w:r>
    </w:p>
    <w:p>
      <w:pPr>
        <w:spacing w:after="0" w:line="7" w:lineRule="exact"/>
        <w:rPr>
          <w:rFonts w:ascii="Arial" w:cs="Arial" w:eastAsia="Arial" w:hAnsi="Arial"/>
          <w:sz w:val="27"/>
          <w:szCs w:val="27"/>
          <w:color w:val="auto"/>
          <w:vertAlign w:val="superscript"/>
        </w:rPr>
      </w:pPr>
    </w:p>
    <w:p>
      <w:pPr>
        <w:ind w:left="1620"/>
        <w:spacing w:after="0"/>
        <w:rPr>
          <w:rFonts w:ascii="Arial" w:cs="Arial" w:eastAsia="Arial" w:hAnsi="Arial"/>
          <w:sz w:val="27"/>
          <w:szCs w:val="27"/>
          <w:color w:val="auto"/>
          <w:vertAlign w:val="superscript"/>
        </w:rPr>
      </w:pPr>
      <w:r>
        <w:rPr>
          <w:rFonts w:ascii="Arial" w:cs="Arial" w:eastAsia="Arial" w:hAnsi="Arial"/>
          <w:sz w:val="18"/>
          <w:szCs w:val="18"/>
          <w:color w:val="auto"/>
        </w:rPr>
        <w:t>Assuming our Named Executive Officers were terminated without cause on December 31, 2025,</w:t>
      </w:r>
    </w:p>
    <w:p>
      <w:pPr>
        <w:spacing w:after="0" w:line="27" w:lineRule="exact"/>
        <w:rPr>
          <w:rFonts w:ascii="Arial" w:cs="Arial" w:eastAsia="Arial" w:hAnsi="Arial"/>
          <w:sz w:val="27"/>
          <w:szCs w:val="27"/>
          <w:color w:val="auto"/>
          <w:vertAlign w:val="superscript"/>
        </w:rPr>
      </w:pPr>
    </w:p>
    <w:p>
      <w:pPr>
        <w:ind w:left="1620" w:right="419"/>
        <w:spacing w:after="0" w:line="252" w:lineRule="auto"/>
        <w:rPr>
          <w:rFonts w:ascii="Arial" w:cs="Arial" w:eastAsia="Arial" w:hAnsi="Arial"/>
          <w:sz w:val="27"/>
          <w:szCs w:val="27"/>
          <w:color w:val="auto"/>
          <w:vertAlign w:val="superscript"/>
        </w:rPr>
      </w:pPr>
      <w:r>
        <w:rPr>
          <w:rFonts w:ascii="Arial" w:cs="Arial" w:eastAsia="Arial" w:hAnsi="Arial"/>
          <w:sz w:val="18"/>
          <w:szCs w:val="18"/>
          <w:color w:val="auto"/>
        </w:rPr>
        <w:t>(i) approximately 79% of the phantom units covered by the August 2023 phantom unit grants held by Messrs. Chiang, Swanson, McGee, Chandler and Goebel; approximately 46% of the phantom units covered by the August 2024 phantom unit grants held by Messrs. Chiang, Swanson, McGee, Chandler and Goebel; 100% of the phantom units covered by the November 2019 phantom unit grants held by Messrs. Chandler and Goebel; and 100% of the phantom units covered by the August 2018 phantom unit grant held by Mr. Chiang would have become nonforfeitable as of such date and would have vested on the February 2026 distribution date, and (ii) all remaining phantom units held by our Named Executive Officers would have been forfeited. The dollar value given is based on the market value of PAA’s common units on December 31, 2025 ($17.96 per unit).</w:t>
      </w:r>
    </w:p>
    <w:p>
      <w:pPr>
        <w:spacing w:after="0" w:line="37" w:lineRule="exact"/>
        <w:rPr>
          <w:rFonts w:ascii="Arial" w:cs="Arial" w:eastAsia="Arial" w:hAnsi="Arial"/>
          <w:sz w:val="27"/>
          <w:szCs w:val="27"/>
          <w:color w:val="auto"/>
          <w:vertAlign w:val="superscript"/>
        </w:rPr>
      </w:pPr>
    </w:p>
    <w:p>
      <w:pPr>
        <w:ind w:left="1620" w:right="419" w:hanging="360"/>
        <w:spacing w:after="0" w:line="237" w:lineRule="auto"/>
        <w:tabs>
          <w:tab w:leader="none" w:pos="1620" w:val="left"/>
        </w:tabs>
        <w:numPr>
          <w:ilvl w:val="0"/>
          <w:numId w:val="57"/>
        </w:numPr>
        <w:rPr>
          <w:rFonts w:ascii="Arial" w:cs="Arial" w:eastAsia="Arial" w:hAnsi="Arial"/>
          <w:sz w:val="27"/>
          <w:szCs w:val="27"/>
          <w:color w:val="auto"/>
          <w:vertAlign w:val="superscript"/>
        </w:rPr>
      </w:pPr>
      <w:r>
        <w:rPr>
          <w:rFonts w:ascii="Arial" w:cs="Arial" w:eastAsia="Arial" w:hAnsi="Arial"/>
          <w:sz w:val="18"/>
          <w:szCs w:val="18"/>
          <w:color w:val="auto"/>
        </w:rPr>
        <w:t>The letters evidencing phantom unit grants awarded to the Named Executive Officers prior to 2025 (the “Pre-2025 NEO LTIP Grants”) provide that in the event of a change in status (see relevant definition below), including retirement on terms and timing that are approved by the CEO (or the Board in the case of the CEO), all of the then outstanding phantom units awarded under such grants and associated DERs will be deemed nonforfeitable, and such phantom units will vest in full (i.e., the phantom units will become payable in the form of one common unit per phantom unit) upon the next following distribution date.</w:t>
      </w:r>
    </w:p>
    <w:p>
      <w:pPr>
        <w:spacing w:after="0" w:line="38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439"/>
        <w:spacing w:after="0" w:line="253" w:lineRule="auto"/>
        <w:rPr>
          <w:sz w:val="20"/>
          <w:szCs w:val="20"/>
          <w:color w:val="auto"/>
        </w:rPr>
      </w:pPr>
      <w:r>
        <w:rPr>
          <w:rFonts w:ascii="Arial" w:cs="Arial" w:eastAsia="Arial" w:hAnsi="Arial"/>
          <w:sz w:val="18"/>
          <w:szCs w:val="18"/>
          <w:color w:val="auto"/>
        </w:rPr>
        <w:t>The letters evidencing phantom unit grants awarded to the Named Executive Officers in 2025 (the “2025 NEO LTIP Grants”) provide that in the event of a change in status (see relevant definition below), all of the then outstanding phantom units awarded under such grants and associated DERs will be deemed nonforfeitable, and such phantom units will vest in full (i.e., the phantom units will become payable in the form of one common unit per phantom unit) upon the next following distribution date. The 2025 NEO LTIP Grants also provide that in the event of retirement (as defined below) prior to the first anniversary of the date of grant, all of the then outstanding phantom units will be forfeited as of the date of termination. If such retirement occurs after the first anniversary of the date of grant, all of the then outstanding phantom units awarded under such grants and associated DERs will be deemed nonforfeitable, and such phantom units will vest in full (i.e., the phantom units will become payable in the form of one common unit per phantom unit) upon the next following distribution date.</w:t>
      </w:r>
    </w:p>
    <w:p>
      <w:pPr>
        <w:spacing w:after="0" w:line="14" w:lineRule="exact"/>
        <w:rPr>
          <w:sz w:val="20"/>
          <w:szCs w:val="20"/>
          <w:color w:val="auto"/>
        </w:rPr>
      </w:pPr>
    </w:p>
    <w:p>
      <w:pPr>
        <w:ind w:left="1620" w:right="419"/>
        <w:spacing w:after="0" w:line="254" w:lineRule="auto"/>
        <w:rPr>
          <w:sz w:val="20"/>
          <w:szCs w:val="20"/>
          <w:color w:val="auto"/>
        </w:rPr>
      </w:pPr>
      <w:r>
        <w:rPr>
          <w:rFonts w:ascii="Arial" w:cs="Arial" w:eastAsia="Arial" w:hAnsi="Arial"/>
          <w:sz w:val="18"/>
          <w:szCs w:val="18"/>
          <w:color w:val="auto"/>
        </w:rPr>
        <w:t>Assuming that a change in status or retirement occurred on December 31, 2025, all outstanding phantom units awarded under the Pre-2025 NEO LTIP Grants and the associated DERs would have become nonforfeitable as of such date and would have vested on the February 2026 distribution date. With respect to the 2025 NEO LTIP Grants, if a change in status (as defined therein) occurred on December 31, 2025, all outstanding phantom units awarded under such grants and the associated DERs would have become nonforfeitable as of such date and would have vested on the February 2026 distribution date, but if a retirement (as defined therein) occurred on December 31, 2025, all outstanding phantom units awarded under such grants and the associated DERs would have been forfeited. The dollar value given is based on the market value of PAA’s common units on December 31, 2025 ($17.96 per unit).</w:t>
      </w:r>
    </w:p>
    <w:p>
      <w:pPr>
        <w:spacing w:after="0" w:line="10" w:lineRule="exact"/>
        <w:rPr>
          <w:sz w:val="20"/>
          <w:szCs w:val="20"/>
          <w:color w:val="auto"/>
        </w:rPr>
      </w:pPr>
    </w:p>
    <w:p>
      <w:pPr>
        <w:ind w:left="1620" w:right="459"/>
        <w:spacing w:after="0" w:line="253" w:lineRule="auto"/>
        <w:rPr>
          <w:sz w:val="20"/>
          <w:szCs w:val="20"/>
          <w:color w:val="auto"/>
        </w:rPr>
      </w:pPr>
      <w:r>
        <w:rPr>
          <w:rFonts w:ascii="Arial" w:cs="Arial" w:eastAsia="Arial" w:hAnsi="Arial"/>
          <w:sz w:val="18"/>
          <w:szCs w:val="18"/>
          <w:color w:val="auto"/>
        </w:rPr>
        <w:t>For the Pre-2025 NEO LTIP Grants, the phrase “change in status” means, with respect to a Named Executive Officer, (A) during the period (“protected period”) beginning two and a half months prior to and ending one year following a change of control (as defined below), the termination of employment by GP LLC other than a termination for cause (as defined below), (B) during the protected period, the termination of employment by the Named Executive Officer due to the occurrence, without the Named Executive Officer’s written consent, of (i) any material diminution in the Named Executive Officer’s authority, duties or responsibilities, (ii) any material reduction in the Named Executive Officer’s base salary or (iii) any other action or inaction that would constitute a material breach of the applicable grant letter by GP LLC, or (C) the termination of employment as a result of retirement on terms and timing that are approved by the CEO (or the Board in the case of the CEO).</w:t>
      </w:r>
    </w:p>
    <w:p>
      <w:pPr>
        <w:spacing w:after="0" w:line="3" w:lineRule="exact"/>
        <w:rPr>
          <w:sz w:val="20"/>
          <w:szCs w:val="20"/>
          <w:color w:val="auto"/>
        </w:rPr>
      </w:pPr>
    </w:p>
    <w:p>
      <w:pPr>
        <w:ind w:left="1620" w:right="499"/>
        <w:spacing w:after="0" w:line="259" w:lineRule="auto"/>
        <w:rPr>
          <w:sz w:val="20"/>
          <w:szCs w:val="20"/>
          <w:color w:val="auto"/>
        </w:rPr>
      </w:pPr>
      <w:r>
        <w:rPr>
          <w:rFonts w:ascii="Arial" w:cs="Arial" w:eastAsia="Arial" w:hAnsi="Arial"/>
          <w:sz w:val="18"/>
          <w:szCs w:val="18"/>
          <w:color w:val="auto"/>
        </w:rPr>
        <w:t>For the 2025 NEO LTIP Grants, the phrase “change in status” has the same meaning as set forth in the Pre-2025 NEO LTIP Grants, except that clause (C) of such definition related to retirement is excluded from “change in status” and set forth as a separate defined term such that the phrase “Retirement” means termination from full-time employment on terms and timing as approved by the CEO (or by the Board in the case of the CEO).</w:t>
      </w:r>
    </w:p>
    <w:p>
      <w:pPr>
        <w:spacing w:after="0" w:line="4" w:lineRule="exact"/>
        <w:rPr>
          <w:sz w:val="20"/>
          <w:szCs w:val="20"/>
          <w:color w:val="auto"/>
        </w:rPr>
      </w:pPr>
    </w:p>
    <w:p>
      <w:pPr>
        <w:ind w:left="1620" w:right="419"/>
        <w:spacing w:after="0" w:line="252" w:lineRule="auto"/>
        <w:rPr>
          <w:sz w:val="20"/>
          <w:szCs w:val="20"/>
          <w:color w:val="auto"/>
        </w:rPr>
      </w:pPr>
      <w:r>
        <w:rPr>
          <w:rFonts w:ascii="Arial" w:cs="Arial" w:eastAsia="Arial" w:hAnsi="Arial"/>
          <w:sz w:val="18"/>
          <w:szCs w:val="18"/>
          <w:color w:val="auto"/>
        </w:rPr>
        <w:t>The phrase “change of control” is defined to mean, and is deemed to have occurred upon the occurrence of, one or more of the following events: (i) any Person (other than PAGP and any affiliate of PAGP that is controlled by PAGP) becomes the beneficial owner, directly or indirectly (in one transaction or a series of related transactions and whether by merger or otherwise), of 50% or more of the membership interest in PAGP GP; (ii) any Person (other than PAGP GP, PAGP or any affiliate of PAGP that is controlled by PAGP) acquires (in one transaction or a series of related transactions and whether by merger or otherwise) direct or indirect control of the general partner interest of PAGP; (iii) PAGP ceases to retain direct or indirect control (in one transaction or a series of related transactions and whether by merger or otherwise) of the general partner of PAA; or (iv) the consummation of a reorganization, merger or consolidation with, or any direct or indirect sale, lease, exchange or other transfer (in one transaction or a series of related transactions) of all or substantially all of the assets of PAA to, one or more Persons (other than PAGP or any affiliates of PAGP that are controlled by PAGP). As used in this definition, “Person” shall include any “partnership, limited partnership, syndicate or other group” constituting a “person” within the meaning of such terms pursuant to Sections 13(d) and 14(d) of the Securities Exchange Act of 1934, as amended (the “Exchange Act”).</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539"/>
        <w:spacing w:after="0" w:line="256" w:lineRule="auto"/>
        <w:rPr>
          <w:sz w:val="20"/>
          <w:szCs w:val="20"/>
          <w:color w:val="auto"/>
        </w:rPr>
      </w:pPr>
      <w:r>
        <w:rPr>
          <w:rFonts w:ascii="Arial" w:cs="Arial" w:eastAsia="Arial" w:hAnsi="Arial"/>
          <w:sz w:val="18"/>
          <w:szCs w:val="18"/>
          <w:color w:val="auto"/>
        </w:rPr>
        <w:t>“Cause” is defined as (i) failure to perform the duties and responsibilities of a position at an acceptable level as reasonably determined in good faith by the CEO of GP LLC (or by the Board in the case of the CEO), (ii) the conviction of or guilty plea to the committing of an act or acts constituting a felony under the laws of the United States or any state thereof (or Canada or any province thereof) or any misdemeanor involving moral turpitude, or (iii) violation of GP LLC’s Code of Business Conduct (unless waived in accordance with the terms thereof), in the case of clauses (i) and (iii) with the specific failure or violation described in writing.</w:t>
      </w:r>
    </w:p>
    <w:p>
      <w:pPr>
        <w:spacing w:after="0" w:line="48" w:lineRule="exact"/>
        <w:rPr>
          <w:sz w:val="20"/>
          <w:szCs w:val="20"/>
          <w:color w:val="auto"/>
        </w:rPr>
      </w:pPr>
    </w:p>
    <w:p>
      <w:pPr>
        <w:ind w:left="1620" w:right="919" w:hanging="360"/>
        <w:spacing w:after="0" w:line="222" w:lineRule="auto"/>
        <w:tabs>
          <w:tab w:leader="none" w:pos="1620" w:val="left"/>
        </w:tabs>
        <w:numPr>
          <w:ilvl w:val="0"/>
          <w:numId w:val="58"/>
        </w:numPr>
        <w:rPr>
          <w:rFonts w:ascii="Arial" w:cs="Arial" w:eastAsia="Arial" w:hAnsi="Arial"/>
          <w:sz w:val="27"/>
          <w:szCs w:val="27"/>
          <w:color w:val="auto"/>
          <w:vertAlign w:val="superscript"/>
        </w:rPr>
      </w:pPr>
      <w:r>
        <w:rPr>
          <w:rFonts w:ascii="Arial" w:cs="Arial" w:eastAsia="Arial" w:hAnsi="Arial"/>
          <w:sz w:val="18"/>
          <w:szCs w:val="18"/>
          <w:color w:val="auto"/>
        </w:rPr>
        <w:t>If Messrs. Chiang, Swanson, McGee, Chandler or Goebel were terminated for cause, GP LLC would be obligated to pay base salary through the date of termination, with no other payment obligation triggered by the termination under any employment arrangement.</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Confidentiality, Non-Compete and Non-Solicitation Arrangements</w:t>
      </w:r>
    </w:p>
    <w:p>
      <w:pPr>
        <w:spacing w:after="0" w:line="144" w:lineRule="exact"/>
        <w:rPr>
          <w:sz w:val="20"/>
          <w:szCs w:val="20"/>
          <w:color w:val="auto"/>
        </w:rPr>
      </w:pPr>
    </w:p>
    <w:p>
      <w:pPr>
        <w:ind w:left="1260" w:right="1119" w:firstLine="360"/>
        <w:spacing w:after="0" w:line="276" w:lineRule="auto"/>
        <w:rPr>
          <w:sz w:val="20"/>
          <w:szCs w:val="20"/>
          <w:color w:val="auto"/>
        </w:rPr>
      </w:pPr>
      <w:r>
        <w:rPr>
          <w:rFonts w:ascii="Arial" w:cs="Arial" w:eastAsia="Arial" w:hAnsi="Arial"/>
          <w:sz w:val="17"/>
          <w:szCs w:val="17"/>
          <w:color w:val="auto"/>
        </w:rPr>
        <w:t>Mr. Chiang has agreed to maintain the confidentiality of certain information and not to solicit customers, assets and employees for two years following termination of his employment.</w:t>
      </w:r>
    </w:p>
    <w:p>
      <w:pPr>
        <w:ind w:left="1260" w:right="419"/>
        <w:spacing w:after="0" w:line="266" w:lineRule="auto"/>
        <w:rPr>
          <w:sz w:val="20"/>
          <w:szCs w:val="20"/>
          <w:color w:val="auto"/>
        </w:rPr>
      </w:pPr>
      <w:r>
        <w:rPr>
          <w:rFonts w:ascii="Arial" w:cs="Arial" w:eastAsia="Arial" w:hAnsi="Arial"/>
          <w:sz w:val="18"/>
          <w:szCs w:val="18"/>
          <w:color w:val="auto"/>
        </w:rPr>
        <w:t>Messrs. McGee and Chandler have each agreed to maintain the confidentiality of certain information and not to solicit customers for a period of two years after termination of their employment.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Pay Ratio Disclosure</w:t>
      </w:r>
    </w:p>
    <w:p>
      <w:pPr>
        <w:spacing w:after="0" w:line="158" w:lineRule="exact"/>
        <w:rPr>
          <w:sz w:val="20"/>
          <w:szCs w:val="20"/>
          <w:color w:val="auto"/>
        </w:rPr>
      </w:pPr>
    </w:p>
    <w:p>
      <w:pPr>
        <w:ind w:left="1260" w:right="459" w:firstLine="360"/>
        <w:spacing w:after="0" w:line="262"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Willie Chiang, our CEO during 2025:</w:t>
      </w:r>
    </w:p>
    <w:p>
      <w:pPr>
        <w:spacing w:after="0" w:line="68" w:lineRule="exact"/>
        <w:rPr>
          <w:sz w:val="20"/>
          <w:szCs w:val="20"/>
          <w:color w:val="auto"/>
        </w:rPr>
      </w:pPr>
    </w:p>
    <w:p>
      <w:pPr>
        <w:ind w:left="1800" w:hanging="180"/>
        <w:spacing w:after="0"/>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annual total compensation for Mr. Chiang for 2025 was $12,295,167.</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annual total compensation for the median employee for 2025 was $135,058.</w:t>
      </w:r>
    </w:p>
    <w:p>
      <w:pPr>
        <w:spacing w:after="0" w:line="117" w:lineRule="exact"/>
        <w:rPr>
          <w:rFonts w:ascii="Arial" w:cs="Arial" w:eastAsia="Arial" w:hAnsi="Arial"/>
          <w:sz w:val="18"/>
          <w:szCs w:val="18"/>
          <w:color w:val="auto"/>
        </w:rPr>
      </w:pPr>
    </w:p>
    <w:p>
      <w:pPr>
        <w:ind w:left="1800" w:right="579" w:hanging="180"/>
        <w:spacing w:after="0" w:line="287" w:lineRule="auto"/>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ratio of Mr. Chiang’s pay to the pay of our median employee for 2025 was approximately 91 to 1.</w:t>
      </w:r>
    </w:p>
    <w:p>
      <w:pPr>
        <w:spacing w:after="0" w:line="8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PAA’s median employee was identified as of December 31, 2025 using the following methodology:</w:t>
      </w:r>
    </w:p>
    <w:p>
      <w:pPr>
        <w:spacing w:after="0" w:line="117" w:lineRule="exact"/>
        <w:rPr>
          <w:sz w:val="20"/>
          <w:szCs w:val="20"/>
          <w:color w:val="auto"/>
        </w:rPr>
      </w:pPr>
    </w:p>
    <w:p>
      <w:pPr>
        <w:ind w:left="1800" w:right="1159" w:hanging="180"/>
        <w:spacing w:after="0" w:line="287" w:lineRule="auto"/>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list was prepared of all individuals, excluding the CEO, who were employed by PAA on December 31, 2025. We included all U.S. and Canadian employees.</w:t>
      </w:r>
    </w:p>
    <w:p>
      <w:pPr>
        <w:spacing w:after="0" w:line="44" w:lineRule="exact"/>
        <w:rPr>
          <w:rFonts w:ascii="Arial" w:cs="Arial" w:eastAsia="Arial" w:hAnsi="Arial"/>
          <w:sz w:val="18"/>
          <w:szCs w:val="18"/>
          <w:color w:val="auto"/>
        </w:rPr>
      </w:pPr>
    </w:p>
    <w:p>
      <w:pPr>
        <w:ind w:left="1800" w:right="579" w:hanging="180"/>
        <w:spacing w:after="0" w:line="259" w:lineRule="auto"/>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Basic wage data for each U.S. employee was extracted from Form W-2 information provided to the Internal Revenue Service for calendar year 2025. Basic wage data for each Canadian employee was extracted from Form T4 information provided to the Canada Revenue Agency for calendar year 2025 and converted to U.S. dollars. This information was then sorted and the median employee was identified.</w:t>
      </w:r>
    </w:p>
    <w:p>
      <w:pPr>
        <w:spacing w:after="0" w:line="98" w:lineRule="exact"/>
        <w:rPr>
          <w:sz w:val="20"/>
          <w:szCs w:val="20"/>
          <w:color w:val="auto"/>
        </w:rPr>
      </w:pPr>
    </w:p>
    <w:p>
      <w:pPr>
        <w:ind w:left="1260" w:right="619" w:firstLine="360"/>
        <w:spacing w:after="0" w:line="268" w:lineRule="auto"/>
        <w:rPr>
          <w:sz w:val="20"/>
          <w:szCs w:val="20"/>
          <w:color w:val="auto"/>
        </w:rPr>
      </w:pPr>
      <w:r>
        <w:rPr>
          <w:rFonts w:ascii="Arial" w:cs="Arial" w:eastAsia="Arial" w:hAnsi="Arial"/>
          <w:sz w:val="18"/>
          <w:szCs w:val="18"/>
          <w:color w:val="auto"/>
        </w:rPr>
        <w:t>The median employee’s annual total compensation for 2025 was determined using the same methodology we used for determining the annual total compensation for the Named Executive Officers as set forth in the 2025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Pay Versus Performance</w:t>
      </w:r>
    </w:p>
    <w:p>
      <w:pPr>
        <w:spacing w:after="0" w:line="158" w:lineRule="exact"/>
        <w:rPr>
          <w:sz w:val="20"/>
          <w:szCs w:val="20"/>
          <w:color w:val="auto"/>
        </w:rPr>
      </w:pPr>
    </w:p>
    <w:p>
      <w:pPr>
        <w:ind w:left="1260" w:right="780" w:firstLine="360"/>
        <w:spacing w:after="0" w:line="256" w:lineRule="auto"/>
        <w:rPr>
          <w:sz w:val="20"/>
          <w:szCs w:val="20"/>
          <w:color w:val="auto"/>
        </w:rPr>
      </w:pPr>
      <w:r>
        <w:rPr>
          <w:rFonts w:ascii="Arial" w:cs="Arial" w:eastAsia="Arial" w:hAnsi="Arial"/>
          <w:sz w:val="18"/>
          <w:szCs w:val="18"/>
          <w:color w:val="auto"/>
        </w:rPr>
        <w:t>As required by Item 402(v) of Regulation S-K, we are providing the following information about the relationship between executive compensation actually paid (“CAP”) and PAA’s financial performance for the periods presented. The CAP dollar amounts shown in the table below have been calculated in accordance with SEC rules; however, CAP does not necessarily represent compensation actually paid or earned during the applicable years. This is due to the fact that CAP includes the value of outstanding equity awards that could potentially vest in future years in addition to base salary, bonus, the value of equity awards that vested during the year and DERs.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Tabular Disclosure of Compensation Actually Paid versus Performance</w:t>
      </w:r>
    </w:p>
    <w:p>
      <w:pPr>
        <w:spacing w:after="0" w:line="156" w:lineRule="exact"/>
        <w:rPr>
          <w:sz w:val="20"/>
          <w:szCs w:val="20"/>
          <w:color w:val="auto"/>
        </w:rPr>
      </w:pPr>
    </w:p>
    <w:p>
      <w:pPr>
        <w:ind w:left="1260" w:right="1120" w:firstLine="360"/>
        <w:spacing w:after="0" w:line="259" w:lineRule="auto"/>
        <w:rPr>
          <w:sz w:val="20"/>
          <w:szCs w:val="20"/>
          <w:color w:val="auto"/>
        </w:rPr>
      </w:pPr>
      <w:r>
        <w:rPr>
          <w:rFonts w:ascii="Arial" w:cs="Arial" w:eastAsia="Arial" w:hAnsi="Arial"/>
          <w:sz w:val="18"/>
          <w:szCs w:val="18"/>
          <w:color w:val="auto"/>
        </w:rPr>
        <w:t>The following table discloses information on CAP to our PEO and, on average, to our Non-PEO NEOs during the specified years alongside TSR, net income, and the Company-selected measure of Adjusted EBITDA Attributable to PAA. Adjusted EBITDA Attributable to PAA was identified by the Company as the most important financial performance measure used to link CAP to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6483350</wp:posOffset>
            </wp:positionH>
            <wp:positionV relativeFrom="paragraph">
              <wp:posOffset>125730</wp:posOffset>
            </wp:positionV>
            <wp:extent cx="82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125730</wp:posOffset>
            </wp:positionV>
            <wp:extent cx="43180" cy="8058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180" cy="805815"/>
                    </a:xfrm>
                    <a:prstGeom prst="rect">
                      <a:avLst/>
                    </a:prstGeom>
                    <a:noFill/>
                  </pic:spPr>
                </pic:pic>
              </a:graphicData>
            </a:graphic>
          </wp:anchor>
        </w:drawing>
      </w:r>
    </w:p>
    <w:p>
      <w:pPr>
        <w:spacing w:after="0" w:line="158" w:lineRule="exact"/>
        <w:rPr>
          <w:sz w:val="20"/>
          <w:szCs w:val="20"/>
          <w:color w:val="auto"/>
        </w:rPr>
      </w:pPr>
    </w:p>
    <w:tbl>
      <w:tblPr>
        <w:tblLayout w:type="fixed"/>
        <w:tblInd w:w="500" w:type="dxa"/>
        <w:tblCellMar>
          <w:top w:w="0" w:type="dxa"/>
          <w:left w:w="0" w:type="dxa"/>
          <w:bottom w:w="0" w:type="dxa"/>
          <w:right w:w="0" w:type="dxa"/>
        </w:tblCellMar>
      </w:tblPr>
      <w:tr>
        <w:trPr>
          <w:trHeight w:val="270"/>
        </w:trPr>
        <w:tc>
          <w:tcPr>
            <w:tcW w:w="20" w:type="dxa"/>
            <w:vAlign w:val="bottom"/>
            <w:tcBorders>
              <w:top w:val="single" w:sz="8" w:color="424E6A"/>
            </w:tcBorders>
          </w:tcPr>
          <w:p>
            <w:pPr>
              <w:spacing w:after="0"/>
              <w:rPr>
                <w:sz w:val="23"/>
                <w:szCs w:val="23"/>
                <w:color w:val="auto"/>
              </w:rPr>
            </w:pPr>
          </w:p>
        </w:tc>
        <w:tc>
          <w:tcPr>
            <w:tcW w:w="580" w:type="dxa"/>
            <w:vAlign w:val="bottom"/>
            <w:tcBorders>
              <w:top w:val="single" w:sz="8" w:color="424E6A"/>
            </w:tcBorders>
            <w:shd w:val="clear" w:color="auto" w:fill="424E6A"/>
          </w:tcPr>
          <w:p>
            <w:pPr>
              <w:spacing w:after="0"/>
              <w:rPr>
                <w:sz w:val="23"/>
                <w:szCs w:val="23"/>
                <w:color w:val="auto"/>
              </w:rPr>
            </w:pPr>
          </w:p>
        </w:tc>
        <w:tc>
          <w:tcPr>
            <w:tcW w:w="180" w:type="dxa"/>
            <w:vAlign w:val="bottom"/>
            <w:tcBorders>
              <w:top w:val="single" w:sz="8" w:color="424E6A"/>
            </w:tcBorders>
            <w:shd w:val="clear" w:color="auto" w:fill="424E6A"/>
          </w:tcPr>
          <w:p>
            <w:pPr>
              <w:spacing w:after="0"/>
              <w:rPr>
                <w:sz w:val="23"/>
                <w:szCs w:val="23"/>
                <w:color w:val="auto"/>
              </w:rPr>
            </w:pPr>
          </w:p>
        </w:tc>
        <w:tc>
          <w:tcPr>
            <w:tcW w:w="200" w:type="dxa"/>
            <w:vAlign w:val="bottom"/>
            <w:tcBorders>
              <w:top w:val="single" w:sz="8" w:color="424E6A"/>
            </w:tcBorders>
            <w:shd w:val="clear" w:color="auto" w:fill="424E6A"/>
          </w:tcPr>
          <w:p>
            <w:pPr>
              <w:spacing w:after="0"/>
              <w:rPr>
                <w:sz w:val="23"/>
                <w:szCs w:val="23"/>
                <w:color w:val="auto"/>
              </w:rPr>
            </w:pPr>
          </w:p>
        </w:tc>
        <w:tc>
          <w:tcPr>
            <w:tcW w:w="920" w:type="dxa"/>
            <w:vAlign w:val="bottom"/>
            <w:tcBorders>
              <w:top w:val="single" w:sz="8" w:color="424E6A"/>
            </w:tcBorders>
            <w:shd w:val="clear" w:color="auto" w:fill="424E6A"/>
          </w:tcPr>
          <w:p>
            <w:pPr>
              <w:spacing w:after="0"/>
              <w:rPr>
                <w:sz w:val="23"/>
                <w:szCs w:val="23"/>
                <w:color w:val="auto"/>
              </w:rPr>
            </w:pPr>
          </w:p>
        </w:tc>
        <w:tc>
          <w:tcPr>
            <w:tcW w:w="100" w:type="dxa"/>
            <w:vAlign w:val="bottom"/>
            <w:tcBorders>
              <w:top w:val="single" w:sz="8" w:color="424E6A"/>
              <w:right w:val="single" w:sz="8" w:color="424E6A"/>
            </w:tcBorders>
            <w:shd w:val="clear" w:color="auto" w:fill="424E6A"/>
          </w:tcPr>
          <w:p>
            <w:pPr>
              <w:spacing w:after="0"/>
              <w:rPr>
                <w:sz w:val="23"/>
                <w:szCs w:val="23"/>
                <w:color w:val="auto"/>
              </w:rPr>
            </w:pPr>
          </w:p>
        </w:tc>
        <w:tc>
          <w:tcPr>
            <w:tcW w:w="1200" w:type="dxa"/>
            <w:vAlign w:val="bottom"/>
            <w:tcBorders>
              <w:top w:val="single" w:sz="8" w:color="424E6A"/>
              <w:right w:val="single" w:sz="8" w:color="424E6A"/>
            </w:tcBorders>
            <w:shd w:val="clear" w:color="auto" w:fill="424E6A"/>
          </w:tcPr>
          <w:p>
            <w:pPr>
              <w:spacing w:after="0"/>
              <w:rPr>
                <w:sz w:val="23"/>
                <w:szCs w:val="23"/>
                <w:color w:val="auto"/>
              </w:rPr>
            </w:pPr>
          </w:p>
        </w:tc>
        <w:tc>
          <w:tcPr>
            <w:tcW w:w="80" w:type="dxa"/>
            <w:vAlign w:val="bottom"/>
            <w:tcBorders>
              <w:top w:val="single" w:sz="8" w:color="424E6A"/>
            </w:tcBorders>
            <w:shd w:val="clear" w:color="auto" w:fill="424E6A"/>
          </w:tcPr>
          <w:p>
            <w:pPr>
              <w:spacing w:after="0"/>
              <w:rPr>
                <w:sz w:val="23"/>
                <w:szCs w:val="23"/>
                <w:color w:val="auto"/>
              </w:rPr>
            </w:pPr>
          </w:p>
        </w:tc>
        <w:tc>
          <w:tcPr>
            <w:tcW w:w="1040" w:type="dxa"/>
            <w:vAlign w:val="bottom"/>
            <w:tcBorders>
              <w:top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Average</w:t>
            </w:r>
          </w:p>
        </w:tc>
        <w:tc>
          <w:tcPr>
            <w:tcW w:w="100" w:type="dxa"/>
            <w:vAlign w:val="bottom"/>
            <w:tcBorders>
              <w:top w:val="single" w:sz="8" w:color="424E6A"/>
              <w:right w:val="single" w:sz="8" w:color="424E6A"/>
            </w:tcBorders>
            <w:shd w:val="clear" w:color="auto" w:fill="424E6A"/>
          </w:tcPr>
          <w:p>
            <w:pPr>
              <w:spacing w:after="0"/>
              <w:rPr>
                <w:sz w:val="23"/>
                <w:szCs w:val="23"/>
                <w:color w:val="auto"/>
              </w:rPr>
            </w:pPr>
          </w:p>
        </w:tc>
        <w:tc>
          <w:tcPr>
            <w:tcW w:w="1120" w:type="dxa"/>
            <w:vAlign w:val="bottom"/>
            <w:tcBorders>
              <w:top w:val="single" w:sz="8" w:color="424E6A"/>
            </w:tcBorders>
            <w:shd w:val="clear" w:color="auto" w:fill="424E6A"/>
          </w:tcPr>
          <w:p>
            <w:pPr>
              <w:spacing w:after="0"/>
              <w:rPr>
                <w:sz w:val="23"/>
                <w:szCs w:val="23"/>
                <w:color w:val="auto"/>
              </w:rPr>
            </w:pPr>
          </w:p>
        </w:tc>
        <w:tc>
          <w:tcPr>
            <w:tcW w:w="100" w:type="dxa"/>
            <w:vAlign w:val="bottom"/>
            <w:tcBorders>
              <w:top w:val="single" w:sz="8" w:color="424E6A"/>
              <w:right w:val="single" w:sz="8" w:color="424E6A"/>
            </w:tcBorders>
            <w:shd w:val="clear" w:color="auto" w:fill="424E6A"/>
          </w:tcPr>
          <w:p>
            <w:pPr>
              <w:spacing w:after="0"/>
              <w:rPr>
                <w:sz w:val="23"/>
                <w:szCs w:val="23"/>
                <w:color w:val="auto"/>
              </w:rPr>
            </w:pPr>
          </w:p>
        </w:tc>
        <w:tc>
          <w:tcPr>
            <w:tcW w:w="80" w:type="dxa"/>
            <w:vAlign w:val="bottom"/>
            <w:tcBorders>
              <w:top w:val="single" w:sz="8" w:color="424E6A"/>
            </w:tcBorders>
            <w:shd w:val="clear" w:color="auto" w:fill="424E6A"/>
          </w:tcPr>
          <w:p>
            <w:pPr>
              <w:spacing w:after="0"/>
              <w:rPr>
                <w:sz w:val="23"/>
                <w:szCs w:val="23"/>
                <w:color w:val="auto"/>
              </w:rPr>
            </w:pPr>
          </w:p>
        </w:tc>
        <w:tc>
          <w:tcPr>
            <w:tcW w:w="1560" w:type="dxa"/>
            <w:vAlign w:val="bottom"/>
            <w:tcBorders>
              <w:top w:val="single" w:sz="8" w:color="424E6A"/>
            </w:tcBorders>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rPr>
              <w:t>Value of Initial Fixed</w:t>
            </w:r>
          </w:p>
        </w:tc>
        <w:tc>
          <w:tcPr>
            <w:tcW w:w="160" w:type="dxa"/>
            <w:vAlign w:val="bottom"/>
            <w:tcBorders>
              <w:top w:val="single" w:sz="8" w:color="424E6A"/>
              <w:right w:val="single" w:sz="8" w:color="424E6A"/>
            </w:tcBorders>
            <w:shd w:val="clear" w:color="auto" w:fill="424E6A"/>
          </w:tcPr>
          <w:p>
            <w:pPr>
              <w:spacing w:after="0"/>
              <w:rPr>
                <w:sz w:val="23"/>
                <w:szCs w:val="23"/>
                <w:color w:val="auto"/>
              </w:rPr>
            </w:pPr>
          </w:p>
        </w:tc>
        <w:tc>
          <w:tcPr>
            <w:tcW w:w="80" w:type="dxa"/>
            <w:vAlign w:val="bottom"/>
            <w:tcBorders>
              <w:top w:val="single" w:sz="8" w:color="424E6A"/>
            </w:tcBorders>
            <w:shd w:val="clear" w:color="auto" w:fill="424E6A"/>
          </w:tcPr>
          <w:p>
            <w:pPr>
              <w:spacing w:after="0"/>
              <w:rPr>
                <w:sz w:val="23"/>
                <w:szCs w:val="23"/>
                <w:color w:val="auto"/>
              </w:rPr>
            </w:pPr>
          </w:p>
        </w:tc>
        <w:tc>
          <w:tcPr>
            <w:tcW w:w="980" w:type="dxa"/>
            <w:vAlign w:val="bottom"/>
            <w:tcBorders>
              <w:top w:val="single" w:sz="8" w:color="424E6A"/>
            </w:tcBorders>
            <w:shd w:val="clear" w:color="auto" w:fill="424E6A"/>
          </w:tcPr>
          <w:p>
            <w:pPr>
              <w:spacing w:after="0"/>
              <w:rPr>
                <w:sz w:val="23"/>
                <w:szCs w:val="23"/>
                <w:color w:val="auto"/>
              </w:rPr>
            </w:pPr>
          </w:p>
        </w:tc>
        <w:tc>
          <w:tcPr>
            <w:tcW w:w="100" w:type="dxa"/>
            <w:vAlign w:val="bottom"/>
            <w:tcBorders>
              <w:top w:val="single" w:sz="8" w:color="424E6A"/>
              <w:right w:val="single" w:sz="8" w:color="424E6A"/>
            </w:tcBorders>
            <w:shd w:val="clear" w:color="auto" w:fill="424E6A"/>
          </w:tcPr>
          <w:p>
            <w:pPr>
              <w:spacing w:after="0"/>
              <w:rPr>
                <w:sz w:val="23"/>
                <w:szCs w:val="23"/>
                <w:color w:val="auto"/>
              </w:rPr>
            </w:pPr>
          </w:p>
        </w:tc>
        <w:tc>
          <w:tcPr>
            <w:tcW w:w="1120" w:type="dxa"/>
            <w:vAlign w:val="bottom"/>
            <w:tcBorders>
              <w:top w:val="single" w:sz="8" w:color="424E6A"/>
            </w:tcBorders>
            <w:shd w:val="clear" w:color="auto" w:fill="424E6A"/>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 w:type="dxa"/>
            <w:vAlign w:val="bottom"/>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200" w:type="dxa"/>
            <w:vAlign w:val="bottom"/>
            <w:shd w:val="clear" w:color="auto" w:fill="424E6A"/>
          </w:tcPr>
          <w:p>
            <w:pPr>
              <w:spacing w:after="0"/>
              <w:rPr>
                <w:sz w:val="14"/>
                <w:szCs w:val="14"/>
                <w:color w:val="auto"/>
              </w:rPr>
            </w:pPr>
          </w:p>
        </w:tc>
        <w:tc>
          <w:tcPr>
            <w:tcW w:w="920" w:type="dxa"/>
            <w:vAlign w:val="bottom"/>
            <w:shd w:val="clear" w:color="auto" w:fill="424E6A"/>
          </w:tcPr>
          <w:p>
            <w:pPr>
              <w:spacing w:after="0"/>
              <w:rPr>
                <w:sz w:val="14"/>
                <w:szCs w:val="14"/>
                <w:color w:val="auto"/>
              </w:rPr>
            </w:pPr>
          </w:p>
        </w:tc>
        <w:tc>
          <w:tcPr>
            <w:tcW w:w="100" w:type="dxa"/>
            <w:vAlign w:val="bottom"/>
            <w:tcBorders>
              <w:right w:val="single" w:sz="8" w:color="424E6A"/>
            </w:tcBorders>
            <w:shd w:val="clear" w:color="auto" w:fill="424E6A"/>
          </w:tcPr>
          <w:p>
            <w:pPr>
              <w:spacing w:after="0"/>
              <w:rPr>
                <w:sz w:val="14"/>
                <w:szCs w:val="14"/>
                <w:color w:val="auto"/>
              </w:rPr>
            </w:pPr>
          </w:p>
        </w:tc>
        <w:tc>
          <w:tcPr>
            <w:tcW w:w="120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Summary</w:t>
            </w:r>
          </w:p>
        </w:tc>
        <w:tc>
          <w:tcPr>
            <w:tcW w:w="100" w:type="dxa"/>
            <w:vAlign w:val="bottom"/>
            <w:tcBorders>
              <w:right w:val="single" w:sz="8" w:color="424E6A"/>
            </w:tcBorders>
            <w:shd w:val="clear" w:color="auto" w:fill="424E6A"/>
          </w:tcPr>
          <w:p>
            <w:pPr>
              <w:spacing w:after="0"/>
              <w:rPr>
                <w:sz w:val="14"/>
                <w:szCs w:val="14"/>
                <w:color w:val="auto"/>
              </w:rPr>
            </w:pPr>
          </w:p>
        </w:tc>
        <w:tc>
          <w:tcPr>
            <w:tcW w:w="1120" w:type="dxa"/>
            <w:vAlign w:val="bottom"/>
            <w:vMerge w:val="restart"/>
            <w:shd w:val="clear" w:color="auto" w:fill="424E6A"/>
          </w:tcPr>
          <w:p>
            <w:pPr>
              <w:jc w:val="center"/>
              <w:spacing w:after="0"/>
              <w:rPr>
                <w:sz w:val="20"/>
                <w:szCs w:val="20"/>
                <w:color w:val="auto"/>
              </w:rPr>
            </w:pPr>
            <w:r>
              <w:rPr>
                <w:rFonts w:ascii="Arial" w:cs="Arial" w:eastAsia="Arial" w:hAnsi="Arial"/>
                <w:sz w:val="14"/>
                <w:szCs w:val="14"/>
                <w:b w:val="1"/>
                <w:bCs w:val="1"/>
                <w:color w:val="FFFFFF"/>
              </w:rPr>
              <w:t>Average</w:t>
            </w:r>
          </w:p>
        </w:tc>
        <w:tc>
          <w:tcPr>
            <w:tcW w:w="100" w:type="dxa"/>
            <w:vAlign w:val="bottom"/>
            <w:tcBorders>
              <w:right w:val="single" w:sz="8" w:color="424E6A"/>
            </w:tcBorders>
            <w:shd w:val="clear" w:color="auto" w:fill="424E6A"/>
          </w:tcPr>
          <w:p>
            <w:pPr>
              <w:spacing w:after="0"/>
              <w:rPr>
                <w:sz w:val="14"/>
                <w:szCs w:val="14"/>
                <w:color w:val="auto"/>
              </w:rPr>
            </w:pPr>
          </w:p>
        </w:tc>
        <w:tc>
          <w:tcPr>
            <w:tcW w:w="80" w:type="dxa"/>
            <w:vAlign w:val="bottom"/>
            <w:vMerge w:val="restart"/>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1560" w:type="dxa"/>
            <w:vAlign w:val="bottom"/>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rPr>
              <w:t>$100 Investment</w:t>
            </w:r>
          </w:p>
        </w:tc>
        <w:tc>
          <w:tcPr>
            <w:tcW w:w="160" w:type="dxa"/>
            <w:vAlign w:val="bottom"/>
            <w:tcBorders>
              <w:right w:val="single" w:sz="8" w:color="424E6A"/>
            </w:tcBorders>
            <w:vMerge w:val="restart"/>
            <w:shd w:val="clear" w:color="auto" w:fill="424E6A"/>
          </w:tcPr>
          <w:p>
            <w:pPr>
              <w:jc w:val="right"/>
              <w:spacing w:after="0"/>
              <w:rPr>
                <w:sz w:val="20"/>
                <w:szCs w:val="20"/>
                <w:color w:val="auto"/>
              </w:rPr>
            </w:pPr>
            <w:r>
              <w:rPr>
                <w:rFonts w:ascii="Arial" w:cs="Arial" w:eastAsia="Arial" w:hAnsi="Arial"/>
                <w:sz w:val="14"/>
                <w:szCs w:val="14"/>
                <w:b w:val="1"/>
                <w:bCs w:val="1"/>
                <w:color w:val="FFFFFF"/>
              </w:rPr>
              <w:t>​</w:t>
            </w:r>
          </w:p>
        </w:tc>
        <w:tc>
          <w:tcPr>
            <w:tcW w:w="80" w:type="dxa"/>
            <w:vAlign w:val="bottom"/>
            <w:shd w:val="clear" w:color="auto" w:fill="424E6A"/>
          </w:tcPr>
          <w:p>
            <w:pPr>
              <w:spacing w:after="0"/>
              <w:rPr>
                <w:sz w:val="14"/>
                <w:szCs w:val="14"/>
                <w:color w:val="auto"/>
              </w:rPr>
            </w:pPr>
          </w:p>
        </w:tc>
        <w:tc>
          <w:tcPr>
            <w:tcW w:w="980" w:type="dxa"/>
            <w:vAlign w:val="bottom"/>
            <w:shd w:val="clear" w:color="auto" w:fill="424E6A"/>
          </w:tcPr>
          <w:p>
            <w:pPr>
              <w:spacing w:after="0"/>
              <w:rPr>
                <w:sz w:val="14"/>
                <w:szCs w:val="14"/>
                <w:color w:val="auto"/>
              </w:rPr>
            </w:pPr>
          </w:p>
        </w:tc>
        <w:tc>
          <w:tcPr>
            <w:tcW w:w="100" w:type="dxa"/>
            <w:vAlign w:val="bottom"/>
            <w:tcBorders>
              <w:right w:val="single" w:sz="8" w:color="424E6A"/>
            </w:tcBorders>
            <w:shd w:val="clear" w:color="auto" w:fill="424E6A"/>
          </w:tcPr>
          <w:p>
            <w:pPr>
              <w:spacing w:after="0"/>
              <w:rPr>
                <w:sz w:val="14"/>
                <w:szCs w:val="14"/>
                <w:color w:val="auto"/>
              </w:rPr>
            </w:pPr>
          </w:p>
        </w:tc>
        <w:tc>
          <w:tcPr>
            <w:tcW w:w="1120" w:type="dxa"/>
            <w:vAlign w:val="bottom"/>
            <w:shd w:val="clear" w:color="auto" w:fill="424E6A"/>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0" w:type="dxa"/>
            <w:vAlign w:val="bottom"/>
            <w:shd w:val="clear" w:color="auto" w:fill="424E6A"/>
          </w:tcPr>
          <w:p>
            <w:pPr>
              <w:spacing w:after="0"/>
              <w:rPr>
                <w:sz w:val="13"/>
                <w:szCs w:val="13"/>
                <w:color w:val="auto"/>
              </w:rPr>
            </w:pPr>
          </w:p>
        </w:tc>
        <w:tc>
          <w:tcPr>
            <w:tcW w:w="180" w:type="dxa"/>
            <w:vAlign w:val="bottom"/>
            <w:shd w:val="clear" w:color="auto" w:fill="424E6A"/>
          </w:tcPr>
          <w:p>
            <w:pPr>
              <w:spacing w:after="0"/>
              <w:rPr>
                <w:sz w:val="13"/>
                <w:szCs w:val="13"/>
                <w:color w:val="auto"/>
              </w:rPr>
            </w:pPr>
          </w:p>
        </w:tc>
        <w:tc>
          <w:tcPr>
            <w:tcW w:w="200" w:type="dxa"/>
            <w:vAlign w:val="bottom"/>
            <w:shd w:val="clear" w:color="auto" w:fill="424E6A"/>
          </w:tcPr>
          <w:p>
            <w:pPr>
              <w:spacing w:after="0"/>
              <w:rPr>
                <w:sz w:val="13"/>
                <w:szCs w:val="13"/>
                <w:color w:val="auto"/>
              </w:rPr>
            </w:pPr>
          </w:p>
        </w:tc>
        <w:tc>
          <w:tcPr>
            <w:tcW w:w="920" w:type="dxa"/>
            <w:vAlign w:val="bottom"/>
            <w:shd w:val="clear" w:color="auto" w:fill="424E6A"/>
          </w:tcPr>
          <w:p>
            <w:pPr>
              <w:spacing w:after="0"/>
              <w:rPr>
                <w:sz w:val="13"/>
                <w:szCs w:val="13"/>
                <w:color w:val="auto"/>
              </w:rPr>
            </w:pPr>
          </w:p>
        </w:tc>
        <w:tc>
          <w:tcPr>
            <w:tcW w:w="100" w:type="dxa"/>
            <w:vAlign w:val="bottom"/>
            <w:tcBorders>
              <w:right w:val="single" w:sz="8" w:color="424E6A"/>
            </w:tcBorders>
            <w:shd w:val="clear" w:color="auto" w:fill="424E6A"/>
          </w:tcPr>
          <w:p>
            <w:pPr>
              <w:spacing w:after="0"/>
              <w:rPr>
                <w:sz w:val="13"/>
                <w:szCs w:val="13"/>
                <w:color w:val="auto"/>
              </w:rPr>
            </w:pPr>
          </w:p>
        </w:tc>
        <w:tc>
          <w:tcPr>
            <w:tcW w:w="1200" w:type="dxa"/>
            <w:vAlign w:val="bottom"/>
            <w:tcBorders>
              <w:right w:val="single" w:sz="8" w:color="424E6A"/>
            </w:tcBorders>
            <w:shd w:val="clear" w:color="auto" w:fill="424E6A"/>
          </w:tcPr>
          <w:p>
            <w:pPr>
              <w:spacing w:after="0"/>
              <w:rPr>
                <w:sz w:val="13"/>
                <w:szCs w:val="13"/>
                <w:color w:val="auto"/>
              </w:rPr>
            </w:pPr>
          </w:p>
        </w:tc>
        <w:tc>
          <w:tcPr>
            <w:tcW w:w="80" w:type="dxa"/>
            <w:vAlign w:val="bottom"/>
            <w:shd w:val="clear" w:color="auto" w:fill="424E6A"/>
          </w:tcPr>
          <w:p>
            <w:pPr>
              <w:spacing w:after="0"/>
              <w:rPr>
                <w:sz w:val="13"/>
                <w:szCs w:val="13"/>
                <w:color w:val="auto"/>
              </w:rPr>
            </w:pPr>
          </w:p>
        </w:tc>
        <w:tc>
          <w:tcPr>
            <w:tcW w:w="1040" w:type="dxa"/>
            <w:vAlign w:val="bottom"/>
            <w:shd w:val="clear" w:color="auto" w:fill="424E6A"/>
          </w:tcPr>
          <w:p>
            <w:pPr>
              <w:jc w:val="center"/>
              <w:spacing w:after="0" w:line="153" w:lineRule="exact"/>
              <w:rPr>
                <w:sz w:val="20"/>
                <w:szCs w:val="20"/>
                <w:color w:val="auto"/>
              </w:rPr>
            </w:pPr>
            <w:r>
              <w:rPr>
                <w:rFonts w:ascii="Arial" w:cs="Arial" w:eastAsia="Arial" w:hAnsi="Arial"/>
                <w:sz w:val="14"/>
                <w:szCs w:val="14"/>
                <w:b w:val="1"/>
                <w:bCs w:val="1"/>
                <w:color w:val="FFFFFF"/>
              </w:rPr>
              <w:t>Compensation</w:t>
            </w:r>
          </w:p>
        </w:tc>
        <w:tc>
          <w:tcPr>
            <w:tcW w:w="100" w:type="dxa"/>
            <w:vAlign w:val="bottom"/>
            <w:tcBorders>
              <w:right w:val="single" w:sz="8" w:color="424E6A"/>
            </w:tcBorders>
            <w:shd w:val="clear" w:color="auto" w:fill="424E6A"/>
          </w:tcPr>
          <w:p>
            <w:pPr>
              <w:spacing w:after="0"/>
              <w:rPr>
                <w:sz w:val="13"/>
                <w:szCs w:val="13"/>
                <w:color w:val="auto"/>
              </w:rPr>
            </w:pPr>
          </w:p>
        </w:tc>
        <w:tc>
          <w:tcPr>
            <w:tcW w:w="1120" w:type="dxa"/>
            <w:vAlign w:val="bottom"/>
            <w:vMerge w:val="continue"/>
            <w:shd w:val="clear" w:color="auto" w:fill="424E6A"/>
          </w:tcPr>
          <w:p>
            <w:pPr>
              <w:spacing w:after="0"/>
              <w:rPr>
                <w:sz w:val="13"/>
                <w:szCs w:val="13"/>
                <w:color w:val="auto"/>
              </w:rPr>
            </w:pPr>
          </w:p>
        </w:tc>
        <w:tc>
          <w:tcPr>
            <w:tcW w:w="100" w:type="dxa"/>
            <w:vAlign w:val="bottom"/>
            <w:tcBorders>
              <w:right w:val="single" w:sz="8" w:color="424E6A"/>
            </w:tcBorders>
            <w:shd w:val="clear" w:color="auto" w:fill="424E6A"/>
          </w:tcPr>
          <w:p>
            <w:pPr>
              <w:spacing w:after="0"/>
              <w:rPr>
                <w:sz w:val="13"/>
                <w:szCs w:val="13"/>
                <w:color w:val="auto"/>
              </w:rPr>
            </w:pPr>
          </w:p>
        </w:tc>
        <w:tc>
          <w:tcPr>
            <w:tcW w:w="80" w:type="dxa"/>
            <w:vAlign w:val="bottom"/>
            <w:vMerge w:val="continue"/>
            <w:shd w:val="clear" w:color="auto" w:fill="424E6A"/>
          </w:tcPr>
          <w:p>
            <w:pPr>
              <w:spacing w:after="0"/>
              <w:rPr>
                <w:sz w:val="13"/>
                <w:szCs w:val="13"/>
                <w:color w:val="auto"/>
              </w:rPr>
            </w:pPr>
          </w:p>
        </w:tc>
        <w:tc>
          <w:tcPr>
            <w:tcW w:w="1560" w:type="dxa"/>
            <w:vAlign w:val="bottom"/>
            <w:gridSpan w:val="3"/>
            <w:shd w:val="clear" w:color="auto" w:fill="424E6A"/>
          </w:tcPr>
          <w:p>
            <w:pPr>
              <w:jc w:val="center"/>
              <w:spacing w:after="0" w:line="153" w:lineRule="exact"/>
              <w:rPr>
                <w:sz w:val="20"/>
                <w:szCs w:val="20"/>
                <w:color w:val="auto"/>
              </w:rPr>
            </w:pPr>
            <w:r>
              <w:rPr>
                <w:rFonts w:ascii="Arial" w:cs="Arial" w:eastAsia="Arial" w:hAnsi="Arial"/>
                <w:sz w:val="14"/>
                <w:szCs w:val="14"/>
                <w:b w:val="1"/>
                <w:bCs w:val="1"/>
                <w:color w:val="FFFFFF"/>
              </w:rPr>
              <w:t>Based On:</w:t>
            </w:r>
          </w:p>
        </w:tc>
        <w:tc>
          <w:tcPr>
            <w:tcW w:w="160" w:type="dxa"/>
            <w:vAlign w:val="bottom"/>
            <w:tcBorders>
              <w:right w:val="single" w:sz="8" w:color="424E6A"/>
            </w:tcBorders>
            <w:vMerge w:val="continue"/>
            <w:shd w:val="clear" w:color="auto" w:fill="424E6A"/>
          </w:tcPr>
          <w:p>
            <w:pPr>
              <w:spacing w:after="0"/>
              <w:rPr>
                <w:sz w:val="13"/>
                <w:szCs w:val="13"/>
                <w:color w:val="auto"/>
              </w:rPr>
            </w:pPr>
          </w:p>
        </w:tc>
        <w:tc>
          <w:tcPr>
            <w:tcW w:w="80" w:type="dxa"/>
            <w:vAlign w:val="bottom"/>
            <w:shd w:val="clear" w:color="auto" w:fill="424E6A"/>
          </w:tcPr>
          <w:p>
            <w:pPr>
              <w:spacing w:after="0"/>
              <w:rPr>
                <w:sz w:val="13"/>
                <w:szCs w:val="13"/>
                <w:color w:val="auto"/>
              </w:rPr>
            </w:pPr>
          </w:p>
        </w:tc>
        <w:tc>
          <w:tcPr>
            <w:tcW w:w="980" w:type="dxa"/>
            <w:vAlign w:val="bottom"/>
            <w:shd w:val="clear" w:color="auto" w:fill="424E6A"/>
          </w:tcPr>
          <w:p>
            <w:pPr>
              <w:spacing w:after="0"/>
              <w:rPr>
                <w:sz w:val="13"/>
                <w:szCs w:val="13"/>
                <w:color w:val="auto"/>
              </w:rPr>
            </w:pPr>
          </w:p>
        </w:tc>
        <w:tc>
          <w:tcPr>
            <w:tcW w:w="100" w:type="dxa"/>
            <w:vAlign w:val="bottom"/>
            <w:tcBorders>
              <w:right w:val="single" w:sz="8" w:color="424E6A"/>
            </w:tcBorders>
            <w:shd w:val="clear" w:color="auto" w:fill="424E6A"/>
          </w:tcPr>
          <w:p>
            <w:pPr>
              <w:spacing w:after="0"/>
              <w:rPr>
                <w:sz w:val="13"/>
                <w:szCs w:val="13"/>
                <w:color w:val="auto"/>
              </w:rPr>
            </w:pPr>
          </w:p>
        </w:tc>
        <w:tc>
          <w:tcPr>
            <w:tcW w:w="1120" w:type="dxa"/>
            <w:vAlign w:val="bottom"/>
            <w:shd w:val="clear" w:color="auto" w:fill="424E6A"/>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0" w:type="dxa"/>
            <w:vAlign w:val="bottom"/>
            <w:shd w:val="clear" w:color="auto" w:fill="424E6A"/>
          </w:tcPr>
          <w:p>
            <w:pPr>
              <w:spacing w:after="0"/>
              <w:rPr>
                <w:sz w:val="12"/>
                <w:szCs w:val="12"/>
                <w:color w:val="auto"/>
              </w:rPr>
            </w:pPr>
          </w:p>
        </w:tc>
        <w:tc>
          <w:tcPr>
            <w:tcW w:w="180" w:type="dxa"/>
            <w:vAlign w:val="bottom"/>
            <w:shd w:val="clear" w:color="auto" w:fill="424E6A"/>
          </w:tcPr>
          <w:p>
            <w:pPr>
              <w:spacing w:after="0"/>
              <w:rPr>
                <w:sz w:val="12"/>
                <w:szCs w:val="12"/>
                <w:color w:val="auto"/>
              </w:rPr>
            </w:pPr>
          </w:p>
        </w:tc>
        <w:tc>
          <w:tcPr>
            <w:tcW w:w="200" w:type="dxa"/>
            <w:vAlign w:val="bottom"/>
            <w:shd w:val="clear" w:color="auto" w:fill="424E6A"/>
          </w:tcPr>
          <w:p>
            <w:pPr>
              <w:spacing w:after="0"/>
              <w:rPr>
                <w:sz w:val="12"/>
                <w:szCs w:val="12"/>
                <w:color w:val="auto"/>
              </w:rPr>
            </w:pPr>
          </w:p>
        </w:tc>
        <w:tc>
          <w:tcPr>
            <w:tcW w:w="920" w:type="dxa"/>
            <w:vAlign w:val="bottom"/>
            <w:shd w:val="clear" w:color="auto" w:fill="424E6A"/>
          </w:tcPr>
          <w:p>
            <w:pPr>
              <w:jc w:val="center"/>
              <w:ind w:right="85"/>
              <w:spacing w:after="0" w:line="148" w:lineRule="exact"/>
              <w:rPr>
                <w:sz w:val="20"/>
                <w:szCs w:val="20"/>
                <w:color w:val="auto"/>
              </w:rPr>
            </w:pPr>
            <w:r>
              <w:rPr>
                <w:rFonts w:ascii="Arial" w:cs="Arial" w:eastAsia="Arial" w:hAnsi="Arial"/>
                <w:sz w:val="14"/>
                <w:szCs w:val="14"/>
                <w:b w:val="1"/>
                <w:bCs w:val="1"/>
                <w:color w:val="FFFFFF"/>
              </w:rPr>
              <w:t>Summary</w:t>
            </w:r>
          </w:p>
        </w:tc>
        <w:tc>
          <w:tcPr>
            <w:tcW w:w="100" w:type="dxa"/>
            <w:vAlign w:val="bottom"/>
            <w:tcBorders>
              <w:right w:val="single" w:sz="8" w:color="424E6A"/>
            </w:tcBorders>
            <w:shd w:val="clear" w:color="auto" w:fill="424E6A"/>
          </w:tcPr>
          <w:p>
            <w:pPr>
              <w:spacing w:after="0"/>
              <w:rPr>
                <w:sz w:val="12"/>
                <w:szCs w:val="12"/>
                <w:color w:val="auto"/>
              </w:rPr>
            </w:pPr>
          </w:p>
        </w:tc>
        <w:tc>
          <w:tcPr>
            <w:tcW w:w="1200" w:type="dxa"/>
            <w:vAlign w:val="bottom"/>
            <w:tcBorders>
              <w:right w:val="single" w:sz="8" w:color="424E6A"/>
            </w:tcBorders>
            <w:shd w:val="clear" w:color="auto" w:fill="424E6A"/>
          </w:tcPr>
          <w:p>
            <w:pPr>
              <w:spacing w:after="0"/>
              <w:rPr>
                <w:sz w:val="12"/>
                <w:szCs w:val="12"/>
                <w:color w:val="auto"/>
              </w:rPr>
            </w:pPr>
          </w:p>
        </w:tc>
        <w:tc>
          <w:tcPr>
            <w:tcW w:w="80" w:type="dxa"/>
            <w:vAlign w:val="bottom"/>
            <w:shd w:val="clear" w:color="auto" w:fill="424E6A"/>
          </w:tcPr>
          <w:p>
            <w:pPr>
              <w:spacing w:after="0"/>
              <w:rPr>
                <w:sz w:val="12"/>
                <w:szCs w:val="12"/>
                <w:color w:val="auto"/>
              </w:rPr>
            </w:pPr>
          </w:p>
        </w:tc>
        <w:tc>
          <w:tcPr>
            <w:tcW w:w="1040" w:type="dxa"/>
            <w:vAlign w:val="bottom"/>
            <w:shd w:val="clear" w:color="auto" w:fill="424E6A"/>
          </w:tcPr>
          <w:p>
            <w:pPr>
              <w:jc w:val="center"/>
              <w:spacing w:after="0" w:line="148" w:lineRule="exact"/>
              <w:rPr>
                <w:sz w:val="20"/>
                <w:szCs w:val="20"/>
                <w:color w:val="auto"/>
              </w:rPr>
            </w:pPr>
            <w:r>
              <w:rPr>
                <w:rFonts w:ascii="Arial" w:cs="Arial" w:eastAsia="Arial" w:hAnsi="Arial"/>
                <w:sz w:val="14"/>
                <w:szCs w:val="14"/>
                <w:b w:val="1"/>
                <w:bCs w:val="1"/>
                <w:color w:val="FFFFFF"/>
              </w:rPr>
              <w:t>Table</w:t>
            </w:r>
          </w:p>
        </w:tc>
        <w:tc>
          <w:tcPr>
            <w:tcW w:w="100" w:type="dxa"/>
            <w:vAlign w:val="bottom"/>
            <w:tcBorders>
              <w:right w:val="single" w:sz="8" w:color="424E6A"/>
            </w:tcBorders>
            <w:shd w:val="clear" w:color="auto" w:fill="424E6A"/>
          </w:tcPr>
          <w:p>
            <w:pPr>
              <w:spacing w:after="0"/>
              <w:rPr>
                <w:sz w:val="12"/>
                <w:szCs w:val="12"/>
                <w:color w:val="auto"/>
              </w:rPr>
            </w:pPr>
          </w:p>
        </w:tc>
        <w:tc>
          <w:tcPr>
            <w:tcW w:w="1120" w:type="dxa"/>
            <w:vAlign w:val="bottom"/>
            <w:shd w:val="clear" w:color="auto" w:fill="424E6A"/>
          </w:tcPr>
          <w:p>
            <w:pPr>
              <w:jc w:val="center"/>
              <w:spacing w:after="0" w:line="148" w:lineRule="exact"/>
              <w:rPr>
                <w:sz w:val="20"/>
                <w:szCs w:val="20"/>
                <w:color w:val="auto"/>
              </w:rPr>
            </w:pPr>
            <w:r>
              <w:rPr>
                <w:rFonts w:ascii="Arial" w:cs="Arial" w:eastAsia="Arial" w:hAnsi="Arial"/>
                <w:sz w:val="14"/>
                <w:szCs w:val="14"/>
                <w:b w:val="1"/>
                <w:bCs w:val="1"/>
                <w:color w:val="FFFFFF"/>
              </w:rPr>
              <w:t>Compensation</w:t>
            </w:r>
          </w:p>
        </w:tc>
        <w:tc>
          <w:tcPr>
            <w:tcW w:w="100" w:type="dxa"/>
            <w:vAlign w:val="bottom"/>
            <w:tcBorders>
              <w:right w:val="single" w:sz="8" w:color="424E6A"/>
            </w:tcBorders>
            <w:shd w:val="clear" w:color="auto" w:fill="424E6A"/>
          </w:tcPr>
          <w:p>
            <w:pPr>
              <w:spacing w:after="0"/>
              <w:rPr>
                <w:sz w:val="12"/>
                <w:szCs w:val="12"/>
                <w:color w:val="auto"/>
              </w:rPr>
            </w:pPr>
          </w:p>
        </w:tc>
        <w:tc>
          <w:tcPr>
            <w:tcW w:w="80" w:type="dxa"/>
            <w:vAlign w:val="bottom"/>
            <w:shd w:val="clear" w:color="auto" w:fill="424E6A"/>
          </w:tcPr>
          <w:p>
            <w:pPr>
              <w:spacing w:after="0"/>
              <w:rPr>
                <w:sz w:val="12"/>
                <w:szCs w:val="12"/>
                <w:color w:val="auto"/>
              </w:rPr>
            </w:pPr>
          </w:p>
        </w:tc>
        <w:tc>
          <w:tcPr>
            <w:tcW w:w="700" w:type="dxa"/>
            <w:vAlign w:val="bottom"/>
            <w:shd w:val="clear" w:color="auto" w:fill="424E6A"/>
          </w:tcPr>
          <w:p>
            <w:pPr>
              <w:spacing w:after="0"/>
              <w:rPr>
                <w:sz w:val="12"/>
                <w:szCs w:val="12"/>
                <w:color w:val="auto"/>
              </w:rPr>
            </w:pPr>
          </w:p>
        </w:tc>
        <w:tc>
          <w:tcPr>
            <w:tcW w:w="120" w:type="dxa"/>
            <w:vAlign w:val="bottom"/>
            <w:tcBorders>
              <w:right w:val="single" w:sz="8" w:color="424E6A"/>
            </w:tcBorders>
            <w:shd w:val="clear" w:color="auto" w:fill="424E6A"/>
          </w:tcPr>
          <w:p>
            <w:pPr>
              <w:spacing w:after="0"/>
              <w:rPr>
                <w:sz w:val="12"/>
                <w:szCs w:val="12"/>
                <w:color w:val="auto"/>
              </w:rPr>
            </w:pPr>
          </w:p>
        </w:tc>
        <w:tc>
          <w:tcPr>
            <w:tcW w:w="740" w:type="dxa"/>
            <w:vAlign w:val="bottom"/>
            <w:shd w:val="clear" w:color="auto" w:fill="424E6A"/>
          </w:tcPr>
          <w:p>
            <w:pPr>
              <w:spacing w:after="0"/>
              <w:rPr>
                <w:sz w:val="12"/>
                <w:szCs w:val="12"/>
                <w:color w:val="auto"/>
              </w:rPr>
            </w:pPr>
          </w:p>
        </w:tc>
        <w:tc>
          <w:tcPr>
            <w:tcW w:w="160" w:type="dxa"/>
            <w:vAlign w:val="bottom"/>
            <w:tcBorders>
              <w:right w:val="single" w:sz="8" w:color="424E6A"/>
            </w:tcBorders>
            <w:shd w:val="clear" w:color="auto" w:fill="424E6A"/>
          </w:tcPr>
          <w:p>
            <w:pPr>
              <w:spacing w:after="0"/>
              <w:rPr>
                <w:sz w:val="12"/>
                <w:szCs w:val="12"/>
                <w:color w:val="auto"/>
              </w:rPr>
            </w:pPr>
          </w:p>
        </w:tc>
        <w:tc>
          <w:tcPr>
            <w:tcW w:w="80" w:type="dxa"/>
            <w:vAlign w:val="bottom"/>
            <w:shd w:val="clear" w:color="auto" w:fill="424E6A"/>
          </w:tcPr>
          <w:p>
            <w:pPr>
              <w:spacing w:after="0"/>
              <w:rPr>
                <w:sz w:val="12"/>
                <w:szCs w:val="12"/>
                <w:color w:val="auto"/>
              </w:rPr>
            </w:pPr>
          </w:p>
        </w:tc>
        <w:tc>
          <w:tcPr>
            <w:tcW w:w="980" w:type="dxa"/>
            <w:vAlign w:val="bottom"/>
            <w:shd w:val="clear" w:color="auto" w:fill="424E6A"/>
          </w:tcPr>
          <w:p>
            <w:pPr>
              <w:spacing w:after="0"/>
              <w:rPr>
                <w:sz w:val="12"/>
                <w:szCs w:val="12"/>
                <w:color w:val="auto"/>
              </w:rPr>
            </w:pPr>
          </w:p>
        </w:tc>
        <w:tc>
          <w:tcPr>
            <w:tcW w:w="100" w:type="dxa"/>
            <w:vAlign w:val="bottom"/>
            <w:tcBorders>
              <w:right w:val="single" w:sz="8" w:color="424E6A"/>
            </w:tcBorders>
            <w:shd w:val="clear" w:color="auto" w:fill="424E6A"/>
          </w:tcPr>
          <w:p>
            <w:pPr>
              <w:spacing w:after="0"/>
              <w:rPr>
                <w:sz w:val="12"/>
                <w:szCs w:val="12"/>
                <w:color w:val="auto"/>
              </w:rPr>
            </w:pPr>
          </w:p>
        </w:tc>
        <w:tc>
          <w:tcPr>
            <w:tcW w:w="1120" w:type="dxa"/>
            <w:vAlign w:val="bottom"/>
            <w:shd w:val="clear" w:color="auto" w:fill="424E6A"/>
          </w:tcPr>
          <w:p>
            <w:pPr>
              <w:jc w:val="center"/>
              <w:spacing w:after="0" w:line="148" w:lineRule="exact"/>
              <w:rPr>
                <w:sz w:val="20"/>
                <w:szCs w:val="20"/>
                <w:color w:val="auto"/>
              </w:rPr>
            </w:pPr>
            <w:r>
              <w:rPr>
                <w:rFonts w:ascii="Arial" w:cs="Arial" w:eastAsia="Arial" w:hAnsi="Arial"/>
                <w:sz w:val="14"/>
                <w:szCs w:val="14"/>
                <w:b w:val="1"/>
                <w:bCs w:val="1"/>
                <w:color w:val="FFFFFF"/>
              </w:rPr>
              <w:t>Adjusted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 w:type="dxa"/>
            <w:vAlign w:val="bottom"/>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11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Compensation</w:t>
            </w:r>
          </w:p>
        </w:tc>
        <w:tc>
          <w:tcPr>
            <w:tcW w:w="100" w:type="dxa"/>
            <w:vAlign w:val="bottom"/>
            <w:tcBorders>
              <w:right w:val="single" w:sz="8" w:color="424E6A"/>
            </w:tcBorders>
            <w:shd w:val="clear" w:color="auto" w:fill="424E6A"/>
          </w:tcPr>
          <w:p>
            <w:pPr>
              <w:spacing w:after="0"/>
              <w:rPr>
                <w:sz w:val="14"/>
                <w:szCs w:val="14"/>
                <w:color w:val="auto"/>
              </w:rPr>
            </w:pPr>
          </w:p>
        </w:tc>
        <w:tc>
          <w:tcPr>
            <w:tcW w:w="1280" w:type="dxa"/>
            <w:vAlign w:val="bottom"/>
            <w:gridSpan w:val="2"/>
            <w:shd w:val="clear" w:color="auto" w:fill="424E6A"/>
          </w:tcPr>
          <w:p>
            <w:pPr>
              <w:jc w:val="center"/>
              <w:ind w:right="43"/>
              <w:spacing w:after="0"/>
              <w:rPr>
                <w:sz w:val="20"/>
                <w:szCs w:val="20"/>
                <w:color w:val="auto"/>
              </w:rPr>
            </w:pPr>
            <w:r>
              <w:rPr>
                <w:rFonts w:ascii="Arial" w:cs="Arial" w:eastAsia="Arial" w:hAnsi="Arial"/>
                <w:sz w:val="14"/>
                <w:szCs w:val="14"/>
                <w:b w:val="1"/>
                <w:bCs w:val="1"/>
                <w:color w:val="FFFFFF"/>
              </w:rPr>
              <w:t>Compensation</w:t>
            </w:r>
          </w:p>
        </w:tc>
        <w:tc>
          <w:tcPr>
            <w:tcW w:w="10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Total for</w:t>
            </w:r>
          </w:p>
        </w:tc>
        <w:tc>
          <w:tcPr>
            <w:tcW w:w="100" w:type="dxa"/>
            <w:vAlign w:val="bottom"/>
            <w:tcBorders>
              <w:right w:val="single" w:sz="8" w:color="424E6A"/>
            </w:tcBorders>
            <w:shd w:val="clear" w:color="auto" w:fill="424E6A"/>
          </w:tcPr>
          <w:p>
            <w:pPr>
              <w:spacing w:after="0"/>
              <w:rPr>
                <w:sz w:val="14"/>
                <w:szCs w:val="14"/>
                <w:color w:val="auto"/>
              </w:rPr>
            </w:pPr>
          </w:p>
        </w:tc>
        <w:tc>
          <w:tcPr>
            <w:tcW w:w="11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Actually</w:t>
            </w:r>
          </w:p>
        </w:tc>
        <w:tc>
          <w:tcPr>
            <w:tcW w:w="10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700" w:type="dxa"/>
            <w:vAlign w:val="bottom"/>
            <w:shd w:val="clear" w:color="auto" w:fill="424E6A"/>
          </w:tcPr>
          <w:p>
            <w:pPr>
              <w:spacing w:after="0"/>
              <w:rPr>
                <w:sz w:val="14"/>
                <w:szCs w:val="14"/>
                <w:color w:val="auto"/>
              </w:rPr>
            </w:pPr>
          </w:p>
        </w:tc>
        <w:tc>
          <w:tcPr>
            <w:tcW w:w="120" w:type="dxa"/>
            <w:vAlign w:val="bottom"/>
            <w:tcBorders>
              <w:right w:val="single" w:sz="8" w:color="424E6A"/>
            </w:tcBorders>
            <w:shd w:val="clear" w:color="auto" w:fill="424E6A"/>
          </w:tcPr>
          <w:p>
            <w:pPr>
              <w:spacing w:after="0"/>
              <w:rPr>
                <w:sz w:val="14"/>
                <w:szCs w:val="14"/>
                <w:color w:val="auto"/>
              </w:rPr>
            </w:pPr>
          </w:p>
        </w:tc>
        <w:tc>
          <w:tcPr>
            <w:tcW w:w="740" w:type="dxa"/>
            <w:vAlign w:val="bottom"/>
            <w:shd w:val="clear" w:color="auto" w:fill="424E6A"/>
          </w:tcPr>
          <w:p>
            <w:pPr>
              <w:jc w:val="right"/>
              <w:ind w:right="84"/>
              <w:spacing w:after="0"/>
              <w:rPr>
                <w:sz w:val="20"/>
                <w:szCs w:val="20"/>
                <w:color w:val="auto"/>
              </w:rPr>
            </w:pPr>
            <w:r>
              <w:rPr>
                <w:rFonts w:ascii="Arial" w:cs="Arial" w:eastAsia="Arial" w:hAnsi="Arial"/>
                <w:sz w:val="14"/>
                <w:szCs w:val="14"/>
                <w:b w:val="1"/>
                <w:bCs w:val="1"/>
                <w:color w:val="FFFFFF"/>
              </w:rPr>
              <w:t>Peer</w:t>
            </w:r>
          </w:p>
        </w:tc>
        <w:tc>
          <w:tcPr>
            <w:tcW w:w="16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980" w:type="dxa"/>
            <w:vAlign w:val="bottom"/>
            <w:shd w:val="clear" w:color="auto" w:fill="424E6A"/>
          </w:tcPr>
          <w:p>
            <w:pPr>
              <w:spacing w:after="0"/>
              <w:rPr>
                <w:sz w:val="14"/>
                <w:szCs w:val="14"/>
                <w:color w:val="auto"/>
              </w:rPr>
            </w:pPr>
          </w:p>
        </w:tc>
        <w:tc>
          <w:tcPr>
            <w:tcW w:w="100" w:type="dxa"/>
            <w:vAlign w:val="bottom"/>
            <w:tcBorders>
              <w:right w:val="single" w:sz="8" w:color="424E6A"/>
            </w:tcBorders>
            <w:shd w:val="clear" w:color="auto" w:fill="424E6A"/>
          </w:tcPr>
          <w:p>
            <w:pPr>
              <w:spacing w:after="0"/>
              <w:rPr>
                <w:sz w:val="14"/>
                <w:szCs w:val="14"/>
                <w:color w:val="auto"/>
              </w:rPr>
            </w:pPr>
          </w:p>
        </w:tc>
        <w:tc>
          <w:tcPr>
            <w:tcW w:w="11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9"/>
              </w:rPr>
              <w:t>EBITDA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424E6A"/>
          </w:tcPr>
          <w:p>
            <w:pPr>
              <w:spacing w:after="0"/>
              <w:rPr>
                <w:sz w:val="12"/>
                <w:szCs w:val="12"/>
                <w:color w:val="auto"/>
              </w:rPr>
            </w:pPr>
          </w:p>
        </w:tc>
        <w:tc>
          <w:tcPr>
            <w:tcW w:w="180" w:type="dxa"/>
            <w:vAlign w:val="bottom"/>
            <w:shd w:val="clear" w:color="auto" w:fill="424E6A"/>
          </w:tcPr>
          <w:p>
            <w:pPr>
              <w:spacing w:after="0"/>
              <w:rPr>
                <w:sz w:val="12"/>
                <w:szCs w:val="12"/>
                <w:color w:val="auto"/>
              </w:rPr>
            </w:pPr>
          </w:p>
        </w:tc>
        <w:tc>
          <w:tcPr>
            <w:tcW w:w="200" w:type="dxa"/>
            <w:vAlign w:val="bottom"/>
            <w:shd w:val="clear" w:color="auto" w:fill="424E6A"/>
          </w:tcPr>
          <w:p>
            <w:pPr>
              <w:spacing w:after="0"/>
              <w:rPr>
                <w:sz w:val="12"/>
                <w:szCs w:val="12"/>
                <w:color w:val="auto"/>
              </w:rPr>
            </w:pPr>
          </w:p>
        </w:tc>
        <w:tc>
          <w:tcPr>
            <w:tcW w:w="920" w:type="dxa"/>
            <w:vAlign w:val="bottom"/>
            <w:shd w:val="clear" w:color="auto" w:fill="424E6A"/>
          </w:tcPr>
          <w:p>
            <w:pPr>
              <w:jc w:val="center"/>
              <w:ind w:right="85"/>
              <w:spacing w:after="0" w:line="149" w:lineRule="exact"/>
              <w:rPr>
                <w:sz w:val="20"/>
                <w:szCs w:val="20"/>
                <w:color w:val="auto"/>
              </w:rPr>
            </w:pPr>
            <w:r>
              <w:rPr>
                <w:rFonts w:ascii="Arial" w:cs="Arial" w:eastAsia="Arial" w:hAnsi="Arial"/>
                <w:sz w:val="14"/>
                <w:szCs w:val="14"/>
                <w:b w:val="1"/>
                <w:bCs w:val="1"/>
                <w:color w:val="FFFFFF"/>
                <w:w w:val="97"/>
              </w:rPr>
              <w:t>Table Total</w:t>
            </w:r>
          </w:p>
        </w:tc>
        <w:tc>
          <w:tcPr>
            <w:tcW w:w="100" w:type="dxa"/>
            <w:vAlign w:val="bottom"/>
            <w:tcBorders>
              <w:right w:val="single" w:sz="8" w:color="424E6A"/>
            </w:tcBorders>
            <w:shd w:val="clear" w:color="auto" w:fill="424E6A"/>
          </w:tcPr>
          <w:p>
            <w:pPr>
              <w:spacing w:after="0"/>
              <w:rPr>
                <w:sz w:val="12"/>
                <w:szCs w:val="12"/>
                <w:color w:val="auto"/>
              </w:rPr>
            </w:pPr>
          </w:p>
        </w:tc>
        <w:tc>
          <w:tcPr>
            <w:tcW w:w="1280" w:type="dxa"/>
            <w:vAlign w:val="bottom"/>
            <w:gridSpan w:val="2"/>
            <w:shd w:val="clear" w:color="auto" w:fill="424E6A"/>
          </w:tcPr>
          <w:p>
            <w:pPr>
              <w:jc w:val="center"/>
              <w:ind w:right="43"/>
              <w:spacing w:after="0" w:line="149" w:lineRule="exact"/>
              <w:rPr>
                <w:sz w:val="20"/>
                <w:szCs w:val="20"/>
                <w:color w:val="auto"/>
              </w:rPr>
            </w:pPr>
            <w:r>
              <w:rPr>
                <w:rFonts w:ascii="Arial" w:cs="Arial" w:eastAsia="Arial" w:hAnsi="Arial"/>
                <w:sz w:val="14"/>
                <w:szCs w:val="14"/>
                <w:b w:val="1"/>
                <w:bCs w:val="1"/>
                <w:color w:val="FFFFFF"/>
              </w:rPr>
              <w:t>Actually</w:t>
            </w:r>
          </w:p>
        </w:tc>
        <w:tc>
          <w:tcPr>
            <w:tcW w:w="1040" w:type="dxa"/>
            <w:vAlign w:val="bottom"/>
            <w:shd w:val="clear" w:color="auto" w:fill="424E6A"/>
          </w:tcPr>
          <w:p>
            <w:pPr>
              <w:jc w:val="center"/>
              <w:spacing w:after="0" w:line="149" w:lineRule="exact"/>
              <w:rPr>
                <w:sz w:val="20"/>
                <w:szCs w:val="20"/>
                <w:color w:val="auto"/>
              </w:rPr>
            </w:pPr>
            <w:r>
              <w:rPr>
                <w:rFonts w:ascii="Arial" w:cs="Arial" w:eastAsia="Arial" w:hAnsi="Arial"/>
                <w:sz w:val="14"/>
                <w:szCs w:val="14"/>
                <w:b w:val="1"/>
                <w:bCs w:val="1"/>
                <w:color w:val="FFFFFF"/>
              </w:rPr>
              <w:t>Non-PEO</w:t>
            </w:r>
          </w:p>
        </w:tc>
        <w:tc>
          <w:tcPr>
            <w:tcW w:w="100" w:type="dxa"/>
            <w:vAlign w:val="bottom"/>
            <w:tcBorders>
              <w:right w:val="single" w:sz="8" w:color="424E6A"/>
            </w:tcBorders>
            <w:shd w:val="clear" w:color="auto" w:fill="424E6A"/>
          </w:tcPr>
          <w:p>
            <w:pPr>
              <w:spacing w:after="0"/>
              <w:rPr>
                <w:sz w:val="12"/>
                <w:szCs w:val="12"/>
                <w:color w:val="auto"/>
              </w:rPr>
            </w:pPr>
          </w:p>
        </w:tc>
        <w:tc>
          <w:tcPr>
            <w:tcW w:w="1120" w:type="dxa"/>
            <w:vAlign w:val="bottom"/>
            <w:shd w:val="clear" w:color="auto" w:fill="424E6A"/>
          </w:tcPr>
          <w:p>
            <w:pPr>
              <w:jc w:val="center"/>
              <w:spacing w:after="0" w:line="149" w:lineRule="exact"/>
              <w:rPr>
                <w:sz w:val="20"/>
                <w:szCs w:val="20"/>
                <w:color w:val="auto"/>
              </w:rPr>
            </w:pPr>
            <w:r>
              <w:rPr>
                <w:rFonts w:ascii="Arial" w:cs="Arial" w:eastAsia="Arial" w:hAnsi="Arial"/>
                <w:sz w:val="14"/>
                <w:szCs w:val="14"/>
                <w:b w:val="1"/>
                <w:bCs w:val="1"/>
                <w:color w:val="FFFFFF"/>
              </w:rPr>
              <w:t>Paid to Non-</w:t>
            </w:r>
          </w:p>
        </w:tc>
        <w:tc>
          <w:tcPr>
            <w:tcW w:w="100" w:type="dxa"/>
            <w:vAlign w:val="bottom"/>
            <w:tcBorders>
              <w:right w:val="single" w:sz="8" w:color="424E6A"/>
            </w:tcBorders>
            <w:shd w:val="clear" w:color="auto" w:fill="424E6A"/>
          </w:tcPr>
          <w:p>
            <w:pPr>
              <w:spacing w:after="0"/>
              <w:rPr>
                <w:sz w:val="12"/>
                <w:szCs w:val="12"/>
                <w:color w:val="auto"/>
              </w:rPr>
            </w:pPr>
          </w:p>
        </w:tc>
        <w:tc>
          <w:tcPr>
            <w:tcW w:w="80" w:type="dxa"/>
            <w:vAlign w:val="bottom"/>
            <w:shd w:val="clear" w:color="auto" w:fill="424E6A"/>
          </w:tcPr>
          <w:p>
            <w:pPr>
              <w:spacing w:after="0"/>
              <w:rPr>
                <w:sz w:val="12"/>
                <w:szCs w:val="12"/>
                <w:color w:val="auto"/>
              </w:rPr>
            </w:pPr>
          </w:p>
        </w:tc>
        <w:tc>
          <w:tcPr>
            <w:tcW w:w="700" w:type="dxa"/>
            <w:vAlign w:val="bottom"/>
            <w:shd w:val="clear" w:color="auto" w:fill="424E6A"/>
          </w:tcPr>
          <w:p>
            <w:pPr>
              <w:jc w:val="center"/>
              <w:spacing w:after="0" w:line="149" w:lineRule="exact"/>
              <w:rPr>
                <w:sz w:val="20"/>
                <w:szCs w:val="20"/>
                <w:color w:val="auto"/>
              </w:rPr>
            </w:pPr>
            <w:r>
              <w:rPr>
                <w:rFonts w:ascii="Arial" w:cs="Arial" w:eastAsia="Arial" w:hAnsi="Arial"/>
                <w:sz w:val="14"/>
                <w:szCs w:val="14"/>
                <w:b w:val="1"/>
                <w:bCs w:val="1"/>
                <w:color w:val="FFFFFF"/>
              </w:rPr>
              <w:t>Company</w:t>
            </w:r>
          </w:p>
        </w:tc>
        <w:tc>
          <w:tcPr>
            <w:tcW w:w="120" w:type="dxa"/>
            <w:vAlign w:val="bottom"/>
            <w:tcBorders>
              <w:right w:val="single" w:sz="8" w:color="424E6A"/>
            </w:tcBorders>
            <w:shd w:val="clear" w:color="auto" w:fill="424E6A"/>
          </w:tcPr>
          <w:p>
            <w:pPr>
              <w:spacing w:after="0"/>
              <w:rPr>
                <w:sz w:val="12"/>
                <w:szCs w:val="12"/>
                <w:color w:val="auto"/>
              </w:rPr>
            </w:pPr>
          </w:p>
        </w:tc>
        <w:tc>
          <w:tcPr>
            <w:tcW w:w="740" w:type="dxa"/>
            <w:vAlign w:val="bottom"/>
            <w:shd w:val="clear" w:color="auto" w:fill="424E6A"/>
          </w:tcPr>
          <w:p>
            <w:pPr>
              <w:jc w:val="right"/>
              <w:ind w:right="24"/>
              <w:spacing w:after="0" w:line="149" w:lineRule="exact"/>
              <w:rPr>
                <w:sz w:val="20"/>
                <w:szCs w:val="20"/>
                <w:color w:val="auto"/>
              </w:rPr>
            </w:pPr>
            <w:r>
              <w:rPr>
                <w:rFonts w:ascii="Arial" w:cs="Arial" w:eastAsia="Arial" w:hAnsi="Arial"/>
                <w:sz w:val="14"/>
                <w:szCs w:val="14"/>
                <w:b w:val="1"/>
                <w:bCs w:val="1"/>
                <w:color w:val="FFFFFF"/>
              </w:rPr>
              <w:t>Group</w:t>
            </w:r>
          </w:p>
        </w:tc>
        <w:tc>
          <w:tcPr>
            <w:tcW w:w="160" w:type="dxa"/>
            <w:vAlign w:val="bottom"/>
            <w:tcBorders>
              <w:right w:val="single" w:sz="8" w:color="424E6A"/>
            </w:tcBorders>
            <w:shd w:val="clear" w:color="auto" w:fill="424E6A"/>
          </w:tcPr>
          <w:p>
            <w:pPr>
              <w:spacing w:after="0"/>
              <w:rPr>
                <w:sz w:val="12"/>
                <w:szCs w:val="12"/>
                <w:color w:val="auto"/>
              </w:rPr>
            </w:pPr>
          </w:p>
        </w:tc>
        <w:tc>
          <w:tcPr>
            <w:tcW w:w="80" w:type="dxa"/>
            <w:vAlign w:val="bottom"/>
            <w:shd w:val="clear" w:color="auto" w:fill="424E6A"/>
          </w:tcPr>
          <w:p>
            <w:pPr>
              <w:spacing w:after="0"/>
              <w:rPr>
                <w:sz w:val="12"/>
                <w:szCs w:val="12"/>
                <w:color w:val="auto"/>
              </w:rPr>
            </w:pPr>
          </w:p>
        </w:tc>
        <w:tc>
          <w:tcPr>
            <w:tcW w:w="980" w:type="dxa"/>
            <w:vAlign w:val="bottom"/>
            <w:shd w:val="clear" w:color="auto" w:fill="424E6A"/>
          </w:tcPr>
          <w:p>
            <w:pPr>
              <w:jc w:val="center"/>
              <w:spacing w:after="0" w:line="149" w:lineRule="exact"/>
              <w:rPr>
                <w:sz w:val="20"/>
                <w:szCs w:val="20"/>
                <w:color w:val="auto"/>
              </w:rPr>
            </w:pPr>
            <w:r>
              <w:rPr>
                <w:rFonts w:ascii="Arial" w:cs="Arial" w:eastAsia="Arial" w:hAnsi="Arial"/>
                <w:sz w:val="14"/>
                <w:szCs w:val="14"/>
                <w:b w:val="1"/>
                <w:bCs w:val="1"/>
                <w:color w:val="FFFFFF"/>
              </w:rPr>
              <w:t>Net Income/​</w:t>
            </w:r>
          </w:p>
        </w:tc>
        <w:tc>
          <w:tcPr>
            <w:tcW w:w="100" w:type="dxa"/>
            <w:vAlign w:val="bottom"/>
            <w:tcBorders>
              <w:right w:val="single" w:sz="8" w:color="424E6A"/>
            </w:tcBorders>
            <w:shd w:val="clear" w:color="auto" w:fill="424E6A"/>
          </w:tcPr>
          <w:p>
            <w:pPr>
              <w:spacing w:after="0"/>
              <w:rPr>
                <w:sz w:val="12"/>
                <w:szCs w:val="12"/>
                <w:color w:val="auto"/>
              </w:rPr>
            </w:pPr>
          </w:p>
        </w:tc>
        <w:tc>
          <w:tcPr>
            <w:tcW w:w="1120" w:type="dxa"/>
            <w:vAlign w:val="bottom"/>
            <w:shd w:val="clear" w:color="auto" w:fill="424E6A"/>
          </w:tcPr>
          <w:p>
            <w:pPr>
              <w:jc w:val="center"/>
              <w:spacing w:after="0" w:line="149" w:lineRule="exact"/>
              <w:rPr>
                <w:sz w:val="20"/>
                <w:szCs w:val="20"/>
                <w:color w:val="auto"/>
              </w:rPr>
            </w:pPr>
            <w:r>
              <w:rPr>
                <w:rFonts w:ascii="Arial" w:cs="Arial" w:eastAsia="Arial" w:hAnsi="Arial"/>
                <w:sz w:val="14"/>
                <w:szCs w:val="14"/>
                <w:b w:val="1"/>
                <w:bCs w:val="1"/>
                <w:color w:val="FFFFFF"/>
              </w:rPr>
              <w:t>Attributable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424E6A"/>
            </w:tcBorders>
          </w:tcPr>
          <w:p>
            <w:pPr>
              <w:spacing w:after="0"/>
              <w:rPr>
                <w:sz w:val="18"/>
                <w:szCs w:val="18"/>
                <w:color w:val="auto"/>
              </w:rPr>
            </w:pPr>
          </w:p>
        </w:tc>
        <w:tc>
          <w:tcPr>
            <w:tcW w:w="580" w:type="dxa"/>
            <w:vAlign w:val="bottom"/>
            <w:tcBorders>
              <w:bottom w:val="single" w:sz="8" w:color="424E6A"/>
            </w:tcBorders>
            <w:shd w:val="clear" w:color="auto" w:fill="424E6A"/>
          </w:tcPr>
          <w:p>
            <w:pPr>
              <w:ind w:left="20"/>
              <w:spacing w:after="0" w:line="211" w:lineRule="exact"/>
              <w:rPr>
                <w:sz w:val="20"/>
                <w:szCs w:val="20"/>
                <w:color w:val="auto"/>
              </w:rPr>
            </w:pPr>
            <w:r>
              <w:rPr>
                <w:rFonts w:ascii="Arial" w:cs="Arial" w:eastAsia="Arial" w:hAnsi="Arial"/>
                <w:sz w:val="24"/>
                <w:szCs w:val="24"/>
                <w:b w:val="1"/>
                <w:bCs w:val="1"/>
                <w:color w:val="FFFFFF"/>
                <w:vertAlign w:val="subscript"/>
              </w:rPr>
              <w:t>​</w:t>
            </w:r>
            <w:r>
              <w:rPr>
                <w:rFonts w:ascii="Arial" w:cs="Arial" w:eastAsia="Arial" w:hAnsi="Arial"/>
                <w:sz w:val="13"/>
                <w:szCs w:val="13"/>
                <w:b w:val="1"/>
                <w:bCs w:val="1"/>
                <w:color w:val="FFFFFF"/>
              </w:rPr>
              <w:t>Year</w:t>
            </w:r>
          </w:p>
        </w:tc>
        <w:tc>
          <w:tcPr>
            <w:tcW w:w="380" w:type="dxa"/>
            <w:vAlign w:val="bottom"/>
            <w:tcBorders>
              <w:bottom w:val="single" w:sz="8" w:color="424E6A"/>
            </w:tcBorders>
            <w:gridSpan w:val="2"/>
            <w:shd w:val="clear" w:color="auto" w:fill="424E6A"/>
          </w:tcPr>
          <w:p>
            <w:pPr>
              <w:ind w:left="120"/>
              <w:spacing w:after="0"/>
              <w:rPr>
                <w:sz w:val="20"/>
                <w:szCs w:val="20"/>
                <w:color w:val="auto"/>
              </w:rPr>
            </w:pPr>
            <w:r>
              <w:rPr>
                <w:rFonts w:ascii="Arial" w:cs="Arial" w:eastAsia="Arial" w:hAnsi="Arial"/>
                <w:sz w:val="14"/>
                <w:szCs w:val="14"/>
                <w:b w:val="1"/>
                <w:bCs w:val="1"/>
                <w:color w:val="FFFFFF"/>
              </w:rPr>
              <w:t>​ ​</w:t>
            </w:r>
          </w:p>
        </w:tc>
        <w:tc>
          <w:tcPr>
            <w:tcW w:w="920" w:type="dxa"/>
            <w:vAlign w:val="bottom"/>
            <w:tcBorders>
              <w:bottom w:val="single" w:sz="8" w:color="424E6A"/>
            </w:tcBorders>
            <w:shd w:val="clear" w:color="auto" w:fill="424E6A"/>
          </w:tcPr>
          <w:p>
            <w:pPr>
              <w:jc w:val="center"/>
              <w:ind w:right="45"/>
              <w:spacing w:after="0"/>
              <w:rPr>
                <w:sz w:val="20"/>
                <w:szCs w:val="20"/>
                <w:color w:val="auto"/>
              </w:rPr>
            </w:pPr>
            <w:r>
              <w:rPr>
                <w:rFonts w:ascii="Arial" w:cs="Arial" w:eastAsia="Arial" w:hAnsi="Arial"/>
                <w:sz w:val="14"/>
                <w:szCs w:val="14"/>
                <w:b w:val="1"/>
                <w:bCs w:val="1"/>
                <w:color w:val="FFFFFF"/>
                <w:w w:val="96"/>
              </w:rPr>
              <w:t>for PEO</w:t>
            </w:r>
            <w:r>
              <w:rPr>
                <w:rFonts w:ascii="Arial" w:cs="Arial" w:eastAsia="Arial" w:hAnsi="Arial"/>
                <w:sz w:val="17"/>
                <w:szCs w:val="17"/>
                <w:b w:val="1"/>
                <w:bCs w:val="1"/>
                <w:color w:val="FFFFFF"/>
                <w:w w:val="96"/>
                <w:vertAlign w:val="superscript"/>
              </w:rPr>
              <w:t>(1)</w:t>
            </w:r>
          </w:p>
        </w:tc>
        <w:tc>
          <w:tcPr>
            <w:tcW w:w="1380" w:type="dxa"/>
            <w:vAlign w:val="bottom"/>
            <w:tcBorders>
              <w:bottom w:val="single" w:sz="8" w:color="424E6A"/>
            </w:tcBorders>
            <w:gridSpan w:val="3"/>
            <w:shd w:val="clear" w:color="auto" w:fill="424E6A"/>
          </w:tcPr>
          <w:p>
            <w:pPr>
              <w:jc w:val="center"/>
              <w:spacing w:after="0" w:line="211" w:lineRule="exact"/>
              <w:rPr>
                <w:sz w:val="20"/>
                <w:szCs w:val="20"/>
                <w:color w:val="auto"/>
              </w:rPr>
            </w:pPr>
            <w:r>
              <w:rPr>
                <w:rFonts w:ascii="Arial" w:cs="Arial" w:eastAsia="Arial" w:hAnsi="Arial"/>
                <w:sz w:val="24"/>
                <w:szCs w:val="24"/>
                <w:b w:val="1"/>
                <w:bCs w:val="1"/>
                <w:color w:val="FFFFFF"/>
                <w:vertAlign w:val="subscript"/>
              </w:rPr>
              <w:t>​ ​</w:t>
            </w:r>
            <w:r>
              <w:rPr>
                <w:rFonts w:ascii="Arial" w:cs="Arial" w:eastAsia="Arial" w:hAnsi="Arial"/>
                <w:sz w:val="13"/>
                <w:szCs w:val="13"/>
                <w:b w:val="1"/>
                <w:bCs w:val="1"/>
                <w:color w:val="FFFFFF"/>
              </w:rPr>
              <w:t xml:space="preserve"> Paid to PEO</w:t>
            </w:r>
            <w:r>
              <w:rPr>
                <w:rFonts w:ascii="Arial" w:cs="Arial" w:eastAsia="Arial" w:hAnsi="Arial"/>
                <w:sz w:val="15"/>
                <w:szCs w:val="15"/>
                <w:b w:val="1"/>
                <w:bCs w:val="1"/>
                <w:color w:val="FFFFFF"/>
                <w:vertAlign w:val="superscript"/>
              </w:rPr>
              <w:t>(2)</w:t>
            </w:r>
            <w:r>
              <w:rPr>
                <w:rFonts w:ascii="Arial" w:cs="Arial" w:eastAsia="Arial" w:hAnsi="Arial"/>
                <w:sz w:val="13"/>
                <w:szCs w:val="13"/>
                <w:b w:val="1"/>
                <w:bCs w:val="1"/>
                <w:color w:val="FFFFFF"/>
              </w:rPr>
              <w:t xml:space="preserve">  </w:t>
            </w:r>
            <w:r>
              <w:rPr>
                <w:rFonts w:ascii="Arial" w:cs="Arial" w:eastAsia="Arial" w:hAnsi="Arial"/>
                <w:sz w:val="24"/>
                <w:szCs w:val="24"/>
                <w:b w:val="1"/>
                <w:bCs w:val="1"/>
                <w:color w:val="FFFFFF"/>
                <w:vertAlign w:val="subscript"/>
              </w:rPr>
              <w:t>​ ​</w:t>
            </w:r>
          </w:p>
        </w:tc>
        <w:tc>
          <w:tcPr>
            <w:tcW w:w="1040" w:type="dxa"/>
            <w:vAlign w:val="bottom"/>
            <w:tcBorders>
              <w:bottom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w w:val="96"/>
              </w:rPr>
              <w:t>NEOs</w:t>
            </w:r>
            <w:r>
              <w:rPr>
                <w:rFonts w:ascii="Arial" w:cs="Arial" w:eastAsia="Arial" w:hAnsi="Arial"/>
                <w:sz w:val="17"/>
                <w:szCs w:val="17"/>
                <w:b w:val="1"/>
                <w:bCs w:val="1"/>
                <w:color w:val="FFFFFF"/>
                <w:w w:val="96"/>
                <w:vertAlign w:val="superscript"/>
              </w:rPr>
              <w:t>(1)</w:t>
            </w:r>
          </w:p>
        </w:tc>
        <w:tc>
          <w:tcPr>
            <w:tcW w:w="1220" w:type="dxa"/>
            <w:vAlign w:val="bottom"/>
            <w:tcBorders>
              <w:bottom w:val="single" w:sz="8" w:color="424E6A"/>
            </w:tcBorders>
            <w:gridSpan w:val="2"/>
            <w:shd w:val="clear" w:color="auto" w:fill="424E6A"/>
          </w:tcPr>
          <w:p>
            <w:pPr>
              <w:ind w:left="40"/>
              <w:spacing w:after="0" w:line="211" w:lineRule="exact"/>
              <w:rPr>
                <w:sz w:val="20"/>
                <w:szCs w:val="20"/>
                <w:color w:val="auto"/>
              </w:rPr>
            </w:pPr>
            <w:r>
              <w:rPr>
                <w:rFonts w:ascii="Arial" w:cs="Arial" w:eastAsia="Arial" w:hAnsi="Arial"/>
                <w:sz w:val="24"/>
                <w:szCs w:val="24"/>
                <w:b w:val="1"/>
                <w:bCs w:val="1"/>
                <w:color w:val="FFFFFF"/>
                <w:vertAlign w:val="subscript"/>
              </w:rPr>
              <w:t>​ ​</w:t>
            </w:r>
            <w:r>
              <w:rPr>
                <w:rFonts w:ascii="Arial" w:cs="Arial" w:eastAsia="Arial" w:hAnsi="Arial"/>
                <w:sz w:val="13"/>
                <w:szCs w:val="13"/>
                <w:b w:val="1"/>
                <w:bCs w:val="1"/>
                <w:color w:val="FFFFFF"/>
              </w:rPr>
              <w:t xml:space="preserve"> PEO NEOs</w:t>
            </w:r>
            <w:r>
              <w:rPr>
                <w:rFonts w:ascii="Arial" w:cs="Arial" w:eastAsia="Arial" w:hAnsi="Arial"/>
                <w:sz w:val="15"/>
                <w:szCs w:val="15"/>
                <w:b w:val="1"/>
                <w:bCs w:val="1"/>
                <w:color w:val="FFFFFF"/>
                <w:vertAlign w:val="superscript"/>
              </w:rPr>
              <w:t>(2)</w:t>
            </w:r>
          </w:p>
        </w:tc>
        <w:tc>
          <w:tcPr>
            <w:tcW w:w="100" w:type="dxa"/>
            <w:vAlign w:val="bottom"/>
            <w:tcBorders>
              <w:bottom w:val="single" w:sz="8" w:color="424E6A"/>
              <w:right w:val="single" w:sz="8" w:color="424E6A"/>
            </w:tcBorders>
            <w:shd w:val="clear" w:color="auto" w:fill="424E6A"/>
          </w:tcPr>
          <w:p>
            <w:pPr>
              <w:jc w:val="right"/>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w w:val="90"/>
              </w:rPr>
              <w:t>TSR</w:t>
            </w:r>
            <w:r>
              <w:rPr>
                <w:rFonts w:ascii="Arial" w:cs="Arial" w:eastAsia="Arial" w:hAnsi="Arial"/>
                <w:sz w:val="17"/>
                <w:szCs w:val="17"/>
                <w:b w:val="1"/>
                <w:bCs w:val="1"/>
                <w:color w:val="FFFFFF"/>
                <w:w w:val="90"/>
                <w:vertAlign w:val="superscript"/>
              </w:rPr>
              <w:t>(3)</w:t>
            </w:r>
          </w:p>
        </w:tc>
        <w:tc>
          <w:tcPr>
            <w:tcW w:w="860" w:type="dxa"/>
            <w:vAlign w:val="bottom"/>
            <w:tcBorders>
              <w:bottom w:val="single" w:sz="8" w:color="424E6A"/>
            </w:tcBorders>
            <w:gridSpan w:val="2"/>
            <w:shd w:val="clear" w:color="auto" w:fill="424E6A"/>
          </w:tcPr>
          <w:p>
            <w:pPr>
              <w:jc w:val="right"/>
              <w:ind w:right="44"/>
              <w:spacing w:after="0" w:line="211" w:lineRule="exact"/>
              <w:rPr>
                <w:sz w:val="20"/>
                <w:szCs w:val="20"/>
                <w:color w:val="auto"/>
              </w:rPr>
            </w:pPr>
            <w:r>
              <w:rPr>
                <w:rFonts w:ascii="Arial" w:cs="Arial" w:eastAsia="Arial" w:hAnsi="Arial"/>
                <w:sz w:val="24"/>
                <w:szCs w:val="24"/>
                <w:b w:val="1"/>
                <w:bCs w:val="1"/>
                <w:color w:val="FFFFFF"/>
                <w:vertAlign w:val="subscript"/>
              </w:rPr>
              <w:t>​ ​</w:t>
            </w:r>
            <w:r>
              <w:rPr>
                <w:rFonts w:ascii="Arial" w:cs="Arial" w:eastAsia="Arial" w:hAnsi="Arial"/>
                <w:sz w:val="13"/>
                <w:szCs w:val="13"/>
                <w:b w:val="1"/>
                <w:bCs w:val="1"/>
                <w:color w:val="FFFFFF"/>
              </w:rPr>
              <w:t xml:space="preserve">  TSR</w:t>
            </w:r>
            <w:r>
              <w:rPr>
                <w:rFonts w:ascii="Arial" w:cs="Arial" w:eastAsia="Arial" w:hAnsi="Arial"/>
                <w:sz w:val="15"/>
                <w:szCs w:val="15"/>
                <w:b w:val="1"/>
                <w:bCs w:val="1"/>
                <w:color w:val="FFFFFF"/>
                <w:vertAlign w:val="superscript"/>
              </w:rPr>
              <w:t>(3)</w:t>
            </w:r>
          </w:p>
        </w:tc>
        <w:tc>
          <w:tcPr>
            <w:tcW w:w="160" w:type="dxa"/>
            <w:vAlign w:val="bottom"/>
            <w:tcBorders>
              <w:bottom w:val="single" w:sz="8" w:color="424E6A"/>
              <w:right w:val="single" w:sz="8" w:color="424E6A"/>
            </w:tcBorders>
            <w:shd w:val="clear" w:color="auto" w:fill="424E6A"/>
          </w:tcPr>
          <w:p>
            <w:pPr>
              <w:jc w:val="right"/>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980" w:type="dxa"/>
            <w:vAlign w:val="bottom"/>
            <w:tcBorders>
              <w:bottom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w w:val="99"/>
              </w:rPr>
              <w:t>(Loss)</w:t>
            </w:r>
          </w:p>
        </w:tc>
        <w:tc>
          <w:tcPr>
            <w:tcW w:w="1220" w:type="dxa"/>
            <w:vAlign w:val="bottom"/>
            <w:tcBorders>
              <w:bottom w:val="single" w:sz="8" w:color="424E6A"/>
            </w:tcBorders>
            <w:gridSpan w:val="2"/>
            <w:shd w:val="clear" w:color="auto" w:fill="424E6A"/>
          </w:tcPr>
          <w:p>
            <w:pPr>
              <w:ind w:left="40"/>
              <w:spacing w:after="0" w:line="211" w:lineRule="exact"/>
              <w:rPr>
                <w:sz w:val="20"/>
                <w:szCs w:val="20"/>
                <w:color w:val="auto"/>
              </w:rPr>
            </w:pPr>
            <w:r>
              <w:rPr>
                <w:rFonts w:ascii="Arial" w:cs="Arial" w:eastAsia="Arial" w:hAnsi="Arial"/>
                <w:sz w:val="24"/>
                <w:szCs w:val="24"/>
                <w:b w:val="1"/>
                <w:bCs w:val="1"/>
                <w:color w:val="FFFFFF"/>
                <w:vertAlign w:val="subscript"/>
              </w:rPr>
              <w:t>​ ​</w:t>
            </w:r>
            <w:r>
              <w:rPr>
                <w:rFonts w:ascii="Arial" w:cs="Arial" w:eastAsia="Arial" w:hAnsi="Arial"/>
                <w:sz w:val="13"/>
                <w:szCs w:val="13"/>
                <w:b w:val="1"/>
                <w:bCs w:val="1"/>
                <w:color w:val="FFFFFF"/>
              </w:rPr>
              <w:t xml:space="preserve">   to PAA    </w:t>
            </w:r>
            <w:r>
              <w:rPr>
                <w:rFonts w:ascii="Arial" w:cs="Arial" w:eastAsia="Arial" w:hAnsi="Arial"/>
                <w:sz w:val="24"/>
                <w:szCs w:val="24"/>
                <w:b w:val="1"/>
                <w:bCs w:val="1"/>
                <w:color w:val="FFFFFF"/>
                <w:vertAlign w:val="subscript"/>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424E6A"/>
          </w:tcPr>
          <w:p>
            <w:pPr>
              <w:spacing w:after="0"/>
              <w:rPr>
                <w:sz w:val="21"/>
                <w:szCs w:val="21"/>
                <w:color w:val="auto"/>
              </w:rPr>
            </w:pPr>
          </w:p>
        </w:tc>
        <w:tc>
          <w:tcPr>
            <w:tcW w:w="580" w:type="dxa"/>
            <w:vAlign w:val="bottom"/>
          </w:tcPr>
          <w:p>
            <w:pPr>
              <w:ind w:left="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highlight w:val="lightGray"/>
              </w:rPr>
              <w:t>2025</w:t>
            </w:r>
          </w:p>
        </w:tc>
        <w:tc>
          <w:tcPr>
            <w:tcW w:w="180" w:type="dxa"/>
            <w:vAlign w:val="bottom"/>
          </w:tcPr>
          <w:p>
            <w:pPr>
              <w:ind w:left="120"/>
              <w:spacing w:after="0"/>
              <w:rPr>
                <w:sz w:val="20"/>
                <w:szCs w:val="20"/>
                <w:color w:val="auto"/>
              </w:rPr>
            </w:pPr>
            <w:r>
              <w:rPr>
                <w:rFonts w:ascii="Arial" w:cs="Arial" w:eastAsia="Arial" w:hAnsi="Arial"/>
                <w:sz w:val="18"/>
                <w:szCs w:val="18"/>
                <w:color w:val="auto"/>
                <w:highlight w:val="lightGray"/>
              </w:rPr>
              <w:t>​</w:t>
            </w:r>
          </w:p>
        </w:tc>
        <w:tc>
          <w:tcPr>
            <w:tcW w:w="1220" w:type="dxa"/>
            <w:vAlign w:val="bottom"/>
            <w:tcBorders>
              <w:right w:val="single" w:sz="8" w:color="424E6A"/>
            </w:tcBorders>
            <w:gridSpan w:val="3"/>
            <w:shd w:val="clear" w:color="auto" w:fill="D9DCE1"/>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highlight w:val="lightGray"/>
              </w:rPr>
              <w:t>$12,295,167</w:t>
            </w:r>
            <w:r>
              <w:rPr>
                <w:rFonts w:ascii="Arial" w:cs="Arial" w:eastAsia="Arial" w:hAnsi="Arial"/>
                <w:sz w:val="28"/>
                <w:szCs w:val="28"/>
                <w:color w:val="auto"/>
                <w:highlight w:val="lightGray"/>
                <w:vertAlign w:val="subscript"/>
              </w:rPr>
              <w:t>​​</w:t>
            </w:r>
          </w:p>
        </w:tc>
        <w:tc>
          <w:tcPr>
            <w:tcW w:w="1200" w:type="dxa"/>
            <w:vAlign w:val="bottom"/>
            <w:tcBorders>
              <w:right w:val="single" w:sz="8" w:color="424E6A"/>
            </w:tcBorders>
            <w:shd w:val="clear" w:color="auto" w:fill="D9DCE1"/>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highlight w:val="lightGray"/>
              </w:rPr>
              <w:t>$18,629,144</w:t>
            </w:r>
            <w:r>
              <w:rPr>
                <w:rFonts w:ascii="Arial" w:cs="Arial" w:eastAsia="Arial" w:hAnsi="Arial"/>
                <w:sz w:val="28"/>
                <w:szCs w:val="28"/>
                <w:color w:val="auto"/>
                <w:highlight w:val="lightGray"/>
                <w:vertAlign w:val="subscript"/>
              </w:rPr>
              <w:t>​​</w:t>
            </w:r>
          </w:p>
        </w:tc>
        <w:tc>
          <w:tcPr>
            <w:tcW w:w="1220" w:type="dxa"/>
            <w:vAlign w:val="bottom"/>
            <w:tcBorders>
              <w:right w:val="single" w:sz="8" w:color="424E6A"/>
            </w:tcBorders>
            <w:gridSpan w:val="3"/>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$6,772,185 </w:t>
            </w:r>
            <w:r>
              <w:rPr>
                <w:rFonts w:ascii="Arial" w:cs="Arial" w:eastAsia="Arial" w:hAnsi="Arial"/>
                <w:sz w:val="28"/>
                <w:szCs w:val="28"/>
                <w:color w:val="auto"/>
                <w:vertAlign w:val="subscript"/>
              </w:rPr>
              <w:t>​​</w:t>
            </w:r>
          </w:p>
        </w:tc>
        <w:tc>
          <w:tcPr>
            <w:tcW w:w="1220" w:type="dxa"/>
            <w:vAlign w:val="bottom"/>
            <w:tcBorders>
              <w:right w:val="single" w:sz="8" w:color="424E6A"/>
            </w:tcBorders>
            <w:gridSpan w:val="2"/>
            <w:shd w:val="clear" w:color="auto" w:fill="D9DCE1"/>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$8,674,529 </w:t>
            </w:r>
            <w:r>
              <w:rPr>
                <w:rFonts w:ascii="Arial" w:cs="Arial" w:eastAsia="Arial" w:hAnsi="Arial"/>
                <w:sz w:val="28"/>
                <w:szCs w:val="28"/>
                <w:color w:val="auto"/>
                <w:vertAlign w:val="subscript"/>
              </w:rPr>
              <w:t>​​</w:t>
            </w:r>
          </w:p>
        </w:tc>
        <w:tc>
          <w:tcPr>
            <w:tcW w:w="900" w:type="dxa"/>
            <w:vAlign w:val="bottom"/>
            <w:tcBorders>
              <w:right w:val="single" w:sz="8" w:color="424E6A"/>
            </w:tcBorders>
            <w:gridSpan w:val="3"/>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$320.92</w:t>
            </w:r>
            <w:r>
              <w:rPr>
                <w:rFonts w:ascii="Arial" w:cs="Arial" w:eastAsia="Arial" w:hAnsi="Arial"/>
                <w:sz w:val="28"/>
                <w:szCs w:val="28"/>
                <w:color w:val="auto"/>
                <w:vertAlign w:val="subscript"/>
              </w:rPr>
              <w:t>​​</w:t>
            </w:r>
          </w:p>
        </w:tc>
        <w:tc>
          <w:tcPr>
            <w:tcW w:w="900" w:type="dxa"/>
            <w:vAlign w:val="bottom"/>
            <w:tcBorders>
              <w:right w:val="single" w:sz="8" w:color="424E6A"/>
            </w:tcBorders>
            <w:gridSpan w:val="2"/>
            <w:shd w:val="clear" w:color="auto" w:fill="D9DCE1"/>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$ 291.01</w:t>
            </w:r>
            <w:r>
              <w:rPr>
                <w:rFonts w:ascii="Arial" w:cs="Arial" w:eastAsia="Arial" w:hAnsi="Arial"/>
                <w:sz w:val="28"/>
                <w:szCs w:val="28"/>
                <w:color w:val="auto"/>
                <w:vertAlign w:val="subscript"/>
              </w:rPr>
              <w:t>​​</w:t>
            </w:r>
          </w:p>
        </w:tc>
        <w:tc>
          <w:tcPr>
            <w:tcW w:w="1160" w:type="dxa"/>
            <w:vAlign w:val="bottom"/>
            <w:tcBorders>
              <w:right w:val="single" w:sz="8" w:color="424E6A"/>
            </w:tcBorders>
            <w:gridSpan w:val="3"/>
            <w:shd w:val="clear" w:color="auto" w:fill="D9DCE1"/>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$1.77 billion </w:t>
            </w:r>
            <w:r>
              <w:rPr>
                <w:rFonts w:ascii="Arial" w:cs="Arial" w:eastAsia="Arial" w:hAnsi="Arial"/>
                <w:sz w:val="28"/>
                <w:szCs w:val="28"/>
                <w:color w:val="auto"/>
                <w:vertAlign w:val="subscript"/>
              </w:rPr>
              <w:t>​</w:t>
            </w:r>
          </w:p>
        </w:tc>
        <w:tc>
          <w:tcPr>
            <w:tcW w:w="1140" w:type="dxa"/>
            <w:vAlign w:val="bottom"/>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$2.83 billion </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shd w:val="clear" w:color="auto" w:fill="424E6A"/>
          </w:tcPr>
          <w:p>
            <w:pPr>
              <w:spacing w:after="0" w:line="20" w:lineRule="exact"/>
              <w:rPr>
                <w:sz w:val="1"/>
                <w:szCs w:val="1"/>
                <w:color w:val="auto"/>
              </w:rPr>
            </w:pPr>
          </w:p>
        </w:tc>
        <w:tc>
          <w:tcPr>
            <w:tcW w:w="580" w:type="dxa"/>
            <w:vAlign w:val="bottom"/>
            <w:shd w:val="clear" w:color="auto" w:fill="424E6A"/>
          </w:tcPr>
          <w:p>
            <w:pPr>
              <w:spacing w:after="0" w:line="20" w:lineRule="exact"/>
              <w:rPr>
                <w:sz w:val="1"/>
                <w:szCs w:val="1"/>
                <w:color w:val="auto"/>
              </w:rPr>
            </w:pPr>
          </w:p>
        </w:tc>
        <w:tc>
          <w:tcPr>
            <w:tcW w:w="180" w:type="dxa"/>
            <w:vAlign w:val="bottom"/>
            <w:shd w:val="clear" w:color="auto" w:fill="424E6A"/>
          </w:tcPr>
          <w:p>
            <w:pPr>
              <w:spacing w:after="0" w:line="20" w:lineRule="exact"/>
              <w:rPr>
                <w:sz w:val="1"/>
                <w:szCs w:val="1"/>
                <w:color w:val="auto"/>
              </w:rPr>
            </w:pPr>
          </w:p>
        </w:tc>
        <w:tc>
          <w:tcPr>
            <w:tcW w:w="200" w:type="dxa"/>
            <w:vAlign w:val="bottom"/>
            <w:shd w:val="clear" w:color="auto" w:fill="424E6A"/>
          </w:tcPr>
          <w:p>
            <w:pPr>
              <w:spacing w:after="0" w:line="20" w:lineRule="exact"/>
              <w:rPr>
                <w:sz w:val="1"/>
                <w:szCs w:val="1"/>
                <w:color w:val="auto"/>
              </w:rPr>
            </w:pPr>
          </w:p>
        </w:tc>
        <w:tc>
          <w:tcPr>
            <w:tcW w:w="1020" w:type="dxa"/>
            <w:vAlign w:val="bottom"/>
            <w:tcBorders>
              <w:right w:val="single" w:sz="8" w:color="424E6A"/>
            </w:tcBorders>
            <w:gridSpan w:val="2"/>
            <w:shd w:val="clear" w:color="auto" w:fill="424E6A"/>
          </w:tcPr>
          <w:p>
            <w:pPr>
              <w:spacing w:after="0" w:line="20" w:lineRule="exact"/>
              <w:rPr>
                <w:sz w:val="1"/>
                <w:szCs w:val="1"/>
                <w:color w:val="auto"/>
              </w:rPr>
            </w:pPr>
          </w:p>
        </w:tc>
        <w:tc>
          <w:tcPr>
            <w:tcW w:w="1200" w:type="dxa"/>
            <w:vAlign w:val="bottom"/>
            <w:tcBorders>
              <w:right w:val="single" w:sz="8" w:color="424E6A"/>
            </w:tcBorders>
            <w:shd w:val="clear" w:color="auto" w:fill="424E6A"/>
          </w:tcPr>
          <w:p>
            <w:pPr>
              <w:spacing w:after="0" w:line="20" w:lineRule="exact"/>
              <w:rPr>
                <w:sz w:val="1"/>
                <w:szCs w:val="1"/>
                <w:color w:val="auto"/>
              </w:rPr>
            </w:pPr>
          </w:p>
        </w:tc>
        <w:tc>
          <w:tcPr>
            <w:tcW w:w="1220" w:type="dxa"/>
            <w:vAlign w:val="bottom"/>
            <w:tcBorders>
              <w:right w:val="single" w:sz="8" w:color="424E6A"/>
            </w:tcBorders>
            <w:gridSpan w:val="3"/>
            <w:shd w:val="clear" w:color="auto" w:fill="424E6A"/>
          </w:tcPr>
          <w:p>
            <w:pPr>
              <w:spacing w:after="0" w:line="20" w:lineRule="exact"/>
              <w:rPr>
                <w:sz w:val="1"/>
                <w:szCs w:val="1"/>
                <w:color w:val="auto"/>
              </w:rPr>
            </w:pPr>
          </w:p>
        </w:tc>
        <w:tc>
          <w:tcPr>
            <w:tcW w:w="1220" w:type="dxa"/>
            <w:vAlign w:val="bottom"/>
            <w:tcBorders>
              <w:right w:val="single" w:sz="8" w:color="424E6A"/>
            </w:tcBorders>
            <w:gridSpan w:val="2"/>
            <w:shd w:val="clear" w:color="auto" w:fill="424E6A"/>
          </w:tcPr>
          <w:p>
            <w:pPr>
              <w:spacing w:after="0" w:line="20" w:lineRule="exact"/>
              <w:rPr>
                <w:sz w:val="1"/>
                <w:szCs w:val="1"/>
                <w:color w:val="auto"/>
              </w:rPr>
            </w:pPr>
          </w:p>
        </w:tc>
        <w:tc>
          <w:tcPr>
            <w:tcW w:w="900" w:type="dxa"/>
            <w:vAlign w:val="bottom"/>
            <w:tcBorders>
              <w:right w:val="single" w:sz="8" w:color="424E6A"/>
            </w:tcBorders>
            <w:gridSpan w:val="3"/>
            <w:shd w:val="clear" w:color="auto" w:fill="424E6A"/>
          </w:tcPr>
          <w:p>
            <w:pPr>
              <w:spacing w:after="0" w:line="20" w:lineRule="exact"/>
              <w:rPr>
                <w:sz w:val="1"/>
                <w:szCs w:val="1"/>
                <w:color w:val="auto"/>
              </w:rPr>
            </w:pPr>
          </w:p>
        </w:tc>
        <w:tc>
          <w:tcPr>
            <w:tcW w:w="900" w:type="dxa"/>
            <w:vAlign w:val="bottom"/>
            <w:tcBorders>
              <w:right w:val="single" w:sz="8" w:color="424E6A"/>
            </w:tcBorders>
            <w:gridSpan w:val="2"/>
            <w:shd w:val="clear" w:color="auto" w:fill="424E6A"/>
          </w:tcPr>
          <w:p>
            <w:pPr>
              <w:spacing w:after="0" w:line="20" w:lineRule="exact"/>
              <w:rPr>
                <w:sz w:val="1"/>
                <w:szCs w:val="1"/>
                <w:color w:val="auto"/>
              </w:rPr>
            </w:pPr>
          </w:p>
        </w:tc>
        <w:tc>
          <w:tcPr>
            <w:tcW w:w="80" w:type="dxa"/>
            <w:vAlign w:val="bottom"/>
            <w:shd w:val="clear" w:color="auto" w:fill="424E6A"/>
          </w:tcPr>
          <w:p>
            <w:pPr>
              <w:spacing w:after="0" w:line="20" w:lineRule="exact"/>
              <w:rPr>
                <w:sz w:val="1"/>
                <w:szCs w:val="1"/>
                <w:color w:val="auto"/>
              </w:rPr>
            </w:pPr>
          </w:p>
        </w:tc>
        <w:tc>
          <w:tcPr>
            <w:tcW w:w="1080" w:type="dxa"/>
            <w:vAlign w:val="bottom"/>
            <w:tcBorders>
              <w:right w:val="single" w:sz="8" w:color="424E6A"/>
            </w:tcBorders>
            <w:gridSpan w:val="2"/>
            <w:shd w:val="clear" w:color="auto" w:fill="424E6A"/>
          </w:tcPr>
          <w:p>
            <w:pPr>
              <w:spacing w:after="0" w:line="20" w:lineRule="exact"/>
              <w:rPr>
                <w:sz w:val="1"/>
                <w:szCs w:val="1"/>
                <w:color w:val="auto"/>
              </w:rPr>
            </w:pPr>
          </w:p>
        </w:tc>
        <w:tc>
          <w:tcPr>
            <w:tcW w:w="1120" w:type="dxa"/>
            <w:vAlign w:val="bottom"/>
            <w:shd w:val="clear" w:color="auto" w:fill="424E6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shd w:val="clear" w:color="auto" w:fill="424E6A"/>
          </w:tcPr>
          <w:p>
            <w:pPr>
              <w:spacing w:after="0"/>
              <w:rPr>
                <w:sz w:val="21"/>
                <w:szCs w:val="21"/>
                <w:color w:val="auto"/>
              </w:rPr>
            </w:pPr>
          </w:p>
        </w:tc>
        <w:tc>
          <w:tcPr>
            <w:tcW w:w="580" w:type="dxa"/>
            <w:vAlign w:val="bottom"/>
          </w:tcPr>
          <w:p>
            <w:pPr>
              <w:ind w:left="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2024</w:t>
            </w:r>
          </w:p>
        </w:tc>
        <w:tc>
          <w:tcPr>
            <w:tcW w:w="180" w:type="dxa"/>
            <w:vAlign w:val="bottom"/>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1020" w:type="dxa"/>
            <w:vAlign w:val="bottom"/>
            <w:tcBorders>
              <w:right w:val="single" w:sz="8" w:color="424E6A"/>
            </w:tcBorders>
            <w:gridSpan w:val="2"/>
          </w:tcPr>
          <w:p>
            <w:pPr>
              <w:jc w:val="right"/>
              <w:spacing w:after="0" w:line="250" w:lineRule="exact"/>
              <w:rPr>
                <w:sz w:val="20"/>
                <w:szCs w:val="20"/>
                <w:color w:val="auto"/>
              </w:rPr>
            </w:pPr>
            <w:r>
              <w:rPr>
                <w:rFonts w:ascii="Arial" w:cs="Arial" w:eastAsia="Arial" w:hAnsi="Arial"/>
                <w:sz w:val="15"/>
                <w:szCs w:val="15"/>
                <w:color w:val="auto"/>
              </w:rPr>
              <w:t>8,511,945</w:t>
            </w:r>
            <w:r>
              <w:rPr>
                <w:rFonts w:ascii="Arial" w:cs="Arial" w:eastAsia="Arial" w:hAnsi="Arial"/>
                <w:sz w:val="28"/>
                <w:szCs w:val="28"/>
                <w:color w:val="auto"/>
                <w:vertAlign w:val="subscript"/>
              </w:rPr>
              <w:t>​​</w:t>
            </w:r>
          </w:p>
        </w:tc>
        <w:tc>
          <w:tcPr>
            <w:tcW w:w="1200" w:type="dxa"/>
            <w:vAlign w:val="bottom"/>
            <w:tcBorders>
              <w:right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$11,885,529</w:t>
            </w:r>
            <w:r>
              <w:rPr>
                <w:rFonts w:ascii="Arial" w:cs="Arial" w:eastAsia="Arial" w:hAnsi="Arial"/>
                <w:sz w:val="28"/>
                <w:szCs w:val="28"/>
                <w:color w:val="auto"/>
                <w:vertAlign w:val="subscript"/>
              </w:rPr>
              <w:t>​​</w:t>
            </w:r>
          </w:p>
        </w:tc>
        <w:tc>
          <w:tcPr>
            <w:tcW w:w="1220" w:type="dxa"/>
            <w:vAlign w:val="bottom"/>
            <w:tcBorders>
              <w:right w:val="single" w:sz="8" w:color="424E6A"/>
            </w:tcBorders>
            <w:gridSpan w:val="3"/>
          </w:tcPr>
          <w:p>
            <w:pPr>
              <w:ind w:left="4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$3,170,269 </w:t>
            </w:r>
            <w:r>
              <w:rPr>
                <w:rFonts w:ascii="Arial" w:cs="Arial" w:eastAsia="Arial" w:hAnsi="Arial"/>
                <w:sz w:val="28"/>
                <w:szCs w:val="28"/>
                <w:color w:val="auto"/>
                <w:vertAlign w:val="subscript"/>
              </w:rPr>
              <w:t>​​</w:t>
            </w:r>
          </w:p>
        </w:tc>
        <w:tc>
          <w:tcPr>
            <w:tcW w:w="1220" w:type="dxa"/>
            <w:vAlign w:val="bottom"/>
            <w:tcBorders>
              <w:right w:val="single" w:sz="8" w:color="424E6A"/>
            </w:tcBorders>
            <w:gridSpan w:val="2"/>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$4,688,394 </w:t>
            </w:r>
            <w:r>
              <w:rPr>
                <w:rFonts w:ascii="Arial" w:cs="Arial" w:eastAsia="Arial" w:hAnsi="Arial"/>
                <w:sz w:val="28"/>
                <w:szCs w:val="28"/>
                <w:color w:val="auto"/>
                <w:vertAlign w:val="subscript"/>
              </w:rPr>
              <w:t>​​</w:t>
            </w:r>
          </w:p>
        </w:tc>
        <w:tc>
          <w:tcPr>
            <w:tcW w:w="900" w:type="dxa"/>
            <w:vAlign w:val="bottom"/>
            <w:tcBorders>
              <w:right w:val="single" w:sz="8" w:color="424E6A"/>
            </w:tcBorders>
            <w:gridSpan w:val="3"/>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$280.34</w:t>
            </w:r>
            <w:r>
              <w:rPr>
                <w:rFonts w:ascii="Arial" w:cs="Arial" w:eastAsia="Arial" w:hAnsi="Arial"/>
                <w:sz w:val="28"/>
                <w:szCs w:val="28"/>
                <w:color w:val="auto"/>
                <w:vertAlign w:val="subscript"/>
              </w:rPr>
              <w:t>​​</w:t>
            </w:r>
          </w:p>
        </w:tc>
        <w:tc>
          <w:tcPr>
            <w:tcW w:w="900" w:type="dxa"/>
            <w:vAlign w:val="bottom"/>
            <w:tcBorders>
              <w:right w:val="single" w:sz="8" w:color="424E6A"/>
            </w:tcBorders>
            <w:gridSpan w:val="2"/>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$ 277.21</w:t>
            </w:r>
            <w:r>
              <w:rPr>
                <w:rFonts w:ascii="Arial" w:cs="Arial" w:eastAsia="Arial" w:hAnsi="Arial"/>
                <w:sz w:val="28"/>
                <w:szCs w:val="28"/>
                <w:color w:val="auto"/>
                <w:vertAlign w:val="subscript"/>
              </w:rPr>
              <w:t>​​</w:t>
            </w:r>
          </w:p>
        </w:tc>
        <w:tc>
          <w:tcPr>
            <w:tcW w:w="1160" w:type="dxa"/>
            <w:vAlign w:val="bottom"/>
            <w:tcBorders>
              <w:right w:val="single" w:sz="8" w:color="424E6A"/>
            </w:tcBorders>
            <w:gridSpan w:val="3"/>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$1.11 billion </w:t>
            </w:r>
            <w:r>
              <w:rPr>
                <w:rFonts w:ascii="Arial" w:cs="Arial" w:eastAsia="Arial" w:hAnsi="Arial"/>
                <w:sz w:val="28"/>
                <w:szCs w:val="28"/>
                <w:color w:val="auto"/>
                <w:vertAlign w:val="subscript"/>
              </w:rPr>
              <w:t>​</w:t>
            </w:r>
          </w:p>
        </w:tc>
        <w:tc>
          <w:tcPr>
            <w:tcW w:w="1140" w:type="dxa"/>
            <w:vAlign w:val="bottom"/>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$2.78 billion </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shd w:val="clear" w:color="auto" w:fill="424E6A"/>
          </w:tcPr>
          <w:p>
            <w:pPr>
              <w:spacing w:after="0" w:line="20" w:lineRule="exact"/>
              <w:rPr>
                <w:sz w:val="1"/>
                <w:szCs w:val="1"/>
                <w:color w:val="auto"/>
              </w:rPr>
            </w:pPr>
          </w:p>
        </w:tc>
        <w:tc>
          <w:tcPr>
            <w:tcW w:w="580" w:type="dxa"/>
            <w:vAlign w:val="bottom"/>
            <w:shd w:val="clear" w:color="auto" w:fill="424E6A"/>
          </w:tcPr>
          <w:p>
            <w:pPr>
              <w:spacing w:after="0" w:line="20" w:lineRule="exact"/>
              <w:rPr>
                <w:sz w:val="1"/>
                <w:szCs w:val="1"/>
                <w:color w:val="auto"/>
              </w:rPr>
            </w:pPr>
          </w:p>
        </w:tc>
        <w:tc>
          <w:tcPr>
            <w:tcW w:w="180" w:type="dxa"/>
            <w:vAlign w:val="bottom"/>
            <w:shd w:val="clear" w:color="auto" w:fill="424E6A"/>
          </w:tcPr>
          <w:p>
            <w:pPr>
              <w:spacing w:after="0" w:line="20" w:lineRule="exact"/>
              <w:rPr>
                <w:sz w:val="1"/>
                <w:szCs w:val="1"/>
                <w:color w:val="auto"/>
              </w:rPr>
            </w:pPr>
          </w:p>
        </w:tc>
        <w:tc>
          <w:tcPr>
            <w:tcW w:w="200" w:type="dxa"/>
            <w:vAlign w:val="bottom"/>
            <w:shd w:val="clear" w:color="auto" w:fill="424E6A"/>
          </w:tcPr>
          <w:p>
            <w:pPr>
              <w:spacing w:after="0" w:line="20" w:lineRule="exact"/>
              <w:rPr>
                <w:sz w:val="1"/>
                <w:szCs w:val="1"/>
                <w:color w:val="auto"/>
              </w:rPr>
            </w:pPr>
          </w:p>
        </w:tc>
        <w:tc>
          <w:tcPr>
            <w:tcW w:w="1020" w:type="dxa"/>
            <w:vAlign w:val="bottom"/>
            <w:tcBorders>
              <w:right w:val="single" w:sz="8" w:color="424E6A"/>
            </w:tcBorders>
            <w:gridSpan w:val="2"/>
            <w:shd w:val="clear" w:color="auto" w:fill="424E6A"/>
          </w:tcPr>
          <w:p>
            <w:pPr>
              <w:spacing w:after="0" w:line="20" w:lineRule="exact"/>
              <w:rPr>
                <w:sz w:val="1"/>
                <w:szCs w:val="1"/>
                <w:color w:val="auto"/>
              </w:rPr>
            </w:pPr>
          </w:p>
        </w:tc>
        <w:tc>
          <w:tcPr>
            <w:tcW w:w="1200" w:type="dxa"/>
            <w:vAlign w:val="bottom"/>
            <w:tcBorders>
              <w:right w:val="single" w:sz="8" w:color="424E6A"/>
            </w:tcBorders>
            <w:shd w:val="clear" w:color="auto" w:fill="424E6A"/>
          </w:tcPr>
          <w:p>
            <w:pPr>
              <w:spacing w:after="0" w:line="20" w:lineRule="exact"/>
              <w:rPr>
                <w:sz w:val="1"/>
                <w:szCs w:val="1"/>
                <w:color w:val="auto"/>
              </w:rPr>
            </w:pPr>
          </w:p>
        </w:tc>
        <w:tc>
          <w:tcPr>
            <w:tcW w:w="1220" w:type="dxa"/>
            <w:vAlign w:val="bottom"/>
            <w:tcBorders>
              <w:right w:val="single" w:sz="8" w:color="424E6A"/>
            </w:tcBorders>
            <w:gridSpan w:val="3"/>
            <w:shd w:val="clear" w:color="auto" w:fill="424E6A"/>
          </w:tcPr>
          <w:p>
            <w:pPr>
              <w:spacing w:after="0" w:line="20" w:lineRule="exact"/>
              <w:rPr>
                <w:sz w:val="1"/>
                <w:szCs w:val="1"/>
                <w:color w:val="auto"/>
              </w:rPr>
            </w:pPr>
          </w:p>
        </w:tc>
        <w:tc>
          <w:tcPr>
            <w:tcW w:w="1220" w:type="dxa"/>
            <w:vAlign w:val="bottom"/>
            <w:tcBorders>
              <w:right w:val="single" w:sz="8" w:color="424E6A"/>
            </w:tcBorders>
            <w:gridSpan w:val="2"/>
            <w:shd w:val="clear" w:color="auto" w:fill="424E6A"/>
          </w:tcPr>
          <w:p>
            <w:pPr>
              <w:spacing w:after="0" w:line="20" w:lineRule="exact"/>
              <w:rPr>
                <w:sz w:val="1"/>
                <w:szCs w:val="1"/>
                <w:color w:val="auto"/>
              </w:rPr>
            </w:pPr>
          </w:p>
        </w:tc>
        <w:tc>
          <w:tcPr>
            <w:tcW w:w="900" w:type="dxa"/>
            <w:vAlign w:val="bottom"/>
            <w:tcBorders>
              <w:right w:val="single" w:sz="8" w:color="424E6A"/>
            </w:tcBorders>
            <w:gridSpan w:val="3"/>
            <w:shd w:val="clear" w:color="auto" w:fill="424E6A"/>
          </w:tcPr>
          <w:p>
            <w:pPr>
              <w:spacing w:after="0" w:line="20" w:lineRule="exact"/>
              <w:rPr>
                <w:sz w:val="1"/>
                <w:szCs w:val="1"/>
                <w:color w:val="auto"/>
              </w:rPr>
            </w:pPr>
          </w:p>
        </w:tc>
        <w:tc>
          <w:tcPr>
            <w:tcW w:w="900" w:type="dxa"/>
            <w:vAlign w:val="bottom"/>
            <w:tcBorders>
              <w:right w:val="single" w:sz="8" w:color="424E6A"/>
            </w:tcBorders>
            <w:gridSpan w:val="2"/>
            <w:shd w:val="clear" w:color="auto" w:fill="424E6A"/>
          </w:tcPr>
          <w:p>
            <w:pPr>
              <w:spacing w:after="0" w:line="20" w:lineRule="exact"/>
              <w:rPr>
                <w:sz w:val="1"/>
                <w:szCs w:val="1"/>
                <w:color w:val="auto"/>
              </w:rPr>
            </w:pPr>
          </w:p>
        </w:tc>
        <w:tc>
          <w:tcPr>
            <w:tcW w:w="80" w:type="dxa"/>
            <w:vAlign w:val="bottom"/>
            <w:shd w:val="clear" w:color="auto" w:fill="424E6A"/>
          </w:tcPr>
          <w:p>
            <w:pPr>
              <w:spacing w:after="0" w:line="20" w:lineRule="exact"/>
              <w:rPr>
                <w:sz w:val="1"/>
                <w:szCs w:val="1"/>
                <w:color w:val="auto"/>
              </w:rPr>
            </w:pPr>
          </w:p>
        </w:tc>
        <w:tc>
          <w:tcPr>
            <w:tcW w:w="1080" w:type="dxa"/>
            <w:vAlign w:val="bottom"/>
            <w:tcBorders>
              <w:right w:val="single" w:sz="8" w:color="424E6A"/>
            </w:tcBorders>
            <w:gridSpan w:val="2"/>
            <w:shd w:val="clear" w:color="auto" w:fill="424E6A"/>
          </w:tcPr>
          <w:p>
            <w:pPr>
              <w:spacing w:after="0" w:line="20" w:lineRule="exact"/>
              <w:rPr>
                <w:sz w:val="1"/>
                <w:szCs w:val="1"/>
                <w:color w:val="auto"/>
              </w:rPr>
            </w:pPr>
          </w:p>
        </w:tc>
        <w:tc>
          <w:tcPr>
            <w:tcW w:w="1120" w:type="dxa"/>
            <w:vAlign w:val="bottom"/>
            <w:shd w:val="clear" w:color="auto" w:fill="424E6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shd w:val="clear" w:color="auto" w:fill="424E6A"/>
          </w:tcPr>
          <w:p>
            <w:pPr>
              <w:spacing w:after="0"/>
              <w:rPr>
                <w:sz w:val="21"/>
                <w:szCs w:val="21"/>
                <w:color w:val="auto"/>
              </w:rPr>
            </w:pPr>
          </w:p>
        </w:tc>
        <w:tc>
          <w:tcPr>
            <w:tcW w:w="580" w:type="dxa"/>
            <w:vAlign w:val="bottom"/>
          </w:tcPr>
          <w:p>
            <w:pPr>
              <w:ind w:left="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highlight w:val="lightGray"/>
              </w:rPr>
              <w:t>2023</w:t>
            </w:r>
          </w:p>
        </w:tc>
        <w:tc>
          <w:tcPr>
            <w:tcW w:w="180" w:type="dxa"/>
            <w:vAlign w:val="bottom"/>
          </w:tcPr>
          <w:p>
            <w:pPr>
              <w:ind w:left="120"/>
              <w:spacing w:after="0"/>
              <w:rPr>
                <w:sz w:val="20"/>
                <w:szCs w:val="20"/>
                <w:color w:val="auto"/>
              </w:rPr>
            </w:pPr>
            <w:r>
              <w:rPr>
                <w:rFonts w:ascii="Arial" w:cs="Arial" w:eastAsia="Arial" w:hAnsi="Arial"/>
                <w:sz w:val="18"/>
                <w:szCs w:val="18"/>
                <w:color w:val="auto"/>
                <w:highlight w:val="lightGray"/>
              </w:rPr>
              <w:t>​</w:t>
            </w:r>
          </w:p>
        </w:tc>
        <w:tc>
          <w:tcPr>
            <w:tcW w:w="200" w:type="dxa"/>
            <w:vAlign w:val="bottom"/>
            <w:shd w:val="clear" w:color="auto" w:fill="D9DCE1"/>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1020" w:type="dxa"/>
            <w:vAlign w:val="bottom"/>
            <w:tcBorders>
              <w:right w:val="single" w:sz="8" w:color="424E6A"/>
            </w:tcBorders>
            <w:gridSpan w:val="2"/>
            <w:shd w:val="clear" w:color="auto" w:fill="D9DCE1"/>
          </w:tcPr>
          <w:p>
            <w:pPr>
              <w:jc w:val="right"/>
              <w:spacing w:after="0" w:line="250" w:lineRule="exact"/>
              <w:rPr>
                <w:sz w:val="20"/>
                <w:szCs w:val="20"/>
                <w:color w:val="auto"/>
              </w:rPr>
            </w:pPr>
            <w:r>
              <w:rPr>
                <w:rFonts w:ascii="Arial" w:cs="Arial" w:eastAsia="Arial" w:hAnsi="Arial"/>
                <w:sz w:val="15"/>
                <w:szCs w:val="15"/>
                <w:color w:val="auto"/>
              </w:rPr>
              <w:t>7,453,919</w:t>
            </w:r>
            <w:r>
              <w:rPr>
                <w:rFonts w:ascii="Arial" w:cs="Arial" w:eastAsia="Arial" w:hAnsi="Arial"/>
                <w:sz w:val="28"/>
                <w:szCs w:val="28"/>
                <w:color w:val="auto"/>
                <w:vertAlign w:val="subscript"/>
              </w:rPr>
              <w:t>​​</w:t>
            </w:r>
          </w:p>
        </w:tc>
        <w:tc>
          <w:tcPr>
            <w:tcW w:w="1200" w:type="dxa"/>
            <w:vAlign w:val="bottom"/>
            <w:tcBorders>
              <w:right w:val="single" w:sz="8" w:color="424E6A"/>
            </w:tcBorders>
            <w:shd w:val="clear" w:color="auto" w:fill="D9DCE1"/>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highlight w:val="lightGray"/>
              </w:rPr>
              <w:t>$16,427,772</w:t>
            </w:r>
            <w:r>
              <w:rPr>
                <w:rFonts w:ascii="Arial" w:cs="Arial" w:eastAsia="Arial" w:hAnsi="Arial"/>
                <w:sz w:val="28"/>
                <w:szCs w:val="28"/>
                <w:color w:val="auto"/>
                <w:highlight w:val="lightGray"/>
                <w:vertAlign w:val="subscript"/>
              </w:rPr>
              <w:t>​​</w:t>
            </w:r>
          </w:p>
        </w:tc>
        <w:tc>
          <w:tcPr>
            <w:tcW w:w="1220" w:type="dxa"/>
            <w:vAlign w:val="bottom"/>
            <w:tcBorders>
              <w:right w:val="single" w:sz="8" w:color="424E6A"/>
            </w:tcBorders>
            <w:gridSpan w:val="3"/>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$2,949,247 </w:t>
            </w:r>
            <w:r>
              <w:rPr>
                <w:rFonts w:ascii="Arial" w:cs="Arial" w:eastAsia="Arial" w:hAnsi="Arial"/>
                <w:sz w:val="28"/>
                <w:szCs w:val="28"/>
                <w:color w:val="auto"/>
                <w:vertAlign w:val="subscript"/>
              </w:rPr>
              <w:t>​​</w:t>
            </w:r>
          </w:p>
        </w:tc>
        <w:tc>
          <w:tcPr>
            <w:tcW w:w="1220" w:type="dxa"/>
            <w:vAlign w:val="bottom"/>
            <w:tcBorders>
              <w:right w:val="single" w:sz="8" w:color="424E6A"/>
            </w:tcBorders>
            <w:gridSpan w:val="2"/>
            <w:shd w:val="clear" w:color="auto" w:fill="D9DCE1"/>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$6,454,569 </w:t>
            </w:r>
            <w:r>
              <w:rPr>
                <w:rFonts w:ascii="Arial" w:cs="Arial" w:eastAsia="Arial" w:hAnsi="Arial"/>
                <w:sz w:val="28"/>
                <w:szCs w:val="28"/>
                <w:color w:val="auto"/>
                <w:vertAlign w:val="subscript"/>
              </w:rPr>
              <w:t>​​</w:t>
            </w:r>
          </w:p>
        </w:tc>
        <w:tc>
          <w:tcPr>
            <w:tcW w:w="900" w:type="dxa"/>
            <w:vAlign w:val="bottom"/>
            <w:tcBorders>
              <w:right w:val="single" w:sz="8" w:color="424E6A"/>
            </w:tcBorders>
            <w:gridSpan w:val="3"/>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$230.75</w:t>
            </w:r>
            <w:r>
              <w:rPr>
                <w:rFonts w:ascii="Arial" w:cs="Arial" w:eastAsia="Arial" w:hAnsi="Arial"/>
                <w:sz w:val="28"/>
                <w:szCs w:val="28"/>
                <w:color w:val="auto"/>
                <w:vertAlign w:val="subscript"/>
              </w:rPr>
              <w:t>​​</w:t>
            </w:r>
          </w:p>
        </w:tc>
        <w:tc>
          <w:tcPr>
            <w:tcW w:w="900" w:type="dxa"/>
            <w:vAlign w:val="bottom"/>
            <w:tcBorders>
              <w:right w:val="single" w:sz="8" w:color="424E6A"/>
            </w:tcBorders>
            <w:gridSpan w:val="2"/>
            <w:shd w:val="clear" w:color="auto" w:fill="D9DCE1"/>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$ 191.80</w:t>
            </w:r>
            <w:r>
              <w:rPr>
                <w:rFonts w:ascii="Arial" w:cs="Arial" w:eastAsia="Arial" w:hAnsi="Arial"/>
                <w:sz w:val="28"/>
                <w:szCs w:val="28"/>
                <w:color w:val="auto"/>
                <w:vertAlign w:val="subscript"/>
              </w:rPr>
              <w:t>​​</w:t>
            </w:r>
          </w:p>
        </w:tc>
        <w:tc>
          <w:tcPr>
            <w:tcW w:w="1160" w:type="dxa"/>
            <w:vAlign w:val="bottom"/>
            <w:tcBorders>
              <w:right w:val="single" w:sz="8" w:color="424E6A"/>
            </w:tcBorders>
            <w:gridSpan w:val="3"/>
            <w:shd w:val="clear" w:color="auto" w:fill="D9DCE1"/>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$1.50 billion </w:t>
            </w:r>
            <w:r>
              <w:rPr>
                <w:rFonts w:ascii="Arial" w:cs="Arial" w:eastAsia="Arial" w:hAnsi="Arial"/>
                <w:sz w:val="28"/>
                <w:szCs w:val="28"/>
                <w:color w:val="auto"/>
                <w:vertAlign w:val="subscript"/>
              </w:rPr>
              <w:t>​</w:t>
            </w:r>
          </w:p>
        </w:tc>
        <w:tc>
          <w:tcPr>
            <w:tcW w:w="1140" w:type="dxa"/>
            <w:vAlign w:val="bottom"/>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$2.71 billion </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shd w:val="clear" w:color="auto" w:fill="424E6A"/>
          </w:tcPr>
          <w:p>
            <w:pPr>
              <w:spacing w:after="0" w:line="20" w:lineRule="exact"/>
              <w:rPr>
                <w:sz w:val="1"/>
                <w:szCs w:val="1"/>
                <w:color w:val="auto"/>
              </w:rPr>
            </w:pPr>
          </w:p>
        </w:tc>
        <w:tc>
          <w:tcPr>
            <w:tcW w:w="580" w:type="dxa"/>
            <w:vAlign w:val="bottom"/>
            <w:shd w:val="clear" w:color="auto" w:fill="424E6A"/>
          </w:tcPr>
          <w:p>
            <w:pPr>
              <w:spacing w:after="0" w:line="20" w:lineRule="exact"/>
              <w:rPr>
                <w:sz w:val="1"/>
                <w:szCs w:val="1"/>
                <w:color w:val="auto"/>
              </w:rPr>
            </w:pPr>
          </w:p>
        </w:tc>
        <w:tc>
          <w:tcPr>
            <w:tcW w:w="180" w:type="dxa"/>
            <w:vAlign w:val="bottom"/>
            <w:shd w:val="clear" w:color="auto" w:fill="424E6A"/>
          </w:tcPr>
          <w:p>
            <w:pPr>
              <w:spacing w:after="0" w:line="20" w:lineRule="exact"/>
              <w:rPr>
                <w:sz w:val="1"/>
                <w:szCs w:val="1"/>
                <w:color w:val="auto"/>
              </w:rPr>
            </w:pPr>
          </w:p>
        </w:tc>
        <w:tc>
          <w:tcPr>
            <w:tcW w:w="200" w:type="dxa"/>
            <w:vAlign w:val="bottom"/>
            <w:shd w:val="clear" w:color="auto" w:fill="424E6A"/>
          </w:tcPr>
          <w:p>
            <w:pPr>
              <w:spacing w:after="0" w:line="20" w:lineRule="exact"/>
              <w:rPr>
                <w:sz w:val="1"/>
                <w:szCs w:val="1"/>
                <w:color w:val="auto"/>
              </w:rPr>
            </w:pPr>
          </w:p>
        </w:tc>
        <w:tc>
          <w:tcPr>
            <w:tcW w:w="1020" w:type="dxa"/>
            <w:vAlign w:val="bottom"/>
            <w:tcBorders>
              <w:right w:val="single" w:sz="8" w:color="424E6A"/>
            </w:tcBorders>
            <w:gridSpan w:val="2"/>
            <w:shd w:val="clear" w:color="auto" w:fill="424E6A"/>
          </w:tcPr>
          <w:p>
            <w:pPr>
              <w:spacing w:after="0" w:line="20" w:lineRule="exact"/>
              <w:rPr>
                <w:sz w:val="1"/>
                <w:szCs w:val="1"/>
                <w:color w:val="auto"/>
              </w:rPr>
            </w:pPr>
          </w:p>
        </w:tc>
        <w:tc>
          <w:tcPr>
            <w:tcW w:w="1200" w:type="dxa"/>
            <w:vAlign w:val="bottom"/>
            <w:tcBorders>
              <w:right w:val="single" w:sz="8" w:color="424E6A"/>
            </w:tcBorders>
            <w:shd w:val="clear" w:color="auto" w:fill="424E6A"/>
          </w:tcPr>
          <w:p>
            <w:pPr>
              <w:spacing w:after="0" w:line="20" w:lineRule="exact"/>
              <w:rPr>
                <w:sz w:val="1"/>
                <w:szCs w:val="1"/>
                <w:color w:val="auto"/>
              </w:rPr>
            </w:pPr>
          </w:p>
        </w:tc>
        <w:tc>
          <w:tcPr>
            <w:tcW w:w="1220" w:type="dxa"/>
            <w:vAlign w:val="bottom"/>
            <w:tcBorders>
              <w:right w:val="single" w:sz="8" w:color="424E6A"/>
            </w:tcBorders>
            <w:gridSpan w:val="3"/>
            <w:shd w:val="clear" w:color="auto" w:fill="424E6A"/>
          </w:tcPr>
          <w:p>
            <w:pPr>
              <w:spacing w:after="0" w:line="20" w:lineRule="exact"/>
              <w:rPr>
                <w:sz w:val="1"/>
                <w:szCs w:val="1"/>
                <w:color w:val="auto"/>
              </w:rPr>
            </w:pPr>
          </w:p>
        </w:tc>
        <w:tc>
          <w:tcPr>
            <w:tcW w:w="1220" w:type="dxa"/>
            <w:vAlign w:val="bottom"/>
            <w:tcBorders>
              <w:right w:val="single" w:sz="8" w:color="424E6A"/>
            </w:tcBorders>
            <w:gridSpan w:val="2"/>
            <w:shd w:val="clear" w:color="auto" w:fill="424E6A"/>
          </w:tcPr>
          <w:p>
            <w:pPr>
              <w:spacing w:after="0" w:line="20" w:lineRule="exact"/>
              <w:rPr>
                <w:sz w:val="1"/>
                <w:szCs w:val="1"/>
                <w:color w:val="auto"/>
              </w:rPr>
            </w:pPr>
          </w:p>
        </w:tc>
        <w:tc>
          <w:tcPr>
            <w:tcW w:w="900" w:type="dxa"/>
            <w:vAlign w:val="bottom"/>
            <w:tcBorders>
              <w:right w:val="single" w:sz="8" w:color="424E6A"/>
            </w:tcBorders>
            <w:gridSpan w:val="3"/>
            <w:shd w:val="clear" w:color="auto" w:fill="424E6A"/>
          </w:tcPr>
          <w:p>
            <w:pPr>
              <w:spacing w:after="0" w:line="20" w:lineRule="exact"/>
              <w:rPr>
                <w:sz w:val="1"/>
                <w:szCs w:val="1"/>
                <w:color w:val="auto"/>
              </w:rPr>
            </w:pPr>
          </w:p>
        </w:tc>
        <w:tc>
          <w:tcPr>
            <w:tcW w:w="900" w:type="dxa"/>
            <w:vAlign w:val="bottom"/>
            <w:tcBorders>
              <w:right w:val="single" w:sz="8" w:color="424E6A"/>
            </w:tcBorders>
            <w:gridSpan w:val="2"/>
            <w:shd w:val="clear" w:color="auto" w:fill="424E6A"/>
          </w:tcPr>
          <w:p>
            <w:pPr>
              <w:spacing w:after="0" w:line="20" w:lineRule="exact"/>
              <w:rPr>
                <w:sz w:val="1"/>
                <w:szCs w:val="1"/>
                <w:color w:val="auto"/>
              </w:rPr>
            </w:pPr>
          </w:p>
        </w:tc>
        <w:tc>
          <w:tcPr>
            <w:tcW w:w="80" w:type="dxa"/>
            <w:vAlign w:val="bottom"/>
            <w:shd w:val="clear" w:color="auto" w:fill="424E6A"/>
          </w:tcPr>
          <w:p>
            <w:pPr>
              <w:spacing w:after="0" w:line="20" w:lineRule="exact"/>
              <w:rPr>
                <w:sz w:val="1"/>
                <w:szCs w:val="1"/>
                <w:color w:val="auto"/>
              </w:rPr>
            </w:pPr>
          </w:p>
        </w:tc>
        <w:tc>
          <w:tcPr>
            <w:tcW w:w="1080" w:type="dxa"/>
            <w:vAlign w:val="bottom"/>
            <w:tcBorders>
              <w:right w:val="single" w:sz="8" w:color="424E6A"/>
            </w:tcBorders>
            <w:gridSpan w:val="2"/>
            <w:shd w:val="clear" w:color="auto" w:fill="424E6A"/>
          </w:tcPr>
          <w:p>
            <w:pPr>
              <w:spacing w:after="0" w:line="20" w:lineRule="exact"/>
              <w:rPr>
                <w:sz w:val="1"/>
                <w:szCs w:val="1"/>
                <w:color w:val="auto"/>
              </w:rPr>
            </w:pPr>
          </w:p>
        </w:tc>
        <w:tc>
          <w:tcPr>
            <w:tcW w:w="1120" w:type="dxa"/>
            <w:vAlign w:val="bottom"/>
            <w:shd w:val="clear" w:color="auto" w:fill="424E6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shd w:val="clear" w:color="auto" w:fill="424E6A"/>
          </w:tcPr>
          <w:p>
            <w:pPr>
              <w:spacing w:after="0"/>
              <w:rPr>
                <w:sz w:val="21"/>
                <w:szCs w:val="21"/>
                <w:color w:val="auto"/>
              </w:rPr>
            </w:pPr>
          </w:p>
        </w:tc>
        <w:tc>
          <w:tcPr>
            <w:tcW w:w="580" w:type="dxa"/>
            <w:vAlign w:val="bottom"/>
          </w:tcPr>
          <w:p>
            <w:pPr>
              <w:ind w:left="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2022</w:t>
            </w:r>
          </w:p>
        </w:tc>
        <w:tc>
          <w:tcPr>
            <w:tcW w:w="180" w:type="dxa"/>
            <w:vAlign w:val="bottom"/>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1020" w:type="dxa"/>
            <w:vAlign w:val="bottom"/>
            <w:tcBorders>
              <w:right w:val="single" w:sz="8" w:color="424E6A"/>
            </w:tcBorders>
            <w:gridSpan w:val="2"/>
          </w:tcPr>
          <w:p>
            <w:pPr>
              <w:jc w:val="right"/>
              <w:spacing w:after="0" w:line="250" w:lineRule="exact"/>
              <w:rPr>
                <w:sz w:val="20"/>
                <w:szCs w:val="20"/>
                <w:color w:val="auto"/>
              </w:rPr>
            </w:pPr>
            <w:r>
              <w:rPr>
                <w:rFonts w:ascii="Arial" w:cs="Arial" w:eastAsia="Arial" w:hAnsi="Arial"/>
                <w:sz w:val="15"/>
                <w:szCs w:val="15"/>
                <w:color w:val="auto"/>
              </w:rPr>
              <w:t>8,296,140</w:t>
            </w:r>
            <w:r>
              <w:rPr>
                <w:rFonts w:ascii="Arial" w:cs="Arial" w:eastAsia="Arial" w:hAnsi="Arial"/>
                <w:sz w:val="28"/>
                <w:szCs w:val="28"/>
                <w:color w:val="auto"/>
                <w:vertAlign w:val="subscript"/>
              </w:rPr>
              <w:t>​​</w:t>
            </w:r>
          </w:p>
        </w:tc>
        <w:tc>
          <w:tcPr>
            <w:tcW w:w="1200" w:type="dxa"/>
            <w:vAlign w:val="bottom"/>
            <w:tcBorders>
              <w:right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$14,459,710</w:t>
            </w:r>
            <w:r>
              <w:rPr>
                <w:rFonts w:ascii="Arial" w:cs="Arial" w:eastAsia="Arial" w:hAnsi="Arial"/>
                <w:sz w:val="28"/>
                <w:szCs w:val="28"/>
                <w:color w:val="auto"/>
                <w:vertAlign w:val="subscript"/>
              </w:rPr>
              <w:t>​​</w:t>
            </w:r>
          </w:p>
        </w:tc>
        <w:tc>
          <w:tcPr>
            <w:tcW w:w="1220" w:type="dxa"/>
            <w:vAlign w:val="bottom"/>
            <w:tcBorders>
              <w:right w:val="single" w:sz="8" w:color="424E6A"/>
            </w:tcBorders>
            <w:gridSpan w:val="3"/>
          </w:tcPr>
          <w:p>
            <w:pPr>
              <w:ind w:left="4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$4,387,570 </w:t>
            </w:r>
            <w:r>
              <w:rPr>
                <w:rFonts w:ascii="Arial" w:cs="Arial" w:eastAsia="Arial" w:hAnsi="Arial"/>
                <w:sz w:val="28"/>
                <w:szCs w:val="28"/>
                <w:color w:val="auto"/>
                <w:vertAlign w:val="subscript"/>
              </w:rPr>
              <w:t>​​</w:t>
            </w:r>
          </w:p>
        </w:tc>
        <w:tc>
          <w:tcPr>
            <w:tcW w:w="1220" w:type="dxa"/>
            <w:vAlign w:val="bottom"/>
            <w:tcBorders>
              <w:right w:val="single" w:sz="8" w:color="424E6A"/>
            </w:tcBorders>
            <w:gridSpan w:val="2"/>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$8,142,198 </w:t>
            </w:r>
            <w:r>
              <w:rPr>
                <w:rFonts w:ascii="Arial" w:cs="Arial" w:eastAsia="Arial" w:hAnsi="Arial"/>
                <w:sz w:val="28"/>
                <w:szCs w:val="28"/>
                <w:color w:val="auto"/>
                <w:vertAlign w:val="subscript"/>
              </w:rPr>
              <w:t>​​</w:t>
            </w:r>
          </w:p>
        </w:tc>
        <w:tc>
          <w:tcPr>
            <w:tcW w:w="900" w:type="dxa"/>
            <w:vAlign w:val="bottom"/>
            <w:tcBorders>
              <w:right w:val="single" w:sz="8" w:color="424E6A"/>
            </w:tcBorders>
            <w:gridSpan w:val="3"/>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$165.74</w:t>
            </w:r>
            <w:r>
              <w:rPr>
                <w:rFonts w:ascii="Arial" w:cs="Arial" w:eastAsia="Arial" w:hAnsi="Arial"/>
                <w:sz w:val="28"/>
                <w:szCs w:val="28"/>
                <w:color w:val="auto"/>
                <w:vertAlign w:val="subscript"/>
              </w:rPr>
              <w:t>​​</w:t>
            </w:r>
          </w:p>
        </w:tc>
        <w:tc>
          <w:tcPr>
            <w:tcW w:w="900" w:type="dxa"/>
            <w:vAlign w:val="bottom"/>
            <w:tcBorders>
              <w:right w:val="single" w:sz="8" w:color="424E6A"/>
            </w:tcBorders>
            <w:gridSpan w:val="2"/>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$ 168.22</w:t>
            </w:r>
            <w:r>
              <w:rPr>
                <w:rFonts w:ascii="Arial" w:cs="Arial" w:eastAsia="Arial" w:hAnsi="Arial"/>
                <w:sz w:val="28"/>
                <w:szCs w:val="28"/>
                <w:color w:val="auto"/>
                <w:vertAlign w:val="subscript"/>
              </w:rPr>
              <w:t>​​</w:t>
            </w:r>
          </w:p>
        </w:tc>
        <w:tc>
          <w:tcPr>
            <w:tcW w:w="1160" w:type="dxa"/>
            <w:vAlign w:val="bottom"/>
            <w:tcBorders>
              <w:right w:val="single" w:sz="8" w:color="424E6A"/>
            </w:tcBorders>
            <w:gridSpan w:val="3"/>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$1.23 billion </w:t>
            </w:r>
            <w:r>
              <w:rPr>
                <w:rFonts w:ascii="Arial" w:cs="Arial" w:eastAsia="Arial" w:hAnsi="Arial"/>
                <w:sz w:val="28"/>
                <w:szCs w:val="28"/>
                <w:color w:val="auto"/>
                <w:vertAlign w:val="subscript"/>
              </w:rPr>
              <w:t>​</w:t>
            </w:r>
          </w:p>
        </w:tc>
        <w:tc>
          <w:tcPr>
            <w:tcW w:w="1140" w:type="dxa"/>
            <w:vAlign w:val="bottom"/>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$2.51 billion </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shd w:val="clear" w:color="auto" w:fill="424E6A"/>
          </w:tcPr>
          <w:p>
            <w:pPr>
              <w:spacing w:after="0" w:line="20" w:lineRule="exact"/>
              <w:rPr>
                <w:sz w:val="1"/>
                <w:szCs w:val="1"/>
                <w:color w:val="auto"/>
              </w:rPr>
            </w:pPr>
          </w:p>
        </w:tc>
        <w:tc>
          <w:tcPr>
            <w:tcW w:w="580" w:type="dxa"/>
            <w:vAlign w:val="bottom"/>
            <w:shd w:val="clear" w:color="auto" w:fill="424E6A"/>
          </w:tcPr>
          <w:p>
            <w:pPr>
              <w:spacing w:after="0" w:line="20" w:lineRule="exact"/>
              <w:rPr>
                <w:sz w:val="1"/>
                <w:szCs w:val="1"/>
                <w:color w:val="auto"/>
              </w:rPr>
            </w:pPr>
          </w:p>
        </w:tc>
        <w:tc>
          <w:tcPr>
            <w:tcW w:w="180" w:type="dxa"/>
            <w:vAlign w:val="bottom"/>
            <w:shd w:val="clear" w:color="auto" w:fill="424E6A"/>
          </w:tcPr>
          <w:p>
            <w:pPr>
              <w:spacing w:after="0" w:line="20" w:lineRule="exact"/>
              <w:rPr>
                <w:sz w:val="1"/>
                <w:szCs w:val="1"/>
                <w:color w:val="auto"/>
              </w:rPr>
            </w:pPr>
          </w:p>
        </w:tc>
        <w:tc>
          <w:tcPr>
            <w:tcW w:w="200" w:type="dxa"/>
            <w:vAlign w:val="bottom"/>
            <w:shd w:val="clear" w:color="auto" w:fill="424E6A"/>
          </w:tcPr>
          <w:p>
            <w:pPr>
              <w:spacing w:after="0" w:line="20" w:lineRule="exact"/>
              <w:rPr>
                <w:sz w:val="1"/>
                <w:szCs w:val="1"/>
                <w:color w:val="auto"/>
              </w:rPr>
            </w:pPr>
          </w:p>
        </w:tc>
        <w:tc>
          <w:tcPr>
            <w:tcW w:w="1020" w:type="dxa"/>
            <w:vAlign w:val="bottom"/>
            <w:tcBorders>
              <w:right w:val="single" w:sz="8" w:color="424E6A"/>
            </w:tcBorders>
            <w:gridSpan w:val="2"/>
            <w:shd w:val="clear" w:color="auto" w:fill="424E6A"/>
          </w:tcPr>
          <w:p>
            <w:pPr>
              <w:spacing w:after="0" w:line="20" w:lineRule="exact"/>
              <w:rPr>
                <w:sz w:val="1"/>
                <w:szCs w:val="1"/>
                <w:color w:val="auto"/>
              </w:rPr>
            </w:pPr>
          </w:p>
        </w:tc>
        <w:tc>
          <w:tcPr>
            <w:tcW w:w="1200" w:type="dxa"/>
            <w:vAlign w:val="bottom"/>
            <w:tcBorders>
              <w:right w:val="single" w:sz="8" w:color="424E6A"/>
            </w:tcBorders>
            <w:shd w:val="clear" w:color="auto" w:fill="424E6A"/>
          </w:tcPr>
          <w:p>
            <w:pPr>
              <w:spacing w:after="0" w:line="20" w:lineRule="exact"/>
              <w:rPr>
                <w:sz w:val="1"/>
                <w:szCs w:val="1"/>
                <w:color w:val="auto"/>
              </w:rPr>
            </w:pPr>
          </w:p>
        </w:tc>
        <w:tc>
          <w:tcPr>
            <w:tcW w:w="1220" w:type="dxa"/>
            <w:vAlign w:val="bottom"/>
            <w:tcBorders>
              <w:right w:val="single" w:sz="8" w:color="424E6A"/>
            </w:tcBorders>
            <w:gridSpan w:val="3"/>
            <w:shd w:val="clear" w:color="auto" w:fill="424E6A"/>
          </w:tcPr>
          <w:p>
            <w:pPr>
              <w:spacing w:after="0" w:line="20" w:lineRule="exact"/>
              <w:rPr>
                <w:sz w:val="1"/>
                <w:szCs w:val="1"/>
                <w:color w:val="auto"/>
              </w:rPr>
            </w:pPr>
          </w:p>
        </w:tc>
        <w:tc>
          <w:tcPr>
            <w:tcW w:w="1220" w:type="dxa"/>
            <w:vAlign w:val="bottom"/>
            <w:tcBorders>
              <w:right w:val="single" w:sz="8" w:color="424E6A"/>
            </w:tcBorders>
            <w:gridSpan w:val="2"/>
            <w:shd w:val="clear" w:color="auto" w:fill="424E6A"/>
          </w:tcPr>
          <w:p>
            <w:pPr>
              <w:spacing w:after="0" w:line="20" w:lineRule="exact"/>
              <w:rPr>
                <w:sz w:val="1"/>
                <w:szCs w:val="1"/>
                <w:color w:val="auto"/>
              </w:rPr>
            </w:pPr>
          </w:p>
        </w:tc>
        <w:tc>
          <w:tcPr>
            <w:tcW w:w="900" w:type="dxa"/>
            <w:vAlign w:val="bottom"/>
            <w:tcBorders>
              <w:right w:val="single" w:sz="8" w:color="424E6A"/>
            </w:tcBorders>
            <w:gridSpan w:val="3"/>
            <w:shd w:val="clear" w:color="auto" w:fill="424E6A"/>
          </w:tcPr>
          <w:p>
            <w:pPr>
              <w:spacing w:after="0" w:line="20" w:lineRule="exact"/>
              <w:rPr>
                <w:sz w:val="1"/>
                <w:szCs w:val="1"/>
                <w:color w:val="auto"/>
              </w:rPr>
            </w:pPr>
          </w:p>
        </w:tc>
        <w:tc>
          <w:tcPr>
            <w:tcW w:w="900" w:type="dxa"/>
            <w:vAlign w:val="bottom"/>
            <w:tcBorders>
              <w:right w:val="single" w:sz="8" w:color="424E6A"/>
            </w:tcBorders>
            <w:gridSpan w:val="2"/>
            <w:shd w:val="clear" w:color="auto" w:fill="424E6A"/>
          </w:tcPr>
          <w:p>
            <w:pPr>
              <w:spacing w:after="0" w:line="20" w:lineRule="exact"/>
              <w:rPr>
                <w:sz w:val="1"/>
                <w:szCs w:val="1"/>
                <w:color w:val="auto"/>
              </w:rPr>
            </w:pPr>
          </w:p>
        </w:tc>
        <w:tc>
          <w:tcPr>
            <w:tcW w:w="80" w:type="dxa"/>
            <w:vAlign w:val="bottom"/>
            <w:shd w:val="clear" w:color="auto" w:fill="424E6A"/>
          </w:tcPr>
          <w:p>
            <w:pPr>
              <w:spacing w:after="0" w:line="20" w:lineRule="exact"/>
              <w:rPr>
                <w:sz w:val="1"/>
                <w:szCs w:val="1"/>
                <w:color w:val="auto"/>
              </w:rPr>
            </w:pPr>
          </w:p>
        </w:tc>
        <w:tc>
          <w:tcPr>
            <w:tcW w:w="1080" w:type="dxa"/>
            <w:vAlign w:val="bottom"/>
            <w:tcBorders>
              <w:right w:val="single" w:sz="8" w:color="424E6A"/>
            </w:tcBorders>
            <w:gridSpan w:val="2"/>
            <w:shd w:val="clear" w:color="auto" w:fill="424E6A"/>
          </w:tcPr>
          <w:p>
            <w:pPr>
              <w:spacing w:after="0" w:line="20" w:lineRule="exact"/>
              <w:rPr>
                <w:sz w:val="1"/>
                <w:szCs w:val="1"/>
                <w:color w:val="auto"/>
              </w:rPr>
            </w:pPr>
          </w:p>
        </w:tc>
        <w:tc>
          <w:tcPr>
            <w:tcW w:w="1120" w:type="dxa"/>
            <w:vAlign w:val="bottom"/>
            <w:shd w:val="clear" w:color="auto" w:fill="424E6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shd w:val="clear" w:color="auto" w:fill="424E6A"/>
          </w:tcPr>
          <w:p>
            <w:pPr>
              <w:spacing w:after="0"/>
              <w:rPr>
                <w:sz w:val="21"/>
                <w:szCs w:val="21"/>
                <w:color w:val="auto"/>
              </w:rPr>
            </w:pPr>
          </w:p>
        </w:tc>
        <w:tc>
          <w:tcPr>
            <w:tcW w:w="580" w:type="dxa"/>
            <w:vAlign w:val="bottom"/>
          </w:tcPr>
          <w:p>
            <w:pPr>
              <w:ind w:left="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highlight w:val="lightGray"/>
              </w:rPr>
              <w:t>2021</w:t>
            </w:r>
          </w:p>
        </w:tc>
        <w:tc>
          <w:tcPr>
            <w:tcW w:w="180" w:type="dxa"/>
            <w:vAlign w:val="bottom"/>
          </w:tcPr>
          <w:p>
            <w:pPr>
              <w:ind w:left="120"/>
              <w:spacing w:after="0"/>
              <w:rPr>
                <w:sz w:val="20"/>
                <w:szCs w:val="20"/>
                <w:color w:val="auto"/>
              </w:rPr>
            </w:pPr>
            <w:r>
              <w:rPr>
                <w:rFonts w:ascii="Arial" w:cs="Arial" w:eastAsia="Arial" w:hAnsi="Arial"/>
                <w:sz w:val="18"/>
                <w:szCs w:val="18"/>
                <w:color w:val="auto"/>
                <w:highlight w:val="lightGray"/>
              </w:rPr>
              <w:t>​</w:t>
            </w:r>
          </w:p>
        </w:tc>
        <w:tc>
          <w:tcPr>
            <w:tcW w:w="200" w:type="dxa"/>
            <w:vAlign w:val="bottom"/>
            <w:shd w:val="clear" w:color="auto" w:fill="D9DCE1"/>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1020" w:type="dxa"/>
            <w:vAlign w:val="bottom"/>
            <w:tcBorders>
              <w:right w:val="single" w:sz="8" w:color="424E6A"/>
            </w:tcBorders>
            <w:gridSpan w:val="2"/>
            <w:shd w:val="clear" w:color="auto" w:fill="D9DCE1"/>
          </w:tcPr>
          <w:p>
            <w:pPr>
              <w:jc w:val="right"/>
              <w:spacing w:after="0" w:line="250" w:lineRule="exact"/>
              <w:rPr>
                <w:sz w:val="20"/>
                <w:szCs w:val="20"/>
                <w:color w:val="auto"/>
              </w:rPr>
            </w:pPr>
            <w:r>
              <w:rPr>
                <w:rFonts w:ascii="Arial" w:cs="Arial" w:eastAsia="Arial" w:hAnsi="Arial"/>
                <w:sz w:val="15"/>
                <w:szCs w:val="15"/>
                <w:color w:val="auto"/>
              </w:rPr>
              <w:t>4,392,210</w:t>
            </w:r>
            <w:r>
              <w:rPr>
                <w:rFonts w:ascii="Arial" w:cs="Arial" w:eastAsia="Arial" w:hAnsi="Arial"/>
                <w:sz w:val="28"/>
                <w:szCs w:val="28"/>
                <w:color w:val="auto"/>
                <w:vertAlign w:val="subscript"/>
              </w:rPr>
              <w:t>​​</w:t>
            </w:r>
          </w:p>
        </w:tc>
        <w:tc>
          <w:tcPr>
            <w:tcW w:w="1200" w:type="dxa"/>
            <w:vAlign w:val="bottom"/>
            <w:tcBorders>
              <w:right w:val="single" w:sz="8" w:color="424E6A"/>
            </w:tcBorders>
            <w:shd w:val="clear" w:color="auto" w:fill="D9DCE1"/>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$ 4,792,883</w:t>
            </w:r>
            <w:r>
              <w:rPr>
                <w:rFonts w:ascii="Arial" w:cs="Arial" w:eastAsia="Arial" w:hAnsi="Arial"/>
                <w:sz w:val="28"/>
                <w:szCs w:val="28"/>
                <w:color w:val="auto"/>
                <w:vertAlign w:val="subscript"/>
              </w:rPr>
              <w:t>​​</w:t>
            </w:r>
          </w:p>
        </w:tc>
        <w:tc>
          <w:tcPr>
            <w:tcW w:w="1220" w:type="dxa"/>
            <w:vAlign w:val="bottom"/>
            <w:tcBorders>
              <w:right w:val="single" w:sz="8" w:color="424E6A"/>
            </w:tcBorders>
            <w:gridSpan w:val="3"/>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$2,147,374 </w:t>
            </w:r>
            <w:r>
              <w:rPr>
                <w:rFonts w:ascii="Arial" w:cs="Arial" w:eastAsia="Arial" w:hAnsi="Arial"/>
                <w:sz w:val="28"/>
                <w:szCs w:val="28"/>
                <w:color w:val="auto"/>
                <w:vertAlign w:val="subscript"/>
              </w:rPr>
              <w:t>​​</w:t>
            </w:r>
          </w:p>
        </w:tc>
        <w:tc>
          <w:tcPr>
            <w:tcW w:w="1220" w:type="dxa"/>
            <w:vAlign w:val="bottom"/>
            <w:tcBorders>
              <w:right w:val="single" w:sz="8" w:color="424E6A"/>
            </w:tcBorders>
            <w:gridSpan w:val="2"/>
            <w:shd w:val="clear" w:color="auto" w:fill="D9DCE1"/>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$2,385,698 </w:t>
            </w:r>
            <w:r>
              <w:rPr>
                <w:rFonts w:ascii="Arial" w:cs="Arial" w:eastAsia="Arial" w:hAnsi="Arial"/>
                <w:sz w:val="28"/>
                <w:szCs w:val="28"/>
                <w:color w:val="auto"/>
                <w:vertAlign w:val="subscript"/>
              </w:rPr>
              <w:t>​​</w:t>
            </w:r>
          </w:p>
        </w:tc>
        <w:tc>
          <w:tcPr>
            <w:tcW w:w="900" w:type="dxa"/>
            <w:vAlign w:val="bottom"/>
            <w:tcBorders>
              <w:right w:val="single" w:sz="8" w:color="424E6A"/>
            </w:tcBorders>
            <w:gridSpan w:val="3"/>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$122.18</w:t>
            </w:r>
            <w:r>
              <w:rPr>
                <w:rFonts w:ascii="Arial" w:cs="Arial" w:eastAsia="Arial" w:hAnsi="Arial"/>
                <w:sz w:val="28"/>
                <w:szCs w:val="28"/>
                <w:color w:val="auto"/>
                <w:vertAlign w:val="subscript"/>
              </w:rPr>
              <w:t>​​</w:t>
            </w:r>
          </w:p>
        </w:tc>
        <w:tc>
          <w:tcPr>
            <w:tcW w:w="900" w:type="dxa"/>
            <w:vAlign w:val="bottom"/>
            <w:tcBorders>
              <w:right w:val="single" w:sz="8" w:color="424E6A"/>
            </w:tcBorders>
            <w:gridSpan w:val="2"/>
            <w:shd w:val="clear" w:color="auto" w:fill="D9DCE1"/>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$ 138.42</w:t>
            </w:r>
            <w:r>
              <w:rPr>
                <w:rFonts w:ascii="Arial" w:cs="Arial" w:eastAsia="Arial" w:hAnsi="Arial"/>
                <w:sz w:val="28"/>
                <w:szCs w:val="28"/>
                <w:color w:val="auto"/>
                <w:vertAlign w:val="subscript"/>
              </w:rPr>
              <w:t>​​</w:t>
            </w:r>
          </w:p>
        </w:tc>
        <w:tc>
          <w:tcPr>
            <w:tcW w:w="1160" w:type="dxa"/>
            <w:vAlign w:val="bottom"/>
            <w:tcBorders>
              <w:right w:val="single" w:sz="8" w:color="424E6A"/>
            </w:tcBorders>
            <w:gridSpan w:val="3"/>
            <w:shd w:val="clear" w:color="auto" w:fill="D9DCE1"/>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$648 million </w:t>
            </w:r>
            <w:r>
              <w:rPr>
                <w:rFonts w:ascii="Arial" w:cs="Arial" w:eastAsia="Arial" w:hAnsi="Arial"/>
                <w:sz w:val="28"/>
                <w:szCs w:val="28"/>
                <w:color w:val="auto"/>
                <w:vertAlign w:val="subscript"/>
              </w:rPr>
              <w:t>​</w:t>
            </w:r>
          </w:p>
        </w:tc>
        <w:tc>
          <w:tcPr>
            <w:tcW w:w="1140" w:type="dxa"/>
            <w:vAlign w:val="bottom"/>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$2.20 billion </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shd w:val="clear" w:color="auto" w:fill="424E6A"/>
          </w:tcPr>
          <w:p>
            <w:pPr>
              <w:spacing w:after="0" w:line="20" w:lineRule="exact"/>
              <w:rPr>
                <w:sz w:val="1"/>
                <w:szCs w:val="1"/>
                <w:color w:val="auto"/>
              </w:rPr>
            </w:pPr>
          </w:p>
        </w:tc>
        <w:tc>
          <w:tcPr>
            <w:tcW w:w="580" w:type="dxa"/>
            <w:vAlign w:val="bottom"/>
            <w:shd w:val="clear" w:color="auto" w:fill="424E6A"/>
          </w:tcPr>
          <w:p>
            <w:pPr>
              <w:spacing w:after="0" w:line="20" w:lineRule="exact"/>
              <w:rPr>
                <w:sz w:val="1"/>
                <w:szCs w:val="1"/>
                <w:color w:val="auto"/>
              </w:rPr>
            </w:pPr>
          </w:p>
        </w:tc>
        <w:tc>
          <w:tcPr>
            <w:tcW w:w="180" w:type="dxa"/>
            <w:vAlign w:val="bottom"/>
            <w:shd w:val="clear" w:color="auto" w:fill="424E6A"/>
          </w:tcPr>
          <w:p>
            <w:pPr>
              <w:spacing w:after="0" w:line="20" w:lineRule="exact"/>
              <w:rPr>
                <w:sz w:val="1"/>
                <w:szCs w:val="1"/>
                <w:color w:val="auto"/>
              </w:rPr>
            </w:pPr>
          </w:p>
        </w:tc>
        <w:tc>
          <w:tcPr>
            <w:tcW w:w="200" w:type="dxa"/>
            <w:vAlign w:val="bottom"/>
            <w:shd w:val="clear" w:color="auto" w:fill="424E6A"/>
          </w:tcPr>
          <w:p>
            <w:pPr>
              <w:spacing w:after="0" w:line="20" w:lineRule="exact"/>
              <w:rPr>
                <w:sz w:val="1"/>
                <w:szCs w:val="1"/>
                <w:color w:val="auto"/>
              </w:rPr>
            </w:pPr>
          </w:p>
        </w:tc>
        <w:tc>
          <w:tcPr>
            <w:tcW w:w="920" w:type="dxa"/>
            <w:vAlign w:val="bottom"/>
            <w:shd w:val="clear" w:color="auto" w:fill="424E6A"/>
          </w:tcPr>
          <w:p>
            <w:pPr>
              <w:spacing w:after="0" w:line="20" w:lineRule="exact"/>
              <w:rPr>
                <w:sz w:val="1"/>
                <w:szCs w:val="1"/>
                <w:color w:val="auto"/>
              </w:rPr>
            </w:pPr>
          </w:p>
        </w:tc>
        <w:tc>
          <w:tcPr>
            <w:tcW w:w="100" w:type="dxa"/>
            <w:vAlign w:val="bottom"/>
            <w:tcBorders>
              <w:right w:val="single" w:sz="8" w:color="424E6A"/>
            </w:tcBorders>
            <w:shd w:val="clear" w:color="auto" w:fill="424E6A"/>
          </w:tcPr>
          <w:p>
            <w:pPr>
              <w:spacing w:after="0" w:line="20" w:lineRule="exact"/>
              <w:rPr>
                <w:sz w:val="1"/>
                <w:szCs w:val="1"/>
                <w:color w:val="auto"/>
              </w:rPr>
            </w:pPr>
          </w:p>
        </w:tc>
        <w:tc>
          <w:tcPr>
            <w:tcW w:w="1200" w:type="dxa"/>
            <w:vAlign w:val="bottom"/>
            <w:tcBorders>
              <w:right w:val="single" w:sz="8" w:color="424E6A"/>
            </w:tcBorders>
            <w:shd w:val="clear" w:color="auto" w:fill="424E6A"/>
          </w:tcPr>
          <w:p>
            <w:pPr>
              <w:spacing w:after="0" w:line="20" w:lineRule="exact"/>
              <w:rPr>
                <w:sz w:val="1"/>
                <w:szCs w:val="1"/>
                <w:color w:val="auto"/>
              </w:rPr>
            </w:pPr>
          </w:p>
        </w:tc>
        <w:tc>
          <w:tcPr>
            <w:tcW w:w="80" w:type="dxa"/>
            <w:vAlign w:val="bottom"/>
            <w:shd w:val="clear" w:color="auto" w:fill="424E6A"/>
          </w:tcPr>
          <w:p>
            <w:pPr>
              <w:spacing w:after="0" w:line="20" w:lineRule="exact"/>
              <w:rPr>
                <w:sz w:val="1"/>
                <w:szCs w:val="1"/>
                <w:color w:val="auto"/>
              </w:rPr>
            </w:pPr>
          </w:p>
        </w:tc>
        <w:tc>
          <w:tcPr>
            <w:tcW w:w="1040" w:type="dxa"/>
            <w:vAlign w:val="bottom"/>
            <w:shd w:val="clear" w:color="auto" w:fill="424E6A"/>
          </w:tcPr>
          <w:p>
            <w:pPr>
              <w:spacing w:after="0" w:line="20" w:lineRule="exact"/>
              <w:rPr>
                <w:sz w:val="1"/>
                <w:szCs w:val="1"/>
                <w:color w:val="auto"/>
              </w:rPr>
            </w:pPr>
          </w:p>
        </w:tc>
        <w:tc>
          <w:tcPr>
            <w:tcW w:w="100" w:type="dxa"/>
            <w:vAlign w:val="bottom"/>
            <w:tcBorders>
              <w:right w:val="single" w:sz="8" w:color="424E6A"/>
            </w:tcBorders>
            <w:shd w:val="clear" w:color="auto" w:fill="424E6A"/>
          </w:tcPr>
          <w:p>
            <w:pPr>
              <w:spacing w:after="0" w:line="20" w:lineRule="exact"/>
              <w:rPr>
                <w:sz w:val="1"/>
                <w:szCs w:val="1"/>
                <w:color w:val="auto"/>
              </w:rPr>
            </w:pPr>
          </w:p>
        </w:tc>
        <w:tc>
          <w:tcPr>
            <w:tcW w:w="1120" w:type="dxa"/>
            <w:vAlign w:val="bottom"/>
            <w:shd w:val="clear" w:color="auto" w:fill="424E6A"/>
          </w:tcPr>
          <w:p>
            <w:pPr>
              <w:spacing w:after="0" w:line="20" w:lineRule="exact"/>
              <w:rPr>
                <w:sz w:val="1"/>
                <w:szCs w:val="1"/>
                <w:color w:val="auto"/>
              </w:rPr>
            </w:pPr>
          </w:p>
        </w:tc>
        <w:tc>
          <w:tcPr>
            <w:tcW w:w="100" w:type="dxa"/>
            <w:vAlign w:val="bottom"/>
            <w:tcBorders>
              <w:right w:val="single" w:sz="8" w:color="424E6A"/>
            </w:tcBorders>
            <w:shd w:val="clear" w:color="auto" w:fill="424E6A"/>
          </w:tcPr>
          <w:p>
            <w:pPr>
              <w:spacing w:after="0" w:line="20" w:lineRule="exact"/>
              <w:rPr>
                <w:sz w:val="1"/>
                <w:szCs w:val="1"/>
                <w:color w:val="auto"/>
              </w:rPr>
            </w:pPr>
          </w:p>
        </w:tc>
        <w:tc>
          <w:tcPr>
            <w:tcW w:w="80" w:type="dxa"/>
            <w:vAlign w:val="bottom"/>
            <w:shd w:val="clear" w:color="auto" w:fill="424E6A"/>
          </w:tcPr>
          <w:p>
            <w:pPr>
              <w:spacing w:after="0" w:line="20" w:lineRule="exact"/>
              <w:rPr>
                <w:sz w:val="1"/>
                <w:szCs w:val="1"/>
                <w:color w:val="auto"/>
              </w:rPr>
            </w:pPr>
          </w:p>
        </w:tc>
        <w:tc>
          <w:tcPr>
            <w:tcW w:w="700" w:type="dxa"/>
            <w:vAlign w:val="bottom"/>
            <w:shd w:val="clear" w:color="auto" w:fill="424E6A"/>
          </w:tcPr>
          <w:p>
            <w:pPr>
              <w:spacing w:after="0" w:line="20" w:lineRule="exact"/>
              <w:rPr>
                <w:sz w:val="1"/>
                <w:szCs w:val="1"/>
                <w:color w:val="auto"/>
              </w:rPr>
            </w:pPr>
          </w:p>
        </w:tc>
        <w:tc>
          <w:tcPr>
            <w:tcW w:w="120" w:type="dxa"/>
            <w:vAlign w:val="bottom"/>
            <w:tcBorders>
              <w:right w:val="single" w:sz="8" w:color="424E6A"/>
            </w:tcBorders>
            <w:shd w:val="clear" w:color="auto" w:fill="424E6A"/>
          </w:tcPr>
          <w:p>
            <w:pPr>
              <w:spacing w:after="0" w:line="20" w:lineRule="exact"/>
              <w:rPr>
                <w:sz w:val="1"/>
                <w:szCs w:val="1"/>
                <w:color w:val="auto"/>
              </w:rPr>
            </w:pPr>
          </w:p>
        </w:tc>
        <w:tc>
          <w:tcPr>
            <w:tcW w:w="740" w:type="dxa"/>
            <w:vAlign w:val="bottom"/>
            <w:shd w:val="clear" w:color="auto" w:fill="424E6A"/>
          </w:tcPr>
          <w:p>
            <w:pPr>
              <w:spacing w:after="0" w:line="20" w:lineRule="exact"/>
              <w:rPr>
                <w:sz w:val="1"/>
                <w:szCs w:val="1"/>
                <w:color w:val="auto"/>
              </w:rPr>
            </w:pPr>
          </w:p>
        </w:tc>
        <w:tc>
          <w:tcPr>
            <w:tcW w:w="160" w:type="dxa"/>
            <w:vAlign w:val="bottom"/>
            <w:tcBorders>
              <w:right w:val="single" w:sz="8" w:color="424E6A"/>
            </w:tcBorders>
            <w:shd w:val="clear" w:color="auto" w:fill="424E6A"/>
          </w:tcPr>
          <w:p>
            <w:pPr>
              <w:spacing w:after="0" w:line="20" w:lineRule="exact"/>
              <w:rPr>
                <w:sz w:val="1"/>
                <w:szCs w:val="1"/>
                <w:color w:val="auto"/>
              </w:rPr>
            </w:pPr>
          </w:p>
        </w:tc>
        <w:tc>
          <w:tcPr>
            <w:tcW w:w="80" w:type="dxa"/>
            <w:vAlign w:val="bottom"/>
            <w:shd w:val="clear" w:color="auto" w:fill="424E6A"/>
          </w:tcPr>
          <w:p>
            <w:pPr>
              <w:spacing w:after="0" w:line="20" w:lineRule="exact"/>
              <w:rPr>
                <w:sz w:val="1"/>
                <w:szCs w:val="1"/>
                <w:color w:val="auto"/>
              </w:rPr>
            </w:pPr>
          </w:p>
        </w:tc>
        <w:tc>
          <w:tcPr>
            <w:tcW w:w="980" w:type="dxa"/>
            <w:vAlign w:val="bottom"/>
            <w:shd w:val="clear" w:color="auto" w:fill="424E6A"/>
          </w:tcPr>
          <w:p>
            <w:pPr>
              <w:spacing w:after="0" w:line="20" w:lineRule="exact"/>
              <w:rPr>
                <w:sz w:val="1"/>
                <w:szCs w:val="1"/>
                <w:color w:val="auto"/>
              </w:rPr>
            </w:pPr>
          </w:p>
        </w:tc>
        <w:tc>
          <w:tcPr>
            <w:tcW w:w="100" w:type="dxa"/>
            <w:vAlign w:val="bottom"/>
            <w:tcBorders>
              <w:right w:val="single" w:sz="8" w:color="424E6A"/>
            </w:tcBorders>
            <w:shd w:val="clear" w:color="auto" w:fill="424E6A"/>
          </w:tcPr>
          <w:p>
            <w:pPr>
              <w:spacing w:after="0" w:line="20" w:lineRule="exact"/>
              <w:rPr>
                <w:sz w:val="1"/>
                <w:szCs w:val="1"/>
                <w:color w:val="auto"/>
              </w:rPr>
            </w:pPr>
          </w:p>
        </w:tc>
        <w:tc>
          <w:tcPr>
            <w:tcW w:w="1120" w:type="dxa"/>
            <w:vAlign w:val="bottom"/>
            <w:shd w:val="clear" w:color="auto" w:fill="424E6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-865505</wp:posOffset>
            </wp:positionV>
            <wp:extent cx="720090" cy="8661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0090" cy="86614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-865505</wp:posOffset>
            </wp:positionV>
            <wp:extent cx="8255" cy="8661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866140"/>
                    </a:xfrm>
                    <a:prstGeom prst="rect">
                      <a:avLst/>
                    </a:prstGeom>
                    <a:noFill/>
                  </pic:spPr>
                </pic:pic>
              </a:graphicData>
            </a:graphic>
          </wp:anchor>
        </w:drawing>
      </w:r>
    </w:p>
    <w:p>
      <w:pPr>
        <w:spacing w:after="0" w:line="177" w:lineRule="exact"/>
        <w:rPr>
          <w:sz w:val="20"/>
          <w:szCs w:val="20"/>
          <w:color w:val="auto"/>
        </w:rPr>
      </w:pPr>
    </w:p>
    <w:p>
      <w:pPr>
        <w:ind w:left="1620" w:right="1000" w:hanging="360"/>
        <w:spacing w:after="0" w:line="233" w:lineRule="auto"/>
        <w:tabs>
          <w:tab w:leader="none" w:pos="1620" w:val="left"/>
        </w:tabs>
        <w:numPr>
          <w:ilvl w:val="0"/>
          <w:numId w:val="61"/>
        </w:numPr>
        <w:rPr>
          <w:rFonts w:ascii="Arial" w:cs="Arial" w:eastAsia="Arial" w:hAnsi="Arial"/>
          <w:sz w:val="26"/>
          <w:szCs w:val="26"/>
          <w:color w:val="auto"/>
          <w:vertAlign w:val="superscript"/>
        </w:rPr>
      </w:pPr>
      <w:r>
        <w:rPr>
          <w:rFonts w:ascii="Arial" w:cs="Arial" w:eastAsia="Arial" w:hAnsi="Arial"/>
          <w:sz w:val="17"/>
          <w:szCs w:val="17"/>
          <w:color w:val="auto"/>
        </w:rPr>
        <w:t>For each of the years presented, our PEO is Willie Chiang. For 2025, our Non-PEO NEOs are Al Swanson, Richard McGee, Chris Chandler and Jeremy Goebel. For 2021 through 2024, our Non-PEO NEOs are Harry Pefanis, Al Swanson, Richard McGee, Chris Chandler and Jeremy Goebel.</w:t>
      </w:r>
    </w:p>
    <w:p>
      <w:pPr>
        <w:spacing w:after="0" w:line="45" w:lineRule="exact"/>
        <w:rPr>
          <w:rFonts w:ascii="Arial" w:cs="Arial" w:eastAsia="Arial" w:hAnsi="Arial"/>
          <w:sz w:val="26"/>
          <w:szCs w:val="26"/>
          <w:color w:val="auto"/>
          <w:vertAlign w:val="superscript"/>
        </w:rPr>
      </w:pPr>
    </w:p>
    <w:p>
      <w:pPr>
        <w:ind w:left="1620" w:right="1000" w:hanging="360"/>
        <w:spacing w:after="0" w:line="232" w:lineRule="auto"/>
        <w:tabs>
          <w:tab w:leader="none" w:pos="1620" w:val="left"/>
        </w:tabs>
        <w:numPr>
          <w:ilvl w:val="0"/>
          <w:numId w:val="61"/>
        </w:numPr>
        <w:rPr>
          <w:rFonts w:ascii="Arial" w:cs="Arial" w:eastAsia="Arial" w:hAnsi="Arial"/>
          <w:sz w:val="27"/>
          <w:szCs w:val="27"/>
          <w:color w:val="auto"/>
          <w:vertAlign w:val="superscript"/>
        </w:rPr>
      </w:pPr>
      <w:r>
        <w:rPr>
          <w:rFonts w:ascii="Arial" w:cs="Arial" w:eastAsia="Arial" w:hAnsi="Arial"/>
          <w:sz w:val="18"/>
          <w:szCs w:val="18"/>
          <w:color w:val="auto"/>
        </w:rPr>
        <w:t>The dollar amounts shown in these columns reflect CAP as calculated in accordance with SEC rules. As required, the dollar amounts include (among other items) values for unvested equity compensation that may or may not be realized in future periods, and as such, the dollar amounts shown do not necessarily represent the actual amount of compensation earned or paid during the applicable years.</w:t>
      </w:r>
    </w:p>
    <w:p>
      <w:pPr>
        <w:spacing w:after="0" w:line="47" w:lineRule="exact"/>
        <w:rPr>
          <w:rFonts w:ascii="Arial" w:cs="Arial" w:eastAsia="Arial" w:hAnsi="Arial"/>
          <w:sz w:val="27"/>
          <w:szCs w:val="27"/>
          <w:color w:val="auto"/>
          <w:vertAlign w:val="superscript"/>
        </w:rPr>
      </w:pPr>
    </w:p>
    <w:p>
      <w:pPr>
        <w:ind w:left="1620" w:right="780" w:hanging="360"/>
        <w:spacing w:after="0" w:line="228" w:lineRule="auto"/>
        <w:tabs>
          <w:tab w:leader="none" w:pos="1620" w:val="left"/>
        </w:tabs>
        <w:numPr>
          <w:ilvl w:val="0"/>
          <w:numId w:val="61"/>
        </w:numPr>
        <w:rPr>
          <w:rFonts w:ascii="Arial" w:cs="Arial" w:eastAsia="Arial" w:hAnsi="Arial"/>
          <w:sz w:val="27"/>
          <w:szCs w:val="27"/>
          <w:color w:val="auto"/>
          <w:vertAlign w:val="superscript"/>
        </w:rPr>
      </w:pPr>
      <w:r>
        <w:rPr>
          <w:rFonts w:ascii="Arial" w:cs="Arial" w:eastAsia="Arial" w:hAnsi="Arial"/>
          <w:sz w:val="18"/>
          <w:szCs w:val="18"/>
          <w:color w:val="auto"/>
        </w:rPr>
        <w:t>TSR figures assume an initial investment of $100 in PAA on December 31, 2020. The peer group referenced for purposes of the TSR comparison is the group of companies included in the Alerian Midstream Energy Index, which is the same index used for purposes of Item 201(e) of Regulation S-K.</w:t>
      </w:r>
    </w:p>
    <w:p>
      <w:pPr>
        <w:spacing w:after="0" w:line="114" w:lineRule="exact"/>
        <w:rPr>
          <w:sz w:val="20"/>
          <w:szCs w:val="20"/>
          <w:color w:val="auto"/>
        </w:rPr>
      </w:pPr>
    </w:p>
    <w:p>
      <w:pPr>
        <w:ind w:left="1260" w:right="1040" w:firstLine="360"/>
        <w:spacing w:after="0" w:line="287" w:lineRule="auto"/>
        <w:rPr>
          <w:sz w:val="20"/>
          <w:szCs w:val="20"/>
          <w:color w:val="auto"/>
        </w:rPr>
      </w:pPr>
      <w:r>
        <w:rPr>
          <w:rFonts w:ascii="Arial" w:cs="Arial" w:eastAsia="Arial" w:hAnsi="Arial"/>
          <w:sz w:val="18"/>
          <w:szCs w:val="18"/>
          <w:color w:val="auto"/>
        </w:rPr>
        <w:t>The adjustments made to the Summary Compensation Table (“SCT”) amounts to determine CAP are shown in the tables below:</w:t>
      </w:r>
    </w:p>
    <w:p>
      <w:pPr>
        <w:spacing w:after="0" w:line="105"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PEO — Reconciliation of SCT Total to CAP Total</w:t>
      </w:r>
      <w:r>
        <w:rPr>
          <w:rFonts w:ascii="Arial" w:cs="Arial" w:eastAsia="Arial" w:hAnsi="Arial"/>
          <w:sz w:val="26"/>
          <w:szCs w:val="26"/>
          <w:u w:val="single" w:color="auto"/>
          <w:color w:val="auto"/>
          <w:vertAlign w:val="superscript"/>
        </w:rPr>
        <w:t>(a)</w:t>
      </w:r>
    </w:p>
    <w:p>
      <w:pPr>
        <w:spacing w:after="0" w:line="159" w:lineRule="exact"/>
        <w:rPr>
          <w:sz w:val="20"/>
          <w:szCs w:val="20"/>
          <w:color w:val="auto"/>
        </w:rPr>
      </w:pPr>
    </w:p>
    <w:tbl>
      <w:tblPr>
        <w:tblLayout w:type="fixed"/>
        <w:tblInd w:w="1270" w:type="dxa"/>
        <w:tblCellMar>
          <w:top w:w="0" w:type="dxa"/>
          <w:left w:w="0" w:type="dxa"/>
          <w:bottom w:w="0" w:type="dxa"/>
          <w:right w:w="0" w:type="dxa"/>
        </w:tblCellMar>
      </w:tblPr>
      <w:tr>
        <w:trPr>
          <w:trHeight w:val="247"/>
        </w:trPr>
        <w:tc>
          <w:tcPr>
            <w:tcW w:w="1040" w:type="dxa"/>
            <w:vAlign w:val="bottom"/>
            <w:tcBorders>
              <w:left w:val="single" w:sz="8" w:color="424E6A"/>
            </w:tcBorders>
            <w:shd w:val="clear" w:color="auto" w:fill="424E6A"/>
          </w:tcPr>
          <w:p>
            <w:pPr>
              <w:spacing w:after="0"/>
              <w:rPr>
                <w:sz w:val="21"/>
                <w:szCs w:val="21"/>
                <w:color w:val="auto"/>
              </w:rPr>
            </w:pPr>
          </w:p>
        </w:tc>
        <w:tc>
          <w:tcPr>
            <w:tcW w:w="640" w:type="dxa"/>
            <w:vAlign w:val="bottom"/>
            <w:tcBorders>
              <w:right w:val="single" w:sz="8" w:color="424E6A"/>
            </w:tcBorders>
            <w:shd w:val="clear" w:color="auto" w:fill="424E6A"/>
          </w:tcPr>
          <w:p>
            <w:pPr>
              <w:spacing w:after="0"/>
              <w:rPr>
                <w:sz w:val="21"/>
                <w:szCs w:val="21"/>
                <w:color w:val="auto"/>
              </w:rPr>
            </w:pPr>
          </w:p>
        </w:tc>
        <w:tc>
          <w:tcPr>
            <w:tcW w:w="1220" w:type="dxa"/>
            <w:vAlign w:val="bottom"/>
            <w:tcBorders>
              <w:right w:val="single" w:sz="8" w:color="424E6A"/>
            </w:tcBorders>
            <w:shd w:val="clear" w:color="auto" w:fill="424E6A"/>
          </w:tcPr>
          <w:p>
            <w:pPr>
              <w:spacing w:after="0"/>
              <w:rPr>
                <w:sz w:val="21"/>
                <w:szCs w:val="21"/>
                <w:color w:val="auto"/>
              </w:rPr>
            </w:pPr>
          </w:p>
        </w:tc>
        <w:tc>
          <w:tcPr>
            <w:tcW w:w="400" w:type="dxa"/>
            <w:vAlign w:val="bottom"/>
            <w:tcBorders>
              <w:right w:val="single" w:sz="8" w:color="424E6A"/>
            </w:tcBorders>
            <w:shd w:val="clear" w:color="auto" w:fill="424E6A"/>
          </w:tcPr>
          <w:p>
            <w:pPr>
              <w:spacing w:after="0"/>
              <w:rPr>
                <w:sz w:val="21"/>
                <w:szCs w:val="21"/>
                <w:color w:val="auto"/>
              </w:rPr>
            </w:pPr>
          </w:p>
        </w:tc>
        <w:tc>
          <w:tcPr>
            <w:tcW w:w="100" w:type="dxa"/>
            <w:vAlign w:val="bottom"/>
            <w:shd w:val="clear" w:color="auto" w:fill="424E6A"/>
          </w:tcPr>
          <w:p>
            <w:pPr>
              <w:spacing w:after="0"/>
              <w:rPr>
                <w:sz w:val="21"/>
                <w:szCs w:val="21"/>
                <w:color w:val="auto"/>
              </w:rPr>
            </w:pPr>
          </w:p>
        </w:tc>
        <w:tc>
          <w:tcPr>
            <w:tcW w:w="11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Grant Date Fair</w:t>
            </w:r>
          </w:p>
        </w:tc>
        <w:tc>
          <w:tcPr>
            <w:tcW w:w="140" w:type="dxa"/>
            <w:vAlign w:val="bottom"/>
            <w:tcBorders>
              <w:right w:val="single" w:sz="8" w:color="424E6A"/>
            </w:tcBorders>
            <w:shd w:val="clear" w:color="auto" w:fill="424E6A"/>
          </w:tcPr>
          <w:p>
            <w:pPr>
              <w:spacing w:after="0"/>
              <w:rPr>
                <w:sz w:val="21"/>
                <w:szCs w:val="21"/>
                <w:color w:val="auto"/>
              </w:rPr>
            </w:pPr>
          </w:p>
        </w:tc>
        <w:tc>
          <w:tcPr>
            <w:tcW w:w="320" w:type="dxa"/>
            <w:vAlign w:val="bottom"/>
            <w:tcBorders>
              <w:right w:val="single" w:sz="8" w:color="424E6A"/>
            </w:tcBorders>
            <w:shd w:val="clear" w:color="auto" w:fill="424E6A"/>
          </w:tcPr>
          <w:p>
            <w:pPr>
              <w:spacing w:after="0"/>
              <w:rPr>
                <w:sz w:val="21"/>
                <w:szCs w:val="21"/>
                <w:color w:val="auto"/>
              </w:rPr>
            </w:pPr>
          </w:p>
        </w:tc>
        <w:tc>
          <w:tcPr>
            <w:tcW w:w="80" w:type="dxa"/>
            <w:vAlign w:val="bottom"/>
            <w:shd w:val="clear" w:color="auto" w:fill="424E6A"/>
          </w:tcPr>
          <w:p>
            <w:pPr>
              <w:spacing w:after="0"/>
              <w:rPr>
                <w:sz w:val="21"/>
                <w:szCs w:val="21"/>
                <w:color w:val="auto"/>
              </w:rPr>
            </w:pPr>
          </w:p>
        </w:tc>
        <w:tc>
          <w:tcPr>
            <w:tcW w:w="1360" w:type="dxa"/>
            <w:vAlign w:val="bottom"/>
            <w:shd w:val="clear" w:color="auto" w:fill="424E6A"/>
          </w:tcPr>
          <w:p>
            <w:pPr>
              <w:spacing w:after="0"/>
              <w:rPr>
                <w:sz w:val="21"/>
                <w:szCs w:val="21"/>
                <w:color w:val="auto"/>
              </w:rPr>
            </w:pPr>
          </w:p>
        </w:tc>
        <w:tc>
          <w:tcPr>
            <w:tcW w:w="140" w:type="dxa"/>
            <w:vAlign w:val="bottom"/>
            <w:tcBorders>
              <w:right w:val="single" w:sz="8" w:color="424E6A"/>
            </w:tcBorders>
            <w:shd w:val="clear" w:color="auto" w:fill="424E6A"/>
          </w:tcPr>
          <w:p>
            <w:pPr>
              <w:spacing w:after="0"/>
              <w:rPr>
                <w:sz w:val="21"/>
                <w:szCs w:val="21"/>
                <w:color w:val="auto"/>
              </w:rPr>
            </w:pPr>
          </w:p>
        </w:tc>
        <w:tc>
          <w:tcPr>
            <w:tcW w:w="300" w:type="dxa"/>
            <w:vAlign w:val="bottom"/>
            <w:tcBorders>
              <w:right w:val="single" w:sz="8" w:color="424E6A"/>
            </w:tcBorders>
            <w:shd w:val="clear" w:color="auto" w:fill="424E6A"/>
          </w:tcPr>
          <w:p>
            <w:pPr>
              <w:spacing w:after="0"/>
              <w:rPr>
                <w:sz w:val="21"/>
                <w:szCs w:val="21"/>
                <w:color w:val="auto"/>
              </w:rPr>
            </w:pPr>
          </w:p>
        </w:tc>
        <w:tc>
          <w:tcPr>
            <w:tcW w:w="1360" w:type="dxa"/>
            <w:vAlign w:val="bottom"/>
            <w:tcBorders>
              <w:right w:val="single" w:sz="8" w:color="424E6A"/>
            </w:tcBorders>
            <w:shd w:val="clear" w:color="auto" w:fill="424E6A"/>
          </w:tcPr>
          <w:p>
            <w:pPr>
              <w:spacing w:after="0"/>
              <w:rPr>
                <w:sz w:val="21"/>
                <w:szCs w:val="21"/>
                <w:color w:val="auto"/>
              </w:rPr>
            </w:pPr>
          </w:p>
        </w:tc>
      </w:tr>
      <w:tr>
        <w:trPr>
          <w:trHeight w:val="162"/>
        </w:trPr>
        <w:tc>
          <w:tcPr>
            <w:tcW w:w="1040" w:type="dxa"/>
            <w:vAlign w:val="bottom"/>
            <w:tcBorders>
              <w:left w:val="single" w:sz="8" w:color="424E6A"/>
            </w:tcBorders>
            <w:shd w:val="clear" w:color="auto" w:fill="424E6A"/>
          </w:tcPr>
          <w:p>
            <w:pPr>
              <w:spacing w:after="0"/>
              <w:rPr>
                <w:sz w:val="14"/>
                <w:szCs w:val="14"/>
                <w:color w:val="auto"/>
              </w:rPr>
            </w:pPr>
          </w:p>
        </w:tc>
        <w:tc>
          <w:tcPr>
            <w:tcW w:w="640" w:type="dxa"/>
            <w:vAlign w:val="bottom"/>
            <w:tcBorders>
              <w:right w:val="single" w:sz="8" w:color="424E6A"/>
            </w:tcBorders>
            <w:shd w:val="clear" w:color="auto" w:fill="424E6A"/>
          </w:tcPr>
          <w:p>
            <w:pPr>
              <w:spacing w:after="0"/>
              <w:rPr>
                <w:sz w:val="14"/>
                <w:szCs w:val="14"/>
                <w:color w:val="auto"/>
              </w:rPr>
            </w:pPr>
          </w:p>
        </w:tc>
        <w:tc>
          <w:tcPr>
            <w:tcW w:w="1220" w:type="dxa"/>
            <w:vAlign w:val="bottom"/>
            <w:tcBorders>
              <w:right w:val="single" w:sz="8" w:color="424E6A"/>
            </w:tcBorders>
            <w:shd w:val="clear" w:color="auto" w:fill="424E6A"/>
          </w:tcPr>
          <w:p>
            <w:pPr>
              <w:spacing w:after="0"/>
              <w:rPr>
                <w:sz w:val="14"/>
                <w:szCs w:val="14"/>
                <w:color w:val="auto"/>
              </w:rPr>
            </w:pPr>
          </w:p>
        </w:tc>
        <w:tc>
          <w:tcPr>
            <w:tcW w:w="4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1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Value of Awards</w:t>
            </w:r>
          </w:p>
        </w:tc>
        <w:tc>
          <w:tcPr>
            <w:tcW w:w="14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3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Fair Value of Equity</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360" w:type="dxa"/>
            <w:vAlign w:val="bottom"/>
            <w:tcBorders>
              <w:right w:val="single" w:sz="8" w:color="424E6A"/>
            </w:tcBorders>
            <w:shd w:val="clear" w:color="auto" w:fill="424E6A"/>
          </w:tcPr>
          <w:p>
            <w:pPr>
              <w:spacing w:after="0"/>
              <w:rPr>
                <w:sz w:val="14"/>
                <w:szCs w:val="14"/>
                <w:color w:val="auto"/>
              </w:rPr>
            </w:pPr>
          </w:p>
        </w:tc>
      </w:tr>
      <w:tr>
        <w:trPr>
          <w:trHeight w:val="162"/>
        </w:trPr>
        <w:tc>
          <w:tcPr>
            <w:tcW w:w="1040" w:type="dxa"/>
            <w:vAlign w:val="bottom"/>
            <w:tcBorders>
              <w:left w:val="single" w:sz="8" w:color="424E6A"/>
            </w:tcBorders>
            <w:shd w:val="clear" w:color="auto" w:fill="424E6A"/>
          </w:tcPr>
          <w:p>
            <w:pPr>
              <w:spacing w:after="0"/>
              <w:rPr>
                <w:sz w:val="14"/>
                <w:szCs w:val="14"/>
                <w:color w:val="auto"/>
              </w:rPr>
            </w:pPr>
          </w:p>
        </w:tc>
        <w:tc>
          <w:tcPr>
            <w:tcW w:w="640" w:type="dxa"/>
            <w:vAlign w:val="bottom"/>
            <w:tcBorders>
              <w:right w:val="single" w:sz="8" w:color="424E6A"/>
            </w:tcBorders>
            <w:shd w:val="clear" w:color="auto" w:fill="424E6A"/>
          </w:tcPr>
          <w:p>
            <w:pPr>
              <w:spacing w:after="0"/>
              <w:rPr>
                <w:sz w:val="14"/>
                <w:szCs w:val="14"/>
                <w:color w:val="auto"/>
              </w:rPr>
            </w:pPr>
          </w:p>
        </w:tc>
        <w:tc>
          <w:tcPr>
            <w:tcW w:w="1220" w:type="dxa"/>
            <w:vAlign w:val="bottom"/>
            <w:tcBorders>
              <w:right w:val="single" w:sz="8" w:color="424E6A"/>
            </w:tcBorders>
            <w:shd w:val="clear" w:color="auto" w:fill="424E6A"/>
          </w:tcPr>
          <w:p>
            <w:pPr>
              <w:spacing w:after="0"/>
              <w:rPr>
                <w:sz w:val="14"/>
                <w:szCs w:val="14"/>
                <w:color w:val="auto"/>
              </w:rPr>
            </w:pPr>
          </w:p>
        </w:tc>
        <w:tc>
          <w:tcPr>
            <w:tcW w:w="4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1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Granted During</w:t>
            </w:r>
          </w:p>
        </w:tc>
        <w:tc>
          <w:tcPr>
            <w:tcW w:w="14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3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Calculated Using</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360" w:type="dxa"/>
            <w:vAlign w:val="bottom"/>
            <w:tcBorders>
              <w:right w:val="single" w:sz="8" w:color="424E6A"/>
            </w:tcBorders>
            <w:shd w:val="clear" w:color="auto" w:fill="424E6A"/>
          </w:tcPr>
          <w:p>
            <w:pPr>
              <w:spacing w:after="0"/>
              <w:rPr>
                <w:sz w:val="14"/>
                <w:szCs w:val="14"/>
                <w:color w:val="auto"/>
              </w:rPr>
            </w:pPr>
          </w:p>
        </w:tc>
      </w:tr>
      <w:tr>
        <w:trPr>
          <w:trHeight w:val="212"/>
        </w:trPr>
        <w:tc>
          <w:tcPr>
            <w:tcW w:w="1040" w:type="dxa"/>
            <w:vAlign w:val="bottom"/>
            <w:tcBorders>
              <w:lef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Year</w:t>
            </w:r>
          </w:p>
        </w:tc>
        <w:tc>
          <w:tcPr>
            <w:tcW w:w="2360" w:type="dxa"/>
            <w:vAlign w:val="bottom"/>
            <w:gridSpan w:val="4"/>
            <w:shd w:val="clear" w:color="auto" w:fill="424E6A"/>
          </w:tcPr>
          <w:p>
            <w:pPr>
              <w:ind w:left="580"/>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   SCT Total   </w:t>
            </w:r>
            <w:r>
              <w:rPr>
                <w:rFonts w:ascii="Arial" w:cs="Arial" w:eastAsia="Arial" w:hAnsi="Arial"/>
                <w:sz w:val="22"/>
                <w:szCs w:val="22"/>
                <w:b w:val="1"/>
                <w:bCs w:val="1"/>
                <w:color w:val="FFFFFF"/>
                <w:vertAlign w:val="subscript"/>
              </w:rPr>
              <w:t>​ ​   ​ ​</w:t>
            </w:r>
          </w:p>
        </w:tc>
        <w:tc>
          <w:tcPr>
            <w:tcW w:w="11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7"/>
              </w:rPr>
              <w:t>the Year</w:t>
            </w:r>
          </w:p>
        </w:tc>
        <w:tc>
          <w:tcPr>
            <w:tcW w:w="540" w:type="dxa"/>
            <w:vAlign w:val="bottom"/>
            <w:gridSpan w:val="3"/>
            <w:shd w:val="clear" w:color="auto" w:fill="424E6A"/>
          </w:tcPr>
          <w:p>
            <w:pPr>
              <w:jc w:val="right"/>
              <w:spacing w:after="0"/>
              <w:rPr>
                <w:sz w:val="20"/>
                <w:szCs w:val="20"/>
                <w:color w:val="auto"/>
              </w:rPr>
            </w:pPr>
            <w:r>
              <w:rPr>
                <w:rFonts w:ascii="Arial" w:cs="Arial" w:eastAsia="Arial" w:hAnsi="Arial"/>
                <w:sz w:val="14"/>
                <w:szCs w:val="14"/>
                <w:b w:val="1"/>
                <w:bCs w:val="1"/>
                <w:color w:val="FFFFFF"/>
              </w:rPr>
              <w:t>​ ​  ​ ​</w:t>
            </w:r>
          </w:p>
        </w:tc>
        <w:tc>
          <w:tcPr>
            <w:tcW w:w="13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SEC Methodology</w:t>
            </w:r>
          </w:p>
        </w:tc>
        <w:tc>
          <w:tcPr>
            <w:tcW w:w="1800" w:type="dxa"/>
            <w:vAlign w:val="bottom"/>
            <w:tcBorders>
              <w:right w:val="single" w:sz="8" w:color="424E6A"/>
            </w:tcBorders>
            <w:gridSpan w:val="3"/>
            <w:shd w:val="clear" w:color="auto" w:fill="424E6A"/>
          </w:tcPr>
          <w:p>
            <w:pPr>
              <w:ind w:left="60"/>
              <w:spacing w:after="0" w:line="199" w:lineRule="exact"/>
              <w:rPr>
                <w:sz w:val="20"/>
                <w:szCs w:val="20"/>
                <w:color w:val="auto"/>
              </w:rPr>
            </w:pPr>
            <w:r>
              <w:rPr>
                <w:rFonts w:ascii="Arial" w:cs="Arial" w:eastAsia="Arial" w:hAnsi="Arial"/>
                <w:sz w:val="22"/>
                <w:szCs w:val="22"/>
                <w:b w:val="1"/>
                <w:bCs w:val="1"/>
                <w:color w:val="FFFFFF"/>
                <w:vertAlign w:val="subscript"/>
              </w:rPr>
              <w:t>​ ​  ​ ​</w:t>
            </w:r>
            <w:r>
              <w:rPr>
                <w:rFonts w:ascii="Arial" w:cs="Arial" w:eastAsia="Arial" w:hAnsi="Arial"/>
                <w:sz w:val="12"/>
                <w:szCs w:val="12"/>
                <w:b w:val="1"/>
                <w:bCs w:val="1"/>
                <w:color w:val="FFFFFF"/>
              </w:rPr>
              <w:t xml:space="preserve">  CAP Total</w:t>
            </w:r>
          </w:p>
        </w:tc>
      </w:tr>
      <w:tr>
        <w:trPr>
          <w:trHeight w:val="257"/>
        </w:trPr>
        <w:tc>
          <w:tcPr>
            <w:tcW w:w="104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2025</w:t>
            </w:r>
          </w:p>
        </w:tc>
        <w:tc>
          <w:tcPr>
            <w:tcW w:w="640" w:type="dxa"/>
            <w:vAlign w:val="bottom"/>
            <w:tcBorders>
              <w:bottom w:val="single" w:sz="8" w:color="424E6A"/>
              <w:right w:val="single" w:sz="8" w:color="424E6A"/>
            </w:tcBorders>
          </w:tcPr>
          <w:p>
            <w:pPr>
              <w:ind w:left="5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​​$12,295,167 ​</w:t>
            </w:r>
          </w:p>
        </w:tc>
        <w:tc>
          <w:tcPr>
            <w:tcW w:w="400" w:type="dxa"/>
            <w:vAlign w:val="bottom"/>
            <w:tcBorders>
              <w:bottom w:val="single" w:sz="8" w:color="424E6A"/>
              <w:right w:val="single" w:sz="8" w:color="424E6A"/>
            </w:tcBorders>
          </w:tcPr>
          <w:p>
            <w:pPr>
              <w:ind w:left="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rPr>
              <w:t>​$8,435,827</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424E6A"/>
              <w:right w:val="single" w:sz="8" w:color="424E6A"/>
            </w:tcBorders>
          </w:tcPr>
          <w:p>
            <w:pPr>
              <w:ind w:left="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rPr>
              <w:t>​$14,769,804</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424E6A"/>
              <w:right w:val="single" w:sz="8" w:color="424E6A"/>
            </w:tcBorders>
          </w:tcPr>
          <w:p>
            <w:pPr>
              <w:ind w:left="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36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​​$18,629,144</w:t>
            </w:r>
          </w:p>
        </w:tc>
      </w:tr>
    </w:tbl>
    <w:p>
      <w:pPr>
        <w:spacing w:after="0" w:line="157" w:lineRule="exact"/>
        <w:rPr>
          <w:sz w:val="20"/>
          <w:szCs w:val="20"/>
          <w:color w:val="auto"/>
        </w:rPr>
      </w:pPr>
    </w:p>
    <w:p>
      <w:pPr>
        <w:ind w:left="1620" w:right="1200" w:hanging="360"/>
        <w:spacing w:after="0" w:line="220" w:lineRule="auto"/>
        <w:tabs>
          <w:tab w:leader="none" w:pos="1620" w:val="left"/>
        </w:tabs>
        <w:numPr>
          <w:ilvl w:val="0"/>
          <w:numId w:val="62"/>
        </w:numPr>
        <w:rPr>
          <w:rFonts w:ascii="Arial" w:cs="Arial" w:eastAsia="Arial" w:hAnsi="Arial"/>
          <w:sz w:val="26"/>
          <w:szCs w:val="26"/>
          <w:color w:val="auto"/>
          <w:vertAlign w:val="superscript"/>
        </w:rPr>
      </w:pPr>
      <w:r>
        <w:rPr>
          <w:rFonts w:ascii="Arial" w:cs="Arial" w:eastAsia="Arial" w:hAnsi="Arial"/>
          <w:sz w:val="17"/>
          <w:szCs w:val="17"/>
          <w:color w:val="auto"/>
        </w:rPr>
        <w:t>As shown in the table, the CAP total represents the SCT total for the covered fiscal year, but adjusted as required by SEC rules to replace the grant date fair value of awards granted during</w:t>
      </w:r>
    </w:p>
    <w:p>
      <w:pPr>
        <w:sectPr>
          <w:pgSz w:w="11900" w:h="16838" w:orient="portrait"/>
          <w:cols w:equalWidth="0" w:num="1">
            <w:col w:w="10240"/>
          </w:cols>
          <w:pgMar w:left="580" w:top="97" w:right="1079" w:bottom="1440" w:gutter="0" w:footer="0" w:header="0"/>
        </w:sectPr>
      </w:pPr>
    </w:p>
    <w:p>
      <w:pPr>
        <w:spacing w:after="0" w:line="38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97" w:right="1079"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539"/>
        <w:spacing w:after="0" w:line="262" w:lineRule="auto"/>
        <w:rPr>
          <w:sz w:val="20"/>
          <w:szCs w:val="20"/>
          <w:color w:val="auto"/>
        </w:rPr>
      </w:pPr>
      <w:r>
        <w:rPr>
          <w:rFonts w:ascii="Arial" w:cs="Arial" w:eastAsia="Arial" w:hAnsi="Arial"/>
          <w:sz w:val="18"/>
          <w:szCs w:val="18"/>
          <w:color w:val="auto"/>
        </w:rPr>
        <w:t>the covered fiscal year with the fair value of current and prior year equity awards that were outstanding at the end of the covered fiscal year or that vested or were forfeited during the covered fiscal year. Our NEOs do not participate in a defined benefit plan; therefore, no adjustment for pension benefits is included.</w:t>
      </w:r>
    </w:p>
    <w:p>
      <w:pPr>
        <w:spacing w:after="0" w:line="109" w:lineRule="exact"/>
        <w:rPr>
          <w:sz w:val="20"/>
          <w:szCs w:val="20"/>
          <w:color w:val="auto"/>
        </w:rPr>
      </w:pPr>
    </w:p>
    <w:p>
      <w:pPr>
        <w:ind w:left="1260" w:right="839" w:firstLine="360"/>
        <w:spacing w:after="0" w:line="287" w:lineRule="auto"/>
        <w:rPr>
          <w:sz w:val="20"/>
          <w:szCs w:val="20"/>
          <w:color w:val="auto"/>
        </w:rPr>
      </w:pPr>
      <w:r>
        <w:rPr>
          <w:rFonts w:ascii="Arial" w:cs="Arial" w:eastAsia="Arial" w:hAnsi="Arial"/>
          <w:sz w:val="18"/>
          <w:szCs w:val="18"/>
          <w:color w:val="auto"/>
        </w:rPr>
        <w:t>The calculation of the fair value of equity for the PEO for the covered fiscal year is shown in the following table:</w:t>
      </w:r>
    </w:p>
    <w:p>
      <w:pPr>
        <w:spacing w:after="0" w:line="119"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PEO — CAP Fair Value of Equity Calculation</w:t>
      </w:r>
      <w:r>
        <w:rPr>
          <w:rFonts w:ascii="Arial" w:cs="Arial" w:eastAsia="Arial" w:hAnsi="Arial"/>
          <w:sz w:val="26"/>
          <w:szCs w:val="26"/>
          <w:u w:val="single" w:color="auto"/>
          <w:color w:val="auto"/>
          <w:vertAlign w:val="superscript"/>
        </w:rPr>
        <w:t>(a)</w:t>
      </w:r>
    </w:p>
    <w:p>
      <w:pPr>
        <w:spacing w:after="0" w:line="159" w:lineRule="exact"/>
        <w:rPr>
          <w:sz w:val="20"/>
          <w:szCs w:val="20"/>
          <w:color w:val="auto"/>
        </w:rPr>
      </w:pPr>
    </w:p>
    <w:tbl>
      <w:tblPr>
        <w:tblLayout w:type="fixed"/>
        <w:tblInd w:w="1270" w:type="dxa"/>
        <w:tblCellMar>
          <w:top w:w="0" w:type="dxa"/>
          <w:left w:w="0" w:type="dxa"/>
          <w:bottom w:w="0" w:type="dxa"/>
          <w:right w:w="0" w:type="dxa"/>
        </w:tblCellMar>
      </w:tblPr>
      <w:tr>
        <w:trPr>
          <w:trHeight w:val="247"/>
        </w:trPr>
        <w:tc>
          <w:tcPr>
            <w:tcW w:w="880" w:type="dxa"/>
            <w:vAlign w:val="bottom"/>
            <w:tcBorders>
              <w:left w:val="single" w:sz="8" w:color="424E6A"/>
              <w:right w:val="single" w:sz="8" w:color="424E6A"/>
            </w:tcBorders>
            <w:shd w:val="clear" w:color="auto" w:fill="424E6A"/>
          </w:tcPr>
          <w:p>
            <w:pPr>
              <w:spacing w:after="0"/>
              <w:rPr>
                <w:sz w:val="21"/>
                <w:szCs w:val="21"/>
                <w:color w:val="auto"/>
              </w:rPr>
            </w:pPr>
          </w:p>
        </w:tc>
        <w:tc>
          <w:tcPr>
            <w:tcW w:w="1000" w:type="dxa"/>
            <w:vAlign w:val="bottom"/>
            <w:shd w:val="clear" w:color="auto" w:fill="424E6A"/>
          </w:tcPr>
          <w:p>
            <w:pPr>
              <w:spacing w:after="0"/>
              <w:rPr>
                <w:sz w:val="21"/>
                <w:szCs w:val="21"/>
                <w:color w:val="auto"/>
              </w:rPr>
            </w:pPr>
          </w:p>
        </w:tc>
        <w:tc>
          <w:tcPr>
            <w:tcW w:w="120" w:type="dxa"/>
            <w:vAlign w:val="bottom"/>
            <w:tcBorders>
              <w:right w:val="single" w:sz="8" w:color="424E6A"/>
            </w:tcBorders>
            <w:shd w:val="clear" w:color="auto" w:fill="424E6A"/>
          </w:tcPr>
          <w:p>
            <w:pPr>
              <w:spacing w:after="0"/>
              <w:rPr>
                <w:sz w:val="21"/>
                <w:szCs w:val="21"/>
                <w:color w:val="auto"/>
              </w:rPr>
            </w:pPr>
          </w:p>
        </w:tc>
        <w:tc>
          <w:tcPr>
            <w:tcW w:w="300" w:type="dxa"/>
            <w:vAlign w:val="bottom"/>
            <w:tcBorders>
              <w:right w:val="single" w:sz="8" w:color="424E6A"/>
            </w:tcBorders>
            <w:shd w:val="clear" w:color="auto" w:fill="424E6A"/>
          </w:tcPr>
          <w:p>
            <w:pPr>
              <w:spacing w:after="0"/>
              <w:rPr>
                <w:sz w:val="21"/>
                <w:szCs w:val="21"/>
                <w:color w:val="auto"/>
              </w:rPr>
            </w:pPr>
          </w:p>
        </w:tc>
        <w:tc>
          <w:tcPr>
            <w:tcW w:w="80" w:type="dxa"/>
            <w:vAlign w:val="bottom"/>
            <w:shd w:val="clear" w:color="auto" w:fill="424E6A"/>
          </w:tcPr>
          <w:p>
            <w:pPr>
              <w:spacing w:after="0"/>
              <w:rPr>
                <w:sz w:val="21"/>
                <w:szCs w:val="21"/>
                <w:color w:val="auto"/>
              </w:rPr>
            </w:pPr>
          </w:p>
        </w:tc>
        <w:tc>
          <w:tcPr>
            <w:tcW w:w="1060" w:type="dxa"/>
            <w:vAlign w:val="bottom"/>
            <w:shd w:val="clear" w:color="auto" w:fill="424E6A"/>
          </w:tcPr>
          <w:p>
            <w:pPr>
              <w:spacing w:after="0"/>
              <w:rPr>
                <w:sz w:val="21"/>
                <w:szCs w:val="21"/>
                <w:color w:val="auto"/>
              </w:rPr>
            </w:pPr>
          </w:p>
        </w:tc>
        <w:tc>
          <w:tcPr>
            <w:tcW w:w="120" w:type="dxa"/>
            <w:vAlign w:val="bottom"/>
            <w:tcBorders>
              <w:right w:val="single" w:sz="8" w:color="424E6A"/>
            </w:tcBorders>
            <w:shd w:val="clear" w:color="auto" w:fill="424E6A"/>
          </w:tcPr>
          <w:p>
            <w:pPr>
              <w:spacing w:after="0"/>
              <w:rPr>
                <w:sz w:val="21"/>
                <w:szCs w:val="21"/>
                <w:color w:val="auto"/>
              </w:rPr>
            </w:pPr>
          </w:p>
        </w:tc>
        <w:tc>
          <w:tcPr>
            <w:tcW w:w="300" w:type="dxa"/>
            <w:vAlign w:val="bottom"/>
            <w:tcBorders>
              <w:right w:val="single" w:sz="8" w:color="424E6A"/>
            </w:tcBorders>
            <w:shd w:val="clear" w:color="auto" w:fill="424E6A"/>
          </w:tcPr>
          <w:p>
            <w:pPr>
              <w:spacing w:after="0"/>
              <w:rPr>
                <w:sz w:val="21"/>
                <w:szCs w:val="21"/>
                <w:color w:val="auto"/>
              </w:rPr>
            </w:pPr>
          </w:p>
        </w:tc>
        <w:tc>
          <w:tcPr>
            <w:tcW w:w="100" w:type="dxa"/>
            <w:vAlign w:val="bottom"/>
            <w:shd w:val="clear" w:color="auto" w:fill="424E6A"/>
          </w:tcPr>
          <w:p>
            <w:pPr>
              <w:spacing w:after="0"/>
              <w:rPr>
                <w:sz w:val="21"/>
                <w:szCs w:val="21"/>
                <w:color w:val="auto"/>
              </w:rPr>
            </w:pPr>
          </w:p>
        </w:tc>
        <w:tc>
          <w:tcPr>
            <w:tcW w:w="10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Change in Fair</w:t>
            </w:r>
          </w:p>
        </w:tc>
        <w:tc>
          <w:tcPr>
            <w:tcW w:w="120" w:type="dxa"/>
            <w:vAlign w:val="bottom"/>
            <w:tcBorders>
              <w:right w:val="single" w:sz="8" w:color="424E6A"/>
            </w:tcBorders>
            <w:shd w:val="clear" w:color="auto" w:fill="424E6A"/>
          </w:tcPr>
          <w:p>
            <w:pPr>
              <w:spacing w:after="0"/>
              <w:rPr>
                <w:sz w:val="21"/>
                <w:szCs w:val="21"/>
                <w:color w:val="auto"/>
              </w:rPr>
            </w:pPr>
          </w:p>
        </w:tc>
        <w:tc>
          <w:tcPr>
            <w:tcW w:w="320" w:type="dxa"/>
            <w:vAlign w:val="bottom"/>
            <w:tcBorders>
              <w:right w:val="single" w:sz="8" w:color="424E6A"/>
            </w:tcBorders>
            <w:shd w:val="clear" w:color="auto" w:fill="424E6A"/>
          </w:tcPr>
          <w:p>
            <w:pPr>
              <w:spacing w:after="0"/>
              <w:rPr>
                <w:sz w:val="21"/>
                <w:szCs w:val="21"/>
                <w:color w:val="auto"/>
              </w:rPr>
            </w:pPr>
          </w:p>
        </w:tc>
        <w:tc>
          <w:tcPr>
            <w:tcW w:w="1000" w:type="dxa"/>
            <w:vAlign w:val="bottom"/>
            <w:shd w:val="clear" w:color="auto" w:fill="424E6A"/>
          </w:tcPr>
          <w:p>
            <w:pPr>
              <w:spacing w:after="0"/>
              <w:rPr>
                <w:sz w:val="21"/>
                <w:szCs w:val="21"/>
                <w:color w:val="auto"/>
              </w:rPr>
            </w:pPr>
          </w:p>
        </w:tc>
        <w:tc>
          <w:tcPr>
            <w:tcW w:w="140" w:type="dxa"/>
            <w:vAlign w:val="bottom"/>
            <w:tcBorders>
              <w:right w:val="single" w:sz="8" w:color="424E6A"/>
            </w:tcBorders>
            <w:shd w:val="clear" w:color="auto" w:fill="424E6A"/>
          </w:tcPr>
          <w:p>
            <w:pPr>
              <w:spacing w:after="0"/>
              <w:rPr>
                <w:sz w:val="21"/>
                <w:szCs w:val="21"/>
                <w:color w:val="auto"/>
              </w:rPr>
            </w:pPr>
          </w:p>
        </w:tc>
        <w:tc>
          <w:tcPr>
            <w:tcW w:w="300" w:type="dxa"/>
            <w:vAlign w:val="bottom"/>
            <w:tcBorders>
              <w:right w:val="single" w:sz="8" w:color="424E6A"/>
            </w:tcBorders>
            <w:shd w:val="clear" w:color="auto" w:fill="424E6A"/>
          </w:tcPr>
          <w:p>
            <w:pPr>
              <w:spacing w:after="0"/>
              <w:rPr>
                <w:sz w:val="21"/>
                <w:szCs w:val="21"/>
                <w:color w:val="auto"/>
              </w:rPr>
            </w:pPr>
          </w:p>
        </w:tc>
        <w:tc>
          <w:tcPr>
            <w:tcW w:w="1360" w:type="dxa"/>
            <w:vAlign w:val="bottom"/>
            <w:tcBorders>
              <w:right w:val="single" w:sz="8" w:color="424E6A"/>
            </w:tcBorders>
            <w:shd w:val="clear" w:color="auto" w:fill="424E6A"/>
          </w:tcPr>
          <w:p>
            <w:pPr>
              <w:spacing w:after="0"/>
              <w:rPr>
                <w:sz w:val="21"/>
                <w:szCs w:val="21"/>
                <w:color w:val="auto"/>
              </w:rPr>
            </w:pPr>
          </w:p>
        </w:tc>
      </w:tr>
      <w:tr>
        <w:trPr>
          <w:trHeight w:val="162"/>
        </w:trPr>
        <w:tc>
          <w:tcPr>
            <w:tcW w:w="880" w:type="dxa"/>
            <w:vAlign w:val="bottom"/>
            <w:tcBorders>
              <w:left w:val="single" w:sz="8" w:color="424E6A"/>
              <w:right w:val="single" w:sz="8" w:color="424E6A"/>
            </w:tcBorders>
            <w:shd w:val="clear" w:color="auto" w:fill="424E6A"/>
          </w:tcPr>
          <w:p>
            <w:pPr>
              <w:spacing w:after="0"/>
              <w:rPr>
                <w:sz w:val="14"/>
                <w:szCs w:val="14"/>
                <w:color w:val="auto"/>
              </w:rPr>
            </w:pPr>
          </w:p>
        </w:tc>
        <w:tc>
          <w:tcPr>
            <w:tcW w:w="10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YE Fair</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Change in Fair</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Value as of</w:t>
            </w:r>
          </w:p>
        </w:tc>
        <w:tc>
          <w:tcPr>
            <w:tcW w:w="12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1000" w:type="dxa"/>
            <w:vAlign w:val="bottom"/>
            <w:shd w:val="clear" w:color="auto" w:fill="424E6A"/>
          </w:tcPr>
          <w:p>
            <w:pPr>
              <w:spacing w:after="0"/>
              <w:rPr>
                <w:sz w:val="14"/>
                <w:szCs w:val="14"/>
                <w:color w:val="auto"/>
              </w:rPr>
            </w:pP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360" w:type="dxa"/>
            <w:vAlign w:val="bottom"/>
            <w:tcBorders>
              <w:right w:val="single" w:sz="8" w:color="424E6A"/>
            </w:tcBorders>
            <w:shd w:val="clear" w:color="auto" w:fill="424E6A"/>
          </w:tcPr>
          <w:p>
            <w:pPr>
              <w:spacing w:after="0"/>
              <w:rPr>
                <w:sz w:val="14"/>
                <w:szCs w:val="14"/>
                <w:color w:val="auto"/>
              </w:rPr>
            </w:pPr>
          </w:p>
        </w:tc>
      </w:tr>
      <w:tr>
        <w:trPr>
          <w:trHeight w:val="162"/>
        </w:trPr>
        <w:tc>
          <w:tcPr>
            <w:tcW w:w="880" w:type="dxa"/>
            <w:vAlign w:val="bottom"/>
            <w:tcBorders>
              <w:left w:val="single" w:sz="8" w:color="424E6A"/>
              <w:right w:val="single" w:sz="8" w:color="424E6A"/>
            </w:tcBorders>
            <w:shd w:val="clear" w:color="auto" w:fill="424E6A"/>
          </w:tcPr>
          <w:p>
            <w:pPr>
              <w:spacing w:after="0"/>
              <w:rPr>
                <w:sz w:val="14"/>
                <w:szCs w:val="14"/>
                <w:color w:val="auto"/>
              </w:rPr>
            </w:pPr>
          </w:p>
        </w:tc>
        <w:tc>
          <w:tcPr>
            <w:tcW w:w="10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9"/>
              </w:rPr>
              <w:t>Value of</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Value as of YE</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Vesting Date</w:t>
            </w:r>
          </w:p>
        </w:tc>
        <w:tc>
          <w:tcPr>
            <w:tcW w:w="12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1000" w:type="dxa"/>
            <w:vAlign w:val="bottom"/>
            <w:shd w:val="clear" w:color="auto" w:fill="424E6A"/>
          </w:tcPr>
          <w:p>
            <w:pPr>
              <w:spacing w:after="0"/>
              <w:rPr>
                <w:sz w:val="14"/>
                <w:szCs w:val="14"/>
                <w:color w:val="auto"/>
              </w:rPr>
            </w:pP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360" w:type="dxa"/>
            <w:vAlign w:val="bottom"/>
            <w:tcBorders>
              <w:right w:val="single" w:sz="8" w:color="424E6A"/>
            </w:tcBorders>
            <w:shd w:val="clear" w:color="auto" w:fill="424E6A"/>
          </w:tcPr>
          <w:p>
            <w:pPr>
              <w:spacing w:after="0"/>
              <w:rPr>
                <w:sz w:val="14"/>
                <w:szCs w:val="14"/>
                <w:color w:val="auto"/>
              </w:rPr>
            </w:pPr>
          </w:p>
        </w:tc>
      </w:tr>
      <w:tr>
        <w:trPr>
          <w:trHeight w:val="162"/>
        </w:trPr>
        <w:tc>
          <w:tcPr>
            <w:tcW w:w="880" w:type="dxa"/>
            <w:vAlign w:val="bottom"/>
            <w:tcBorders>
              <w:left w:val="single" w:sz="8" w:color="424E6A"/>
              <w:right w:val="single" w:sz="8" w:color="424E6A"/>
            </w:tcBorders>
            <w:shd w:val="clear" w:color="auto" w:fill="424E6A"/>
          </w:tcPr>
          <w:p>
            <w:pPr>
              <w:spacing w:after="0"/>
              <w:rPr>
                <w:sz w:val="14"/>
                <w:szCs w:val="14"/>
                <w:color w:val="auto"/>
              </w:rPr>
            </w:pPr>
          </w:p>
        </w:tc>
        <w:tc>
          <w:tcPr>
            <w:tcW w:w="10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Current Year</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for Prior Year</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for Prior Year</w:t>
            </w:r>
          </w:p>
        </w:tc>
        <w:tc>
          <w:tcPr>
            <w:tcW w:w="12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1000" w:type="dxa"/>
            <w:vAlign w:val="bottom"/>
            <w:shd w:val="clear" w:color="auto" w:fill="424E6A"/>
          </w:tcPr>
          <w:p>
            <w:pPr>
              <w:jc w:val="center"/>
              <w:ind w:left="4"/>
              <w:spacing w:after="0"/>
              <w:rPr>
                <w:sz w:val="20"/>
                <w:szCs w:val="20"/>
                <w:color w:val="auto"/>
              </w:rPr>
            </w:pPr>
            <w:r>
              <w:rPr>
                <w:rFonts w:ascii="Arial" w:cs="Arial" w:eastAsia="Arial" w:hAnsi="Arial"/>
                <w:sz w:val="14"/>
                <w:szCs w:val="14"/>
                <w:b w:val="1"/>
                <w:bCs w:val="1"/>
                <w:color w:val="FFFFFF"/>
              </w:rPr>
              <w:t>Fair Value</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360" w:type="dxa"/>
            <w:vAlign w:val="bottom"/>
            <w:tcBorders>
              <w:right w:val="single" w:sz="8" w:color="424E6A"/>
            </w:tcBorders>
            <w:shd w:val="clear" w:color="auto" w:fill="424E6A"/>
          </w:tcPr>
          <w:p>
            <w:pPr>
              <w:jc w:val="center"/>
              <w:ind w:right="104"/>
              <w:spacing w:after="0"/>
              <w:rPr>
                <w:sz w:val="20"/>
                <w:szCs w:val="20"/>
                <w:color w:val="auto"/>
              </w:rPr>
            </w:pPr>
            <w:r>
              <w:rPr>
                <w:rFonts w:ascii="Arial" w:cs="Arial" w:eastAsia="Arial" w:hAnsi="Arial"/>
                <w:sz w:val="14"/>
                <w:szCs w:val="14"/>
                <w:b w:val="1"/>
                <w:bCs w:val="1"/>
                <w:color w:val="FFFFFF"/>
              </w:rPr>
              <w:t>Fair Value of</w:t>
            </w:r>
          </w:p>
        </w:tc>
      </w:tr>
      <w:tr>
        <w:trPr>
          <w:trHeight w:val="162"/>
        </w:trPr>
        <w:tc>
          <w:tcPr>
            <w:tcW w:w="880" w:type="dxa"/>
            <w:vAlign w:val="bottom"/>
            <w:tcBorders>
              <w:left w:val="single" w:sz="8" w:color="424E6A"/>
              <w:right w:val="single" w:sz="8" w:color="424E6A"/>
            </w:tcBorders>
            <w:shd w:val="clear" w:color="auto" w:fill="424E6A"/>
          </w:tcPr>
          <w:p>
            <w:pPr>
              <w:spacing w:after="0"/>
              <w:rPr>
                <w:sz w:val="14"/>
                <w:szCs w:val="14"/>
                <w:color w:val="auto"/>
              </w:rPr>
            </w:pPr>
          </w:p>
        </w:tc>
        <w:tc>
          <w:tcPr>
            <w:tcW w:w="10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8"/>
              </w:rPr>
              <w:t>Awards</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Awards</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Awards that</w:t>
            </w:r>
          </w:p>
        </w:tc>
        <w:tc>
          <w:tcPr>
            <w:tcW w:w="12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1000" w:type="dxa"/>
            <w:vAlign w:val="bottom"/>
            <w:shd w:val="clear" w:color="auto" w:fill="424E6A"/>
          </w:tcPr>
          <w:p>
            <w:pPr>
              <w:jc w:val="center"/>
              <w:ind w:left="4"/>
              <w:spacing w:after="0"/>
              <w:rPr>
                <w:sz w:val="20"/>
                <w:szCs w:val="20"/>
                <w:color w:val="auto"/>
              </w:rPr>
            </w:pPr>
            <w:r>
              <w:rPr>
                <w:rFonts w:ascii="Arial" w:cs="Arial" w:eastAsia="Arial" w:hAnsi="Arial"/>
                <w:sz w:val="14"/>
                <w:szCs w:val="14"/>
                <w:b w:val="1"/>
                <w:bCs w:val="1"/>
                <w:color w:val="FFFFFF"/>
              </w:rPr>
              <w:t>of DERs</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360" w:type="dxa"/>
            <w:vAlign w:val="bottom"/>
            <w:tcBorders>
              <w:right w:val="single" w:sz="8" w:color="424E6A"/>
            </w:tcBorders>
            <w:shd w:val="clear" w:color="auto" w:fill="424E6A"/>
          </w:tcPr>
          <w:p>
            <w:pPr>
              <w:jc w:val="center"/>
              <w:ind w:right="104"/>
              <w:spacing w:after="0"/>
              <w:rPr>
                <w:sz w:val="20"/>
                <w:szCs w:val="20"/>
                <w:color w:val="auto"/>
              </w:rPr>
            </w:pPr>
            <w:r>
              <w:rPr>
                <w:rFonts w:ascii="Arial" w:cs="Arial" w:eastAsia="Arial" w:hAnsi="Arial"/>
                <w:sz w:val="14"/>
                <w:szCs w:val="14"/>
                <w:b w:val="1"/>
                <w:bCs w:val="1"/>
                <w:color w:val="FFFFFF"/>
              </w:rPr>
              <w:t>Equity for</w:t>
            </w:r>
          </w:p>
        </w:tc>
      </w:tr>
      <w:tr>
        <w:trPr>
          <w:trHeight w:val="162"/>
        </w:trPr>
        <w:tc>
          <w:tcPr>
            <w:tcW w:w="880" w:type="dxa"/>
            <w:vAlign w:val="bottom"/>
            <w:tcBorders>
              <w:left w:val="single" w:sz="8" w:color="424E6A"/>
              <w:right w:val="single" w:sz="8" w:color="424E6A"/>
            </w:tcBorders>
            <w:shd w:val="clear" w:color="auto" w:fill="424E6A"/>
          </w:tcPr>
          <w:p>
            <w:pPr>
              <w:spacing w:after="0"/>
              <w:rPr>
                <w:sz w:val="14"/>
                <w:szCs w:val="14"/>
                <w:color w:val="auto"/>
              </w:rPr>
            </w:pPr>
          </w:p>
        </w:tc>
        <w:tc>
          <w:tcPr>
            <w:tcW w:w="10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Outstanding</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Outstanding at</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Vested During</w:t>
            </w:r>
          </w:p>
        </w:tc>
        <w:tc>
          <w:tcPr>
            <w:tcW w:w="12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1000" w:type="dxa"/>
            <w:vAlign w:val="bottom"/>
            <w:shd w:val="clear" w:color="auto" w:fill="424E6A"/>
          </w:tcPr>
          <w:p>
            <w:pPr>
              <w:jc w:val="center"/>
              <w:ind w:left="4"/>
              <w:spacing w:after="0"/>
              <w:rPr>
                <w:sz w:val="20"/>
                <w:szCs w:val="20"/>
                <w:color w:val="auto"/>
              </w:rPr>
            </w:pPr>
            <w:r>
              <w:rPr>
                <w:rFonts w:ascii="Arial" w:cs="Arial" w:eastAsia="Arial" w:hAnsi="Arial"/>
                <w:sz w:val="14"/>
                <w:szCs w:val="14"/>
                <w:b w:val="1"/>
                <w:bCs w:val="1"/>
                <w:color w:val="FFFFFF"/>
              </w:rPr>
              <w:t>Paid During</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360" w:type="dxa"/>
            <w:vAlign w:val="bottom"/>
            <w:tcBorders>
              <w:right w:val="single" w:sz="8" w:color="424E6A"/>
            </w:tcBorders>
            <w:shd w:val="clear" w:color="auto" w:fill="424E6A"/>
          </w:tcPr>
          <w:p>
            <w:pPr>
              <w:jc w:val="center"/>
              <w:ind w:right="104"/>
              <w:spacing w:after="0"/>
              <w:rPr>
                <w:sz w:val="20"/>
                <w:szCs w:val="20"/>
                <w:color w:val="auto"/>
              </w:rPr>
            </w:pPr>
            <w:r>
              <w:rPr>
                <w:rFonts w:ascii="Arial" w:cs="Arial" w:eastAsia="Arial" w:hAnsi="Arial"/>
                <w:sz w:val="14"/>
                <w:szCs w:val="14"/>
                <w:b w:val="1"/>
                <w:bCs w:val="1"/>
                <w:color w:val="FFFFFF"/>
              </w:rPr>
              <w:t>CAP</w:t>
            </w:r>
          </w:p>
        </w:tc>
      </w:tr>
      <w:tr>
        <w:trPr>
          <w:trHeight w:val="212"/>
        </w:trPr>
        <w:tc>
          <w:tcPr>
            <w:tcW w:w="880" w:type="dxa"/>
            <w:vAlign w:val="bottom"/>
            <w:tcBorders>
              <w:left w:val="single" w:sz="8" w:color="424E6A"/>
              <w:righ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Year</w:t>
            </w:r>
          </w:p>
        </w:tc>
        <w:tc>
          <w:tcPr>
            <w:tcW w:w="1000" w:type="dxa"/>
            <w:vAlign w:val="bottom"/>
            <w:shd w:val="clear" w:color="auto" w:fill="424E6A"/>
          </w:tcPr>
          <w:p>
            <w:pPr>
              <w:jc w:val="center"/>
              <w:ind w:left="5"/>
              <w:spacing w:after="0"/>
              <w:rPr>
                <w:sz w:val="20"/>
                <w:szCs w:val="20"/>
                <w:color w:val="auto"/>
              </w:rPr>
            </w:pPr>
            <w:r>
              <w:rPr>
                <w:rFonts w:ascii="Arial" w:cs="Arial" w:eastAsia="Arial" w:hAnsi="Arial"/>
                <w:sz w:val="14"/>
                <w:szCs w:val="14"/>
                <w:b w:val="1"/>
                <w:bCs w:val="1"/>
                <w:color w:val="FFFFFF"/>
              </w:rPr>
              <w:t>at YE</w:t>
            </w:r>
          </w:p>
        </w:tc>
        <w:tc>
          <w:tcPr>
            <w:tcW w:w="500" w:type="dxa"/>
            <w:vAlign w:val="bottom"/>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rPr>
              <w:t>​ ​  ​ ​</w:t>
            </w:r>
          </w:p>
        </w:tc>
        <w:tc>
          <w:tcPr>
            <w:tcW w:w="10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YE</w:t>
            </w:r>
          </w:p>
        </w:tc>
        <w:tc>
          <w:tcPr>
            <w:tcW w:w="520" w:type="dxa"/>
            <w:vAlign w:val="bottom"/>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rPr>
              <w:t>​ ​  ​ ​</w:t>
            </w:r>
          </w:p>
        </w:tc>
        <w:tc>
          <w:tcPr>
            <w:tcW w:w="10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the Year</w:t>
            </w:r>
          </w:p>
        </w:tc>
        <w:tc>
          <w:tcPr>
            <w:tcW w:w="1440" w:type="dxa"/>
            <w:vAlign w:val="bottom"/>
            <w:gridSpan w:val="3"/>
            <w:shd w:val="clear" w:color="auto" w:fill="424E6A"/>
          </w:tcPr>
          <w:p>
            <w:pPr>
              <w:ind w:left="60"/>
              <w:spacing w:after="0" w:line="199" w:lineRule="exact"/>
              <w:rPr>
                <w:sz w:val="20"/>
                <w:szCs w:val="20"/>
                <w:color w:val="auto"/>
              </w:rPr>
            </w:pPr>
            <w:r>
              <w:rPr>
                <w:rFonts w:ascii="Arial" w:cs="Arial" w:eastAsia="Arial" w:hAnsi="Arial"/>
                <w:sz w:val="22"/>
                <w:szCs w:val="22"/>
                <w:b w:val="1"/>
                <w:bCs w:val="1"/>
                <w:color w:val="FFFFFF"/>
                <w:vertAlign w:val="subscript"/>
              </w:rPr>
              <w:t>​ ​  ​ ​</w:t>
            </w:r>
            <w:r>
              <w:rPr>
                <w:rFonts w:ascii="Arial" w:cs="Arial" w:eastAsia="Arial" w:hAnsi="Arial"/>
                <w:sz w:val="12"/>
                <w:szCs w:val="12"/>
                <w:b w:val="1"/>
                <w:bCs w:val="1"/>
                <w:color w:val="FFFFFF"/>
              </w:rPr>
              <w:t xml:space="preserve">   the Year</w:t>
            </w:r>
          </w:p>
        </w:tc>
        <w:tc>
          <w:tcPr>
            <w:tcW w:w="1800" w:type="dxa"/>
            <w:vAlign w:val="bottom"/>
            <w:tcBorders>
              <w:right w:val="single" w:sz="8" w:color="424E6A"/>
            </w:tcBorders>
            <w:gridSpan w:val="3"/>
            <w:shd w:val="clear" w:color="auto" w:fill="424E6A"/>
          </w:tcPr>
          <w:p>
            <w:pPr>
              <w:ind w:left="60"/>
              <w:spacing w:after="0" w:line="199" w:lineRule="exact"/>
              <w:rPr>
                <w:sz w:val="20"/>
                <w:szCs w:val="20"/>
                <w:color w:val="auto"/>
              </w:rPr>
            </w:pPr>
            <w:r>
              <w:rPr>
                <w:rFonts w:ascii="Arial" w:cs="Arial" w:eastAsia="Arial" w:hAnsi="Arial"/>
                <w:sz w:val="22"/>
                <w:szCs w:val="22"/>
                <w:b w:val="1"/>
                <w:bCs w:val="1"/>
                <w:color w:val="FFFFFF"/>
                <w:vertAlign w:val="subscript"/>
              </w:rPr>
              <w:t>​ ​  ​ ​</w:t>
            </w:r>
            <w:r>
              <w:rPr>
                <w:rFonts w:ascii="Arial" w:cs="Arial" w:eastAsia="Arial" w:hAnsi="Arial"/>
                <w:sz w:val="12"/>
                <w:szCs w:val="12"/>
                <w:b w:val="1"/>
                <w:bCs w:val="1"/>
                <w:color w:val="FFFFFF"/>
              </w:rPr>
              <w:t xml:space="preserve">   Purposes</w:t>
            </w:r>
          </w:p>
        </w:tc>
      </w:tr>
      <w:tr>
        <w:trPr>
          <w:trHeight w:val="256"/>
        </w:trPr>
        <w:tc>
          <w:tcPr>
            <w:tcW w:w="880" w:type="dxa"/>
            <w:vAlign w:val="bottom"/>
            <w:tcBorders>
              <w:left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8"/>
                <w:szCs w:val="18"/>
                <w:color w:val="auto"/>
              </w:rPr>
              <w:t>2025</w:t>
            </w:r>
          </w:p>
        </w:tc>
        <w:tc>
          <w:tcPr>
            <w:tcW w:w="1120" w:type="dxa"/>
            <w:vAlign w:val="bottom"/>
            <w:tcBorders>
              <w:bottom w:val="single" w:sz="8" w:color="424E6A"/>
              <w:right w:val="single" w:sz="8" w:color="424E6A"/>
            </w:tcBorders>
            <w:gridSpan w:val="2"/>
          </w:tcPr>
          <w:p>
            <w:pPr>
              <w:ind w:left="80"/>
              <w:spacing w:after="0"/>
              <w:rPr>
                <w:sz w:val="20"/>
                <w:szCs w:val="20"/>
                <w:color w:val="auto"/>
              </w:rPr>
            </w:pPr>
            <w:r>
              <w:rPr>
                <w:rFonts w:ascii="Arial" w:cs="Arial" w:eastAsia="Arial" w:hAnsi="Arial"/>
                <w:sz w:val="18"/>
                <w:szCs w:val="18"/>
                <w:color w:val="auto"/>
              </w:rPr>
              <w:t>​$5,910,501 ​</w:t>
            </w:r>
          </w:p>
        </w:tc>
        <w:tc>
          <w:tcPr>
            <w:tcW w:w="300" w:type="dxa"/>
            <w:vAlign w:val="bottom"/>
            <w:tcBorders>
              <w:bottom w:val="single" w:sz="8" w:color="424E6A"/>
              <w:right w:val="single" w:sz="8" w:color="424E6A"/>
            </w:tcBorders>
          </w:tcPr>
          <w:p>
            <w:pPr>
              <w:jc w:val="center"/>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260" w:type="dxa"/>
            <w:vAlign w:val="bottom"/>
            <w:tcBorders>
              <w:bottom w:val="single" w:sz="8" w:color="424E6A"/>
              <w:right w:val="single" w:sz="8" w:color="424E6A"/>
            </w:tcBorders>
            <w:gridSpan w:val="3"/>
          </w:tcPr>
          <w:p>
            <w:pPr>
              <w:ind w:left="40"/>
              <w:spacing w:after="0"/>
              <w:rPr>
                <w:sz w:val="20"/>
                <w:szCs w:val="20"/>
                <w:color w:val="auto"/>
              </w:rPr>
            </w:pPr>
            <w:r>
              <w:rPr>
                <w:rFonts w:ascii="Arial" w:cs="Arial" w:eastAsia="Arial" w:hAnsi="Arial"/>
                <w:sz w:val="18"/>
                <w:szCs w:val="18"/>
                <w:color w:val="auto"/>
              </w:rPr>
              <w:t>​ ​$6,069,078 ​​</w:t>
            </w:r>
          </w:p>
        </w:tc>
        <w:tc>
          <w:tcPr>
            <w:tcW w:w="300" w:type="dxa"/>
            <w:vAlign w:val="bottom"/>
            <w:tcBorders>
              <w:bottom w:val="single" w:sz="8" w:color="424E6A"/>
              <w:right w:val="single" w:sz="8" w:color="424E6A"/>
            </w:tcBorders>
          </w:tcPr>
          <w:p>
            <w:pPr>
              <w:jc w:val="center"/>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rPr>
              <w:t>​$450,042</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424E6A"/>
              <w:right w:val="single" w:sz="8" w:color="424E6A"/>
            </w:tcBorders>
          </w:tcPr>
          <w:p>
            <w:pPr>
              <w:ind w:left="6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140" w:type="dxa"/>
            <w:vAlign w:val="bottom"/>
            <w:tcBorders>
              <w:bottom w:val="single" w:sz="8" w:color="424E6A"/>
              <w:right w:val="single" w:sz="8" w:color="424E6A"/>
            </w:tcBorders>
            <w:gridSpan w:val="2"/>
          </w:tcPr>
          <w:p>
            <w:pPr>
              <w:ind w:left="40"/>
              <w:spacing w:after="0"/>
              <w:rPr>
                <w:sz w:val="20"/>
                <w:szCs w:val="20"/>
                <w:color w:val="auto"/>
              </w:rPr>
            </w:pPr>
            <w:r>
              <w:rPr>
                <w:rFonts w:ascii="Arial" w:cs="Arial" w:eastAsia="Arial" w:hAnsi="Arial"/>
                <w:sz w:val="18"/>
                <w:szCs w:val="18"/>
                <w:color w:val="auto"/>
              </w:rPr>
              <w:t>​​$2,340,183 ​</w:t>
            </w:r>
          </w:p>
        </w:tc>
        <w:tc>
          <w:tcPr>
            <w:tcW w:w="300" w:type="dxa"/>
            <w:vAlign w:val="bottom"/>
            <w:tcBorders>
              <w:bottom w:val="single" w:sz="8" w:color="424E6A"/>
              <w:right w:val="single" w:sz="8" w:color="424E6A"/>
            </w:tcBorders>
          </w:tcPr>
          <w:p>
            <w:pPr>
              <w:ind w:left="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360" w:type="dxa"/>
            <w:vAlign w:val="bottom"/>
            <w:tcBorders>
              <w:bottom w:val="single" w:sz="8" w:color="424E6A"/>
              <w:right w:val="single" w:sz="8" w:color="424E6A"/>
            </w:tcBorders>
          </w:tcPr>
          <w:p>
            <w:pPr>
              <w:jc w:val="center"/>
              <w:ind w:right="124"/>
              <w:spacing w:after="0"/>
              <w:rPr>
                <w:sz w:val="20"/>
                <w:szCs w:val="20"/>
                <w:color w:val="auto"/>
              </w:rPr>
            </w:pPr>
            <w:r>
              <w:rPr>
                <w:rFonts w:ascii="Arial" w:cs="Arial" w:eastAsia="Arial" w:hAnsi="Arial"/>
                <w:sz w:val="18"/>
                <w:szCs w:val="18"/>
                <w:color w:val="auto"/>
              </w:rPr>
              <w:t>​​$14,769,804</w:t>
            </w:r>
          </w:p>
        </w:tc>
      </w:tr>
    </w:tbl>
    <w:p>
      <w:pPr>
        <w:spacing w:after="0" w:line="157" w:lineRule="exact"/>
        <w:rPr>
          <w:sz w:val="20"/>
          <w:szCs w:val="20"/>
          <w:color w:val="auto"/>
        </w:rPr>
      </w:pPr>
    </w:p>
    <w:p>
      <w:pPr>
        <w:ind w:left="1620" w:right="559" w:hanging="360"/>
        <w:spacing w:after="0" w:line="222" w:lineRule="auto"/>
        <w:tabs>
          <w:tab w:leader="none" w:pos="1620" w:val="left"/>
        </w:tabs>
        <w:numPr>
          <w:ilvl w:val="0"/>
          <w:numId w:val="63"/>
        </w:numPr>
        <w:rPr>
          <w:rFonts w:ascii="Arial" w:cs="Arial" w:eastAsia="Arial" w:hAnsi="Arial"/>
          <w:sz w:val="27"/>
          <w:szCs w:val="27"/>
          <w:color w:val="auto"/>
          <w:vertAlign w:val="superscript"/>
        </w:rPr>
      </w:pPr>
      <w:r>
        <w:rPr>
          <w:rFonts w:ascii="Arial" w:cs="Arial" w:eastAsia="Arial" w:hAnsi="Arial"/>
          <w:sz w:val="18"/>
          <w:szCs w:val="18"/>
          <w:color w:val="auto"/>
        </w:rPr>
        <w:t>We did not issue any equity awards during the covered fiscal year that vested in the year of grant. Previously issued equity awards that expired during the covered fiscal year had no fair value at the end of the prior fiscal year.</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Non-PEO NEOs (Average) — Reconciliation of SCT Total to CAP Total</w:t>
      </w:r>
      <w:r>
        <w:rPr>
          <w:rFonts w:ascii="Arial" w:cs="Arial" w:eastAsia="Arial" w:hAnsi="Arial"/>
          <w:sz w:val="26"/>
          <w:szCs w:val="26"/>
          <w:u w:val="single" w:color="auto"/>
          <w:color w:val="auto"/>
          <w:vertAlign w:val="superscript"/>
        </w:rPr>
        <w:t>(a)</w:t>
      </w:r>
    </w:p>
    <w:p>
      <w:pPr>
        <w:spacing w:after="0" w:line="159" w:lineRule="exact"/>
        <w:rPr>
          <w:sz w:val="20"/>
          <w:szCs w:val="20"/>
          <w:color w:val="auto"/>
        </w:rPr>
      </w:pPr>
    </w:p>
    <w:tbl>
      <w:tblPr>
        <w:tblLayout w:type="fixed"/>
        <w:tblInd w:w="1270" w:type="dxa"/>
        <w:tblCellMar>
          <w:top w:w="0" w:type="dxa"/>
          <w:left w:w="0" w:type="dxa"/>
          <w:bottom w:w="0" w:type="dxa"/>
          <w:right w:w="0" w:type="dxa"/>
        </w:tblCellMar>
      </w:tblPr>
      <w:tr>
        <w:trPr>
          <w:trHeight w:val="247"/>
        </w:trPr>
        <w:tc>
          <w:tcPr>
            <w:tcW w:w="1140" w:type="dxa"/>
            <w:vAlign w:val="bottom"/>
            <w:tcBorders>
              <w:left w:val="single" w:sz="8" w:color="424E6A"/>
            </w:tcBorders>
            <w:shd w:val="clear" w:color="auto" w:fill="424E6A"/>
          </w:tcPr>
          <w:p>
            <w:pPr>
              <w:spacing w:after="0"/>
              <w:rPr>
                <w:sz w:val="21"/>
                <w:szCs w:val="21"/>
                <w:color w:val="auto"/>
              </w:rPr>
            </w:pPr>
          </w:p>
        </w:tc>
        <w:tc>
          <w:tcPr>
            <w:tcW w:w="720" w:type="dxa"/>
            <w:vAlign w:val="bottom"/>
            <w:tcBorders>
              <w:right w:val="single" w:sz="8" w:color="424E6A"/>
            </w:tcBorders>
            <w:shd w:val="clear" w:color="auto" w:fill="424E6A"/>
          </w:tcPr>
          <w:p>
            <w:pPr>
              <w:spacing w:after="0"/>
              <w:rPr>
                <w:sz w:val="21"/>
                <w:szCs w:val="21"/>
                <w:color w:val="auto"/>
              </w:rPr>
            </w:pPr>
          </w:p>
        </w:tc>
        <w:tc>
          <w:tcPr>
            <w:tcW w:w="1140" w:type="dxa"/>
            <w:vAlign w:val="bottom"/>
            <w:tcBorders>
              <w:right w:val="single" w:sz="8" w:color="424E6A"/>
            </w:tcBorders>
            <w:shd w:val="clear" w:color="auto" w:fill="424E6A"/>
          </w:tcPr>
          <w:p>
            <w:pPr>
              <w:spacing w:after="0"/>
              <w:rPr>
                <w:sz w:val="21"/>
                <w:szCs w:val="21"/>
                <w:color w:val="auto"/>
              </w:rPr>
            </w:pPr>
          </w:p>
        </w:tc>
        <w:tc>
          <w:tcPr>
            <w:tcW w:w="400" w:type="dxa"/>
            <w:vAlign w:val="bottom"/>
            <w:tcBorders>
              <w:right w:val="single" w:sz="8" w:color="424E6A"/>
            </w:tcBorders>
            <w:shd w:val="clear" w:color="auto" w:fill="424E6A"/>
          </w:tcPr>
          <w:p>
            <w:pPr>
              <w:spacing w:after="0"/>
              <w:rPr>
                <w:sz w:val="21"/>
                <w:szCs w:val="21"/>
                <w:color w:val="auto"/>
              </w:rPr>
            </w:pPr>
          </w:p>
        </w:tc>
        <w:tc>
          <w:tcPr>
            <w:tcW w:w="80" w:type="dxa"/>
            <w:vAlign w:val="bottom"/>
            <w:shd w:val="clear" w:color="auto" w:fill="424E6A"/>
          </w:tcPr>
          <w:p>
            <w:pPr>
              <w:spacing w:after="0"/>
              <w:rPr>
                <w:sz w:val="21"/>
                <w:szCs w:val="21"/>
                <w:color w:val="auto"/>
              </w:rPr>
            </w:pPr>
          </w:p>
        </w:tc>
        <w:tc>
          <w:tcPr>
            <w:tcW w:w="11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Grant Date Fair</w:t>
            </w:r>
          </w:p>
        </w:tc>
        <w:tc>
          <w:tcPr>
            <w:tcW w:w="140" w:type="dxa"/>
            <w:vAlign w:val="bottom"/>
            <w:tcBorders>
              <w:right w:val="single" w:sz="8" w:color="424E6A"/>
            </w:tcBorders>
            <w:shd w:val="clear" w:color="auto" w:fill="424E6A"/>
          </w:tcPr>
          <w:p>
            <w:pPr>
              <w:spacing w:after="0"/>
              <w:rPr>
                <w:sz w:val="21"/>
                <w:szCs w:val="21"/>
                <w:color w:val="auto"/>
              </w:rPr>
            </w:pPr>
          </w:p>
        </w:tc>
        <w:tc>
          <w:tcPr>
            <w:tcW w:w="300" w:type="dxa"/>
            <w:vAlign w:val="bottom"/>
            <w:tcBorders>
              <w:right w:val="single" w:sz="8" w:color="424E6A"/>
            </w:tcBorders>
            <w:shd w:val="clear" w:color="auto" w:fill="424E6A"/>
          </w:tcPr>
          <w:p>
            <w:pPr>
              <w:spacing w:after="0"/>
              <w:rPr>
                <w:sz w:val="21"/>
                <w:szCs w:val="21"/>
                <w:color w:val="auto"/>
              </w:rPr>
            </w:pPr>
          </w:p>
        </w:tc>
        <w:tc>
          <w:tcPr>
            <w:tcW w:w="100" w:type="dxa"/>
            <w:vAlign w:val="bottom"/>
            <w:shd w:val="clear" w:color="auto" w:fill="424E6A"/>
          </w:tcPr>
          <w:p>
            <w:pPr>
              <w:spacing w:after="0"/>
              <w:rPr>
                <w:sz w:val="21"/>
                <w:szCs w:val="21"/>
                <w:color w:val="auto"/>
              </w:rPr>
            </w:pPr>
          </w:p>
        </w:tc>
        <w:tc>
          <w:tcPr>
            <w:tcW w:w="1360" w:type="dxa"/>
            <w:vAlign w:val="bottom"/>
            <w:shd w:val="clear" w:color="auto" w:fill="424E6A"/>
          </w:tcPr>
          <w:p>
            <w:pPr>
              <w:spacing w:after="0"/>
              <w:rPr>
                <w:sz w:val="21"/>
                <w:szCs w:val="21"/>
                <w:color w:val="auto"/>
              </w:rPr>
            </w:pPr>
          </w:p>
        </w:tc>
        <w:tc>
          <w:tcPr>
            <w:tcW w:w="120" w:type="dxa"/>
            <w:vAlign w:val="bottom"/>
            <w:tcBorders>
              <w:right w:val="single" w:sz="8" w:color="424E6A"/>
            </w:tcBorders>
            <w:shd w:val="clear" w:color="auto" w:fill="424E6A"/>
          </w:tcPr>
          <w:p>
            <w:pPr>
              <w:spacing w:after="0"/>
              <w:rPr>
                <w:sz w:val="21"/>
                <w:szCs w:val="21"/>
                <w:color w:val="auto"/>
              </w:rPr>
            </w:pPr>
          </w:p>
        </w:tc>
        <w:tc>
          <w:tcPr>
            <w:tcW w:w="320" w:type="dxa"/>
            <w:vAlign w:val="bottom"/>
            <w:tcBorders>
              <w:right w:val="single" w:sz="8" w:color="424E6A"/>
            </w:tcBorders>
            <w:shd w:val="clear" w:color="auto" w:fill="424E6A"/>
          </w:tcPr>
          <w:p>
            <w:pPr>
              <w:spacing w:after="0"/>
              <w:rPr>
                <w:sz w:val="21"/>
                <w:szCs w:val="21"/>
                <w:color w:val="auto"/>
              </w:rPr>
            </w:pPr>
          </w:p>
        </w:tc>
        <w:tc>
          <w:tcPr>
            <w:tcW w:w="1260" w:type="dxa"/>
            <w:vAlign w:val="bottom"/>
            <w:tcBorders>
              <w:right w:val="single" w:sz="8" w:color="424E6A"/>
            </w:tcBorders>
            <w:shd w:val="clear" w:color="auto" w:fill="424E6A"/>
          </w:tcPr>
          <w:p>
            <w:pPr>
              <w:spacing w:after="0"/>
              <w:rPr>
                <w:sz w:val="21"/>
                <w:szCs w:val="21"/>
                <w:color w:val="auto"/>
              </w:rPr>
            </w:pPr>
          </w:p>
        </w:tc>
      </w:tr>
      <w:tr>
        <w:trPr>
          <w:trHeight w:val="162"/>
        </w:trPr>
        <w:tc>
          <w:tcPr>
            <w:tcW w:w="1140" w:type="dxa"/>
            <w:vAlign w:val="bottom"/>
            <w:tcBorders>
              <w:left w:val="single" w:sz="8" w:color="424E6A"/>
            </w:tcBorders>
            <w:shd w:val="clear" w:color="auto" w:fill="424E6A"/>
          </w:tcPr>
          <w:p>
            <w:pPr>
              <w:spacing w:after="0"/>
              <w:rPr>
                <w:sz w:val="14"/>
                <w:szCs w:val="14"/>
                <w:color w:val="auto"/>
              </w:rPr>
            </w:pPr>
          </w:p>
        </w:tc>
        <w:tc>
          <w:tcPr>
            <w:tcW w:w="720" w:type="dxa"/>
            <w:vAlign w:val="bottom"/>
            <w:tcBorders>
              <w:right w:val="single" w:sz="8" w:color="424E6A"/>
            </w:tcBorders>
            <w:shd w:val="clear" w:color="auto" w:fill="424E6A"/>
          </w:tcPr>
          <w:p>
            <w:pPr>
              <w:spacing w:after="0"/>
              <w:rPr>
                <w:sz w:val="14"/>
                <w:szCs w:val="14"/>
                <w:color w:val="auto"/>
              </w:rPr>
            </w:pPr>
          </w:p>
        </w:tc>
        <w:tc>
          <w:tcPr>
            <w:tcW w:w="1140" w:type="dxa"/>
            <w:vAlign w:val="bottom"/>
            <w:tcBorders>
              <w:right w:val="single" w:sz="8" w:color="424E6A"/>
            </w:tcBorders>
            <w:shd w:val="clear" w:color="auto" w:fill="424E6A"/>
          </w:tcPr>
          <w:p>
            <w:pPr>
              <w:spacing w:after="0"/>
              <w:rPr>
                <w:sz w:val="14"/>
                <w:szCs w:val="14"/>
                <w:color w:val="auto"/>
              </w:rPr>
            </w:pPr>
          </w:p>
        </w:tc>
        <w:tc>
          <w:tcPr>
            <w:tcW w:w="40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1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Value of Awards</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3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Fair Value of Equity</w:t>
            </w:r>
          </w:p>
        </w:tc>
        <w:tc>
          <w:tcPr>
            <w:tcW w:w="12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1260" w:type="dxa"/>
            <w:vAlign w:val="bottom"/>
            <w:tcBorders>
              <w:right w:val="single" w:sz="8" w:color="424E6A"/>
            </w:tcBorders>
            <w:shd w:val="clear" w:color="auto" w:fill="424E6A"/>
          </w:tcPr>
          <w:p>
            <w:pPr>
              <w:spacing w:after="0"/>
              <w:rPr>
                <w:sz w:val="14"/>
                <w:szCs w:val="14"/>
                <w:color w:val="auto"/>
              </w:rPr>
            </w:pPr>
          </w:p>
        </w:tc>
      </w:tr>
      <w:tr>
        <w:trPr>
          <w:trHeight w:val="162"/>
        </w:trPr>
        <w:tc>
          <w:tcPr>
            <w:tcW w:w="1140" w:type="dxa"/>
            <w:vAlign w:val="bottom"/>
            <w:tcBorders>
              <w:left w:val="single" w:sz="8" w:color="424E6A"/>
            </w:tcBorders>
            <w:shd w:val="clear" w:color="auto" w:fill="424E6A"/>
          </w:tcPr>
          <w:p>
            <w:pPr>
              <w:spacing w:after="0"/>
              <w:rPr>
                <w:sz w:val="14"/>
                <w:szCs w:val="14"/>
                <w:color w:val="auto"/>
              </w:rPr>
            </w:pPr>
          </w:p>
        </w:tc>
        <w:tc>
          <w:tcPr>
            <w:tcW w:w="720" w:type="dxa"/>
            <w:vAlign w:val="bottom"/>
            <w:tcBorders>
              <w:right w:val="single" w:sz="8" w:color="424E6A"/>
            </w:tcBorders>
            <w:shd w:val="clear" w:color="auto" w:fill="424E6A"/>
          </w:tcPr>
          <w:p>
            <w:pPr>
              <w:spacing w:after="0"/>
              <w:rPr>
                <w:sz w:val="14"/>
                <w:szCs w:val="14"/>
                <w:color w:val="auto"/>
              </w:rPr>
            </w:pPr>
          </w:p>
        </w:tc>
        <w:tc>
          <w:tcPr>
            <w:tcW w:w="1140" w:type="dxa"/>
            <w:vAlign w:val="bottom"/>
            <w:tcBorders>
              <w:right w:val="single" w:sz="8" w:color="424E6A"/>
            </w:tcBorders>
            <w:shd w:val="clear" w:color="auto" w:fill="424E6A"/>
          </w:tcPr>
          <w:p>
            <w:pPr>
              <w:spacing w:after="0"/>
              <w:rPr>
                <w:sz w:val="14"/>
                <w:szCs w:val="14"/>
                <w:color w:val="auto"/>
              </w:rPr>
            </w:pPr>
          </w:p>
        </w:tc>
        <w:tc>
          <w:tcPr>
            <w:tcW w:w="40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1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Granted During</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3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Calculated Using</w:t>
            </w:r>
          </w:p>
        </w:tc>
        <w:tc>
          <w:tcPr>
            <w:tcW w:w="12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1260" w:type="dxa"/>
            <w:vAlign w:val="bottom"/>
            <w:tcBorders>
              <w:right w:val="single" w:sz="8" w:color="424E6A"/>
            </w:tcBorders>
            <w:shd w:val="clear" w:color="auto" w:fill="424E6A"/>
          </w:tcPr>
          <w:p>
            <w:pPr>
              <w:spacing w:after="0"/>
              <w:rPr>
                <w:sz w:val="14"/>
                <w:szCs w:val="14"/>
                <w:color w:val="auto"/>
              </w:rPr>
            </w:pPr>
          </w:p>
        </w:tc>
      </w:tr>
      <w:tr>
        <w:trPr>
          <w:trHeight w:val="212"/>
        </w:trPr>
        <w:tc>
          <w:tcPr>
            <w:tcW w:w="1140" w:type="dxa"/>
            <w:vAlign w:val="bottom"/>
            <w:tcBorders>
              <w:lef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Year</w:t>
            </w:r>
          </w:p>
        </w:tc>
        <w:tc>
          <w:tcPr>
            <w:tcW w:w="2340" w:type="dxa"/>
            <w:vAlign w:val="bottom"/>
            <w:gridSpan w:val="4"/>
            <w:shd w:val="clear" w:color="auto" w:fill="424E6A"/>
          </w:tcPr>
          <w:p>
            <w:pPr>
              <w:ind w:left="660"/>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  SCT Total  </w:t>
            </w:r>
            <w:r>
              <w:rPr>
                <w:rFonts w:ascii="Arial" w:cs="Arial" w:eastAsia="Arial" w:hAnsi="Arial"/>
                <w:sz w:val="22"/>
                <w:szCs w:val="22"/>
                <w:b w:val="1"/>
                <w:bCs w:val="1"/>
                <w:color w:val="FFFFFF"/>
                <w:vertAlign w:val="subscript"/>
              </w:rPr>
              <w:t>​ ​   ​ ​</w:t>
            </w:r>
          </w:p>
        </w:tc>
        <w:tc>
          <w:tcPr>
            <w:tcW w:w="11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the Year</w:t>
            </w:r>
          </w:p>
        </w:tc>
        <w:tc>
          <w:tcPr>
            <w:tcW w:w="540" w:type="dxa"/>
            <w:vAlign w:val="bottom"/>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rPr>
              <w:t>​ ​  ​ ​</w:t>
            </w:r>
          </w:p>
        </w:tc>
        <w:tc>
          <w:tcPr>
            <w:tcW w:w="13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SEC Methodology</w:t>
            </w:r>
          </w:p>
        </w:tc>
        <w:tc>
          <w:tcPr>
            <w:tcW w:w="1700" w:type="dxa"/>
            <w:vAlign w:val="bottom"/>
            <w:tcBorders>
              <w:right w:val="single" w:sz="8" w:color="424E6A"/>
            </w:tcBorders>
            <w:gridSpan w:val="3"/>
            <w:shd w:val="clear" w:color="auto" w:fill="424E6A"/>
          </w:tcPr>
          <w:p>
            <w:pPr>
              <w:ind w:left="60"/>
              <w:spacing w:after="0" w:line="199" w:lineRule="exact"/>
              <w:rPr>
                <w:sz w:val="20"/>
                <w:szCs w:val="20"/>
                <w:color w:val="auto"/>
              </w:rPr>
            </w:pPr>
            <w:r>
              <w:rPr>
                <w:rFonts w:ascii="Arial" w:cs="Arial" w:eastAsia="Arial" w:hAnsi="Arial"/>
                <w:sz w:val="22"/>
                <w:szCs w:val="22"/>
                <w:b w:val="1"/>
                <w:bCs w:val="1"/>
                <w:color w:val="FFFFFF"/>
                <w:vertAlign w:val="subscript"/>
              </w:rPr>
              <w:t>​ ​  ​ ​</w:t>
            </w:r>
            <w:r>
              <w:rPr>
                <w:rFonts w:ascii="Arial" w:cs="Arial" w:eastAsia="Arial" w:hAnsi="Arial"/>
                <w:sz w:val="12"/>
                <w:szCs w:val="12"/>
                <w:b w:val="1"/>
                <w:bCs w:val="1"/>
                <w:color w:val="FFFFFF"/>
              </w:rPr>
              <w:t xml:space="preserve">  CAP Total</w:t>
            </w:r>
          </w:p>
        </w:tc>
      </w:tr>
      <w:tr>
        <w:trPr>
          <w:trHeight w:val="256"/>
        </w:trPr>
        <w:tc>
          <w:tcPr>
            <w:tcW w:w="114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2025</w:t>
            </w:r>
          </w:p>
        </w:tc>
        <w:tc>
          <w:tcPr>
            <w:tcW w:w="720" w:type="dxa"/>
            <w:vAlign w:val="bottom"/>
            <w:tcBorders>
              <w:bottom w:val="single" w:sz="8" w:color="424E6A"/>
              <w:right w:val="single" w:sz="8" w:color="424E6A"/>
            </w:tcBorders>
          </w:tcPr>
          <w:p>
            <w:pPr>
              <w:ind w:left="6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8"/>
                <w:szCs w:val="18"/>
                <w:color w:val="auto"/>
              </w:rPr>
              <w:t>​​$6,772,185 ​</w:t>
            </w:r>
          </w:p>
        </w:tc>
        <w:tc>
          <w:tcPr>
            <w:tcW w:w="400" w:type="dxa"/>
            <w:vAlign w:val="bottom"/>
            <w:tcBorders>
              <w:bottom w:val="single" w:sz="8" w:color="424E6A"/>
              <w:right w:val="single" w:sz="8" w:color="424E6A"/>
            </w:tcBorders>
          </w:tcPr>
          <w:p>
            <w:pPr>
              <w:ind w:left="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rPr>
              <w:t>​$4,968,470</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424E6A"/>
              <w:right w:val="single" w:sz="8" w:color="424E6A"/>
            </w:tcBorders>
          </w:tcPr>
          <w:p>
            <w:pPr>
              <w:jc w:val="center"/>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rPr>
              <w:t>​$6,870,814</w:t>
            </w: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424E6A"/>
              <w:right w:val="single" w:sz="8" w:color="424E6A"/>
            </w:tcBorders>
          </w:tcPr>
          <w:p>
            <w:pPr>
              <w:ind w:left="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26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​​$8,674,529</w:t>
            </w:r>
          </w:p>
        </w:tc>
      </w:tr>
    </w:tbl>
    <w:p>
      <w:pPr>
        <w:spacing w:after="0" w:line="157" w:lineRule="exact"/>
        <w:rPr>
          <w:sz w:val="20"/>
          <w:szCs w:val="20"/>
          <w:color w:val="auto"/>
        </w:rPr>
      </w:pPr>
    </w:p>
    <w:p>
      <w:pPr>
        <w:ind w:left="1620" w:right="539" w:hanging="360"/>
        <w:spacing w:after="0" w:line="210" w:lineRule="auto"/>
        <w:tabs>
          <w:tab w:leader="none" w:pos="1620" w:val="left"/>
        </w:tabs>
        <w:numPr>
          <w:ilvl w:val="0"/>
          <w:numId w:val="64"/>
        </w:numPr>
        <w:rPr>
          <w:rFonts w:ascii="Arial" w:cs="Arial" w:eastAsia="Arial" w:hAnsi="Arial"/>
          <w:sz w:val="27"/>
          <w:szCs w:val="27"/>
          <w:color w:val="auto"/>
          <w:vertAlign w:val="superscript"/>
        </w:rPr>
      </w:pPr>
      <w:r>
        <w:rPr>
          <w:rFonts w:ascii="Arial" w:cs="Arial" w:eastAsia="Arial" w:hAnsi="Arial"/>
          <w:sz w:val="18"/>
          <w:szCs w:val="18"/>
          <w:color w:val="auto"/>
        </w:rPr>
        <w:t>The CAP total figures were calculated using the same methodology described in footnote (a) to the “PEO — Reconciliation of SCT Total to CAP Total” table shown above.</w:t>
      </w:r>
    </w:p>
    <w:p>
      <w:pPr>
        <w:spacing w:after="0" w:line="114" w:lineRule="exact"/>
        <w:rPr>
          <w:sz w:val="20"/>
          <w:szCs w:val="20"/>
          <w:color w:val="auto"/>
        </w:rPr>
      </w:pPr>
    </w:p>
    <w:p>
      <w:pPr>
        <w:ind w:left="1260" w:right="959" w:firstLine="360"/>
        <w:spacing w:after="0" w:line="287" w:lineRule="auto"/>
        <w:rPr>
          <w:sz w:val="20"/>
          <w:szCs w:val="20"/>
          <w:color w:val="auto"/>
        </w:rPr>
      </w:pPr>
      <w:r>
        <w:rPr>
          <w:rFonts w:ascii="Arial" w:cs="Arial" w:eastAsia="Arial" w:hAnsi="Arial"/>
          <w:sz w:val="18"/>
          <w:szCs w:val="18"/>
          <w:color w:val="auto"/>
        </w:rPr>
        <w:t>The calculation of the fair value of equity for the Non-PEO NEOs for the covered fiscal year is shown in the following table:</w:t>
      </w:r>
    </w:p>
    <w:p>
      <w:pPr>
        <w:spacing w:after="0" w:line="132"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Non-PEO NEOs (Average) — CAP Fair Value of Equity Calculation</w:t>
      </w:r>
      <w:r>
        <w:rPr>
          <w:rFonts w:ascii="Arial" w:cs="Arial" w:eastAsia="Arial" w:hAnsi="Arial"/>
          <w:sz w:val="26"/>
          <w:szCs w:val="26"/>
          <w:u w:val="single" w:color="auto"/>
          <w:color w:val="auto"/>
          <w:vertAlign w:val="superscript"/>
        </w:rPr>
        <w:t>(a)</w:t>
      </w:r>
    </w:p>
    <w:p>
      <w:pPr>
        <w:spacing w:after="0" w:line="159" w:lineRule="exact"/>
        <w:rPr>
          <w:sz w:val="20"/>
          <w:szCs w:val="20"/>
          <w:color w:val="auto"/>
        </w:rPr>
      </w:pPr>
    </w:p>
    <w:tbl>
      <w:tblPr>
        <w:tblLayout w:type="fixed"/>
        <w:tblInd w:w="1270" w:type="dxa"/>
        <w:tblCellMar>
          <w:top w:w="0" w:type="dxa"/>
          <w:left w:w="0" w:type="dxa"/>
          <w:bottom w:w="0" w:type="dxa"/>
          <w:right w:w="0" w:type="dxa"/>
        </w:tblCellMar>
      </w:tblPr>
      <w:tr>
        <w:trPr>
          <w:trHeight w:val="247"/>
        </w:trPr>
        <w:tc>
          <w:tcPr>
            <w:tcW w:w="1040" w:type="dxa"/>
            <w:vAlign w:val="bottom"/>
            <w:tcBorders>
              <w:left w:val="single" w:sz="8" w:color="424E6A"/>
              <w:right w:val="single" w:sz="8" w:color="424E6A"/>
            </w:tcBorders>
            <w:shd w:val="clear" w:color="auto" w:fill="424E6A"/>
          </w:tcPr>
          <w:p>
            <w:pPr>
              <w:spacing w:after="0"/>
              <w:rPr>
                <w:sz w:val="21"/>
                <w:szCs w:val="21"/>
                <w:color w:val="auto"/>
              </w:rPr>
            </w:pPr>
          </w:p>
        </w:tc>
        <w:tc>
          <w:tcPr>
            <w:tcW w:w="80" w:type="dxa"/>
            <w:vAlign w:val="bottom"/>
            <w:shd w:val="clear" w:color="auto" w:fill="424E6A"/>
          </w:tcPr>
          <w:p>
            <w:pPr>
              <w:spacing w:after="0"/>
              <w:rPr>
                <w:sz w:val="21"/>
                <w:szCs w:val="21"/>
                <w:color w:val="auto"/>
              </w:rPr>
            </w:pPr>
          </w:p>
        </w:tc>
        <w:tc>
          <w:tcPr>
            <w:tcW w:w="920" w:type="dxa"/>
            <w:vAlign w:val="bottom"/>
            <w:shd w:val="clear" w:color="auto" w:fill="424E6A"/>
          </w:tcPr>
          <w:p>
            <w:pPr>
              <w:spacing w:after="0"/>
              <w:rPr>
                <w:sz w:val="21"/>
                <w:szCs w:val="21"/>
                <w:color w:val="auto"/>
              </w:rPr>
            </w:pPr>
          </w:p>
        </w:tc>
        <w:tc>
          <w:tcPr>
            <w:tcW w:w="120" w:type="dxa"/>
            <w:vAlign w:val="bottom"/>
            <w:tcBorders>
              <w:right w:val="single" w:sz="8" w:color="424E6A"/>
            </w:tcBorders>
            <w:shd w:val="clear" w:color="auto" w:fill="424E6A"/>
          </w:tcPr>
          <w:p>
            <w:pPr>
              <w:spacing w:after="0"/>
              <w:rPr>
                <w:sz w:val="21"/>
                <w:szCs w:val="21"/>
                <w:color w:val="auto"/>
              </w:rPr>
            </w:pPr>
          </w:p>
        </w:tc>
        <w:tc>
          <w:tcPr>
            <w:tcW w:w="320" w:type="dxa"/>
            <w:vAlign w:val="bottom"/>
            <w:tcBorders>
              <w:right w:val="single" w:sz="8" w:color="424E6A"/>
            </w:tcBorders>
            <w:shd w:val="clear" w:color="auto" w:fill="424E6A"/>
          </w:tcPr>
          <w:p>
            <w:pPr>
              <w:spacing w:after="0"/>
              <w:rPr>
                <w:sz w:val="21"/>
                <w:szCs w:val="21"/>
                <w:color w:val="auto"/>
              </w:rPr>
            </w:pPr>
          </w:p>
        </w:tc>
        <w:tc>
          <w:tcPr>
            <w:tcW w:w="80" w:type="dxa"/>
            <w:vAlign w:val="bottom"/>
            <w:shd w:val="clear" w:color="auto" w:fill="424E6A"/>
          </w:tcPr>
          <w:p>
            <w:pPr>
              <w:spacing w:after="0"/>
              <w:rPr>
                <w:sz w:val="21"/>
                <w:szCs w:val="21"/>
                <w:color w:val="auto"/>
              </w:rPr>
            </w:pPr>
          </w:p>
        </w:tc>
        <w:tc>
          <w:tcPr>
            <w:tcW w:w="1060" w:type="dxa"/>
            <w:vAlign w:val="bottom"/>
            <w:shd w:val="clear" w:color="auto" w:fill="424E6A"/>
          </w:tcPr>
          <w:p>
            <w:pPr>
              <w:spacing w:after="0"/>
              <w:rPr>
                <w:sz w:val="21"/>
                <w:szCs w:val="21"/>
                <w:color w:val="auto"/>
              </w:rPr>
            </w:pPr>
          </w:p>
        </w:tc>
        <w:tc>
          <w:tcPr>
            <w:tcW w:w="120" w:type="dxa"/>
            <w:vAlign w:val="bottom"/>
            <w:tcBorders>
              <w:right w:val="single" w:sz="8" w:color="424E6A"/>
            </w:tcBorders>
            <w:shd w:val="clear" w:color="auto" w:fill="424E6A"/>
          </w:tcPr>
          <w:p>
            <w:pPr>
              <w:spacing w:after="0"/>
              <w:rPr>
                <w:sz w:val="21"/>
                <w:szCs w:val="21"/>
                <w:color w:val="auto"/>
              </w:rPr>
            </w:pPr>
          </w:p>
        </w:tc>
        <w:tc>
          <w:tcPr>
            <w:tcW w:w="300" w:type="dxa"/>
            <w:vAlign w:val="bottom"/>
            <w:tcBorders>
              <w:right w:val="single" w:sz="8" w:color="424E6A"/>
            </w:tcBorders>
            <w:shd w:val="clear" w:color="auto" w:fill="424E6A"/>
          </w:tcPr>
          <w:p>
            <w:pPr>
              <w:spacing w:after="0"/>
              <w:rPr>
                <w:sz w:val="21"/>
                <w:szCs w:val="21"/>
                <w:color w:val="auto"/>
              </w:rPr>
            </w:pPr>
          </w:p>
        </w:tc>
        <w:tc>
          <w:tcPr>
            <w:tcW w:w="100" w:type="dxa"/>
            <w:vAlign w:val="bottom"/>
            <w:shd w:val="clear" w:color="auto" w:fill="424E6A"/>
          </w:tcPr>
          <w:p>
            <w:pPr>
              <w:spacing w:after="0"/>
              <w:rPr>
                <w:sz w:val="21"/>
                <w:szCs w:val="21"/>
                <w:color w:val="auto"/>
              </w:rPr>
            </w:pPr>
          </w:p>
        </w:tc>
        <w:tc>
          <w:tcPr>
            <w:tcW w:w="10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Change in Fair</w:t>
            </w:r>
          </w:p>
        </w:tc>
        <w:tc>
          <w:tcPr>
            <w:tcW w:w="140" w:type="dxa"/>
            <w:vAlign w:val="bottom"/>
            <w:tcBorders>
              <w:right w:val="single" w:sz="8" w:color="424E6A"/>
            </w:tcBorders>
            <w:shd w:val="clear" w:color="auto" w:fill="424E6A"/>
          </w:tcPr>
          <w:p>
            <w:pPr>
              <w:spacing w:after="0"/>
              <w:rPr>
                <w:sz w:val="21"/>
                <w:szCs w:val="21"/>
                <w:color w:val="auto"/>
              </w:rPr>
            </w:pPr>
          </w:p>
        </w:tc>
        <w:tc>
          <w:tcPr>
            <w:tcW w:w="320" w:type="dxa"/>
            <w:vAlign w:val="bottom"/>
            <w:tcBorders>
              <w:right w:val="single" w:sz="8" w:color="424E6A"/>
            </w:tcBorders>
            <w:shd w:val="clear" w:color="auto" w:fill="424E6A"/>
          </w:tcPr>
          <w:p>
            <w:pPr>
              <w:spacing w:after="0"/>
              <w:rPr>
                <w:sz w:val="21"/>
                <w:szCs w:val="21"/>
                <w:color w:val="auto"/>
              </w:rPr>
            </w:pPr>
          </w:p>
        </w:tc>
        <w:tc>
          <w:tcPr>
            <w:tcW w:w="940" w:type="dxa"/>
            <w:vAlign w:val="bottom"/>
            <w:shd w:val="clear" w:color="auto" w:fill="424E6A"/>
          </w:tcPr>
          <w:p>
            <w:pPr>
              <w:spacing w:after="0"/>
              <w:rPr>
                <w:sz w:val="21"/>
                <w:szCs w:val="21"/>
                <w:color w:val="auto"/>
              </w:rPr>
            </w:pPr>
          </w:p>
        </w:tc>
        <w:tc>
          <w:tcPr>
            <w:tcW w:w="100" w:type="dxa"/>
            <w:vAlign w:val="bottom"/>
            <w:tcBorders>
              <w:right w:val="single" w:sz="8" w:color="424E6A"/>
            </w:tcBorders>
            <w:shd w:val="clear" w:color="auto" w:fill="424E6A"/>
          </w:tcPr>
          <w:p>
            <w:pPr>
              <w:spacing w:after="0"/>
              <w:rPr>
                <w:sz w:val="21"/>
                <w:szCs w:val="21"/>
                <w:color w:val="auto"/>
              </w:rPr>
            </w:pPr>
          </w:p>
        </w:tc>
        <w:tc>
          <w:tcPr>
            <w:tcW w:w="320" w:type="dxa"/>
            <w:vAlign w:val="bottom"/>
            <w:tcBorders>
              <w:right w:val="single" w:sz="8" w:color="424E6A"/>
            </w:tcBorders>
            <w:shd w:val="clear" w:color="auto" w:fill="424E6A"/>
          </w:tcPr>
          <w:p>
            <w:pPr>
              <w:spacing w:after="0"/>
              <w:rPr>
                <w:sz w:val="21"/>
                <w:szCs w:val="21"/>
                <w:color w:val="auto"/>
              </w:rPr>
            </w:pPr>
          </w:p>
        </w:tc>
        <w:tc>
          <w:tcPr>
            <w:tcW w:w="1260" w:type="dxa"/>
            <w:vAlign w:val="bottom"/>
            <w:tcBorders>
              <w:right w:val="single" w:sz="8" w:color="424E6A"/>
            </w:tcBorders>
            <w:shd w:val="clear" w:color="auto" w:fill="424E6A"/>
          </w:tcPr>
          <w:p>
            <w:pPr>
              <w:spacing w:after="0"/>
              <w:rPr>
                <w:sz w:val="21"/>
                <w:szCs w:val="21"/>
                <w:color w:val="auto"/>
              </w:rPr>
            </w:pPr>
          </w:p>
        </w:tc>
      </w:tr>
      <w:tr>
        <w:trPr>
          <w:trHeight w:val="162"/>
        </w:trPr>
        <w:tc>
          <w:tcPr>
            <w:tcW w:w="1040" w:type="dxa"/>
            <w:vAlign w:val="bottom"/>
            <w:tcBorders>
              <w:left w:val="single" w:sz="8" w:color="424E6A"/>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YE Fair</w:t>
            </w:r>
          </w:p>
        </w:tc>
        <w:tc>
          <w:tcPr>
            <w:tcW w:w="12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Change in Fair</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Value as of</w:t>
            </w:r>
          </w:p>
        </w:tc>
        <w:tc>
          <w:tcPr>
            <w:tcW w:w="14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940" w:type="dxa"/>
            <w:vAlign w:val="bottom"/>
            <w:shd w:val="clear" w:color="auto" w:fill="424E6A"/>
          </w:tcPr>
          <w:p>
            <w:pPr>
              <w:spacing w:after="0"/>
              <w:rPr>
                <w:sz w:val="14"/>
                <w:szCs w:val="14"/>
                <w:color w:val="auto"/>
              </w:rPr>
            </w:pPr>
          </w:p>
        </w:tc>
        <w:tc>
          <w:tcPr>
            <w:tcW w:w="10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1260" w:type="dxa"/>
            <w:vAlign w:val="bottom"/>
            <w:tcBorders>
              <w:right w:val="single" w:sz="8" w:color="424E6A"/>
            </w:tcBorders>
            <w:shd w:val="clear" w:color="auto" w:fill="424E6A"/>
          </w:tcPr>
          <w:p>
            <w:pPr>
              <w:spacing w:after="0"/>
              <w:rPr>
                <w:sz w:val="14"/>
                <w:szCs w:val="14"/>
                <w:color w:val="auto"/>
              </w:rPr>
            </w:pPr>
          </w:p>
        </w:tc>
      </w:tr>
      <w:tr>
        <w:trPr>
          <w:trHeight w:val="162"/>
        </w:trPr>
        <w:tc>
          <w:tcPr>
            <w:tcW w:w="1040" w:type="dxa"/>
            <w:vAlign w:val="bottom"/>
            <w:tcBorders>
              <w:left w:val="single" w:sz="8" w:color="424E6A"/>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9"/>
              </w:rPr>
              <w:t>Value of</w:t>
            </w:r>
          </w:p>
        </w:tc>
        <w:tc>
          <w:tcPr>
            <w:tcW w:w="12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Value as of YE</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Vesting Date</w:t>
            </w:r>
          </w:p>
        </w:tc>
        <w:tc>
          <w:tcPr>
            <w:tcW w:w="14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940" w:type="dxa"/>
            <w:vAlign w:val="bottom"/>
            <w:shd w:val="clear" w:color="auto" w:fill="424E6A"/>
          </w:tcPr>
          <w:p>
            <w:pPr>
              <w:spacing w:after="0"/>
              <w:rPr>
                <w:sz w:val="14"/>
                <w:szCs w:val="14"/>
                <w:color w:val="auto"/>
              </w:rPr>
            </w:pPr>
          </w:p>
        </w:tc>
        <w:tc>
          <w:tcPr>
            <w:tcW w:w="10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1260" w:type="dxa"/>
            <w:vAlign w:val="bottom"/>
            <w:tcBorders>
              <w:right w:val="single" w:sz="8" w:color="424E6A"/>
            </w:tcBorders>
            <w:shd w:val="clear" w:color="auto" w:fill="424E6A"/>
          </w:tcPr>
          <w:p>
            <w:pPr>
              <w:spacing w:after="0"/>
              <w:rPr>
                <w:sz w:val="14"/>
                <w:szCs w:val="14"/>
                <w:color w:val="auto"/>
              </w:rPr>
            </w:pPr>
          </w:p>
        </w:tc>
      </w:tr>
      <w:tr>
        <w:trPr>
          <w:trHeight w:val="162"/>
        </w:trPr>
        <w:tc>
          <w:tcPr>
            <w:tcW w:w="1040" w:type="dxa"/>
            <w:vAlign w:val="bottom"/>
            <w:tcBorders>
              <w:left w:val="single" w:sz="8" w:color="424E6A"/>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Current Year</w:t>
            </w:r>
          </w:p>
        </w:tc>
        <w:tc>
          <w:tcPr>
            <w:tcW w:w="12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for Prior Year</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for Prior Year</w:t>
            </w:r>
          </w:p>
        </w:tc>
        <w:tc>
          <w:tcPr>
            <w:tcW w:w="14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9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8"/>
              </w:rPr>
              <w:t>Fair Value</w:t>
            </w:r>
          </w:p>
        </w:tc>
        <w:tc>
          <w:tcPr>
            <w:tcW w:w="10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1260" w:type="dxa"/>
            <w:vAlign w:val="bottom"/>
            <w:tcBorders>
              <w:right w:val="single" w:sz="8" w:color="424E6A"/>
            </w:tcBorders>
            <w:shd w:val="clear" w:color="auto" w:fill="424E6A"/>
          </w:tcPr>
          <w:p>
            <w:pPr>
              <w:jc w:val="center"/>
              <w:ind w:right="124"/>
              <w:spacing w:after="0"/>
              <w:rPr>
                <w:sz w:val="20"/>
                <w:szCs w:val="20"/>
                <w:color w:val="auto"/>
              </w:rPr>
            </w:pPr>
            <w:r>
              <w:rPr>
                <w:rFonts w:ascii="Arial" w:cs="Arial" w:eastAsia="Arial" w:hAnsi="Arial"/>
                <w:sz w:val="14"/>
                <w:szCs w:val="14"/>
                <w:b w:val="1"/>
                <w:bCs w:val="1"/>
                <w:color w:val="FFFFFF"/>
              </w:rPr>
              <w:t>Fair Value of</w:t>
            </w:r>
          </w:p>
        </w:tc>
      </w:tr>
      <w:tr>
        <w:trPr>
          <w:trHeight w:val="162"/>
        </w:trPr>
        <w:tc>
          <w:tcPr>
            <w:tcW w:w="1040" w:type="dxa"/>
            <w:vAlign w:val="bottom"/>
            <w:tcBorders>
              <w:left w:val="single" w:sz="8" w:color="424E6A"/>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Awards</w:t>
            </w:r>
          </w:p>
        </w:tc>
        <w:tc>
          <w:tcPr>
            <w:tcW w:w="12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8"/>
              </w:rPr>
              <w:t>Awards</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Awards that</w:t>
            </w:r>
          </w:p>
        </w:tc>
        <w:tc>
          <w:tcPr>
            <w:tcW w:w="14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9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9"/>
              </w:rPr>
              <w:t>of DERs</w:t>
            </w:r>
          </w:p>
        </w:tc>
        <w:tc>
          <w:tcPr>
            <w:tcW w:w="10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1260" w:type="dxa"/>
            <w:vAlign w:val="bottom"/>
            <w:tcBorders>
              <w:right w:val="single" w:sz="8" w:color="424E6A"/>
            </w:tcBorders>
            <w:shd w:val="clear" w:color="auto" w:fill="424E6A"/>
          </w:tcPr>
          <w:p>
            <w:pPr>
              <w:jc w:val="center"/>
              <w:ind w:right="124"/>
              <w:spacing w:after="0"/>
              <w:rPr>
                <w:sz w:val="20"/>
                <w:szCs w:val="20"/>
                <w:color w:val="auto"/>
              </w:rPr>
            </w:pPr>
            <w:r>
              <w:rPr>
                <w:rFonts w:ascii="Arial" w:cs="Arial" w:eastAsia="Arial" w:hAnsi="Arial"/>
                <w:sz w:val="14"/>
                <w:szCs w:val="14"/>
                <w:b w:val="1"/>
                <w:bCs w:val="1"/>
                <w:color w:val="FFFFFF"/>
              </w:rPr>
              <w:t>Equity for</w:t>
            </w:r>
          </w:p>
        </w:tc>
      </w:tr>
      <w:tr>
        <w:trPr>
          <w:trHeight w:val="162"/>
        </w:trPr>
        <w:tc>
          <w:tcPr>
            <w:tcW w:w="1040" w:type="dxa"/>
            <w:vAlign w:val="bottom"/>
            <w:tcBorders>
              <w:left w:val="single" w:sz="8" w:color="424E6A"/>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Outstanding</w:t>
            </w:r>
          </w:p>
        </w:tc>
        <w:tc>
          <w:tcPr>
            <w:tcW w:w="12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Outstanding at</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Vested During</w:t>
            </w:r>
          </w:p>
        </w:tc>
        <w:tc>
          <w:tcPr>
            <w:tcW w:w="14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9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Paid During</w:t>
            </w:r>
          </w:p>
        </w:tc>
        <w:tc>
          <w:tcPr>
            <w:tcW w:w="10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1260" w:type="dxa"/>
            <w:vAlign w:val="bottom"/>
            <w:tcBorders>
              <w:right w:val="single" w:sz="8" w:color="424E6A"/>
            </w:tcBorders>
            <w:shd w:val="clear" w:color="auto" w:fill="424E6A"/>
          </w:tcPr>
          <w:p>
            <w:pPr>
              <w:jc w:val="center"/>
              <w:ind w:right="124"/>
              <w:spacing w:after="0"/>
              <w:rPr>
                <w:sz w:val="20"/>
                <w:szCs w:val="20"/>
                <w:color w:val="auto"/>
              </w:rPr>
            </w:pPr>
            <w:r>
              <w:rPr>
                <w:rFonts w:ascii="Arial" w:cs="Arial" w:eastAsia="Arial" w:hAnsi="Arial"/>
                <w:sz w:val="14"/>
                <w:szCs w:val="14"/>
                <w:b w:val="1"/>
                <w:bCs w:val="1"/>
                <w:color w:val="FFFFFF"/>
              </w:rPr>
              <w:t>CAP</w:t>
            </w:r>
          </w:p>
        </w:tc>
      </w:tr>
      <w:tr>
        <w:trPr>
          <w:trHeight w:val="212"/>
        </w:trPr>
        <w:tc>
          <w:tcPr>
            <w:tcW w:w="1040" w:type="dxa"/>
            <w:vAlign w:val="bottom"/>
            <w:tcBorders>
              <w:left w:val="single" w:sz="8" w:color="424E6A"/>
              <w:righ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Year</w:t>
            </w:r>
          </w:p>
        </w:tc>
        <w:tc>
          <w:tcPr>
            <w:tcW w:w="80" w:type="dxa"/>
            <w:vAlign w:val="bottom"/>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at YE</w:t>
            </w:r>
          </w:p>
        </w:tc>
        <w:tc>
          <w:tcPr>
            <w:tcW w:w="520" w:type="dxa"/>
            <w:vAlign w:val="bottom"/>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rPr>
              <w:t>​ ​  ​ ​</w:t>
            </w:r>
          </w:p>
        </w:tc>
        <w:tc>
          <w:tcPr>
            <w:tcW w:w="10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6"/>
              </w:rPr>
              <w:t>YE</w:t>
            </w:r>
          </w:p>
        </w:tc>
        <w:tc>
          <w:tcPr>
            <w:tcW w:w="520" w:type="dxa"/>
            <w:vAlign w:val="bottom"/>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rPr>
              <w:t>​ ​  ​ ​</w:t>
            </w:r>
          </w:p>
        </w:tc>
        <w:tc>
          <w:tcPr>
            <w:tcW w:w="10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7"/>
              </w:rPr>
              <w:t>the Year</w:t>
            </w:r>
          </w:p>
        </w:tc>
        <w:tc>
          <w:tcPr>
            <w:tcW w:w="1400" w:type="dxa"/>
            <w:vAlign w:val="bottom"/>
            <w:gridSpan w:val="3"/>
            <w:shd w:val="clear" w:color="auto" w:fill="424E6A"/>
          </w:tcPr>
          <w:p>
            <w:pPr>
              <w:ind w:left="80"/>
              <w:spacing w:after="0" w:line="199" w:lineRule="exact"/>
              <w:rPr>
                <w:sz w:val="20"/>
                <w:szCs w:val="20"/>
                <w:color w:val="auto"/>
              </w:rPr>
            </w:pPr>
            <w:r>
              <w:rPr>
                <w:rFonts w:ascii="Arial" w:cs="Arial" w:eastAsia="Arial" w:hAnsi="Arial"/>
                <w:sz w:val="22"/>
                <w:szCs w:val="22"/>
                <w:b w:val="1"/>
                <w:bCs w:val="1"/>
                <w:color w:val="FFFFFF"/>
                <w:vertAlign w:val="subscript"/>
              </w:rPr>
              <w:t>​ ​  ​ ​</w:t>
            </w:r>
            <w:r>
              <w:rPr>
                <w:rFonts w:ascii="Arial" w:cs="Arial" w:eastAsia="Arial" w:hAnsi="Arial"/>
                <w:sz w:val="12"/>
                <w:szCs w:val="12"/>
                <w:b w:val="1"/>
                <w:bCs w:val="1"/>
                <w:color w:val="FFFFFF"/>
              </w:rPr>
              <w:t xml:space="preserve">  the Year</w:t>
            </w:r>
          </w:p>
        </w:tc>
        <w:tc>
          <w:tcPr>
            <w:tcW w:w="1680" w:type="dxa"/>
            <w:vAlign w:val="bottom"/>
            <w:tcBorders>
              <w:right w:val="single" w:sz="8" w:color="424E6A"/>
            </w:tcBorders>
            <w:gridSpan w:val="3"/>
            <w:shd w:val="clear" w:color="auto" w:fill="424E6A"/>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 ​  ​ ​</w:t>
            </w:r>
            <w:r>
              <w:rPr>
                <w:rFonts w:ascii="Arial" w:cs="Arial" w:eastAsia="Arial" w:hAnsi="Arial"/>
                <w:sz w:val="12"/>
                <w:szCs w:val="12"/>
                <w:b w:val="1"/>
                <w:bCs w:val="1"/>
                <w:color w:val="FFFFFF"/>
              </w:rPr>
              <w:t xml:space="preserve">  Purposes</w:t>
            </w:r>
          </w:p>
        </w:tc>
      </w:tr>
      <w:tr>
        <w:trPr>
          <w:trHeight w:val="257"/>
        </w:trPr>
        <w:tc>
          <w:tcPr>
            <w:tcW w:w="1040" w:type="dxa"/>
            <w:vAlign w:val="bottom"/>
            <w:tcBorders>
              <w:left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8"/>
                <w:szCs w:val="18"/>
                <w:color w:val="auto"/>
              </w:rPr>
              <w:t>2025</w:t>
            </w:r>
          </w:p>
        </w:tc>
        <w:tc>
          <w:tcPr>
            <w:tcW w:w="1120" w:type="dxa"/>
            <w:vAlign w:val="bottom"/>
            <w:tcBorders>
              <w:bottom w:val="single" w:sz="8" w:color="424E6A"/>
              <w:right w:val="single" w:sz="8" w:color="424E6A"/>
            </w:tcBorders>
            <w:gridSpan w:val="3"/>
          </w:tcPr>
          <w:p>
            <w:pPr>
              <w:ind w:left="40"/>
              <w:spacing w:after="0"/>
              <w:rPr>
                <w:sz w:val="20"/>
                <w:szCs w:val="20"/>
                <w:color w:val="auto"/>
              </w:rPr>
            </w:pPr>
            <w:r>
              <w:rPr>
                <w:rFonts w:ascii="Arial" w:cs="Arial" w:eastAsia="Arial" w:hAnsi="Arial"/>
                <w:sz w:val="18"/>
                <w:szCs w:val="18"/>
                <w:color w:val="auto"/>
              </w:rPr>
              <w:t>​​$4,406,765 ​</w:t>
            </w:r>
          </w:p>
        </w:tc>
        <w:tc>
          <w:tcPr>
            <w:tcW w:w="320" w:type="dxa"/>
            <w:vAlign w:val="bottom"/>
            <w:tcBorders>
              <w:bottom w:val="single" w:sz="8" w:color="424E6A"/>
              <w:right w:val="single" w:sz="8" w:color="424E6A"/>
            </w:tcBorders>
          </w:tcPr>
          <w:p>
            <w:pPr>
              <w:jc w:val="center"/>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260" w:type="dxa"/>
            <w:vAlign w:val="bottom"/>
            <w:tcBorders>
              <w:bottom w:val="single" w:sz="8" w:color="424E6A"/>
              <w:right w:val="single" w:sz="8" w:color="424E6A"/>
            </w:tcBorders>
            <w:gridSpan w:val="3"/>
          </w:tcPr>
          <w:p>
            <w:pPr>
              <w:ind w:left="40"/>
              <w:spacing w:after="0"/>
              <w:rPr>
                <w:sz w:val="20"/>
                <w:szCs w:val="20"/>
                <w:color w:val="auto"/>
              </w:rPr>
            </w:pPr>
            <w:r>
              <w:rPr>
                <w:rFonts w:ascii="Arial" w:cs="Arial" w:eastAsia="Arial" w:hAnsi="Arial"/>
                <w:sz w:val="18"/>
                <w:szCs w:val="18"/>
                <w:color w:val="auto"/>
              </w:rPr>
              <w:t>​ ​$1,324,483 ​​</w:t>
            </w:r>
          </w:p>
        </w:tc>
        <w:tc>
          <w:tcPr>
            <w:tcW w:w="300" w:type="dxa"/>
            <w:vAlign w:val="bottom"/>
            <w:tcBorders>
              <w:bottom w:val="single" w:sz="8" w:color="424E6A"/>
              <w:right w:val="single" w:sz="8" w:color="424E6A"/>
            </w:tcBorders>
          </w:tcPr>
          <w:p>
            <w:pPr>
              <w:jc w:val="center"/>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rPr>
              <w:t>​$162,252</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424E6A"/>
              <w:right w:val="single" w:sz="8" w:color="424E6A"/>
            </w:tcBorders>
          </w:tcPr>
          <w:p>
            <w:pPr>
              <w:ind w:left="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040" w:type="dxa"/>
            <w:vAlign w:val="bottom"/>
            <w:tcBorders>
              <w:bottom w:val="single" w:sz="8" w:color="424E6A"/>
              <w:right w:val="single" w:sz="8" w:color="424E6A"/>
            </w:tcBorders>
            <w:gridSpan w:val="2"/>
          </w:tcPr>
          <w:p>
            <w:pPr>
              <w:ind w:left="40"/>
              <w:spacing w:after="0"/>
              <w:rPr>
                <w:sz w:val="20"/>
                <w:szCs w:val="20"/>
                <w:color w:val="auto"/>
              </w:rPr>
            </w:pPr>
            <w:r>
              <w:rPr>
                <w:rFonts w:ascii="Arial" w:cs="Arial" w:eastAsia="Arial" w:hAnsi="Arial"/>
                <w:sz w:val="18"/>
                <w:szCs w:val="18"/>
                <w:color w:val="auto"/>
              </w:rPr>
              <w:t>​ ​$977,314 ​​</w:t>
            </w:r>
          </w:p>
        </w:tc>
        <w:tc>
          <w:tcPr>
            <w:tcW w:w="320" w:type="dxa"/>
            <w:vAlign w:val="bottom"/>
            <w:tcBorders>
              <w:bottom w:val="single" w:sz="8" w:color="424E6A"/>
              <w:right w:val="single" w:sz="8" w:color="424E6A"/>
            </w:tcBorders>
          </w:tcPr>
          <w:p>
            <w:pPr>
              <w:ind w:left="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260" w:type="dxa"/>
            <w:vAlign w:val="bottom"/>
            <w:tcBorders>
              <w:bottom w:val="single" w:sz="8" w:color="424E6A"/>
              <w:right w:val="single" w:sz="8" w:color="424E6A"/>
            </w:tcBorders>
          </w:tcPr>
          <w:p>
            <w:pPr>
              <w:jc w:val="center"/>
              <w:ind w:right="124"/>
              <w:spacing w:after="0"/>
              <w:rPr>
                <w:sz w:val="20"/>
                <w:szCs w:val="20"/>
                <w:color w:val="auto"/>
              </w:rPr>
            </w:pPr>
            <w:r>
              <w:rPr>
                <w:rFonts w:ascii="Arial" w:cs="Arial" w:eastAsia="Arial" w:hAnsi="Arial"/>
                <w:sz w:val="18"/>
                <w:szCs w:val="18"/>
                <w:color w:val="auto"/>
              </w:rPr>
              <w:t>​​$6,870,814</w:t>
            </w:r>
          </w:p>
        </w:tc>
      </w:tr>
    </w:tbl>
    <w:p>
      <w:pPr>
        <w:spacing w:after="0" w:line="157" w:lineRule="exact"/>
        <w:rPr>
          <w:sz w:val="20"/>
          <w:szCs w:val="20"/>
          <w:color w:val="auto"/>
        </w:rPr>
      </w:pPr>
    </w:p>
    <w:p>
      <w:pPr>
        <w:ind w:left="1620" w:right="559" w:hanging="360"/>
        <w:spacing w:after="0" w:line="222" w:lineRule="auto"/>
        <w:tabs>
          <w:tab w:leader="none" w:pos="1620" w:val="left"/>
        </w:tabs>
        <w:numPr>
          <w:ilvl w:val="0"/>
          <w:numId w:val="65"/>
        </w:numPr>
        <w:rPr>
          <w:rFonts w:ascii="Arial" w:cs="Arial" w:eastAsia="Arial" w:hAnsi="Arial"/>
          <w:sz w:val="27"/>
          <w:szCs w:val="27"/>
          <w:color w:val="auto"/>
          <w:vertAlign w:val="superscript"/>
        </w:rPr>
      </w:pPr>
      <w:r>
        <w:rPr>
          <w:rFonts w:ascii="Arial" w:cs="Arial" w:eastAsia="Arial" w:hAnsi="Arial"/>
          <w:sz w:val="18"/>
          <w:szCs w:val="18"/>
          <w:color w:val="auto"/>
        </w:rPr>
        <w:t>We did not issue any equity awards during the covered fiscal year that vested in the year of grant. Previously issued equity awards that expired during the covered fiscal year had no fair value at the end of the prior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60" w:right="699"/>
        <w:spacing w:after="0" w:line="285" w:lineRule="auto"/>
        <w:rPr>
          <w:sz w:val="20"/>
          <w:szCs w:val="20"/>
          <w:color w:val="auto"/>
        </w:rPr>
      </w:pPr>
      <w:r>
        <w:rPr>
          <w:rFonts w:ascii="Arial" w:cs="Arial" w:eastAsia="Arial" w:hAnsi="Arial"/>
          <w:sz w:val="18"/>
          <w:szCs w:val="18"/>
          <w:i w:val="1"/>
          <w:iCs w:val="1"/>
          <w:color w:val="auto"/>
        </w:rPr>
        <w:t>Tabular Disclosure of Most Important Measures Linking Compensation Actually Paid During 2025 to Company Performance</w:t>
      </w:r>
    </w:p>
    <w:p>
      <w:pPr>
        <w:spacing w:after="0" w:line="73"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color w:val="auto"/>
        </w:rPr>
        <w:t>The following were the most important financial and non-financial performance measures, as determined by the Company, that link 2025 CAP to the Company’s performance for the most recently completed fiscal year (unranked):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1263015</wp:posOffset>
            </wp:positionH>
            <wp:positionV relativeFrom="paragraph">
              <wp:posOffset>102235</wp:posOffset>
            </wp:positionV>
            <wp:extent cx="4286250" cy="1054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286250" cy="1054735"/>
                    </a:xfrm>
                    <a:prstGeom prst="rect">
                      <a:avLst/>
                    </a:prstGeom>
                    <a:noFill/>
                  </pic:spPr>
                </pic:pic>
              </a:graphicData>
            </a:graphic>
          </wp:anchor>
        </w:drawing>
      </w:r>
    </w:p>
    <w:p>
      <w:pPr>
        <w:spacing w:after="0" w:line="121" w:lineRule="exact"/>
        <w:rPr>
          <w:sz w:val="20"/>
          <w:szCs w:val="20"/>
          <w:color w:val="auto"/>
        </w:rPr>
      </w:pPr>
    </w:p>
    <w:tbl>
      <w:tblPr>
        <w:tblLayout w:type="fixed"/>
        <w:tblInd w:w="1990" w:type="dxa"/>
        <w:tblCellMar>
          <w:top w:w="0" w:type="dxa"/>
          <w:left w:w="0" w:type="dxa"/>
          <w:bottom w:w="0" w:type="dxa"/>
          <w:right w:w="0" w:type="dxa"/>
        </w:tblCellMar>
      </w:tblPr>
      <w:tr>
        <w:trPr>
          <w:trHeight w:val="297"/>
        </w:trPr>
        <w:tc>
          <w:tcPr>
            <w:tcW w:w="100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FFFFFF"/>
              </w:rPr>
              <w:t>​</w:t>
            </w:r>
          </w:p>
        </w:tc>
        <w:tc>
          <w:tcPr>
            <w:tcW w:w="4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FFFFFF"/>
              </w:rPr>
              <w:t>Most Important Performance Measures</w:t>
            </w:r>
          </w:p>
        </w:tc>
        <w:tc>
          <w:tcPr>
            <w:tcW w:w="98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4"/>
                <w:szCs w:val="14"/>
                <w:b w:val="1"/>
                <w:bCs w:val="1"/>
                <w:color w:val="FFFFFF"/>
              </w:rPr>
              <w:t>​</w:t>
            </w:r>
          </w:p>
        </w:tc>
        <w:tc>
          <w:tcPr>
            <w:tcW w:w="20" w:type="dxa"/>
            <w:vAlign w:val="bottom"/>
          </w:tcPr>
          <w:p>
            <w:pPr>
              <w:spacing w:after="0"/>
              <w:rPr>
                <w:sz w:val="24"/>
                <w:szCs w:val="24"/>
                <w:color w:val="auto"/>
              </w:rPr>
            </w:pPr>
          </w:p>
        </w:tc>
      </w:tr>
      <w:tr>
        <w:trPr>
          <w:trHeight w:val="245"/>
        </w:trPr>
        <w:tc>
          <w:tcPr>
            <w:tcW w:w="10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780" w:type="dxa"/>
            <w:vAlign w:val="bottom"/>
          </w:tcPr>
          <w:p>
            <w:pPr>
              <w:jc w:val="center"/>
              <w:spacing w:after="0"/>
              <w:rPr>
                <w:sz w:val="20"/>
                <w:szCs w:val="20"/>
                <w:color w:val="auto"/>
              </w:rPr>
            </w:pPr>
            <w:r>
              <w:rPr>
                <w:rFonts w:ascii="Arial" w:cs="Arial" w:eastAsia="Arial" w:hAnsi="Arial"/>
                <w:sz w:val="18"/>
                <w:szCs w:val="18"/>
                <w:color w:val="auto"/>
                <w:w w:val="98"/>
              </w:rPr>
              <w:t>Adjusted EBITDA Attributable to PAA</w:t>
            </w:r>
          </w:p>
        </w:tc>
        <w:tc>
          <w:tcPr>
            <w:tcW w:w="100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0"/>
        </w:trPr>
        <w:tc>
          <w:tcPr>
            <w:tcW w:w="1000" w:type="dxa"/>
            <w:vAlign w:val="bottom"/>
            <w:tcBorders>
              <w:left w:val="single" w:sz="8" w:color="auto"/>
            </w:tcBorders>
            <w:shd w:val="clear" w:color="auto" w:fill="000000"/>
          </w:tcPr>
          <w:p>
            <w:pPr>
              <w:spacing w:after="0" w:line="20" w:lineRule="exact"/>
              <w:rPr>
                <w:sz w:val="1"/>
                <w:szCs w:val="1"/>
                <w:color w:val="auto"/>
              </w:rPr>
            </w:pPr>
          </w:p>
        </w:tc>
        <w:tc>
          <w:tcPr>
            <w:tcW w:w="47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780" w:type="dxa"/>
            <w:vAlign w:val="bottom"/>
          </w:tcPr>
          <w:p>
            <w:pPr>
              <w:jc w:val="center"/>
              <w:spacing w:after="0"/>
              <w:rPr>
                <w:sz w:val="20"/>
                <w:szCs w:val="20"/>
                <w:color w:val="auto"/>
              </w:rPr>
            </w:pPr>
            <w:r>
              <w:rPr>
                <w:rFonts w:ascii="Arial" w:cs="Arial" w:eastAsia="Arial" w:hAnsi="Arial"/>
                <w:sz w:val="18"/>
                <w:szCs w:val="18"/>
                <w:color w:val="auto"/>
                <w:w w:val="99"/>
              </w:rPr>
              <w:t>DCF per CUE</w:t>
            </w:r>
          </w:p>
        </w:tc>
        <w:tc>
          <w:tcPr>
            <w:tcW w:w="100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0"/>
        </w:trPr>
        <w:tc>
          <w:tcPr>
            <w:tcW w:w="1000" w:type="dxa"/>
            <w:vAlign w:val="bottom"/>
            <w:tcBorders>
              <w:left w:val="single" w:sz="8" w:color="auto"/>
            </w:tcBorders>
            <w:shd w:val="clear" w:color="auto" w:fill="000000"/>
          </w:tcPr>
          <w:p>
            <w:pPr>
              <w:spacing w:after="0" w:line="20" w:lineRule="exact"/>
              <w:rPr>
                <w:sz w:val="1"/>
                <w:szCs w:val="1"/>
                <w:color w:val="auto"/>
              </w:rPr>
            </w:pPr>
          </w:p>
        </w:tc>
        <w:tc>
          <w:tcPr>
            <w:tcW w:w="47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780" w:type="dxa"/>
            <w:vAlign w:val="bottom"/>
          </w:tcPr>
          <w:p>
            <w:pPr>
              <w:jc w:val="center"/>
              <w:spacing w:after="0"/>
              <w:rPr>
                <w:sz w:val="20"/>
                <w:szCs w:val="20"/>
                <w:color w:val="auto"/>
              </w:rPr>
            </w:pPr>
            <w:r>
              <w:rPr>
                <w:rFonts w:ascii="Arial" w:cs="Arial" w:eastAsia="Arial" w:hAnsi="Arial"/>
                <w:sz w:val="18"/>
                <w:szCs w:val="18"/>
                <w:color w:val="auto"/>
                <w:w w:val="99"/>
              </w:rPr>
              <w:t>TSR</w:t>
            </w:r>
          </w:p>
        </w:tc>
        <w:tc>
          <w:tcPr>
            <w:tcW w:w="100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0"/>
        </w:trPr>
        <w:tc>
          <w:tcPr>
            <w:tcW w:w="1000" w:type="dxa"/>
            <w:vAlign w:val="bottom"/>
            <w:tcBorders>
              <w:left w:val="single" w:sz="8" w:color="auto"/>
            </w:tcBorders>
            <w:shd w:val="clear" w:color="auto" w:fill="000000"/>
          </w:tcPr>
          <w:p>
            <w:pPr>
              <w:spacing w:after="0" w:line="20" w:lineRule="exact"/>
              <w:rPr>
                <w:sz w:val="1"/>
                <w:szCs w:val="1"/>
                <w:color w:val="auto"/>
              </w:rPr>
            </w:pPr>
          </w:p>
        </w:tc>
        <w:tc>
          <w:tcPr>
            <w:tcW w:w="47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780" w:type="dxa"/>
            <w:vAlign w:val="bottom"/>
          </w:tcPr>
          <w:p>
            <w:pPr>
              <w:jc w:val="center"/>
              <w:spacing w:after="0"/>
              <w:rPr>
                <w:sz w:val="20"/>
                <w:szCs w:val="20"/>
                <w:color w:val="auto"/>
              </w:rPr>
            </w:pPr>
            <w:r>
              <w:rPr>
                <w:rFonts w:ascii="Arial" w:cs="Arial" w:eastAsia="Arial" w:hAnsi="Arial"/>
                <w:sz w:val="18"/>
                <w:szCs w:val="18"/>
                <w:color w:val="auto"/>
                <w:w w:val="99"/>
              </w:rPr>
              <w:t>TRIR</w:t>
            </w:r>
          </w:p>
        </w:tc>
        <w:tc>
          <w:tcPr>
            <w:tcW w:w="100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0"/>
        </w:trPr>
        <w:tc>
          <w:tcPr>
            <w:tcW w:w="1000" w:type="dxa"/>
            <w:vAlign w:val="bottom"/>
            <w:tcBorders>
              <w:left w:val="single" w:sz="8" w:color="auto"/>
            </w:tcBorders>
            <w:shd w:val="clear" w:color="auto" w:fill="000000"/>
          </w:tcPr>
          <w:p>
            <w:pPr>
              <w:spacing w:after="0" w:line="20" w:lineRule="exact"/>
              <w:rPr>
                <w:sz w:val="1"/>
                <w:szCs w:val="1"/>
                <w:color w:val="auto"/>
              </w:rPr>
            </w:pPr>
          </w:p>
        </w:tc>
        <w:tc>
          <w:tcPr>
            <w:tcW w:w="47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780" w:type="dxa"/>
            <w:vAlign w:val="bottom"/>
          </w:tcPr>
          <w:p>
            <w:pPr>
              <w:jc w:val="center"/>
              <w:spacing w:after="0"/>
              <w:rPr>
                <w:sz w:val="20"/>
                <w:szCs w:val="20"/>
                <w:color w:val="auto"/>
              </w:rPr>
            </w:pPr>
            <w:r>
              <w:rPr>
                <w:rFonts w:ascii="Arial" w:cs="Arial" w:eastAsia="Arial" w:hAnsi="Arial"/>
                <w:sz w:val="18"/>
                <w:szCs w:val="18"/>
                <w:color w:val="auto"/>
                <w:w w:val="99"/>
              </w:rPr>
              <w:t>OPRR</w:t>
            </w:r>
          </w:p>
        </w:tc>
        <w:tc>
          <w:tcPr>
            <w:tcW w:w="100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0"/>
        </w:trPr>
        <w:tc>
          <w:tcPr>
            <w:tcW w:w="1000" w:type="dxa"/>
            <w:vAlign w:val="bottom"/>
            <w:tcBorders>
              <w:left w:val="single" w:sz="8" w:color="auto"/>
            </w:tcBorders>
            <w:shd w:val="clear" w:color="auto" w:fill="000000"/>
          </w:tcPr>
          <w:p>
            <w:pPr>
              <w:spacing w:after="0" w:line="20" w:lineRule="exact"/>
              <w:rPr>
                <w:sz w:val="1"/>
                <w:szCs w:val="1"/>
                <w:color w:val="auto"/>
              </w:rPr>
            </w:pPr>
          </w:p>
        </w:tc>
        <w:tc>
          <w:tcPr>
            <w:tcW w:w="47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1263015</wp:posOffset>
            </wp:positionH>
            <wp:positionV relativeFrom="paragraph">
              <wp:posOffset>-864870</wp:posOffset>
            </wp:positionV>
            <wp:extent cx="427736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277360" cy="171450"/>
                    </a:xfrm>
                    <a:prstGeom prst="rect">
                      <a:avLst/>
                    </a:prstGeom>
                    <a:noFill/>
                  </pic:spPr>
                </pic:pic>
              </a:graphicData>
            </a:graphic>
          </wp:anchor>
        </w:drawing>
        <w:drawing>
          <wp:anchor simplePos="0" relativeHeight="251657728" behindDoc="1" locked="0" layoutInCell="0" allowOverlap="1">
            <wp:simplePos x="0" y="0"/>
            <wp:positionH relativeFrom="column">
              <wp:posOffset>1263015</wp:posOffset>
            </wp:positionH>
            <wp:positionV relativeFrom="paragraph">
              <wp:posOffset>-521970</wp:posOffset>
            </wp:positionV>
            <wp:extent cx="427736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277360" cy="171450"/>
                    </a:xfrm>
                    <a:prstGeom prst="rect">
                      <a:avLst/>
                    </a:prstGeom>
                    <a:noFill/>
                  </pic:spPr>
                </pic:pic>
              </a:graphicData>
            </a:graphic>
          </wp:anchor>
        </w:drawing>
        <w:drawing>
          <wp:anchor simplePos="0" relativeHeight="251657728" behindDoc="1" locked="0" layoutInCell="0" allowOverlap="1">
            <wp:simplePos x="0" y="0"/>
            <wp:positionH relativeFrom="column">
              <wp:posOffset>1263015</wp:posOffset>
            </wp:positionH>
            <wp:positionV relativeFrom="paragraph">
              <wp:posOffset>-179070</wp:posOffset>
            </wp:positionV>
            <wp:extent cx="427736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277360" cy="171450"/>
                    </a:xfrm>
                    <a:prstGeom prst="rect">
                      <a:avLst/>
                    </a:prstGeom>
                    <a:noFill/>
                  </pic:spPr>
                </pic:pic>
              </a:graphicData>
            </a:graphic>
          </wp:anchor>
        </w:drawing>
      </w:r>
    </w:p>
    <w:p>
      <w:pPr>
        <w:spacing w:after="0" w:line="96" w:lineRule="exact"/>
        <w:rPr>
          <w:sz w:val="20"/>
          <w:szCs w:val="20"/>
          <w:color w:val="auto"/>
        </w:rPr>
      </w:pPr>
    </w:p>
    <w:p>
      <w:pPr>
        <w:ind w:left="1260" w:right="659" w:firstLine="360"/>
        <w:spacing w:after="0" w:line="318" w:lineRule="auto"/>
        <w:rPr>
          <w:sz w:val="20"/>
          <w:szCs w:val="20"/>
          <w:color w:val="auto"/>
        </w:rPr>
      </w:pPr>
      <w:r>
        <w:rPr>
          <w:rFonts w:ascii="Arial" w:cs="Arial" w:eastAsia="Arial" w:hAnsi="Arial"/>
          <w:sz w:val="17"/>
          <w:szCs w:val="17"/>
          <w:color w:val="auto"/>
        </w:rPr>
        <w:t xml:space="preserve">For further information regarding these performance measures and their function in our executive compensation program, please see “Compensation Discussion and Analysis” beginning on page </w:t>
      </w:r>
      <w:r>
        <w:rPr>
          <w:rFonts w:ascii="Arial" w:cs="Arial" w:eastAsia="Arial" w:hAnsi="Arial"/>
          <w:sz w:val="17"/>
          <w:szCs w:val="17"/>
          <w:u w:val="single" w:color="auto"/>
          <w:color w:val="0000EE"/>
        </w:rPr>
        <w:t>26</w:t>
      </w:r>
      <w:r>
        <w:rPr>
          <w:rFonts w:ascii="Arial" w:cs="Arial" w:eastAsia="Arial" w:hAnsi="Arial"/>
          <w:sz w:val="17"/>
          <w:szCs w:val="17"/>
          <w:color w:val="auto"/>
        </w:rPr>
        <w:t>.</w:t>
      </w:r>
    </w:p>
    <w:p>
      <w:pPr>
        <w:spacing w:after="0" w:line="118" w:lineRule="exact"/>
        <w:rPr>
          <w:sz w:val="20"/>
          <w:szCs w:val="20"/>
          <w:color w:val="auto"/>
        </w:rPr>
      </w:pPr>
    </w:p>
    <w:p>
      <w:pPr>
        <w:ind w:left="1260" w:right="979"/>
        <w:spacing w:after="0" w:line="285" w:lineRule="auto"/>
        <w:rPr>
          <w:sz w:val="20"/>
          <w:szCs w:val="20"/>
          <w:color w:val="auto"/>
        </w:rPr>
      </w:pPr>
      <w:r>
        <w:rPr>
          <w:rFonts w:ascii="Arial" w:cs="Arial" w:eastAsia="Arial" w:hAnsi="Arial"/>
          <w:sz w:val="18"/>
          <w:szCs w:val="18"/>
          <w:i w:val="1"/>
          <w:iCs w:val="1"/>
          <w:color w:val="auto"/>
        </w:rPr>
        <w:t>Disclosure of the Relationship Between Compensation Actually Paid and Financial Performance Measures</w:t>
      </w:r>
    </w:p>
    <w:p>
      <w:pPr>
        <w:spacing w:after="0" w:line="87"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8"/>
          <w:szCs w:val="18"/>
          <w:color w:val="auto"/>
        </w:rPr>
        <w:t>The graphs below describe the relationship between CAP (as calculated above) and our financial and stock performance for the indicated years. In addition, the first table below compares our cumulative TSR to peer group TSR for the indicated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94615</wp:posOffset>
            </wp:positionV>
            <wp:extent cx="5203190" cy="42437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203190" cy="424370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817245</wp:posOffset>
            </wp:positionH>
            <wp:positionV relativeFrom="paragraph">
              <wp:posOffset>544195</wp:posOffset>
            </wp:positionV>
            <wp:extent cx="5186045" cy="21685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86045" cy="216852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of Directors</w:t>
      </w:r>
    </w:p>
    <w:p>
      <w:pPr>
        <w:spacing w:after="0" w:line="158"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8"/>
          <w:szCs w:val="18"/>
          <w:color w:val="auto"/>
        </w:rPr>
        <w:t>The following table sets forth a summary of the compensation paid to each person who served as a director of PAGP GP in 2025 (other than Mr. Chiang who was not compensated separately for his services as a director and whose executive compensation is set forth in the Summary Compensation Table above):</w:t>
      </w:r>
    </w:p>
    <w:p>
      <w:pPr>
        <w:spacing w:after="0" w:line="162" w:lineRule="exact"/>
        <w:rPr>
          <w:sz w:val="20"/>
          <w:szCs w:val="20"/>
          <w:color w:val="auto"/>
        </w:rPr>
      </w:pPr>
    </w:p>
    <w:tbl>
      <w:tblPr>
        <w:tblLayout w:type="fixed"/>
        <w:tblInd w:w="1270" w:type="dxa"/>
        <w:tblCellMar>
          <w:top w:w="0" w:type="dxa"/>
          <w:left w:w="0" w:type="dxa"/>
          <w:bottom w:w="0" w:type="dxa"/>
          <w:right w:w="0" w:type="dxa"/>
        </w:tblCellMar>
      </w:tblPr>
      <w:tr>
        <w:trPr>
          <w:trHeight w:val="234"/>
        </w:trPr>
        <w:tc>
          <w:tcPr>
            <w:tcW w:w="3440" w:type="dxa"/>
            <w:vAlign w:val="bottom"/>
            <w:tcBorders>
              <w:left w:val="single" w:sz="8" w:color="424E6A"/>
              <w:right w:val="single" w:sz="8" w:color="424E6A"/>
            </w:tcBorders>
            <w:shd w:val="clear" w:color="auto" w:fill="424E6A"/>
          </w:tcPr>
          <w:p>
            <w:pPr>
              <w:spacing w:after="0"/>
              <w:rPr>
                <w:sz w:val="20"/>
                <w:szCs w:val="20"/>
                <w:color w:val="auto"/>
              </w:rPr>
            </w:pPr>
          </w:p>
        </w:tc>
        <w:tc>
          <w:tcPr>
            <w:tcW w:w="1040" w:type="dxa"/>
            <w:vAlign w:val="bottom"/>
            <w:tcBorders>
              <w:right w:val="single" w:sz="8" w:color="424E6A"/>
            </w:tcBorders>
            <w:shd w:val="clear" w:color="auto" w:fill="424E6A"/>
          </w:tcPr>
          <w:p>
            <w:pPr>
              <w:jc w:val="center"/>
              <w:ind w:right="76"/>
              <w:spacing w:after="0"/>
              <w:rPr>
                <w:sz w:val="20"/>
                <w:szCs w:val="20"/>
                <w:color w:val="auto"/>
              </w:rPr>
            </w:pPr>
            <w:r>
              <w:rPr>
                <w:rFonts w:ascii="Arial" w:cs="Arial" w:eastAsia="Arial" w:hAnsi="Arial"/>
                <w:sz w:val="14"/>
                <w:szCs w:val="14"/>
                <w:b w:val="1"/>
                <w:bCs w:val="1"/>
                <w:color w:val="FFFFFF"/>
              </w:rPr>
              <w:t>Fees</w:t>
            </w:r>
          </w:p>
        </w:tc>
        <w:tc>
          <w:tcPr>
            <w:tcW w:w="1120" w:type="dxa"/>
            <w:vAlign w:val="bottom"/>
            <w:tcBorders>
              <w:right w:val="single" w:sz="8" w:color="424E6A"/>
            </w:tcBorders>
            <w:shd w:val="clear" w:color="auto" w:fill="424E6A"/>
          </w:tcPr>
          <w:p>
            <w:pPr>
              <w:spacing w:after="0"/>
              <w:rPr>
                <w:sz w:val="20"/>
                <w:szCs w:val="20"/>
                <w:color w:val="auto"/>
              </w:rPr>
            </w:pPr>
          </w:p>
        </w:tc>
        <w:tc>
          <w:tcPr>
            <w:tcW w:w="1460" w:type="dxa"/>
            <w:vAlign w:val="bottom"/>
            <w:tcBorders>
              <w:right w:val="single" w:sz="8" w:color="424E6A"/>
            </w:tcBorders>
            <w:shd w:val="clear" w:color="auto" w:fill="424E6A"/>
          </w:tcPr>
          <w:p>
            <w:pPr>
              <w:spacing w:after="0"/>
              <w:rPr>
                <w:sz w:val="20"/>
                <w:szCs w:val="20"/>
                <w:color w:val="auto"/>
              </w:rPr>
            </w:pPr>
          </w:p>
        </w:tc>
        <w:tc>
          <w:tcPr>
            <w:tcW w:w="1160" w:type="dxa"/>
            <w:vAlign w:val="bottom"/>
            <w:tcBorders>
              <w:right w:val="single" w:sz="8" w:color="424E6A"/>
            </w:tcBorders>
            <w:shd w:val="clear" w:color="auto" w:fill="424E6A"/>
          </w:tcPr>
          <w:p>
            <w:pPr>
              <w:spacing w:after="0"/>
              <w:rPr>
                <w:sz w:val="20"/>
                <w:szCs w:val="20"/>
                <w:color w:val="auto"/>
              </w:rPr>
            </w:pPr>
          </w:p>
        </w:tc>
      </w:tr>
      <w:tr>
        <w:trPr>
          <w:trHeight w:val="162"/>
        </w:trPr>
        <w:tc>
          <w:tcPr>
            <w:tcW w:w="3440" w:type="dxa"/>
            <w:vAlign w:val="bottom"/>
            <w:tcBorders>
              <w:left w:val="single" w:sz="8" w:color="424E6A"/>
              <w:right w:val="single" w:sz="8" w:color="424E6A"/>
            </w:tcBorders>
            <w:shd w:val="clear" w:color="auto" w:fill="424E6A"/>
          </w:tcPr>
          <w:p>
            <w:pPr>
              <w:spacing w:after="0"/>
              <w:rPr>
                <w:sz w:val="14"/>
                <w:szCs w:val="14"/>
                <w:color w:val="auto"/>
              </w:rPr>
            </w:pPr>
          </w:p>
        </w:tc>
        <w:tc>
          <w:tcPr>
            <w:tcW w:w="1040" w:type="dxa"/>
            <w:vAlign w:val="bottom"/>
            <w:tcBorders>
              <w:right w:val="single" w:sz="8" w:color="424E6A"/>
            </w:tcBorders>
            <w:shd w:val="clear" w:color="auto" w:fill="424E6A"/>
          </w:tcPr>
          <w:p>
            <w:pPr>
              <w:jc w:val="center"/>
              <w:ind w:right="96"/>
              <w:spacing w:after="0"/>
              <w:rPr>
                <w:sz w:val="20"/>
                <w:szCs w:val="20"/>
                <w:color w:val="auto"/>
              </w:rPr>
            </w:pPr>
            <w:r>
              <w:rPr>
                <w:rFonts w:ascii="Arial" w:cs="Arial" w:eastAsia="Arial" w:hAnsi="Arial"/>
                <w:sz w:val="14"/>
                <w:szCs w:val="14"/>
                <w:b w:val="1"/>
                <w:bCs w:val="1"/>
                <w:color w:val="FFFFFF"/>
              </w:rPr>
              <w:t>Earned or</w:t>
            </w:r>
          </w:p>
        </w:tc>
        <w:tc>
          <w:tcPr>
            <w:tcW w:w="1120" w:type="dxa"/>
            <w:vAlign w:val="bottom"/>
            <w:tcBorders>
              <w:right w:val="single" w:sz="8" w:color="424E6A"/>
            </w:tcBorders>
            <w:shd w:val="clear" w:color="auto" w:fill="424E6A"/>
          </w:tcPr>
          <w:p>
            <w:pPr>
              <w:spacing w:after="0"/>
              <w:rPr>
                <w:sz w:val="14"/>
                <w:szCs w:val="14"/>
                <w:color w:val="auto"/>
              </w:rPr>
            </w:pPr>
          </w:p>
        </w:tc>
        <w:tc>
          <w:tcPr>
            <w:tcW w:w="1460" w:type="dxa"/>
            <w:vAlign w:val="bottom"/>
            <w:tcBorders>
              <w:right w:val="single" w:sz="8" w:color="424E6A"/>
            </w:tcBorders>
            <w:shd w:val="clear" w:color="auto" w:fill="424E6A"/>
          </w:tcPr>
          <w:p>
            <w:pPr>
              <w:spacing w:after="0"/>
              <w:rPr>
                <w:sz w:val="14"/>
                <w:szCs w:val="14"/>
                <w:color w:val="auto"/>
              </w:rPr>
            </w:pPr>
          </w:p>
        </w:tc>
        <w:tc>
          <w:tcPr>
            <w:tcW w:w="1160" w:type="dxa"/>
            <w:vAlign w:val="bottom"/>
            <w:tcBorders>
              <w:right w:val="single" w:sz="8" w:color="424E6A"/>
            </w:tcBorders>
            <w:shd w:val="clear" w:color="auto" w:fill="424E6A"/>
          </w:tcPr>
          <w:p>
            <w:pPr>
              <w:spacing w:after="0"/>
              <w:rPr>
                <w:sz w:val="14"/>
                <w:szCs w:val="14"/>
                <w:color w:val="auto"/>
              </w:rPr>
            </w:pPr>
          </w:p>
        </w:tc>
      </w:tr>
      <w:tr>
        <w:trPr>
          <w:trHeight w:val="162"/>
        </w:trPr>
        <w:tc>
          <w:tcPr>
            <w:tcW w:w="3440" w:type="dxa"/>
            <w:vAlign w:val="bottom"/>
            <w:tcBorders>
              <w:left w:val="single" w:sz="8" w:color="424E6A"/>
              <w:right w:val="single" w:sz="8" w:color="424E6A"/>
            </w:tcBorders>
            <w:shd w:val="clear" w:color="auto" w:fill="424E6A"/>
          </w:tcPr>
          <w:p>
            <w:pPr>
              <w:spacing w:after="0"/>
              <w:rPr>
                <w:sz w:val="14"/>
                <w:szCs w:val="14"/>
                <w:color w:val="auto"/>
              </w:rPr>
            </w:pPr>
          </w:p>
        </w:tc>
        <w:tc>
          <w:tcPr>
            <w:tcW w:w="1040" w:type="dxa"/>
            <w:vAlign w:val="bottom"/>
            <w:tcBorders>
              <w:right w:val="single" w:sz="8" w:color="424E6A"/>
            </w:tcBorders>
            <w:shd w:val="clear" w:color="auto" w:fill="424E6A"/>
          </w:tcPr>
          <w:p>
            <w:pPr>
              <w:jc w:val="center"/>
              <w:ind w:right="96"/>
              <w:spacing w:after="0"/>
              <w:rPr>
                <w:sz w:val="20"/>
                <w:szCs w:val="20"/>
                <w:color w:val="auto"/>
              </w:rPr>
            </w:pPr>
            <w:r>
              <w:rPr>
                <w:rFonts w:ascii="Arial" w:cs="Arial" w:eastAsia="Arial" w:hAnsi="Arial"/>
                <w:sz w:val="14"/>
                <w:szCs w:val="14"/>
                <w:b w:val="1"/>
                <w:bCs w:val="1"/>
                <w:color w:val="FFFFFF"/>
              </w:rPr>
              <w:t>Paid in</w:t>
            </w:r>
          </w:p>
        </w:tc>
        <w:tc>
          <w:tcPr>
            <w:tcW w:w="112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w w:val="99"/>
              </w:rPr>
              <w:t>Stock</w:t>
            </w:r>
          </w:p>
        </w:tc>
        <w:tc>
          <w:tcPr>
            <w:tcW w:w="146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All Other</w:t>
            </w:r>
          </w:p>
        </w:tc>
        <w:tc>
          <w:tcPr>
            <w:tcW w:w="1160" w:type="dxa"/>
            <w:vAlign w:val="bottom"/>
            <w:tcBorders>
              <w:right w:val="single" w:sz="8" w:color="424E6A"/>
            </w:tcBorders>
            <w:shd w:val="clear" w:color="auto" w:fill="424E6A"/>
          </w:tcPr>
          <w:p>
            <w:pPr>
              <w:spacing w:after="0"/>
              <w:rPr>
                <w:sz w:val="14"/>
                <w:szCs w:val="14"/>
                <w:color w:val="auto"/>
              </w:rPr>
            </w:pPr>
          </w:p>
        </w:tc>
      </w:tr>
      <w:tr>
        <w:trPr>
          <w:trHeight w:val="149"/>
        </w:trPr>
        <w:tc>
          <w:tcPr>
            <w:tcW w:w="3440" w:type="dxa"/>
            <w:vAlign w:val="bottom"/>
            <w:tcBorders>
              <w:left w:val="single" w:sz="8" w:color="424E6A"/>
              <w:right w:val="single" w:sz="8" w:color="424E6A"/>
            </w:tcBorders>
            <w:shd w:val="clear" w:color="auto" w:fill="424E6A"/>
          </w:tcPr>
          <w:p>
            <w:pPr>
              <w:spacing w:after="0"/>
              <w:rPr>
                <w:sz w:val="12"/>
                <w:szCs w:val="12"/>
                <w:color w:val="auto"/>
              </w:rPr>
            </w:pPr>
          </w:p>
        </w:tc>
        <w:tc>
          <w:tcPr>
            <w:tcW w:w="1040" w:type="dxa"/>
            <w:vAlign w:val="bottom"/>
            <w:tcBorders>
              <w:right w:val="single" w:sz="8" w:color="424E6A"/>
            </w:tcBorders>
            <w:shd w:val="clear" w:color="auto" w:fill="424E6A"/>
          </w:tcPr>
          <w:p>
            <w:pPr>
              <w:jc w:val="center"/>
              <w:ind w:right="76"/>
              <w:spacing w:after="0" w:line="149" w:lineRule="exact"/>
              <w:rPr>
                <w:sz w:val="20"/>
                <w:szCs w:val="20"/>
                <w:color w:val="auto"/>
              </w:rPr>
            </w:pPr>
            <w:r>
              <w:rPr>
                <w:rFonts w:ascii="Arial" w:cs="Arial" w:eastAsia="Arial" w:hAnsi="Arial"/>
                <w:sz w:val="14"/>
                <w:szCs w:val="14"/>
                <w:b w:val="1"/>
                <w:bCs w:val="1"/>
                <w:color w:val="FFFFFF"/>
              </w:rPr>
              <w:t>Cash</w:t>
            </w:r>
          </w:p>
        </w:tc>
        <w:tc>
          <w:tcPr>
            <w:tcW w:w="1120" w:type="dxa"/>
            <w:vAlign w:val="bottom"/>
            <w:tcBorders>
              <w:right w:val="single" w:sz="8" w:color="424E6A"/>
            </w:tcBorders>
            <w:shd w:val="clear" w:color="auto" w:fill="424E6A"/>
          </w:tcPr>
          <w:p>
            <w:pPr>
              <w:jc w:val="center"/>
              <w:spacing w:after="0" w:line="149" w:lineRule="exact"/>
              <w:rPr>
                <w:sz w:val="20"/>
                <w:szCs w:val="20"/>
                <w:color w:val="auto"/>
              </w:rPr>
            </w:pPr>
            <w:r>
              <w:rPr>
                <w:rFonts w:ascii="Arial" w:cs="Arial" w:eastAsia="Arial" w:hAnsi="Arial"/>
                <w:sz w:val="14"/>
                <w:szCs w:val="14"/>
                <w:b w:val="1"/>
                <w:bCs w:val="1"/>
                <w:color w:val="FFFFFF"/>
                <w:w w:val="98"/>
              </w:rPr>
              <w:t>Awards</w:t>
            </w:r>
          </w:p>
        </w:tc>
        <w:tc>
          <w:tcPr>
            <w:tcW w:w="1460" w:type="dxa"/>
            <w:vAlign w:val="bottom"/>
            <w:tcBorders>
              <w:right w:val="single" w:sz="8" w:color="424E6A"/>
            </w:tcBorders>
            <w:shd w:val="clear" w:color="auto" w:fill="424E6A"/>
          </w:tcPr>
          <w:p>
            <w:pPr>
              <w:jc w:val="center"/>
              <w:spacing w:after="0" w:line="149" w:lineRule="exact"/>
              <w:rPr>
                <w:sz w:val="20"/>
                <w:szCs w:val="20"/>
                <w:color w:val="auto"/>
              </w:rPr>
            </w:pPr>
            <w:r>
              <w:rPr>
                <w:rFonts w:ascii="Arial" w:cs="Arial" w:eastAsia="Arial" w:hAnsi="Arial"/>
                <w:sz w:val="14"/>
                <w:szCs w:val="14"/>
                <w:b w:val="1"/>
                <w:bCs w:val="1"/>
                <w:color w:val="FFFFFF"/>
              </w:rPr>
              <w:t>Compensation</w:t>
            </w:r>
          </w:p>
        </w:tc>
        <w:tc>
          <w:tcPr>
            <w:tcW w:w="1160" w:type="dxa"/>
            <w:vAlign w:val="bottom"/>
            <w:tcBorders>
              <w:right w:val="single" w:sz="8" w:color="424E6A"/>
            </w:tcBorders>
            <w:shd w:val="clear" w:color="auto" w:fill="424E6A"/>
          </w:tcPr>
          <w:p>
            <w:pPr>
              <w:ind w:left="380"/>
              <w:spacing w:after="0" w:line="149" w:lineRule="exact"/>
              <w:rPr>
                <w:sz w:val="20"/>
                <w:szCs w:val="20"/>
                <w:color w:val="auto"/>
              </w:rPr>
            </w:pPr>
            <w:r>
              <w:rPr>
                <w:rFonts w:ascii="Arial" w:cs="Arial" w:eastAsia="Arial" w:hAnsi="Arial"/>
                <w:sz w:val="14"/>
                <w:szCs w:val="14"/>
                <w:b w:val="1"/>
                <w:bCs w:val="1"/>
                <w:color w:val="FFFFFF"/>
              </w:rPr>
              <w:t>Total</w:t>
            </w:r>
          </w:p>
        </w:tc>
      </w:tr>
      <w:tr>
        <w:trPr>
          <w:trHeight w:val="224"/>
        </w:trPr>
        <w:tc>
          <w:tcPr>
            <w:tcW w:w="3440" w:type="dxa"/>
            <w:vAlign w:val="bottom"/>
            <w:tcBorders>
              <w:left w:val="single" w:sz="8" w:color="424E6A"/>
              <w:righ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Name</w:t>
            </w:r>
          </w:p>
        </w:tc>
        <w:tc>
          <w:tcPr>
            <w:tcW w:w="1040" w:type="dxa"/>
            <w:vAlign w:val="bottom"/>
            <w:tcBorders>
              <w:right w:val="single" w:sz="8" w:color="424E6A"/>
            </w:tcBorders>
            <w:shd w:val="clear" w:color="auto" w:fill="424E6A"/>
          </w:tcPr>
          <w:p>
            <w:pPr>
              <w:jc w:val="center"/>
              <w:ind w:right="56"/>
              <w:spacing w:after="0"/>
              <w:rPr>
                <w:sz w:val="20"/>
                <w:szCs w:val="20"/>
                <w:color w:val="auto"/>
              </w:rPr>
            </w:pPr>
            <w:r>
              <w:rPr>
                <w:rFonts w:ascii="Arial" w:cs="Arial" w:eastAsia="Arial" w:hAnsi="Arial"/>
                <w:sz w:val="14"/>
                <w:szCs w:val="14"/>
                <w:b w:val="1"/>
                <w:bCs w:val="1"/>
                <w:color w:val="FFFFFF"/>
              </w:rPr>
              <w:t>($)</w:t>
            </w:r>
          </w:p>
        </w:tc>
        <w:tc>
          <w:tcPr>
            <w:tcW w:w="112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w w:val="83"/>
              </w:rPr>
              <w:t>($)</w:t>
            </w:r>
            <w:r>
              <w:rPr>
                <w:rFonts w:ascii="Arial" w:cs="Arial" w:eastAsia="Arial" w:hAnsi="Arial"/>
                <w:sz w:val="17"/>
                <w:szCs w:val="17"/>
                <w:b w:val="1"/>
                <w:bCs w:val="1"/>
                <w:color w:val="FFFFFF"/>
                <w:w w:val="83"/>
                <w:vertAlign w:val="superscript"/>
              </w:rPr>
              <w:t>(1)</w:t>
            </w:r>
          </w:p>
        </w:tc>
        <w:tc>
          <w:tcPr>
            <w:tcW w:w="146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w:t>
            </w:r>
          </w:p>
        </w:tc>
        <w:tc>
          <w:tcPr>
            <w:tcW w:w="116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w w:val="93"/>
              </w:rPr>
              <w:t>($)</w:t>
            </w:r>
          </w:p>
        </w:tc>
      </w:tr>
      <w:tr>
        <w:trPr>
          <w:trHeight w:val="243"/>
        </w:trPr>
        <w:tc>
          <w:tcPr>
            <w:tcW w:w="3440" w:type="dxa"/>
            <w:vAlign w:val="bottom"/>
            <w:tcBorders>
              <w:left w:val="single" w:sz="8" w:color="424E6A"/>
              <w:bottom w:val="single" w:sz="8" w:color="424E6A"/>
              <w:right w:val="single" w:sz="8" w:color="424E6A"/>
            </w:tcBorders>
            <w:shd w:val="clear" w:color="auto" w:fill="D9DCE1"/>
          </w:tcPr>
          <w:p>
            <w:pPr>
              <w:ind w:left="60"/>
              <w:spacing w:after="0" w:line="243" w:lineRule="exact"/>
              <w:rPr>
                <w:sz w:val="20"/>
                <w:szCs w:val="20"/>
                <w:color w:val="auto"/>
              </w:rPr>
            </w:pPr>
            <w:r>
              <w:rPr>
                <w:rFonts w:ascii="Arial" w:cs="Arial" w:eastAsia="Arial" w:hAnsi="Arial"/>
                <w:sz w:val="18"/>
                <w:szCs w:val="18"/>
                <w:color w:val="auto"/>
              </w:rPr>
              <w:t>Greg L. Armstrong</w:t>
            </w:r>
            <w:r>
              <w:rPr>
                <w:rFonts w:ascii="Arial" w:cs="Arial" w:eastAsia="Arial" w:hAnsi="Arial"/>
                <w:sz w:val="23"/>
                <w:szCs w:val="23"/>
                <w:color w:val="auto"/>
                <w:vertAlign w:val="superscript"/>
              </w:rPr>
              <w:t>(2)</w:t>
            </w:r>
          </w:p>
        </w:tc>
        <w:tc>
          <w:tcPr>
            <w:tcW w:w="1040" w:type="dxa"/>
            <w:vAlign w:val="bottom"/>
            <w:tcBorders>
              <w:bottom w:val="single" w:sz="8" w:color="424E6A"/>
              <w:right w:val="single" w:sz="8" w:color="424E6A"/>
            </w:tcBorders>
            <w:shd w:val="clear" w:color="auto" w:fill="D9DCE1"/>
          </w:tcPr>
          <w:p>
            <w:pPr>
              <w:jc w:val="right"/>
              <w:ind w:right="176"/>
              <w:spacing w:after="0"/>
              <w:rPr>
                <w:sz w:val="20"/>
                <w:szCs w:val="20"/>
                <w:color w:val="auto"/>
              </w:rPr>
            </w:pPr>
            <w:r>
              <w:rPr>
                <w:rFonts w:ascii="Arial" w:cs="Arial" w:eastAsia="Arial" w:hAnsi="Arial"/>
                <w:sz w:val="18"/>
                <w:szCs w:val="18"/>
                <w:color w:val="auto"/>
              </w:rPr>
              <w:t>325,000</w:t>
            </w:r>
          </w:p>
        </w:tc>
        <w:tc>
          <w:tcPr>
            <w:tcW w:w="1120" w:type="dxa"/>
            <w:vAlign w:val="bottom"/>
            <w:tcBorders>
              <w:bottom w:val="single" w:sz="8" w:color="424E6A"/>
              <w:right w:val="single" w:sz="8" w:color="424E6A"/>
            </w:tcBorders>
            <w:shd w:val="clear" w:color="auto" w:fill="D9DCE1"/>
          </w:tcPr>
          <w:p>
            <w:pPr>
              <w:jc w:val="right"/>
              <w:ind w:right="154"/>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424E6A"/>
              <w:right w:val="single" w:sz="8" w:color="424E6A"/>
            </w:tcBorders>
            <w:shd w:val="clear" w:color="auto" w:fill="D9DCE1"/>
          </w:tcPr>
          <w:p>
            <w:pPr>
              <w:jc w:val="right"/>
              <w:ind w:right="374"/>
              <w:spacing w:after="0"/>
              <w:rPr>
                <w:sz w:val="20"/>
                <w:szCs w:val="20"/>
                <w:color w:val="auto"/>
              </w:rPr>
            </w:pPr>
            <w:r>
              <w:rPr>
                <w:rFonts w:ascii="Arial" w:cs="Arial" w:eastAsia="Arial" w:hAnsi="Arial"/>
                <w:sz w:val="18"/>
                <w:szCs w:val="18"/>
                <w:color w:val="auto"/>
              </w:rPr>
              <w:t>20,340</w:t>
            </w:r>
          </w:p>
        </w:tc>
        <w:tc>
          <w:tcPr>
            <w:tcW w:w="1160" w:type="dxa"/>
            <w:vAlign w:val="bottom"/>
            <w:tcBorders>
              <w:bottom w:val="single" w:sz="8" w:color="424E6A"/>
              <w:right w:val="single" w:sz="8" w:color="424E6A"/>
            </w:tcBorders>
            <w:shd w:val="clear" w:color="auto" w:fill="D9DCE1"/>
          </w:tcPr>
          <w:p>
            <w:pPr>
              <w:jc w:val="center"/>
              <w:spacing w:after="0"/>
              <w:rPr>
                <w:sz w:val="20"/>
                <w:szCs w:val="20"/>
                <w:color w:val="auto"/>
              </w:rPr>
            </w:pPr>
            <w:r>
              <w:rPr>
                <w:rFonts w:ascii="Arial" w:cs="Arial" w:eastAsia="Arial" w:hAnsi="Arial"/>
                <w:sz w:val="18"/>
                <w:szCs w:val="18"/>
                <w:color w:val="auto"/>
              </w:rPr>
              <w:t>345,340</w:t>
            </w:r>
          </w:p>
        </w:tc>
      </w:tr>
      <w:tr>
        <w:trPr>
          <w:trHeight w:val="234"/>
        </w:trPr>
        <w:tc>
          <w:tcPr>
            <w:tcW w:w="3440" w:type="dxa"/>
            <w:vAlign w:val="bottom"/>
            <w:tcBorders>
              <w:left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8"/>
                <w:szCs w:val="18"/>
                <w:color w:val="auto"/>
              </w:rPr>
              <w:t>Victor Burk</w:t>
            </w:r>
          </w:p>
        </w:tc>
        <w:tc>
          <w:tcPr>
            <w:tcW w:w="1040" w:type="dxa"/>
            <w:vAlign w:val="bottom"/>
            <w:tcBorders>
              <w:bottom w:val="single" w:sz="8" w:color="424E6A"/>
              <w:right w:val="single" w:sz="8" w:color="424E6A"/>
            </w:tcBorders>
          </w:tcPr>
          <w:p>
            <w:pPr>
              <w:jc w:val="right"/>
              <w:ind w:right="176"/>
              <w:spacing w:after="0"/>
              <w:rPr>
                <w:sz w:val="20"/>
                <w:szCs w:val="20"/>
                <w:color w:val="auto"/>
              </w:rPr>
            </w:pPr>
            <w:r>
              <w:rPr>
                <w:rFonts w:ascii="Arial" w:cs="Arial" w:eastAsia="Arial" w:hAnsi="Arial"/>
                <w:sz w:val="18"/>
                <w:szCs w:val="18"/>
                <w:color w:val="auto"/>
              </w:rPr>
              <w:t>145,000</w:t>
            </w:r>
          </w:p>
        </w:tc>
        <w:tc>
          <w:tcPr>
            <w:tcW w:w="1120" w:type="dxa"/>
            <w:vAlign w:val="bottom"/>
            <w:tcBorders>
              <w:bottom w:val="single" w:sz="8" w:color="424E6A"/>
              <w:right w:val="single" w:sz="8" w:color="424E6A"/>
            </w:tcBorders>
          </w:tcPr>
          <w:p>
            <w:pPr>
              <w:jc w:val="right"/>
              <w:ind w:right="154"/>
              <w:spacing w:after="0"/>
              <w:rPr>
                <w:sz w:val="20"/>
                <w:szCs w:val="20"/>
                <w:color w:val="auto"/>
              </w:rPr>
            </w:pPr>
            <w:r>
              <w:rPr>
                <w:rFonts w:ascii="Arial" w:cs="Arial" w:eastAsia="Arial" w:hAnsi="Arial"/>
                <w:sz w:val="18"/>
                <w:szCs w:val="18"/>
                <w:color w:val="auto"/>
              </w:rPr>
              <w:t>140,970</w:t>
            </w:r>
          </w:p>
        </w:tc>
        <w:tc>
          <w:tcPr>
            <w:tcW w:w="1460" w:type="dxa"/>
            <w:vAlign w:val="bottom"/>
            <w:tcBorders>
              <w:bottom w:val="single" w:sz="8" w:color="424E6A"/>
              <w:right w:val="single" w:sz="8" w:color="424E6A"/>
            </w:tcBorders>
          </w:tcPr>
          <w:p>
            <w:pPr>
              <w:jc w:val="right"/>
              <w:ind w:right="374"/>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24E6A"/>
              <w:right w:val="single" w:sz="8" w:color="424E6A"/>
            </w:tcBorders>
          </w:tcPr>
          <w:p>
            <w:pPr>
              <w:jc w:val="center"/>
              <w:spacing w:after="0"/>
              <w:rPr>
                <w:sz w:val="20"/>
                <w:szCs w:val="20"/>
                <w:color w:val="auto"/>
              </w:rPr>
            </w:pPr>
            <w:r>
              <w:rPr>
                <w:rFonts w:ascii="Arial" w:cs="Arial" w:eastAsia="Arial" w:hAnsi="Arial"/>
                <w:sz w:val="18"/>
                <w:szCs w:val="18"/>
                <w:color w:val="auto"/>
              </w:rPr>
              <w:t>285,970</w:t>
            </w:r>
          </w:p>
        </w:tc>
      </w:tr>
      <w:tr>
        <w:trPr>
          <w:trHeight w:val="237"/>
        </w:trPr>
        <w:tc>
          <w:tcPr>
            <w:tcW w:w="3440" w:type="dxa"/>
            <w:vAlign w:val="bottom"/>
            <w:tcBorders>
              <w:left w:val="single" w:sz="8" w:color="424E6A"/>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Ellen R. DeSanctis</w:t>
            </w:r>
          </w:p>
        </w:tc>
        <w:tc>
          <w:tcPr>
            <w:tcW w:w="1040" w:type="dxa"/>
            <w:vAlign w:val="bottom"/>
            <w:tcBorders>
              <w:bottom w:val="single" w:sz="8" w:color="424E6A"/>
              <w:right w:val="single" w:sz="8" w:color="424E6A"/>
            </w:tcBorders>
            <w:shd w:val="clear" w:color="auto" w:fill="D9DCE1"/>
          </w:tcPr>
          <w:p>
            <w:pPr>
              <w:jc w:val="right"/>
              <w:ind w:right="176"/>
              <w:spacing w:after="0"/>
              <w:rPr>
                <w:sz w:val="20"/>
                <w:szCs w:val="20"/>
                <w:color w:val="auto"/>
              </w:rPr>
            </w:pPr>
            <w:r>
              <w:rPr>
                <w:rFonts w:ascii="Arial" w:cs="Arial" w:eastAsia="Arial" w:hAnsi="Arial"/>
                <w:sz w:val="18"/>
                <w:szCs w:val="18"/>
                <w:color w:val="auto"/>
              </w:rPr>
              <w:t>130,000</w:t>
            </w:r>
          </w:p>
        </w:tc>
        <w:tc>
          <w:tcPr>
            <w:tcW w:w="1120" w:type="dxa"/>
            <w:vAlign w:val="bottom"/>
            <w:tcBorders>
              <w:bottom w:val="single" w:sz="8" w:color="424E6A"/>
              <w:right w:val="single" w:sz="8" w:color="424E6A"/>
            </w:tcBorders>
            <w:shd w:val="clear" w:color="auto" w:fill="D9DCE1"/>
          </w:tcPr>
          <w:p>
            <w:pPr>
              <w:jc w:val="right"/>
              <w:ind w:right="154"/>
              <w:spacing w:after="0"/>
              <w:rPr>
                <w:sz w:val="20"/>
                <w:szCs w:val="20"/>
                <w:color w:val="auto"/>
              </w:rPr>
            </w:pPr>
            <w:r>
              <w:rPr>
                <w:rFonts w:ascii="Arial" w:cs="Arial" w:eastAsia="Arial" w:hAnsi="Arial"/>
                <w:sz w:val="18"/>
                <w:szCs w:val="18"/>
                <w:color w:val="auto"/>
              </w:rPr>
              <w:t>140,970</w:t>
            </w:r>
          </w:p>
        </w:tc>
        <w:tc>
          <w:tcPr>
            <w:tcW w:w="1460" w:type="dxa"/>
            <w:vAlign w:val="bottom"/>
            <w:tcBorders>
              <w:bottom w:val="single" w:sz="8" w:color="424E6A"/>
              <w:right w:val="single" w:sz="8" w:color="424E6A"/>
            </w:tcBorders>
            <w:shd w:val="clear" w:color="auto" w:fill="D9DCE1"/>
          </w:tcPr>
          <w:p>
            <w:pPr>
              <w:jc w:val="right"/>
              <w:ind w:right="374"/>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24E6A"/>
              <w:right w:val="single" w:sz="8" w:color="424E6A"/>
            </w:tcBorders>
            <w:shd w:val="clear" w:color="auto" w:fill="D9DCE1"/>
          </w:tcPr>
          <w:p>
            <w:pPr>
              <w:jc w:val="center"/>
              <w:spacing w:after="0"/>
              <w:rPr>
                <w:sz w:val="20"/>
                <w:szCs w:val="20"/>
                <w:color w:val="auto"/>
              </w:rPr>
            </w:pPr>
            <w:r>
              <w:rPr>
                <w:rFonts w:ascii="Arial" w:cs="Arial" w:eastAsia="Arial" w:hAnsi="Arial"/>
                <w:sz w:val="18"/>
                <w:szCs w:val="18"/>
                <w:color w:val="auto"/>
              </w:rPr>
              <w:t>270,970</w:t>
            </w:r>
          </w:p>
        </w:tc>
      </w:tr>
      <w:tr>
        <w:trPr>
          <w:trHeight w:val="237"/>
        </w:trPr>
        <w:tc>
          <w:tcPr>
            <w:tcW w:w="3440" w:type="dxa"/>
            <w:vAlign w:val="bottom"/>
            <w:tcBorders>
              <w:left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8"/>
                <w:szCs w:val="18"/>
                <w:color w:val="auto"/>
              </w:rPr>
              <w:t>Kevin S. McCarthy</w:t>
            </w:r>
          </w:p>
        </w:tc>
        <w:tc>
          <w:tcPr>
            <w:tcW w:w="1040" w:type="dxa"/>
            <w:vAlign w:val="bottom"/>
            <w:tcBorders>
              <w:bottom w:val="single" w:sz="8" w:color="424E6A"/>
              <w:right w:val="single" w:sz="8" w:color="424E6A"/>
            </w:tcBorders>
          </w:tcPr>
          <w:p>
            <w:pPr>
              <w:jc w:val="right"/>
              <w:ind w:right="176"/>
              <w:spacing w:after="0"/>
              <w:rPr>
                <w:sz w:val="20"/>
                <w:szCs w:val="20"/>
                <w:color w:val="auto"/>
              </w:rPr>
            </w:pPr>
            <w:r>
              <w:rPr>
                <w:rFonts w:ascii="Arial" w:cs="Arial" w:eastAsia="Arial" w:hAnsi="Arial"/>
                <w:sz w:val="18"/>
                <w:szCs w:val="18"/>
                <w:color w:val="auto"/>
              </w:rPr>
              <w:t>115,000</w:t>
            </w:r>
          </w:p>
        </w:tc>
        <w:tc>
          <w:tcPr>
            <w:tcW w:w="1120" w:type="dxa"/>
            <w:vAlign w:val="bottom"/>
            <w:tcBorders>
              <w:bottom w:val="single" w:sz="8" w:color="424E6A"/>
              <w:right w:val="single" w:sz="8" w:color="424E6A"/>
            </w:tcBorders>
          </w:tcPr>
          <w:p>
            <w:pPr>
              <w:jc w:val="right"/>
              <w:ind w:right="154"/>
              <w:spacing w:after="0"/>
              <w:rPr>
                <w:sz w:val="20"/>
                <w:szCs w:val="20"/>
                <w:color w:val="auto"/>
              </w:rPr>
            </w:pPr>
            <w:r>
              <w:rPr>
                <w:rFonts w:ascii="Arial" w:cs="Arial" w:eastAsia="Arial" w:hAnsi="Arial"/>
                <w:sz w:val="18"/>
                <w:szCs w:val="18"/>
                <w:color w:val="auto"/>
              </w:rPr>
              <w:t>140,970</w:t>
            </w:r>
          </w:p>
        </w:tc>
        <w:tc>
          <w:tcPr>
            <w:tcW w:w="1460" w:type="dxa"/>
            <w:vAlign w:val="bottom"/>
            <w:tcBorders>
              <w:bottom w:val="single" w:sz="8" w:color="424E6A"/>
              <w:right w:val="single" w:sz="8" w:color="424E6A"/>
            </w:tcBorders>
          </w:tcPr>
          <w:p>
            <w:pPr>
              <w:jc w:val="right"/>
              <w:ind w:right="374"/>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24E6A"/>
              <w:right w:val="single" w:sz="8" w:color="424E6A"/>
            </w:tcBorders>
          </w:tcPr>
          <w:p>
            <w:pPr>
              <w:jc w:val="center"/>
              <w:spacing w:after="0"/>
              <w:rPr>
                <w:sz w:val="20"/>
                <w:szCs w:val="20"/>
                <w:color w:val="auto"/>
              </w:rPr>
            </w:pPr>
            <w:r>
              <w:rPr>
                <w:rFonts w:ascii="Arial" w:cs="Arial" w:eastAsia="Arial" w:hAnsi="Arial"/>
                <w:sz w:val="18"/>
                <w:szCs w:val="18"/>
                <w:color w:val="auto"/>
              </w:rPr>
              <w:t>255,970</w:t>
            </w:r>
          </w:p>
        </w:tc>
      </w:tr>
      <w:tr>
        <w:trPr>
          <w:trHeight w:val="239"/>
        </w:trPr>
        <w:tc>
          <w:tcPr>
            <w:tcW w:w="3440" w:type="dxa"/>
            <w:vAlign w:val="bottom"/>
            <w:tcBorders>
              <w:left w:val="single" w:sz="8" w:color="424E6A"/>
              <w:bottom w:val="single" w:sz="8" w:color="424E6A"/>
              <w:right w:val="single" w:sz="8" w:color="424E6A"/>
            </w:tcBorders>
            <w:shd w:val="clear" w:color="auto" w:fill="D9DCE1"/>
          </w:tcPr>
          <w:p>
            <w:pPr>
              <w:ind w:left="60"/>
              <w:spacing w:after="0" w:line="239" w:lineRule="exact"/>
              <w:rPr>
                <w:sz w:val="20"/>
                <w:szCs w:val="20"/>
                <w:color w:val="auto"/>
              </w:rPr>
            </w:pPr>
            <w:r>
              <w:rPr>
                <w:rFonts w:ascii="Arial" w:cs="Arial" w:eastAsia="Arial" w:hAnsi="Arial"/>
                <w:sz w:val="18"/>
                <w:szCs w:val="18"/>
                <w:color w:val="auto"/>
              </w:rPr>
              <w:t>Harry N. Pefanis</w:t>
            </w:r>
            <w:r>
              <w:rPr>
                <w:rFonts w:ascii="Arial" w:cs="Arial" w:eastAsia="Arial" w:hAnsi="Arial"/>
                <w:sz w:val="23"/>
                <w:szCs w:val="23"/>
                <w:color w:val="auto"/>
                <w:vertAlign w:val="superscript"/>
              </w:rPr>
              <w:t>(3)</w:t>
            </w:r>
          </w:p>
        </w:tc>
        <w:tc>
          <w:tcPr>
            <w:tcW w:w="1040" w:type="dxa"/>
            <w:vAlign w:val="bottom"/>
            <w:tcBorders>
              <w:bottom w:val="single" w:sz="8" w:color="424E6A"/>
              <w:right w:val="single" w:sz="8" w:color="424E6A"/>
            </w:tcBorders>
            <w:shd w:val="clear" w:color="auto" w:fill="D9DCE1"/>
          </w:tcPr>
          <w:p>
            <w:pPr>
              <w:jc w:val="right"/>
              <w:ind w:right="176"/>
              <w:spacing w:after="0"/>
              <w:rPr>
                <w:sz w:val="20"/>
                <w:szCs w:val="20"/>
                <w:color w:val="auto"/>
              </w:rPr>
            </w:pPr>
            <w:r>
              <w:rPr>
                <w:rFonts w:ascii="Arial" w:cs="Arial" w:eastAsia="Arial" w:hAnsi="Arial"/>
                <w:sz w:val="18"/>
                <w:szCs w:val="18"/>
                <w:color w:val="auto"/>
              </w:rPr>
              <w:t>439,584</w:t>
            </w:r>
          </w:p>
        </w:tc>
        <w:tc>
          <w:tcPr>
            <w:tcW w:w="1120" w:type="dxa"/>
            <w:vAlign w:val="bottom"/>
            <w:tcBorders>
              <w:bottom w:val="single" w:sz="8" w:color="424E6A"/>
              <w:right w:val="single" w:sz="8" w:color="424E6A"/>
            </w:tcBorders>
            <w:shd w:val="clear" w:color="auto" w:fill="D9DCE1"/>
          </w:tcPr>
          <w:p>
            <w:pPr>
              <w:jc w:val="right"/>
              <w:ind w:right="154"/>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424E6A"/>
              <w:right w:val="single" w:sz="8" w:color="424E6A"/>
            </w:tcBorders>
            <w:shd w:val="clear" w:color="auto" w:fill="D9DCE1"/>
          </w:tcPr>
          <w:p>
            <w:pPr>
              <w:jc w:val="right"/>
              <w:ind w:right="374"/>
              <w:spacing w:after="0"/>
              <w:rPr>
                <w:sz w:val="20"/>
                <w:szCs w:val="20"/>
                <w:color w:val="auto"/>
              </w:rPr>
            </w:pPr>
            <w:r>
              <w:rPr>
                <w:rFonts w:ascii="Arial" w:cs="Arial" w:eastAsia="Arial" w:hAnsi="Arial"/>
                <w:sz w:val="18"/>
                <w:szCs w:val="18"/>
                <w:color w:val="auto"/>
              </w:rPr>
              <w:t>21,840</w:t>
            </w:r>
          </w:p>
        </w:tc>
        <w:tc>
          <w:tcPr>
            <w:tcW w:w="1160" w:type="dxa"/>
            <w:vAlign w:val="bottom"/>
            <w:tcBorders>
              <w:bottom w:val="single" w:sz="8" w:color="424E6A"/>
              <w:right w:val="single" w:sz="8" w:color="424E6A"/>
            </w:tcBorders>
            <w:shd w:val="clear" w:color="auto" w:fill="D9DCE1"/>
          </w:tcPr>
          <w:p>
            <w:pPr>
              <w:jc w:val="center"/>
              <w:spacing w:after="0"/>
              <w:rPr>
                <w:sz w:val="20"/>
                <w:szCs w:val="20"/>
                <w:color w:val="auto"/>
              </w:rPr>
            </w:pPr>
            <w:r>
              <w:rPr>
                <w:rFonts w:ascii="Arial" w:cs="Arial" w:eastAsia="Arial" w:hAnsi="Arial"/>
                <w:sz w:val="18"/>
                <w:szCs w:val="18"/>
                <w:color w:val="auto"/>
              </w:rPr>
              <w:t>461,424</w:t>
            </w:r>
          </w:p>
        </w:tc>
      </w:tr>
      <w:tr>
        <w:trPr>
          <w:trHeight w:val="234"/>
        </w:trPr>
        <w:tc>
          <w:tcPr>
            <w:tcW w:w="3440" w:type="dxa"/>
            <w:vAlign w:val="bottom"/>
            <w:tcBorders>
              <w:left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8"/>
                <w:szCs w:val="18"/>
                <w:color w:val="auto"/>
              </w:rPr>
              <w:t>Gary R. Petersen</w:t>
            </w:r>
          </w:p>
        </w:tc>
        <w:tc>
          <w:tcPr>
            <w:tcW w:w="1040" w:type="dxa"/>
            <w:vAlign w:val="bottom"/>
            <w:tcBorders>
              <w:bottom w:val="single" w:sz="8" w:color="424E6A"/>
              <w:right w:val="single" w:sz="8" w:color="424E6A"/>
            </w:tcBorders>
          </w:tcPr>
          <w:p>
            <w:pPr>
              <w:jc w:val="right"/>
              <w:ind w:right="176"/>
              <w:spacing w:after="0"/>
              <w:rPr>
                <w:sz w:val="20"/>
                <w:szCs w:val="20"/>
                <w:color w:val="auto"/>
              </w:rPr>
            </w:pPr>
            <w:r>
              <w:rPr>
                <w:rFonts w:ascii="Arial" w:cs="Arial" w:eastAsia="Arial" w:hAnsi="Arial"/>
                <w:sz w:val="18"/>
                <w:szCs w:val="18"/>
                <w:color w:val="auto"/>
              </w:rPr>
              <w:t>115,000</w:t>
            </w:r>
          </w:p>
        </w:tc>
        <w:tc>
          <w:tcPr>
            <w:tcW w:w="1120" w:type="dxa"/>
            <w:vAlign w:val="bottom"/>
            <w:tcBorders>
              <w:bottom w:val="single" w:sz="8" w:color="424E6A"/>
              <w:right w:val="single" w:sz="8" w:color="424E6A"/>
            </w:tcBorders>
          </w:tcPr>
          <w:p>
            <w:pPr>
              <w:jc w:val="right"/>
              <w:ind w:right="154"/>
              <w:spacing w:after="0"/>
              <w:rPr>
                <w:sz w:val="20"/>
                <w:szCs w:val="20"/>
                <w:color w:val="auto"/>
              </w:rPr>
            </w:pPr>
            <w:r>
              <w:rPr>
                <w:rFonts w:ascii="Arial" w:cs="Arial" w:eastAsia="Arial" w:hAnsi="Arial"/>
                <w:sz w:val="18"/>
                <w:szCs w:val="18"/>
                <w:color w:val="auto"/>
              </w:rPr>
              <w:t>140,970</w:t>
            </w:r>
          </w:p>
        </w:tc>
        <w:tc>
          <w:tcPr>
            <w:tcW w:w="1460" w:type="dxa"/>
            <w:vAlign w:val="bottom"/>
            <w:tcBorders>
              <w:bottom w:val="single" w:sz="8" w:color="424E6A"/>
              <w:right w:val="single" w:sz="8" w:color="424E6A"/>
            </w:tcBorders>
          </w:tcPr>
          <w:p>
            <w:pPr>
              <w:jc w:val="right"/>
              <w:ind w:right="374"/>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24E6A"/>
              <w:right w:val="single" w:sz="8" w:color="424E6A"/>
            </w:tcBorders>
          </w:tcPr>
          <w:p>
            <w:pPr>
              <w:jc w:val="center"/>
              <w:spacing w:after="0"/>
              <w:rPr>
                <w:sz w:val="20"/>
                <w:szCs w:val="20"/>
                <w:color w:val="auto"/>
              </w:rPr>
            </w:pPr>
            <w:r>
              <w:rPr>
                <w:rFonts w:ascii="Arial" w:cs="Arial" w:eastAsia="Arial" w:hAnsi="Arial"/>
                <w:sz w:val="18"/>
                <w:szCs w:val="18"/>
                <w:color w:val="auto"/>
              </w:rPr>
              <w:t>255,970</w:t>
            </w:r>
          </w:p>
        </w:tc>
      </w:tr>
      <w:tr>
        <w:trPr>
          <w:trHeight w:val="236"/>
        </w:trPr>
        <w:tc>
          <w:tcPr>
            <w:tcW w:w="3440" w:type="dxa"/>
            <w:vAlign w:val="bottom"/>
            <w:tcBorders>
              <w:left w:val="single" w:sz="8" w:color="424E6A"/>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Alexandra D. Pruner</w:t>
            </w:r>
          </w:p>
        </w:tc>
        <w:tc>
          <w:tcPr>
            <w:tcW w:w="1040" w:type="dxa"/>
            <w:vAlign w:val="bottom"/>
            <w:tcBorders>
              <w:bottom w:val="single" w:sz="8" w:color="424E6A"/>
              <w:right w:val="single" w:sz="8" w:color="424E6A"/>
            </w:tcBorders>
            <w:shd w:val="clear" w:color="auto" w:fill="D9DCE1"/>
          </w:tcPr>
          <w:p>
            <w:pPr>
              <w:jc w:val="right"/>
              <w:ind w:right="176"/>
              <w:spacing w:after="0"/>
              <w:rPr>
                <w:sz w:val="20"/>
                <w:szCs w:val="20"/>
                <w:color w:val="auto"/>
              </w:rPr>
            </w:pPr>
            <w:r>
              <w:rPr>
                <w:rFonts w:ascii="Arial" w:cs="Arial" w:eastAsia="Arial" w:hAnsi="Arial"/>
                <w:sz w:val="18"/>
                <w:szCs w:val="18"/>
                <w:color w:val="auto"/>
              </w:rPr>
              <w:t>130,000</w:t>
            </w:r>
          </w:p>
        </w:tc>
        <w:tc>
          <w:tcPr>
            <w:tcW w:w="1120" w:type="dxa"/>
            <w:vAlign w:val="bottom"/>
            <w:tcBorders>
              <w:bottom w:val="single" w:sz="8" w:color="424E6A"/>
              <w:right w:val="single" w:sz="8" w:color="424E6A"/>
            </w:tcBorders>
            <w:shd w:val="clear" w:color="auto" w:fill="D9DCE1"/>
          </w:tcPr>
          <w:p>
            <w:pPr>
              <w:jc w:val="right"/>
              <w:ind w:right="154"/>
              <w:spacing w:after="0"/>
              <w:rPr>
                <w:sz w:val="20"/>
                <w:szCs w:val="20"/>
                <w:color w:val="auto"/>
              </w:rPr>
            </w:pPr>
            <w:r>
              <w:rPr>
                <w:rFonts w:ascii="Arial" w:cs="Arial" w:eastAsia="Arial" w:hAnsi="Arial"/>
                <w:sz w:val="18"/>
                <w:szCs w:val="18"/>
                <w:color w:val="auto"/>
              </w:rPr>
              <w:t>140,970</w:t>
            </w:r>
          </w:p>
        </w:tc>
        <w:tc>
          <w:tcPr>
            <w:tcW w:w="1460" w:type="dxa"/>
            <w:vAlign w:val="bottom"/>
            <w:tcBorders>
              <w:bottom w:val="single" w:sz="8" w:color="424E6A"/>
              <w:right w:val="single" w:sz="8" w:color="424E6A"/>
            </w:tcBorders>
            <w:shd w:val="clear" w:color="auto" w:fill="D9DCE1"/>
          </w:tcPr>
          <w:p>
            <w:pPr>
              <w:jc w:val="right"/>
              <w:ind w:right="374"/>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24E6A"/>
              <w:right w:val="single" w:sz="8" w:color="424E6A"/>
            </w:tcBorders>
            <w:shd w:val="clear" w:color="auto" w:fill="D9DCE1"/>
          </w:tcPr>
          <w:p>
            <w:pPr>
              <w:jc w:val="center"/>
              <w:spacing w:after="0"/>
              <w:rPr>
                <w:sz w:val="20"/>
                <w:szCs w:val="20"/>
                <w:color w:val="auto"/>
              </w:rPr>
            </w:pPr>
            <w:r>
              <w:rPr>
                <w:rFonts w:ascii="Arial" w:cs="Arial" w:eastAsia="Arial" w:hAnsi="Arial"/>
                <w:sz w:val="18"/>
                <w:szCs w:val="18"/>
                <w:color w:val="auto"/>
              </w:rPr>
              <w:t>270,970</w:t>
            </w:r>
          </w:p>
        </w:tc>
      </w:tr>
      <w:tr>
        <w:trPr>
          <w:trHeight w:val="237"/>
        </w:trPr>
        <w:tc>
          <w:tcPr>
            <w:tcW w:w="3440" w:type="dxa"/>
            <w:vAlign w:val="bottom"/>
            <w:tcBorders>
              <w:left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8"/>
                <w:szCs w:val="18"/>
                <w:color w:val="auto"/>
              </w:rPr>
              <w:t>John T. Raymond</w:t>
            </w:r>
          </w:p>
        </w:tc>
        <w:tc>
          <w:tcPr>
            <w:tcW w:w="1040" w:type="dxa"/>
            <w:vAlign w:val="bottom"/>
            <w:tcBorders>
              <w:bottom w:val="single" w:sz="8" w:color="424E6A"/>
              <w:right w:val="single" w:sz="8" w:color="424E6A"/>
            </w:tcBorders>
          </w:tcPr>
          <w:p>
            <w:pPr>
              <w:jc w:val="right"/>
              <w:ind w:right="176"/>
              <w:spacing w:after="0"/>
              <w:rPr>
                <w:sz w:val="20"/>
                <w:szCs w:val="20"/>
                <w:color w:val="auto"/>
              </w:rPr>
            </w:pPr>
            <w:r>
              <w:rPr>
                <w:rFonts w:ascii="Arial" w:cs="Arial" w:eastAsia="Arial" w:hAnsi="Arial"/>
                <w:sz w:val="18"/>
                <w:szCs w:val="18"/>
                <w:color w:val="auto"/>
              </w:rPr>
              <w:t>155,417</w:t>
            </w:r>
          </w:p>
        </w:tc>
        <w:tc>
          <w:tcPr>
            <w:tcW w:w="1120" w:type="dxa"/>
            <w:vAlign w:val="bottom"/>
            <w:tcBorders>
              <w:bottom w:val="single" w:sz="8" w:color="424E6A"/>
              <w:right w:val="single" w:sz="8" w:color="424E6A"/>
            </w:tcBorders>
          </w:tcPr>
          <w:p>
            <w:pPr>
              <w:jc w:val="right"/>
              <w:ind w:right="154"/>
              <w:spacing w:after="0"/>
              <w:rPr>
                <w:sz w:val="20"/>
                <w:szCs w:val="20"/>
                <w:color w:val="auto"/>
              </w:rPr>
            </w:pPr>
            <w:r>
              <w:rPr>
                <w:rFonts w:ascii="Arial" w:cs="Arial" w:eastAsia="Arial" w:hAnsi="Arial"/>
                <w:sz w:val="18"/>
                <w:szCs w:val="18"/>
                <w:color w:val="auto"/>
              </w:rPr>
              <w:t>140,970</w:t>
            </w:r>
          </w:p>
        </w:tc>
        <w:tc>
          <w:tcPr>
            <w:tcW w:w="1460" w:type="dxa"/>
            <w:vAlign w:val="bottom"/>
            <w:tcBorders>
              <w:bottom w:val="single" w:sz="8" w:color="424E6A"/>
              <w:right w:val="single" w:sz="8" w:color="424E6A"/>
            </w:tcBorders>
          </w:tcPr>
          <w:p>
            <w:pPr>
              <w:jc w:val="right"/>
              <w:ind w:right="374"/>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24E6A"/>
              <w:right w:val="single" w:sz="8" w:color="424E6A"/>
            </w:tcBorders>
          </w:tcPr>
          <w:p>
            <w:pPr>
              <w:jc w:val="center"/>
              <w:spacing w:after="0"/>
              <w:rPr>
                <w:sz w:val="20"/>
                <w:szCs w:val="20"/>
                <w:color w:val="auto"/>
              </w:rPr>
            </w:pPr>
            <w:r>
              <w:rPr>
                <w:rFonts w:ascii="Arial" w:cs="Arial" w:eastAsia="Arial" w:hAnsi="Arial"/>
                <w:sz w:val="18"/>
                <w:szCs w:val="18"/>
                <w:color w:val="auto"/>
              </w:rPr>
              <w:t>296,387</w:t>
            </w:r>
          </w:p>
        </w:tc>
      </w:tr>
      <w:tr>
        <w:trPr>
          <w:trHeight w:val="236"/>
        </w:trPr>
        <w:tc>
          <w:tcPr>
            <w:tcW w:w="3440" w:type="dxa"/>
            <w:vAlign w:val="bottom"/>
            <w:tcBorders>
              <w:left w:val="single" w:sz="8" w:color="424E6A"/>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Bobby S. Shackouls</w:t>
            </w:r>
          </w:p>
        </w:tc>
        <w:tc>
          <w:tcPr>
            <w:tcW w:w="1040" w:type="dxa"/>
            <w:vAlign w:val="bottom"/>
            <w:tcBorders>
              <w:bottom w:val="single" w:sz="8" w:color="424E6A"/>
              <w:right w:val="single" w:sz="8" w:color="424E6A"/>
            </w:tcBorders>
            <w:shd w:val="clear" w:color="auto" w:fill="D9DCE1"/>
          </w:tcPr>
          <w:p>
            <w:pPr>
              <w:jc w:val="right"/>
              <w:ind w:right="176"/>
              <w:spacing w:after="0"/>
              <w:rPr>
                <w:sz w:val="20"/>
                <w:szCs w:val="20"/>
                <w:color w:val="auto"/>
              </w:rPr>
            </w:pPr>
            <w:r>
              <w:rPr>
                <w:rFonts w:ascii="Arial" w:cs="Arial" w:eastAsia="Arial" w:hAnsi="Arial"/>
                <w:sz w:val="18"/>
                <w:szCs w:val="18"/>
                <w:color w:val="auto"/>
              </w:rPr>
              <w:t>149,583</w:t>
            </w:r>
          </w:p>
        </w:tc>
        <w:tc>
          <w:tcPr>
            <w:tcW w:w="1120" w:type="dxa"/>
            <w:vAlign w:val="bottom"/>
            <w:tcBorders>
              <w:bottom w:val="single" w:sz="8" w:color="424E6A"/>
              <w:right w:val="single" w:sz="8" w:color="424E6A"/>
            </w:tcBorders>
            <w:shd w:val="clear" w:color="auto" w:fill="D9DCE1"/>
          </w:tcPr>
          <w:p>
            <w:pPr>
              <w:jc w:val="right"/>
              <w:ind w:right="154"/>
              <w:spacing w:after="0"/>
              <w:rPr>
                <w:sz w:val="20"/>
                <w:szCs w:val="20"/>
                <w:color w:val="auto"/>
              </w:rPr>
            </w:pPr>
            <w:r>
              <w:rPr>
                <w:rFonts w:ascii="Arial" w:cs="Arial" w:eastAsia="Arial" w:hAnsi="Arial"/>
                <w:sz w:val="18"/>
                <w:szCs w:val="18"/>
                <w:color w:val="auto"/>
              </w:rPr>
              <w:t>140,970</w:t>
            </w:r>
          </w:p>
        </w:tc>
        <w:tc>
          <w:tcPr>
            <w:tcW w:w="1460" w:type="dxa"/>
            <w:vAlign w:val="bottom"/>
            <w:tcBorders>
              <w:bottom w:val="single" w:sz="8" w:color="424E6A"/>
              <w:right w:val="single" w:sz="8" w:color="424E6A"/>
            </w:tcBorders>
            <w:shd w:val="clear" w:color="auto" w:fill="D9DCE1"/>
          </w:tcPr>
          <w:p>
            <w:pPr>
              <w:jc w:val="right"/>
              <w:ind w:right="374"/>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24E6A"/>
              <w:right w:val="single" w:sz="8" w:color="424E6A"/>
            </w:tcBorders>
            <w:shd w:val="clear" w:color="auto" w:fill="D9DCE1"/>
          </w:tcPr>
          <w:p>
            <w:pPr>
              <w:jc w:val="center"/>
              <w:spacing w:after="0"/>
              <w:rPr>
                <w:sz w:val="20"/>
                <w:szCs w:val="20"/>
                <w:color w:val="auto"/>
              </w:rPr>
            </w:pPr>
            <w:r>
              <w:rPr>
                <w:rFonts w:ascii="Arial" w:cs="Arial" w:eastAsia="Arial" w:hAnsi="Arial"/>
                <w:sz w:val="18"/>
                <w:szCs w:val="18"/>
                <w:color w:val="auto"/>
              </w:rPr>
              <w:t>290,553</w:t>
            </w:r>
          </w:p>
        </w:tc>
      </w:tr>
      <w:tr>
        <w:trPr>
          <w:trHeight w:val="237"/>
        </w:trPr>
        <w:tc>
          <w:tcPr>
            <w:tcW w:w="3440" w:type="dxa"/>
            <w:vAlign w:val="bottom"/>
            <w:tcBorders>
              <w:left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8"/>
                <w:szCs w:val="18"/>
                <w:color w:val="auto"/>
              </w:rPr>
              <w:t>Lawrence M. Ziemba</w:t>
            </w:r>
          </w:p>
        </w:tc>
        <w:tc>
          <w:tcPr>
            <w:tcW w:w="1040" w:type="dxa"/>
            <w:vAlign w:val="bottom"/>
            <w:tcBorders>
              <w:bottom w:val="single" w:sz="8" w:color="424E6A"/>
              <w:right w:val="single" w:sz="8" w:color="424E6A"/>
            </w:tcBorders>
          </w:tcPr>
          <w:p>
            <w:pPr>
              <w:jc w:val="right"/>
              <w:ind w:right="176"/>
              <w:spacing w:after="0"/>
              <w:rPr>
                <w:sz w:val="20"/>
                <w:szCs w:val="20"/>
                <w:color w:val="auto"/>
              </w:rPr>
            </w:pPr>
            <w:r>
              <w:rPr>
                <w:rFonts w:ascii="Arial" w:cs="Arial" w:eastAsia="Arial" w:hAnsi="Arial"/>
                <w:sz w:val="18"/>
                <w:szCs w:val="18"/>
                <w:color w:val="auto"/>
              </w:rPr>
              <w:t>150,000</w:t>
            </w:r>
          </w:p>
        </w:tc>
        <w:tc>
          <w:tcPr>
            <w:tcW w:w="1120" w:type="dxa"/>
            <w:vAlign w:val="bottom"/>
            <w:tcBorders>
              <w:bottom w:val="single" w:sz="8" w:color="424E6A"/>
              <w:right w:val="single" w:sz="8" w:color="424E6A"/>
            </w:tcBorders>
          </w:tcPr>
          <w:p>
            <w:pPr>
              <w:jc w:val="right"/>
              <w:ind w:right="154"/>
              <w:spacing w:after="0"/>
              <w:rPr>
                <w:sz w:val="20"/>
                <w:szCs w:val="20"/>
                <w:color w:val="auto"/>
              </w:rPr>
            </w:pPr>
            <w:r>
              <w:rPr>
                <w:rFonts w:ascii="Arial" w:cs="Arial" w:eastAsia="Arial" w:hAnsi="Arial"/>
                <w:sz w:val="18"/>
                <w:szCs w:val="18"/>
                <w:color w:val="auto"/>
              </w:rPr>
              <w:t>140,970</w:t>
            </w:r>
          </w:p>
        </w:tc>
        <w:tc>
          <w:tcPr>
            <w:tcW w:w="1460" w:type="dxa"/>
            <w:vAlign w:val="bottom"/>
            <w:tcBorders>
              <w:bottom w:val="single" w:sz="8" w:color="424E6A"/>
              <w:right w:val="single" w:sz="8" w:color="424E6A"/>
            </w:tcBorders>
          </w:tcPr>
          <w:p>
            <w:pPr>
              <w:jc w:val="right"/>
              <w:ind w:right="374"/>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24E6A"/>
              <w:right w:val="single" w:sz="8" w:color="424E6A"/>
            </w:tcBorders>
          </w:tcPr>
          <w:p>
            <w:pPr>
              <w:jc w:val="center"/>
              <w:spacing w:after="0"/>
              <w:rPr>
                <w:sz w:val="20"/>
                <w:szCs w:val="20"/>
                <w:color w:val="auto"/>
              </w:rPr>
            </w:pPr>
            <w:r>
              <w:rPr>
                <w:rFonts w:ascii="Arial" w:cs="Arial" w:eastAsia="Arial" w:hAnsi="Arial"/>
                <w:sz w:val="18"/>
                <w:szCs w:val="18"/>
                <w:color w:val="auto"/>
              </w:rPr>
              <w:t>290,970</w:t>
            </w:r>
          </w:p>
        </w:tc>
      </w:tr>
    </w:tbl>
    <w:p>
      <w:pPr>
        <w:spacing w:after="0" w:line="143" w:lineRule="exact"/>
        <w:rPr>
          <w:sz w:val="20"/>
          <w:szCs w:val="20"/>
          <w:color w:val="auto"/>
        </w:rPr>
      </w:pPr>
    </w:p>
    <w:p>
      <w:pPr>
        <w:ind w:left="1620" w:right="459" w:hanging="360"/>
        <w:spacing w:after="0"/>
        <w:tabs>
          <w:tab w:leader="none" w:pos="1620" w:val="left"/>
        </w:tabs>
        <w:numPr>
          <w:ilvl w:val="0"/>
          <w:numId w:val="66"/>
        </w:numPr>
        <w:rPr>
          <w:rFonts w:ascii="Arial" w:cs="Arial" w:eastAsia="Arial" w:hAnsi="Arial"/>
          <w:sz w:val="27"/>
          <w:szCs w:val="27"/>
          <w:color w:val="auto"/>
          <w:vertAlign w:val="superscript"/>
        </w:rPr>
      </w:pPr>
      <w:r>
        <w:rPr>
          <w:rFonts w:ascii="Arial" w:cs="Arial" w:eastAsia="Arial" w:hAnsi="Arial"/>
          <w:sz w:val="18"/>
          <w:szCs w:val="18"/>
          <w:color w:val="auto"/>
        </w:rPr>
        <w:t>The dollar value of long-term incentive awards granted during 2025 is based on the grant date fair value computed in accordance with FASB guidance regarding share-based payments. See Note 18 to our Consolidated Financial Statements included in our 2025 Annual Report for additional discussion regarding the calculation of grant date fair values. In August 2025, each of Messrs. Burk, McCarthy, Petersen, Raymond, Shackouls and Ziemba, Ms. DeSanctis and Ms. Pruner received an annual long-term incentive award for 7,400 PAGP phantom Class A shares. See “— Long-Term Equity Awards” below for further information regarding long-term incentive awards granted to our non-employee directors. The number of outstanding long-term incentive awards held by each of our non-employee directors as of December 31, 2025 was 7,400.</w:t>
      </w:r>
    </w:p>
    <w:p>
      <w:pPr>
        <w:spacing w:after="0" w:line="58" w:lineRule="exact"/>
        <w:rPr>
          <w:rFonts w:ascii="Arial" w:cs="Arial" w:eastAsia="Arial" w:hAnsi="Arial"/>
          <w:sz w:val="27"/>
          <w:szCs w:val="27"/>
          <w:color w:val="auto"/>
          <w:vertAlign w:val="superscript"/>
        </w:rPr>
      </w:pPr>
    </w:p>
    <w:p>
      <w:pPr>
        <w:ind w:left="1620" w:right="439" w:hanging="360"/>
        <w:spacing w:after="0" w:line="237" w:lineRule="auto"/>
        <w:tabs>
          <w:tab w:leader="none" w:pos="1620" w:val="left"/>
        </w:tabs>
        <w:numPr>
          <w:ilvl w:val="0"/>
          <w:numId w:val="66"/>
        </w:numPr>
        <w:rPr>
          <w:rFonts w:ascii="Arial" w:cs="Arial" w:eastAsia="Arial" w:hAnsi="Arial"/>
          <w:sz w:val="27"/>
          <w:szCs w:val="27"/>
          <w:color w:val="auto"/>
          <w:vertAlign w:val="superscript"/>
        </w:rPr>
      </w:pPr>
      <w:r>
        <w:rPr>
          <w:rFonts w:ascii="Arial" w:cs="Arial" w:eastAsia="Arial" w:hAnsi="Arial"/>
          <w:sz w:val="18"/>
          <w:szCs w:val="18"/>
          <w:color w:val="auto"/>
        </w:rPr>
        <w:t>During 2025, Mr. Armstrong served as Senior Advisor to the CEO and received a salary of $325,000 and other compensation of $20,340 (comprising 401(k) plan matching contributions and premium payments for group term life insurance) for his services as an employee and as a director. Pursuant to his employment agreement, which was amended and restated in May 2024, Mr. Armstrong will continue to serve as a director and will also serve as a Senior Advisor to the CEO until the date of the 2027 annual meeting and he will receive an annual base salary of $325,000 for these services. Mr. Armstrong does not hold any LTIP awards.</w:t>
      </w:r>
    </w:p>
    <w:p>
      <w:pPr>
        <w:spacing w:after="0" w:line="46" w:lineRule="exact"/>
        <w:rPr>
          <w:rFonts w:ascii="Arial" w:cs="Arial" w:eastAsia="Arial" w:hAnsi="Arial"/>
          <w:sz w:val="27"/>
          <w:szCs w:val="27"/>
          <w:color w:val="auto"/>
          <w:vertAlign w:val="superscript"/>
        </w:rPr>
      </w:pPr>
    </w:p>
    <w:p>
      <w:pPr>
        <w:ind w:left="1620" w:right="519" w:hanging="360"/>
        <w:spacing w:after="0" w:line="238" w:lineRule="auto"/>
        <w:tabs>
          <w:tab w:leader="none" w:pos="1620" w:val="left"/>
        </w:tabs>
        <w:numPr>
          <w:ilvl w:val="0"/>
          <w:numId w:val="66"/>
        </w:numPr>
        <w:rPr>
          <w:rFonts w:ascii="Arial" w:cs="Arial" w:eastAsia="Arial" w:hAnsi="Arial"/>
          <w:sz w:val="27"/>
          <w:szCs w:val="27"/>
          <w:color w:val="auto"/>
          <w:vertAlign w:val="superscript"/>
        </w:rPr>
      </w:pPr>
      <w:r>
        <w:rPr>
          <w:rFonts w:ascii="Arial" w:cs="Arial" w:eastAsia="Arial" w:hAnsi="Arial"/>
          <w:sz w:val="18"/>
          <w:szCs w:val="18"/>
          <w:color w:val="auto"/>
        </w:rPr>
        <w:t>During 2025, Mr. Pefanis served as President from January 1 through May 31 and as a Senior Advisor to the CEO from June 1 through December 31. Mr. Pefanis received an aggregate blended salary of $439,584 and other compensation of $21,840 (comprising 401(k) plan matching contributions and premium payments for group term life insurance) for his services as an employee and as a director. Pursuant to his employment agreement dated effective June 1, 2025, Mr. Pefanis will continue to serve as a director and will also serve as a Senior Advisor to the CEO until the date of the 2028 annual meeting and he will receive an annual salary of $325,000 for these services. Mr. Pefanis does not hold any LTIP awards.</w:t>
      </w:r>
    </w:p>
    <w:p>
      <w:pPr>
        <w:spacing w:after="0" w:line="20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Cash Retainers and Expense Reimbursement</w:t>
      </w:r>
    </w:p>
    <w:p>
      <w:pPr>
        <w:spacing w:after="0" w:line="156" w:lineRule="exact"/>
        <w:rPr>
          <w:sz w:val="20"/>
          <w:szCs w:val="20"/>
          <w:color w:val="auto"/>
        </w:rPr>
      </w:pPr>
    </w:p>
    <w:p>
      <w:pPr>
        <w:ind w:left="1260" w:right="459" w:firstLine="360"/>
        <w:spacing w:after="0" w:line="262" w:lineRule="auto"/>
        <w:rPr>
          <w:sz w:val="20"/>
          <w:szCs w:val="20"/>
          <w:color w:val="auto"/>
        </w:rPr>
      </w:pPr>
      <w:r>
        <w:rPr>
          <w:rFonts w:ascii="Arial" w:cs="Arial" w:eastAsia="Arial" w:hAnsi="Arial"/>
          <w:sz w:val="18"/>
          <w:szCs w:val="18"/>
          <w:color w:val="auto"/>
        </w:rPr>
        <w:t>During 2025, our non-employee directors received an annual retainer fee of $115,000. In addition to their annual retainer, each committee chair (other than the Audit Committee chair) received an additional retainer of $20,000, the Audit Committee chair received an additional retainer of $30,000, each other member of the Audit Committee received an additional retainer of $15,000, and the Lead</w:t>
      </w:r>
    </w:p>
    <w:p>
      <w:pPr>
        <w:sectPr>
          <w:pgSz w:w="11900" w:h="16838" w:orient="portrait"/>
          <w:cols w:equalWidth="0" w:num="1">
            <w:col w:w="9879"/>
          </w:cols>
          <w:pgMar w:left="580" w:top="97" w:right="1440" w:bottom="1440" w:gutter="0" w:footer="0" w:header="0"/>
        </w:sectPr>
      </w:pP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639"/>
        <w:spacing w:after="0" w:line="268" w:lineRule="auto"/>
        <w:rPr>
          <w:sz w:val="20"/>
          <w:szCs w:val="20"/>
          <w:color w:val="auto"/>
        </w:rPr>
      </w:pPr>
      <w:r>
        <w:rPr>
          <w:rFonts w:ascii="Arial" w:cs="Arial" w:eastAsia="Arial" w:hAnsi="Arial"/>
          <w:sz w:val="18"/>
          <w:szCs w:val="18"/>
          <w:color w:val="auto"/>
        </w:rPr>
        <w:t>Director received an additional retainer of $35,000. The amounts shown in the table above for Messrs. Raymond and Shackouls reflect a blended rate as a result of the Lead Director and Committee Chair rotations that took place in June 2025.</w:t>
      </w:r>
    </w:p>
    <w:p>
      <w:pPr>
        <w:spacing w:after="0" w:line="103" w:lineRule="exact"/>
        <w:rPr>
          <w:sz w:val="20"/>
          <w:szCs w:val="20"/>
          <w:color w:val="auto"/>
        </w:rPr>
      </w:pPr>
    </w:p>
    <w:p>
      <w:pPr>
        <w:ind w:left="1260" w:right="539" w:firstLine="360"/>
        <w:spacing w:after="0" w:line="268" w:lineRule="auto"/>
        <w:rPr>
          <w:sz w:val="20"/>
          <w:szCs w:val="20"/>
          <w:color w:val="auto"/>
        </w:rPr>
      </w:pPr>
      <w:r>
        <w:rPr>
          <w:rFonts w:ascii="Arial" w:cs="Arial" w:eastAsia="Arial" w:hAnsi="Arial"/>
          <w:sz w:val="18"/>
          <w:szCs w:val="18"/>
          <w:color w:val="auto"/>
        </w:rPr>
        <w:t>Non-employee directors are reimbursed for reasonable travel, lodging and other out-of-pocket expenses related to meeting attendance or otherwise related to service on the Board (including, without limitation, reimbursement for continuing education expenses).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Long-Term Equity Awards</w:t>
      </w:r>
    </w:p>
    <w:p>
      <w:pPr>
        <w:spacing w:after="0" w:line="156" w:lineRule="exact"/>
        <w:rPr>
          <w:sz w:val="20"/>
          <w:szCs w:val="20"/>
          <w:color w:val="auto"/>
        </w:rPr>
      </w:pPr>
    </w:p>
    <w:p>
      <w:pPr>
        <w:ind w:left="1260" w:right="719" w:firstLine="360"/>
        <w:spacing w:after="0" w:line="256" w:lineRule="auto"/>
        <w:rPr>
          <w:sz w:val="20"/>
          <w:szCs w:val="20"/>
          <w:color w:val="auto"/>
        </w:rPr>
      </w:pPr>
      <w:r>
        <w:rPr>
          <w:rFonts w:ascii="Arial" w:cs="Arial" w:eastAsia="Arial" w:hAnsi="Arial"/>
          <w:sz w:val="18"/>
          <w:szCs w:val="18"/>
          <w:color w:val="auto"/>
        </w:rPr>
        <w:t>Our non-employee directors receive annual LTIP awards as part of their compensation. In 2025, such LTIP awards consisted of PAGP phantom Class A shares having a market value on the date of grant equal to approximately $145,000 (based on a volume weighted average price for the 10-trading day period beginning five days before and ending five days after the ex-dividend date immediately preceding the date of grant). The annual LTIP awards granted in 2025 will vest (become payable in PAGP Class A shares on a one-for-one basis) on the August 2026 distribution date and include associated DERs.</w:t>
      </w:r>
    </w:p>
    <w:p>
      <w:pPr>
        <w:spacing w:after="0" w:line="102" w:lineRule="exact"/>
        <w:rPr>
          <w:sz w:val="20"/>
          <w:szCs w:val="20"/>
          <w:color w:val="auto"/>
        </w:rPr>
      </w:pPr>
    </w:p>
    <w:p>
      <w:pPr>
        <w:ind w:left="1260" w:right="539" w:firstLine="360"/>
        <w:spacing w:after="0" w:line="278" w:lineRule="auto"/>
        <w:rPr>
          <w:sz w:val="20"/>
          <w:szCs w:val="20"/>
          <w:color w:val="auto"/>
        </w:rPr>
      </w:pPr>
      <w:r>
        <w:rPr>
          <w:rFonts w:ascii="Arial" w:cs="Arial" w:eastAsia="Arial" w:hAnsi="Arial"/>
          <w:sz w:val="17"/>
          <w:szCs w:val="17"/>
          <w:color w:val="auto"/>
        </w:rPr>
        <w:t>All non-employee director LTIP awards vest in full upon the next following distribution date after the death or disability (as determined in good faith by the Board) of the director. The non-employee director LTIP awards also vest in full if a director (i) retires (no longer with full-time employment and no longer serving as an officer or director of any public company) or (ii) is removed from the Board or is not re-elected to the Board, unless such removal is for “Cause,” as defined in the PAGP GP LLC Agreement.</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Reimbursement of Expenses of Our General Partner and its Affiliates</w:t>
      </w:r>
    </w:p>
    <w:p>
      <w:pPr>
        <w:spacing w:after="0" w:line="158" w:lineRule="exact"/>
        <w:rPr>
          <w:sz w:val="20"/>
          <w:szCs w:val="20"/>
          <w:color w:val="auto"/>
        </w:rPr>
      </w:pPr>
    </w:p>
    <w:p>
      <w:pPr>
        <w:ind w:left="1260" w:right="519" w:firstLine="360"/>
        <w:spacing w:after="0" w:line="256" w:lineRule="auto"/>
        <w:rPr>
          <w:sz w:val="20"/>
          <w:szCs w:val="20"/>
          <w:color w:val="auto"/>
        </w:rPr>
      </w:pPr>
      <w:r>
        <w:rPr>
          <w:rFonts w:ascii="Arial" w:cs="Arial" w:eastAsia="Arial" w:hAnsi="Arial"/>
          <w:sz w:val="18"/>
          <w:szCs w:val="18"/>
          <w:color w:val="auto"/>
        </w:rPr>
        <w:t>We do not pay our general partner a management fee, but we do reimburse our general partner for all direct and indirect costs of services provided to us or incurred on our behalf, including the costs of employee, officer and director compensation and benefits allocable to us, as well as all other expenses necessary or appropriate to the conduct of our business. We record these costs on the accrual basis in the period in which our general partner incurs them. Our partnership agreement provides that our general partner will determine the expenses that are allocable to us in any reasonable manner determined by our general partner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Plains All American Pipeline, L.P.</w:t>
      </w:r>
    </w:p>
    <w:p>
      <w:pPr>
        <w:spacing w:after="0" w:line="158" w:lineRule="exact"/>
        <w:rPr>
          <w:sz w:val="20"/>
          <w:szCs w:val="20"/>
          <w:color w:val="auto"/>
        </w:rPr>
      </w:pPr>
    </w:p>
    <w:p>
      <w:pPr>
        <w:ind w:left="1260" w:right="480" w:firstLine="360"/>
        <w:spacing w:after="0" w:line="254" w:lineRule="auto"/>
        <w:rPr>
          <w:sz w:val="20"/>
          <w:szCs w:val="20"/>
          <w:color w:val="auto"/>
        </w:rPr>
      </w:pPr>
      <w:r>
        <w:rPr>
          <w:rFonts w:ascii="Arial" w:cs="Arial" w:eastAsia="Arial" w:hAnsi="Arial"/>
          <w:sz w:val="18"/>
          <w:szCs w:val="18"/>
          <w:color w:val="auto"/>
        </w:rPr>
        <w:t xml:space="preserve">Our common units and Series A preferred units outstanding (collectively, our “Common Unit Equivalents”) represent 100% of our voting securities. Ownership of the non-economic general partner interest is discussed separately below under “— Beneficial Ownership of General Partner Interest.” The following table sets forth certain information regarding the beneficial ownership of our common units and Series A preferred units as of March 23, 2026 (unless otherwise noted) by each person who is known to us to beneficially own more than 5% of our common units, each person who is known to us to own more than 5% of our Series A preferred units, the Named Executive Officers, our directors, and all directors and executive officers as a group. As reflected below, Plains AAP is the record owner of over 30% of our common units; however, </w:t>
      </w:r>
      <w:r>
        <w:rPr>
          <w:rFonts w:ascii="Arial" w:cs="Arial" w:eastAsia="Arial" w:hAnsi="Arial"/>
          <w:sz w:val="18"/>
          <w:szCs w:val="18"/>
          <w:b w:val="1"/>
          <w:bCs w:val="1"/>
          <w:color w:val="auto"/>
        </w:rPr>
        <w:t>Plains AAP is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not</w:t>
      </w:r>
      <w:r>
        <w:rPr>
          <w:rFonts w:ascii="Arial" w:cs="Arial" w:eastAsia="Arial" w:hAnsi="Arial"/>
          <w:sz w:val="18"/>
          <w:szCs w:val="18"/>
          <w:color w:val="auto"/>
        </w:rPr>
        <w:t xml:space="preserve"> </w:t>
      </w:r>
      <w:r>
        <w:rPr>
          <w:rFonts w:ascii="Arial" w:cs="Arial" w:eastAsia="Arial" w:hAnsi="Arial"/>
          <w:sz w:val="18"/>
          <w:szCs w:val="18"/>
          <w:b w:val="1"/>
          <w:bCs w:val="1"/>
          <w:color w:val="auto"/>
        </w:rPr>
        <w:t>entitled to vote such units for the election of directors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at our Annual Meeting. </w:t>
      </w:r>
      <w:r>
        <w:rPr>
          <w:rFonts w:ascii="Arial" w:cs="Arial" w:eastAsia="Arial" w:hAnsi="Arial"/>
          <w:sz w:val="18"/>
          <w:szCs w:val="18"/>
          <w:color w:val="auto"/>
        </w:rPr>
        <w:t>See pages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EE"/>
        </w:rPr>
        <w:t>9</w:t>
      </w:r>
      <w:r>
        <w:rPr>
          <w:rFonts w:ascii="Arial" w:cs="Arial" w:eastAsia="Arial" w:hAnsi="Arial"/>
          <w:sz w:val="18"/>
          <w:szCs w:val="18"/>
          <w:color w:val="auto"/>
        </w:rPr>
        <w:t>-</w:t>
      </w:r>
      <w:r>
        <w:rPr>
          <w:rFonts w:ascii="Arial" w:cs="Arial" w:eastAsia="Arial" w:hAnsi="Arial"/>
          <w:sz w:val="18"/>
          <w:szCs w:val="18"/>
          <w:u w:val="single" w:color="auto"/>
          <w:color w:val="0000EE"/>
        </w:rPr>
        <w:t>11</w:t>
      </w:r>
      <w:r>
        <w:rPr>
          <w:rFonts w:ascii="Arial" w:cs="Arial" w:eastAsia="Arial" w:hAnsi="Arial"/>
          <w:sz w:val="18"/>
          <w:szCs w:val="18"/>
          <w:b w:val="1"/>
          <w:bCs w:val="1"/>
          <w:color w:val="auto"/>
        </w:rPr>
        <w:t xml:space="preserve"> </w:t>
      </w:r>
      <w:r>
        <w:rPr>
          <w:rFonts w:ascii="Arial" w:cs="Arial" w:eastAsia="Arial" w:hAnsi="Arial"/>
          <w:sz w:val="18"/>
          <w:szCs w:val="18"/>
          <w:color w:val="auto"/>
        </w:rPr>
        <w:t>for additional information regarding our ownership and voting</w:t>
      </w:r>
      <w:r>
        <w:rPr>
          <w:rFonts w:ascii="Arial" w:cs="Arial" w:eastAsia="Arial" w:hAnsi="Arial"/>
          <w:sz w:val="18"/>
          <w:szCs w:val="18"/>
          <w:b w:val="1"/>
          <w:bCs w:val="1"/>
          <w:color w:val="auto"/>
        </w:rPr>
        <w:t xml:space="preserve"> </w:t>
      </w:r>
      <w:r>
        <w:rPr>
          <w:rFonts w:ascii="Arial" w:cs="Arial" w:eastAsia="Arial" w:hAnsi="Arial"/>
          <w:sz w:val="18"/>
          <w:szCs w:val="18"/>
          <w:color w:val="auto"/>
        </w:rPr>
        <w:t>structure.</w:t>
      </w:r>
    </w:p>
    <w:p>
      <w:pPr>
        <w:spacing w:after="0" w:line="201" w:lineRule="exact"/>
        <w:rPr>
          <w:sz w:val="20"/>
          <w:szCs w:val="20"/>
          <w:color w:val="auto"/>
        </w:rPr>
      </w:pPr>
    </w:p>
    <w:tbl>
      <w:tblPr>
        <w:tblLayout w:type="fixed"/>
        <w:tblInd w:w="830" w:type="dxa"/>
        <w:tblCellMar>
          <w:top w:w="0" w:type="dxa"/>
          <w:left w:w="0" w:type="dxa"/>
          <w:bottom w:w="0" w:type="dxa"/>
          <w:right w:w="0" w:type="dxa"/>
        </w:tblCellMar>
      </w:tblPr>
      <w:tr>
        <w:trPr>
          <w:trHeight w:val="234"/>
        </w:trPr>
        <w:tc>
          <w:tcPr>
            <w:tcW w:w="2180" w:type="dxa"/>
            <w:vAlign w:val="bottom"/>
            <w:tcBorders>
              <w:left w:val="single" w:sz="8" w:color="424E6A"/>
              <w:right w:val="single" w:sz="8" w:color="424E6A"/>
            </w:tcBorders>
            <w:shd w:val="clear" w:color="auto" w:fill="424E6A"/>
          </w:tcPr>
          <w:p>
            <w:pPr>
              <w:spacing w:after="0"/>
              <w:rPr>
                <w:sz w:val="20"/>
                <w:szCs w:val="20"/>
                <w:color w:val="auto"/>
              </w:rPr>
            </w:pPr>
          </w:p>
        </w:tc>
        <w:tc>
          <w:tcPr>
            <w:tcW w:w="1700" w:type="dxa"/>
            <w:vAlign w:val="bottom"/>
            <w:tcBorders>
              <w:right w:val="single" w:sz="8" w:color="424E6A"/>
            </w:tcBorders>
            <w:shd w:val="clear" w:color="auto" w:fill="424E6A"/>
          </w:tcPr>
          <w:p>
            <w:pPr>
              <w:spacing w:after="0"/>
              <w:rPr>
                <w:sz w:val="20"/>
                <w:szCs w:val="20"/>
                <w:color w:val="auto"/>
              </w:rPr>
            </w:pPr>
          </w:p>
        </w:tc>
        <w:tc>
          <w:tcPr>
            <w:tcW w:w="1380" w:type="dxa"/>
            <w:vAlign w:val="bottom"/>
            <w:tcBorders>
              <w:right w:val="single" w:sz="8" w:color="424E6A"/>
            </w:tcBorders>
            <w:shd w:val="clear" w:color="auto" w:fill="424E6A"/>
          </w:tcPr>
          <w:p>
            <w:pPr>
              <w:spacing w:after="0"/>
              <w:rPr>
                <w:sz w:val="20"/>
                <w:szCs w:val="20"/>
                <w:color w:val="auto"/>
              </w:rPr>
            </w:pPr>
          </w:p>
        </w:tc>
        <w:tc>
          <w:tcPr>
            <w:tcW w:w="1260" w:type="dxa"/>
            <w:vAlign w:val="bottom"/>
            <w:tcBorders>
              <w:right w:val="single" w:sz="8" w:color="424E6A"/>
            </w:tcBorders>
            <w:shd w:val="clear" w:color="auto" w:fill="424E6A"/>
          </w:tcPr>
          <w:p>
            <w:pPr>
              <w:spacing w:after="0"/>
              <w:rPr>
                <w:sz w:val="20"/>
                <w:szCs w:val="20"/>
                <w:color w:val="auto"/>
              </w:rPr>
            </w:pPr>
          </w:p>
        </w:tc>
        <w:tc>
          <w:tcPr>
            <w:tcW w:w="1260" w:type="dxa"/>
            <w:vAlign w:val="bottom"/>
            <w:tcBorders>
              <w:right w:val="single" w:sz="8" w:color="424E6A"/>
            </w:tcBorders>
            <w:shd w:val="clear" w:color="auto" w:fill="424E6A"/>
          </w:tcPr>
          <w:p>
            <w:pPr>
              <w:spacing w:after="0"/>
              <w:rPr>
                <w:sz w:val="20"/>
                <w:szCs w:val="20"/>
                <w:color w:val="auto"/>
              </w:rPr>
            </w:pPr>
          </w:p>
        </w:tc>
        <w:tc>
          <w:tcPr>
            <w:tcW w:w="1300" w:type="dxa"/>
            <w:vAlign w:val="bottom"/>
            <w:tcBorders>
              <w:right w:val="single" w:sz="8" w:color="424E6A"/>
            </w:tcBorders>
            <w:shd w:val="clear" w:color="auto" w:fill="424E6A"/>
          </w:tcPr>
          <w:p>
            <w:pPr>
              <w:jc w:val="center"/>
              <w:ind w:right="41"/>
              <w:spacing w:after="0"/>
              <w:rPr>
                <w:sz w:val="20"/>
                <w:szCs w:val="20"/>
                <w:color w:val="auto"/>
              </w:rPr>
            </w:pPr>
            <w:r>
              <w:rPr>
                <w:rFonts w:ascii="Arial" w:cs="Arial" w:eastAsia="Arial" w:hAnsi="Arial"/>
                <w:sz w:val="14"/>
                <w:szCs w:val="14"/>
                <w:b w:val="1"/>
                <w:bCs w:val="1"/>
                <w:color w:val="FFFFFF"/>
              </w:rPr>
              <w:t>Percentage</w:t>
            </w:r>
          </w:p>
        </w:tc>
        <w:tc>
          <w:tcPr>
            <w:tcW w:w="0" w:type="dxa"/>
            <w:vAlign w:val="bottom"/>
          </w:tcPr>
          <w:p>
            <w:pPr>
              <w:spacing w:after="0"/>
              <w:rPr>
                <w:sz w:val="1"/>
                <w:szCs w:val="1"/>
                <w:color w:val="auto"/>
              </w:rPr>
            </w:pPr>
          </w:p>
        </w:tc>
      </w:tr>
      <w:tr>
        <w:trPr>
          <w:trHeight w:val="162"/>
        </w:trPr>
        <w:tc>
          <w:tcPr>
            <w:tcW w:w="2180" w:type="dxa"/>
            <w:vAlign w:val="bottom"/>
            <w:tcBorders>
              <w:left w:val="single" w:sz="8" w:color="424E6A"/>
              <w:right w:val="single" w:sz="8" w:color="424E6A"/>
            </w:tcBorders>
            <w:shd w:val="clear" w:color="auto" w:fill="424E6A"/>
          </w:tcPr>
          <w:p>
            <w:pPr>
              <w:spacing w:after="0"/>
              <w:rPr>
                <w:sz w:val="14"/>
                <w:szCs w:val="14"/>
                <w:color w:val="auto"/>
              </w:rPr>
            </w:pPr>
          </w:p>
        </w:tc>
        <w:tc>
          <w:tcPr>
            <w:tcW w:w="1700" w:type="dxa"/>
            <w:vAlign w:val="bottom"/>
            <w:tcBorders>
              <w:right w:val="single" w:sz="8" w:color="424E6A"/>
            </w:tcBorders>
            <w:shd w:val="clear" w:color="auto" w:fill="424E6A"/>
          </w:tcPr>
          <w:p>
            <w:pPr>
              <w:spacing w:after="0"/>
              <w:rPr>
                <w:sz w:val="14"/>
                <w:szCs w:val="14"/>
                <w:color w:val="auto"/>
              </w:rPr>
            </w:pPr>
          </w:p>
        </w:tc>
        <w:tc>
          <w:tcPr>
            <w:tcW w:w="1380" w:type="dxa"/>
            <w:vAlign w:val="bottom"/>
            <w:tcBorders>
              <w:right w:val="single" w:sz="8" w:color="424E6A"/>
            </w:tcBorders>
            <w:shd w:val="clear" w:color="auto" w:fill="424E6A"/>
          </w:tcPr>
          <w:p>
            <w:pPr>
              <w:spacing w:after="0"/>
              <w:rPr>
                <w:sz w:val="14"/>
                <w:szCs w:val="14"/>
                <w:color w:val="auto"/>
              </w:rPr>
            </w:pPr>
          </w:p>
        </w:tc>
        <w:tc>
          <w:tcPr>
            <w:tcW w:w="1260" w:type="dxa"/>
            <w:vAlign w:val="bottom"/>
            <w:tcBorders>
              <w:right w:val="single" w:sz="8" w:color="424E6A"/>
            </w:tcBorders>
            <w:shd w:val="clear" w:color="auto" w:fill="424E6A"/>
          </w:tcPr>
          <w:p>
            <w:pPr>
              <w:spacing w:after="0"/>
              <w:rPr>
                <w:sz w:val="14"/>
                <w:szCs w:val="14"/>
                <w:color w:val="auto"/>
              </w:rPr>
            </w:pPr>
          </w:p>
        </w:tc>
        <w:tc>
          <w:tcPr>
            <w:tcW w:w="126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Percentage</w:t>
            </w:r>
          </w:p>
        </w:tc>
        <w:tc>
          <w:tcPr>
            <w:tcW w:w="1300" w:type="dxa"/>
            <w:vAlign w:val="bottom"/>
            <w:tcBorders>
              <w:right w:val="single" w:sz="8" w:color="424E6A"/>
            </w:tcBorders>
            <w:shd w:val="clear" w:color="auto" w:fill="424E6A"/>
          </w:tcPr>
          <w:p>
            <w:pPr>
              <w:jc w:val="center"/>
              <w:ind w:right="41"/>
              <w:spacing w:after="0"/>
              <w:rPr>
                <w:sz w:val="20"/>
                <w:szCs w:val="20"/>
                <w:color w:val="auto"/>
              </w:rPr>
            </w:pPr>
            <w:r>
              <w:rPr>
                <w:rFonts w:ascii="Arial" w:cs="Arial" w:eastAsia="Arial" w:hAnsi="Arial"/>
                <w:sz w:val="14"/>
                <w:szCs w:val="14"/>
                <w:b w:val="1"/>
                <w:bCs w:val="1"/>
                <w:color w:val="FFFFFF"/>
              </w:rPr>
              <w:t>of</w:t>
            </w:r>
          </w:p>
        </w:tc>
        <w:tc>
          <w:tcPr>
            <w:tcW w:w="0" w:type="dxa"/>
            <w:vAlign w:val="bottom"/>
          </w:tcPr>
          <w:p>
            <w:pPr>
              <w:spacing w:after="0"/>
              <w:rPr>
                <w:sz w:val="1"/>
                <w:szCs w:val="1"/>
                <w:color w:val="auto"/>
              </w:rPr>
            </w:pPr>
          </w:p>
        </w:tc>
      </w:tr>
      <w:tr>
        <w:trPr>
          <w:trHeight w:val="162"/>
        </w:trPr>
        <w:tc>
          <w:tcPr>
            <w:tcW w:w="2180" w:type="dxa"/>
            <w:vAlign w:val="bottom"/>
            <w:tcBorders>
              <w:left w:val="single" w:sz="8" w:color="424E6A"/>
              <w:right w:val="single" w:sz="8" w:color="424E6A"/>
            </w:tcBorders>
            <w:shd w:val="clear" w:color="auto" w:fill="424E6A"/>
          </w:tcPr>
          <w:p>
            <w:pPr>
              <w:ind w:left="80"/>
              <w:spacing w:after="0"/>
              <w:rPr>
                <w:sz w:val="20"/>
                <w:szCs w:val="20"/>
                <w:color w:val="auto"/>
              </w:rPr>
            </w:pPr>
            <w:r>
              <w:rPr>
                <w:rFonts w:ascii="Arial" w:cs="Arial" w:eastAsia="Arial" w:hAnsi="Arial"/>
                <w:sz w:val="14"/>
                <w:szCs w:val="14"/>
                <w:b w:val="1"/>
                <w:bCs w:val="1"/>
                <w:color w:val="FFFFFF"/>
              </w:rPr>
              <w:t>Name of Beneficial Owner</w:t>
            </w:r>
          </w:p>
        </w:tc>
        <w:tc>
          <w:tcPr>
            <w:tcW w:w="1700" w:type="dxa"/>
            <w:vAlign w:val="bottom"/>
            <w:tcBorders>
              <w:right w:val="single" w:sz="8" w:color="424E6A"/>
            </w:tcBorders>
            <w:shd w:val="clear" w:color="auto" w:fill="424E6A"/>
          </w:tcPr>
          <w:p>
            <w:pPr>
              <w:spacing w:after="0"/>
              <w:rPr>
                <w:sz w:val="14"/>
                <w:szCs w:val="14"/>
                <w:color w:val="auto"/>
              </w:rPr>
            </w:pPr>
          </w:p>
        </w:tc>
        <w:tc>
          <w:tcPr>
            <w:tcW w:w="1380" w:type="dxa"/>
            <w:vAlign w:val="bottom"/>
            <w:tcBorders>
              <w:right w:val="single" w:sz="8" w:color="424E6A"/>
            </w:tcBorders>
            <w:shd w:val="clear" w:color="auto" w:fill="424E6A"/>
          </w:tcPr>
          <w:p>
            <w:pPr>
              <w:jc w:val="center"/>
              <w:ind w:left="40"/>
              <w:spacing w:after="0"/>
              <w:rPr>
                <w:sz w:val="20"/>
                <w:szCs w:val="20"/>
                <w:color w:val="auto"/>
              </w:rPr>
            </w:pPr>
            <w:r>
              <w:rPr>
                <w:rFonts w:ascii="Arial" w:cs="Arial" w:eastAsia="Arial" w:hAnsi="Arial"/>
                <w:sz w:val="14"/>
                <w:szCs w:val="14"/>
                <w:b w:val="1"/>
                <w:bCs w:val="1"/>
                <w:color w:val="FFFFFF"/>
              </w:rPr>
              <w:t>Percentage</w:t>
            </w:r>
          </w:p>
        </w:tc>
        <w:tc>
          <w:tcPr>
            <w:tcW w:w="1260" w:type="dxa"/>
            <w:vAlign w:val="bottom"/>
            <w:tcBorders>
              <w:right w:val="single" w:sz="8" w:color="424E6A"/>
            </w:tcBorders>
            <w:shd w:val="clear" w:color="auto" w:fill="424E6A"/>
          </w:tcPr>
          <w:p>
            <w:pPr>
              <w:jc w:val="center"/>
              <w:ind w:right="120"/>
              <w:spacing w:after="0"/>
              <w:rPr>
                <w:sz w:val="20"/>
                <w:szCs w:val="20"/>
                <w:color w:val="auto"/>
              </w:rPr>
            </w:pPr>
            <w:r>
              <w:rPr>
                <w:rFonts w:ascii="Arial" w:cs="Arial" w:eastAsia="Arial" w:hAnsi="Arial"/>
                <w:sz w:val="14"/>
                <w:szCs w:val="14"/>
                <w:b w:val="1"/>
                <w:bCs w:val="1"/>
                <w:color w:val="FFFFFF"/>
              </w:rPr>
              <w:t>Series A</w:t>
            </w:r>
          </w:p>
        </w:tc>
        <w:tc>
          <w:tcPr>
            <w:tcW w:w="126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of Series A</w:t>
            </w:r>
          </w:p>
        </w:tc>
        <w:tc>
          <w:tcPr>
            <w:tcW w:w="1300" w:type="dxa"/>
            <w:vAlign w:val="bottom"/>
            <w:tcBorders>
              <w:right w:val="single" w:sz="8" w:color="424E6A"/>
            </w:tcBorders>
            <w:shd w:val="clear" w:color="auto" w:fill="424E6A"/>
          </w:tcPr>
          <w:p>
            <w:pPr>
              <w:jc w:val="center"/>
              <w:ind w:right="41"/>
              <w:spacing w:after="0"/>
              <w:rPr>
                <w:sz w:val="20"/>
                <w:szCs w:val="20"/>
                <w:color w:val="auto"/>
              </w:rPr>
            </w:pPr>
            <w:r>
              <w:rPr>
                <w:rFonts w:ascii="Arial" w:cs="Arial" w:eastAsia="Arial" w:hAnsi="Arial"/>
                <w:sz w:val="14"/>
                <w:szCs w:val="14"/>
                <w:b w:val="1"/>
                <w:bCs w:val="1"/>
                <w:color w:val="FFFFFF"/>
              </w:rPr>
              <w:t>Common</w:t>
            </w:r>
          </w:p>
        </w:tc>
        <w:tc>
          <w:tcPr>
            <w:tcW w:w="0" w:type="dxa"/>
            <w:vAlign w:val="bottom"/>
          </w:tcPr>
          <w:p>
            <w:pPr>
              <w:spacing w:after="0"/>
              <w:rPr>
                <w:sz w:val="1"/>
                <w:szCs w:val="1"/>
                <w:color w:val="auto"/>
              </w:rPr>
            </w:pPr>
          </w:p>
        </w:tc>
      </w:tr>
      <w:tr>
        <w:trPr>
          <w:trHeight w:val="162"/>
        </w:trPr>
        <w:tc>
          <w:tcPr>
            <w:tcW w:w="2180" w:type="dxa"/>
            <w:vAlign w:val="bottom"/>
            <w:tcBorders>
              <w:left w:val="single" w:sz="8" w:color="424E6A"/>
              <w:right w:val="single" w:sz="8" w:color="424E6A"/>
            </w:tcBorders>
            <w:shd w:val="clear" w:color="auto" w:fill="424E6A"/>
          </w:tcPr>
          <w:p>
            <w:pPr>
              <w:ind w:left="80"/>
              <w:spacing w:after="0"/>
              <w:rPr>
                <w:sz w:val="20"/>
                <w:szCs w:val="20"/>
                <w:color w:val="auto"/>
              </w:rPr>
            </w:pPr>
            <w:r>
              <w:rPr>
                <w:rFonts w:ascii="Arial" w:cs="Arial" w:eastAsia="Arial" w:hAnsi="Arial"/>
                <w:sz w:val="14"/>
                <w:szCs w:val="14"/>
                <w:b w:val="1"/>
                <w:bCs w:val="1"/>
                <w:color w:val="FFFFFF"/>
              </w:rPr>
              <w:t>and Address (in the case of</w:t>
            </w:r>
          </w:p>
        </w:tc>
        <w:tc>
          <w:tcPr>
            <w:tcW w:w="1700" w:type="dxa"/>
            <w:vAlign w:val="bottom"/>
            <w:tcBorders>
              <w:right w:val="single" w:sz="8" w:color="424E6A"/>
            </w:tcBorders>
            <w:shd w:val="clear" w:color="auto" w:fill="424E6A"/>
          </w:tcPr>
          <w:p>
            <w:pPr>
              <w:jc w:val="right"/>
              <w:ind w:right="600"/>
              <w:spacing w:after="0"/>
              <w:rPr>
                <w:sz w:val="20"/>
                <w:szCs w:val="20"/>
                <w:color w:val="auto"/>
              </w:rPr>
            </w:pPr>
            <w:r>
              <w:rPr>
                <w:rFonts w:ascii="Arial" w:cs="Arial" w:eastAsia="Arial" w:hAnsi="Arial"/>
                <w:sz w:val="14"/>
                <w:szCs w:val="14"/>
                <w:b w:val="1"/>
                <w:bCs w:val="1"/>
                <w:color w:val="FFFFFF"/>
              </w:rPr>
              <w:t>Common</w:t>
            </w:r>
          </w:p>
        </w:tc>
        <w:tc>
          <w:tcPr>
            <w:tcW w:w="1380" w:type="dxa"/>
            <w:vAlign w:val="bottom"/>
            <w:tcBorders>
              <w:right w:val="single" w:sz="8" w:color="424E6A"/>
            </w:tcBorders>
            <w:shd w:val="clear" w:color="auto" w:fill="424E6A"/>
          </w:tcPr>
          <w:p>
            <w:pPr>
              <w:jc w:val="center"/>
              <w:ind w:left="60"/>
              <w:spacing w:after="0"/>
              <w:rPr>
                <w:sz w:val="20"/>
                <w:szCs w:val="20"/>
                <w:color w:val="auto"/>
              </w:rPr>
            </w:pPr>
            <w:r>
              <w:rPr>
                <w:rFonts w:ascii="Arial" w:cs="Arial" w:eastAsia="Arial" w:hAnsi="Arial"/>
                <w:sz w:val="14"/>
                <w:szCs w:val="14"/>
                <w:b w:val="1"/>
                <w:bCs w:val="1"/>
                <w:color w:val="FFFFFF"/>
              </w:rPr>
              <w:t>of Common</w:t>
            </w:r>
          </w:p>
        </w:tc>
        <w:tc>
          <w:tcPr>
            <w:tcW w:w="1260" w:type="dxa"/>
            <w:vAlign w:val="bottom"/>
            <w:tcBorders>
              <w:right w:val="single" w:sz="8" w:color="424E6A"/>
            </w:tcBorders>
            <w:shd w:val="clear" w:color="auto" w:fill="424E6A"/>
          </w:tcPr>
          <w:p>
            <w:pPr>
              <w:jc w:val="center"/>
              <w:ind w:right="100"/>
              <w:spacing w:after="0"/>
              <w:rPr>
                <w:sz w:val="20"/>
                <w:szCs w:val="20"/>
                <w:color w:val="auto"/>
              </w:rPr>
            </w:pPr>
            <w:r>
              <w:rPr>
                <w:rFonts w:ascii="Arial" w:cs="Arial" w:eastAsia="Arial" w:hAnsi="Arial"/>
                <w:sz w:val="14"/>
                <w:szCs w:val="14"/>
                <w:b w:val="1"/>
                <w:bCs w:val="1"/>
                <w:color w:val="FFFFFF"/>
              </w:rPr>
              <w:t>Preferred</w:t>
            </w:r>
          </w:p>
        </w:tc>
        <w:tc>
          <w:tcPr>
            <w:tcW w:w="126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Preferred</w:t>
            </w:r>
          </w:p>
        </w:tc>
        <w:tc>
          <w:tcPr>
            <w:tcW w:w="1300" w:type="dxa"/>
            <w:vAlign w:val="bottom"/>
            <w:tcBorders>
              <w:right w:val="single" w:sz="8" w:color="424E6A"/>
            </w:tcBorders>
            <w:shd w:val="clear" w:color="auto" w:fill="424E6A"/>
          </w:tcPr>
          <w:p>
            <w:pPr>
              <w:jc w:val="center"/>
              <w:ind w:right="21"/>
              <w:spacing w:after="0"/>
              <w:rPr>
                <w:sz w:val="20"/>
                <w:szCs w:val="20"/>
                <w:color w:val="auto"/>
              </w:rPr>
            </w:pPr>
            <w:r>
              <w:rPr>
                <w:rFonts w:ascii="Arial" w:cs="Arial" w:eastAsia="Arial" w:hAnsi="Arial"/>
                <w:sz w:val="14"/>
                <w:szCs w:val="14"/>
                <w:b w:val="1"/>
                <w:bCs w:val="1"/>
                <w:color w:val="FFFFFF"/>
              </w:rPr>
              <w:t>Unit</w:t>
            </w:r>
          </w:p>
        </w:tc>
        <w:tc>
          <w:tcPr>
            <w:tcW w:w="0" w:type="dxa"/>
            <w:vAlign w:val="bottom"/>
          </w:tcPr>
          <w:p>
            <w:pPr>
              <w:spacing w:after="0"/>
              <w:rPr>
                <w:sz w:val="1"/>
                <w:szCs w:val="1"/>
                <w:color w:val="auto"/>
              </w:rPr>
            </w:pPr>
          </w:p>
        </w:tc>
      </w:tr>
      <w:tr>
        <w:trPr>
          <w:trHeight w:val="212"/>
        </w:trPr>
        <w:tc>
          <w:tcPr>
            <w:tcW w:w="2180" w:type="dxa"/>
            <w:vAlign w:val="bottom"/>
            <w:tcBorders>
              <w:left w:val="single" w:sz="8" w:color="424E6A"/>
              <w:right w:val="single" w:sz="8" w:color="424E6A"/>
            </w:tcBorders>
            <w:shd w:val="clear" w:color="auto" w:fill="424E6A"/>
          </w:tcPr>
          <w:p>
            <w:pPr>
              <w:ind w:left="80"/>
              <w:spacing w:after="0"/>
              <w:rPr>
                <w:sz w:val="20"/>
                <w:szCs w:val="20"/>
                <w:color w:val="auto"/>
              </w:rPr>
            </w:pPr>
            <w:r>
              <w:rPr>
                <w:rFonts w:ascii="Arial" w:cs="Arial" w:eastAsia="Arial" w:hAnsi="Arial"/>
                <w:sz w:val="14"/>
                <w:szCs w:val="14"/>
                <w:b w:val="1"/>
                <w:bCs w:val="1"/>
                <w:color w:val="FFFFFF"/>
              </w:rPr>
              <w:t>Owners of more than 5%)</w:t>
            </w:r>
          </w:p>
        </w:tc>
        <w:tc>
          <w:tcPr>
            <w:tcW w:w="1700" w:type="dxa"/>
            <w:vAlign w:val="bottom"/>
            <w:tcBorders>
              <w:right w:val="single" w:sz="8" w:color="424E6A"/>
            </w:tcBorders>
            <w:shd w:val="clear" w:color="auto" w:fill="424E6A"/>
          </w:tcPr>
          <w:p>
            <w:pPr>
              <w:jc w:val="right"/>
              <w:ind w:right="700"/>
              <w:spacing w:after="0"/>
              <w:rPr>
                <w:sz w:val="20"/>
                <w:szCs w:val="20"/>
                <w:color w:val="auto"/>
              </w:rPr>
            </w:pPr>
            <w:r>
              <w:rPr>
                <w:rFonts w:ascii="Arial" w:cs="Arial" w:eastAsia="Arial" w:hAnsi="Arial"/>
                <w:sz w:val="14"/>
                <w:szCs w:val="14"/>
                <w:b w:val="1"/>
                <w:bCs w:val="1"/>
                <w:color w:val="FFFFFF"/>
              </w:rPr>
              <w:t>Units</w:t>
            </w:r>
          </w:p>
        </w:tc>
        <w:tc>
          <w:tcPr>
            <w:tcW w:w="1380" w:type="dxa"/>
            <w:vAlign w:val="bottom"/>
            <w:tcBorders>
              <w:right w:val="single" w:sz="8" w:color="424E6A"/>
            </w:tcBorders>
            <w:shd w:val="clear" w:color="auto" w:fill="424E6A"/>
          </w:tcPr>
          <w:p>
            <w:pPr>
              <w:jc w:val="center"/>
              <w:ind w:left="100"/>
              <w:spacing w:after="0"/>
              <w:rPr>
                <w:sz w:val="20"/>
                <w:szCs w:val="20"/>
                <w:color w:val="auto"/>
              </w:rPr>
            </w:pPr>
            <w:r>
              <w:rPr>
                <w:rFonts w:ascii="Arial" w:cs="Arial" w:eastAsia="Arial" w:hAnsi="Arial"/>
                <w:sz w:val="14"/>
                <w:szCs w:val="14"/>
                <w:b w:val="1"/>
                <w:bCs w:val="1"/>
                <w:color w:val="FFFFFF"/>
              </w:rPr>
              <w:t>Units</w:t>
            </w:r>
          </w:p>
        </w:tc>
        <w:tc>
          <w:tcPr>
            <w:tcW w:w="1260" w:type="dxa"/>
            <w:vAlign w:val="bottom"/>
            <w:tcBorders>
              <w:right w:val="single" w:sz="8" w:color="424E6A"/>
            </w:tcBorders>
            <w:shd w:val="clear" w:color="auto" w:fill="424E6A"/>
          </w:tcPr>
          <w:p>
            <w:pPr>
              <w:jc w:val="center"/>
              <w:ind w:right="80"/>
              <w:spacing w:after="0"/>
              <w:rPr>
                <w:sz w:val="20"/>
                <w:szCs w:val="20"/>
                <w:color w:val="auto"/>
              </w:rPr>
            </w:pPr>
            <w:r>
              <w:rPr>
                <w:rFonts w:ascii="Arial" w:cs="Arial" w:eastAsia="Arial" w:hAnsi="Arial"/>
                <w:sz w:val="14"/>
                <w:szCs w:val="14"/>
                <w:b w:val="1"/>
                <w:bCs w:val="1"/>
                <w:color w:val="FFFFFF"/>
                <w:w w:val="94"/>
              </w:rPr>
              <w:t>Units</w:t>
            </w:r>
            <w:r>
              <w:rPr>
                <w:rFonts w:ascii="Arial" w:cs="Arial" w:eastAsia="Arial" w:hAnsi="Arial"/>
                <w:sz w:val="17"/>
                <w:szCs w:val="17"/>
                <w:b w:val="1"/>
                <w:bCs w:val="1"/>
                <w:color w:val="FFFFFF"/>
                <w:w w:val="94"/>
                <w:vertAlign w:val="superscript"/>
              </w:rPr>
              <w:t>(1)</w:t>
            </w:r>
          </w:p>
        </w:tc>
        <w:tc>
          <w:tcPr>
            <w:tcW w:w="1260" w:type="dxa"/>
            <w:vAlign w:val="bottom"/>
            <w:tcBorders>
              <w:right w:val="single" w:sz="8" w:color="424E6A"/>
            </w:tcBorders>
            <w:shd w:val="clear" w:color="auto" w:fill="424E6A"/>
          </w:tcPr>
          <w:p>
            <w:pPr>
              <w:jc w:val="center"/>
              <w:ind w:left="20"/>
              <w:spacing w:after="0"/>
              <w:rPr>
                <w:sz w:val="20"/>
                <w:szCs w:val="20"/>
                <w:color w:val="auto"/>
              </w:rPr>
            </w:pPr>
            <w:r>
              <w:rPr>
                <w:rFonts w:ascii="Arial" w:cs="Arial" w:eastAsia="Arial" w:hAnsi="Arial"/>
                <w:sz w:val="14"/>
                <w:szCs w:val="14"/>
                <w:b w:val="1"/>
                <w:bCs w:val="1"/>
                <w:color w:val="FFFFFF"/>
              </w:rPr>
              <w:t>Units</w:t>
            </w:r>
          </w:p>
        </w:tc>
        <w:tc>
          <w:tcPr>
            <w:tcW w:w="1300" w:type="dxa"/>
            <w:vAlign w:val="bottom"/>
            <w:tcBorders>
              <w:right w:val="single" w:sz="8" w:color="424E6A"/>
            </w:tcBorders>
            <w:shd w:val="clear" w:color="auto" w:fill="424E6A"/>
          </w:tcPr>
          <w:p>
            <w:pPr>
              <w:jc w:val="center"/>
              <w:ind w:right="1"/>
              <w:spacing w:after="0"/>
              <w:rPr>
                <w:sz w:val="20"/>
                <w:szCs w:val="20"/>
                <w:color w:val="auto"/>
              </w:rPr>
            </w:pPr>
            <w:r>
              <w:rPr>
                <w:rFonts w:ascii="Arial" w:cs="Arial" w:eastAsia="Arial" w:hAnsi="Arial"/>
                <w:sz w:val="14"/>
                <w:szCs w:val="14"/>
                <w:b w:val="1"/>
                <w:bCs w:val="1"/>
                <w:color w:val="FFFFFF"/>
              </w:rPr>
              <w:t>Equivalents**</w:t>
            </w:r>
          </w:p>
        </w:tc>
        <w:tc>
          <w:tcPr>
            <w:tcW w:w="0" w:type="dxa"/>
            <w:vAlign w:val="bottom"/>
          </w:tcPr>
          <w:p>
            <w:pPr>
              <w:spacing w:after="0"/>
              <w:rPr>
                <w:sz w:val="1"/>
                <w:szCs w:val="1"/>
                <w:color w:val="auto"/>
              </w:rPr>
            </w:pPr>
          </w:p>
        </w:tc>
      </w:tr>
      <w:tr>
        <w:trPr>
          <w:trHeight w:val="243"/>
        </w:trPr>
        <w:tc>
          <w:tcPr>
            <w:tcW w:w="2180" w:type="dxa"/>
            <w:vAlign w:val="bottom"/>
            <w:tcBorders>
              <w:left w:val="single" w:sz="8" w:color="424E6A"/>
              <w:bottom w:val="single" w:sz="8" w:color="424E6A"/>
              <w:right w:val="single" w:sz="8" w:color="424E6A"/>
            </w:tcBorders>
            <w:shd w:val="clear" w:color="auto" w:fill="D9DCE1"/>
          </w:tcPr>
          <w:p>
            <w:pPr>
              <w:ind w:left="80"/>
              <w:spacing w:after="0"/>
              <w:rPr>
                <w:sz w:val="20"/>
                <w:szCs w:val="20"/>
                <w:color w:val="auto"/>
              </w:rPr>
            </w:pPr>
            <w:r>
              <w:rPr>
                <w:rFonts w:ascii="Arial" w:cs="Arial" w:eastAsia="Arial" w:hAnsi="Arial"/>
                <w:sz w:val="16"/>
                <w:szCs w:val="16"/>
                <w:color w:val="auto"/>
              </w:rPr>
              <w:t>Plains AAP, L.P.</w:t>
            </w:r>
            <w:r>
              <w:rPr>
                <w:rFonts w:ascii="Arial" w:cs="Arial" w:eastAsia="Arial" w:hAnsi="Arial"/>
                <w:sz w:val="19"/>
                <w:szCs w:val="19"/>
                <w:color w:val="auto"/>
                <w:vertAlign w:val="superscript"/>
              </w:rPr>
              <w:t>(2)</w:t>
            </w:r>
          </w:p>
        </w:tc>
        <w:tc>
          <w:tcPr>
            <w:tcW w:w="1700" w:type="dxa"/>
            <w:vAlign w:val="bottom"/>
            <w:tcBorders>
              <w:bottom w:val="single" w:sz="8" w:color="424E6A"/>
              <w:right w:val="single" w:sz="8" w:color="424E6A"/>
            </w:tcBorders>
            <w:shd w:val="clear" w:color="auto" w:fill="D9DCE1"/>
          </w:tcPr>
          <w:p>
            <w:pPr>
              <w:jc w:val="right"/>
              <w:ind w:right="440"/>
              <w:spacing w:after="0"/>
              <w:rPr>
                <w:sz w:val="20"/>
                <w:szCs w:val="20"/>
                <w:color w:val="auto"/>
              </w:rPr>
            </w:pPr>
            <w:r>
              <w:rPr>
                <w:rFonts w:ascii="Arial" w:cs="Arial" w:eastAsia="Arial" w:hAnsi="Arial"/>
                <w:sz w:val="16"/>
                <w:szCs w:val="16"/>
                <w:color w:val="auto"/>
              </w:rPr>
              <w:t>233,000,430</w:t>
            </w:r>
          </w:p>
        </w:tc>
        <w:tc>
          <w:tcPr>
            <w:tcW w:w="1380" w:type="dxa"/>
            <w:vAlign w:val="bottom"/>
            <w:tcBorders>
              <w:bottom w:val="single" w:sz="8" w:color="424E6A"/>
              <w:right w:val="single" w:sz="8" w:color="424E6A"/>
            </w:tcBorders>
            <w:shd w:val="clear" w:color="auto" w:fill="D9DCE1"/>
          </w:tcPr>
          <w:p>
            <w:pPr>
              <w:jc w:val="right"/>
              <w:ind w:right="220"/>
              <w:spacing w:after="0"/>
              <w:rPr>
                <w:sz w:val="20"/>
                <w:szCs w:val="20"/>
                <w:color w:val="auto"/>
              </w:rPr>
            </w:pPr>
            <w:r>
              <w:rPr>
                <w:rFonts w:ascii="Arial" w:cs="Arial" w:eastAsia="Arial" w:hAnsi="Arial"/>
                <w:sz w:val="16"/>
                <w:szCs w:val="16"/>
                <w:color w:val="auto"/>
              </w:rPr>
              <w:t>33.0%</w:t>
            </w:r>
          </w:p>
        </w:tc>
        <w:tc>
          <w:tcPr>
            <w:tcW w:w="1260" w:type="dxa"/>
            <w:vAlign w:val="bottom"/>
            <w:tcBorders>
              <w:bottom w:val="single" w:sz="8" w:color="424E6A"/>
              <w:right w:val="single" w:sz="8" w:color="424E6A"/>
            </w:tcBorders>
            <w:shd w:val="clear" w:color="auto" w:fill="D9DCE1"/>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shd w:val="clear" w:color="auto" w:fill="D9DCE1"/>
          </w:tcPr>
          <w:p>
            <w:pPr>
              <w:jc w:val="right"/>
              <w:ind w:right="3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24E6A"/>
              <w:right w:val="single" w:sz="8" w:color="424E6A"/>
            </w:tcBorders>
            <w:shd w:val="clear" w:color="auto" w:fill="D9DCE1"/>
          </w:tcPr>
          <w:p>
            <w:pPr>
              <w:jc w:val="right"/>
              <w:ind w:right="301"/>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36"/>
        </w:trPr>
        <w:tc>
          <w:tcPr>
            <w:tcW w:w="2180" w:type="dxa"/>
            <w:vAlign w:val="bottom"/>
            <w:tcBorders>
              <w:left w:val="single" w:sz="8" w:color="424E6A"/>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ALPS Advisors, Inc.</w:t>
            </w:r>
            <w:r>
              <w:rPr>
                <w:rFonts w:ascii="Arial" w:cs="Arial" w:eastAsia="Arial" w:hAnsi="Arial"/>
                <w:sz w:val="19"/>
                <w:szCs w:val="19"/>
                <w:color w:val="auto"/>
                <w:vertAlign w:val="superscript"/>
              </w:rPr>
              <w:t>(3)</w:t>
            </w:r>
          </w:p>
        </w:tc>
        <w:tc>
          <w:tcPr>
            <w:tcW w:w="1700" w:type="dxa"/>
            <w:vAlign w:val="bottom"/>
            <w:tcBorders>
              <w:bottom w:val="single" w:sz="8" w:color="424E6A"/>
              <w:right w:val="single" w:sz="8" w:color="424E6A"/>
            </w:tcBorders>
          </w:tcPr>
          <w:p>
            <w:pPr>
              <w:jc w:val="right"/>
              <w:ind w:right="440"/>
              <w:spacing w:after="0"/>
              <w:rPr>
                <w:sz w:val="20"/>
                <w:szCs w:val="20"/>
                <w:color w:val="auto"/>
              </w:rPr>
            </w:pPr>
            <w:r>
              <w:rPr>
                <w:rFonts w:ascii="Arial" w:cs="Arial" w:eastAsia="Arial" w:hAnsi="Arial"/>
                <w:sz w:val="16"/>
                <w:szCs w:val="16"/>
                <w:color w:val="auto"/>
              </w:rPr>
              <w:t>76,051,589</w:t>
            </w:r>
          </w:p>
        </w:tc>
        <w:tc>
          <w:tcPr>
            <w:tcW w:w="1380" w:type="dxa"/>
            <w:vAlign w:val="bottom"/>
            <w:tcBorders>
              <w:bottom w:val="single" w:sz="8" w:color="424E6A"/>
              <w:right w:val="single" w:sz="8" w:color="424E6A"/>
            </w:tcBorders>
          </w:tcPr>
          <w:p>
            <w:pPr>
              <w:jc w:val="right"/>
              <w:ind w:right="220"/>
              <w:spacing w:after="0"/>
              <w:rPr>
                <w:sz w:val="20"/>
                <w:szCs w:val="20"/>
                <w:color w:val="auto"/>
              </w:rPr>
            </w:pPr>
            <w:r>
              <w:rPr>
                <w:rFonts w:ascii="Arial" w:cs="Arial" w:eastAsia="Arial" w:hAnsi="Arial"/>
                <w:sz w:val="16"/>
                <w:szCs w:val="16"/>
                <w:color w:val="auto"/>
              </w:rPr>
              <w:t>10.8%</w:t>
            </w:r>
          </w:p>
        </w:tc>
        <w:tc>
          <w:tcPr>
            <w:tcW w:w="1260" w:type="dxa"/>
            <w:vAlign w:val="bottom"/>
            <w:tcBorders>
              <w:bottom w:val="single" w:sz="8" w:color="424E6A"/>
              <w:right w:val="single" w:sz="8" w:color="424E6A"/>
            </w:tcBorders>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tcPr>
          <w:p>
            <w:pPr>
              <w:jc w:val="right"/>
              <w:ind w:right="3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24E6A"/>
              <w:right w:val="single" w:sz="8" w:color="424E6A"/>
            </w:tcBorders>
          </w:tcPr>
          <w:p>
            <w:pPr>
              <w:jc w:val="right"/>
              <w:ind w:right="301"/>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79"/>
        </w:trPr>
        <w:tc>
          <w:tcPr>
            <w:tcW w:w="2180" w:type="dxa"/>
            <w:vAlign w:val="bottom"/>
            <w:tcBorders>
              <w:left w:val="single" w:sz="8" w:color="424E6A"/>
              <w:right w:val="single" w:sz="8" w:color="424E6A"/>
            </w:tcBorders>
            <w:shd w:val="clear" w:color="auto" w:fill="D9DCE1"/>
          </w:tcPr>
          <w:p>
            <w:pPr>
              <w:ind w:left="80"/>
              <w:spacing w:after="0" w:line="180" w:lineRule="exact"/>
              <w:rPr>
                <w:sz w:val="20"/>
                <w:szCs w:val="20"/>
                <w:color w:val="auto"/>
              </w:rPr>
            </w:pPr>
            <w:r>
              <w:rPr>
                <w:rFonts w:ascii="Arial" w:cs="Arial" w:eastAsia="Arial" w:hAnsi="Arial"/>
                <w:sz w:val="16"/>
                <w:szCs w:val="16"/>
                <w:color w:val="auto"/>
              </w:rPr>
              <w:t>EMG Fund IV PAA</w:t>
            </w:r>
          </w:p>
        </w:tc>
        <w:tc>
          <w:tcPr>
            <w:tcW w:w="1700" w:type="dxa"/>
            <w:vAlign w:val="bottom"/>
            <w:tcBorders>
              <w:right w:val="single" w:sz="8" w:color="424E6A"/>
            </w:tcBorders>
            <w:shd w:val="clear" w:color="auto" w:fill="D9DCE1"/>
          </w:tcPr>
          <w:p>
            <w:pPr>
              <w:spacing w:after="0"/>
              <w:rPr>
                <w:sz w:val="15"/>
                <w:szCs w:val="15"/>
                <w:color w:val="auto"/>
              </w:rPr>
            </w:pPr>
          </w:p>
        </w:tc>
        <w:tc>
          <w:tcPr>
            <w:tcW w:w="1380" w:type="dxa"/>
            <w:vAlign w:val="bottom"/>
            <w:tcBorders>
              <w:right w:val="single" w:sz="8" w:color="424E6A"/>
            </w:tcBorders>
            <w:shd w:val="clear" w:color="auto" w:fill="D9DCE1"/>
          </w:tcPr>
          <w:p>
            <w:pPr>
              <w:spacing w:after="0"/>
              <w:rPr>
                <w:sz w:val="15"/>
                <w:szCs w:val="15"/>
                <w:color w:val="auto"/>
              </w:rPr>
            </w:pPr>
          </w:p>
        </w:tc>
        <w:tc>
          <w:tcPr>
            <w:tcW w:w="1260" w:type="dxa"/>
            <w:vAlign w:val="bottom"/>
            <w:tcBorders>
              <w:right w:val="single" w:sz="8" w:color="424E6A"/>
            </w:tcBorders>
            <w:shd w:val="clear" w:color="auto" w:fill="D9DCE1"/>
          </w:tcPr>
          <w:p>
            <w:pPr>
              <w:spacing w:after="0"/>
              <w:rPr>
                <w:sz w:val="15"/>
                <w:szCs w:val="15"/>
                <w:color w:val="auto"/>
              </w:rPr>
            </w:pPr>
          </w:p>
        </w:tc>
        <w:tc>
          <w:tcPr>
            <w:tcW w:w="1260" w:type="dxa"/>
            <w:vAlign w:val="bottom"/>
            <w:tcBorders>
              <w:right w:val="single" w:sz="8" w:color="424E6A"/>
            </w:tcBorders>
            <w:shd w:val="clear" w:color="auto" w:fill="D9DCE1"/>
          </w:tcPr>
          <w:p>
            <w:pPr>
              <w:spacing w:after="0"/>
              <w:rPr>
                <w:sz w:val="15"/>
                <w:szCs w:val="15"/>
                <w:color w:val="auto"/>
              </w:rPr>
            </w:pPr>
          </w:p>
        </w:tc>
        <w:tc>
          <w:tcPr>
            <w:tcW w:w="1300" w:type="dxa"/>
            <w:vAlign w:val="bottom"/>
            <w:tcBorders>
              <w:right w:val="single" w:sz="8" w:color="424E6A"/>
            </w:tcBorders>
            <w:shd w:val="clear" w:color="auto" w:fill="D9DCE1"/>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180" w:type="dxa"/>
            <w:vAlign w:val="bottom"/>
            <w:tcBorders>
              <w:left w:val="single" w:sz="8" w:color="424E6A"/>
              <w:bottom w:val="single" w:sz="8" w:color="424E6A"/>
              <w:right w:val="single" w:sz="8" w:color="424E6A"/>
            </w:tcBorders>
            <w:shd w:val="clear" w:color="auto" w:fill="D9DCE1"/>
          </w:tcPr>
          <w:p>
            <w:pPr>
              <w:ind w:left="240"/>
              <w:spacing w:after="0"/>
              <w:rPr>
                <w:sz w:val="20"/>
                <w:szCs w:val="20"/>
                <w:color w:val="auto"/>
              </w:rPr>
            </w:pPr>
            <w:r>
              <w:rPr>
                <w:rFonts w:ascii="Arial" w:cs="Arial" w:eastAsia="Arial" w:hAnsi="Arial"/>
                <w:sz w:val="16"/>
                <w:szCs w:val="16"/>
                <w:color w:val="auto"/>
              </w:rPr>
              <w:t>Holdings, LLC</w:t>
            </w:r>
            <w:r>
              <w:rPr>
                <w:rFonts w:ascii="Arial" w:cs="Arial" w:eastAsia="Arial" w:hAnsi="Arial"/>
                <w:sz w:val="19"/>
                <w:szCs w:val="19"/>
                <w:color w:val="auto"/>
                <w:vertAlign w:val="superscript"/>
              </w:rPr>
              <w:t>(4)</w:t>
            </w:r>
          </w:p>
        </w:tc>
        <w:tc>
          <w:tcPr>
            <w:tcW w:w="1700" w:type="dxa"/>
            <w:vAlign w:val="bottom"/>
            <w:tcBorders>
              <w:bottom w:val="single" w:sz="8" w:color="424E6A"/>
              <w:right w:val="single" w:sz="8" w:color="424E6A"/>
            </w:tcBorders>
            <w:shd w:val="clear" w:color="auto" w:fill="D9DCE1"/>
          </w:tcPr>
          <w:p>
            <w:pPr>
              <w:jc w:val="right"/>
              <w:ind w:right="4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424E6A"/>
              <w:right w:val="single" w:sz="8" w:color="424E6A"/>
            </w:tcBorders>
            <w:shd w:val="clear" w:color="auto" w:fill="D9DCE1"/>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shd w:val="clear" w:color="auto" w:fill="D9DCE1"/>
          </w:tcPr>
          <w:p>
            <w:pPr>
              <w:jc w:val="right"/>
              <w:ind w:right="200"/>
              <w:spacing w:after="0"/>
              <w:rPr>
                <w:sz w:val="20"/>
                <w:szCs w:val="20"/>
                <w:color w:val="auto"/>
              </w:rPr>
            </w:pPr>
            <w:r>
              <w:rPr>
                <w:rFonts w:ascii="Arial" w:cs="Arial" w:eastAsia="Arial" w:hAnsi="Arial"/>
                <w:sz w:val="16"/>
                <w:szCs w:val="16"/>
                <w:color w:val="auto"/>
              </w:rPr>
              <w:t>20,376,259</w:t>
            </w:r>
          </w:p>
        </w:tc>
        <w:tc>
          <w:tcPr>
            <w:tcW w:w="1260" w:type="dxa"/>
            <w:vAlign w:val="bottom"/>
            <w:tcBorders>
              <w:bottom w:val="single" w:sz="8" w:color="424E6A"/>
              <w:right w:val="single" w:sz="8" w:color="424E6A"/>
            </w:tcBorders>
            <w:shd w:val="clear" w:color="auto" w:fill="D9DCE1"/>
          </w:tcPr>
          <w:p>
            <w:pPr>
              <w:jc w:val="right"/>
              <w:ind w:right="200"/>
              <w:spacing w:after="0"/>
              <w:rPr>
                <w:sz w:val="20"/>
                <w:szCs w:val="20"/>
                <w:color w:val="auto"/>
              </w:rPr>
            </w:pPr>
            <w:r>
              <w:rPr>
                <w:rFonts w:ascii="Arial" w:cs="Arial" w:eastAsia="Arial" w:hAnsi="Arial"/>
                <w:sz w:val="16"/>
                <w:szCs w:val="16"/>
                <w:color w:val="auto"/>
              </w:rPr>
              <w:t>34.9%</w:t>
            </w:r>
          </w:p>
        </w:tc>
        <w:tc>
          <w:tcPr>
            <w:tcW w:w="1300" w:type="dxa"/>
            <w:vAlign w:val="bottom"/>
            <w:tcBorders>
              <w:bottom w:val="single" w:sz="8" w:color="424E6A"/>
              <w:right w:val="single" w:sz="8" w:color="424E6A"/>
            </w:tcBorders>
            <w:shd w:val="clear" w:color="auto" w:fill="D9DCE1"/>
          </w:tcPr>
          <w:p>
            <w:pPr>
              <w:jc w:val="right"/>
              <w:ind w:right="301"/>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37"/>
        </w:trPr>
        <w:tc>
          <w:tcPr>
            <w:tcW w:w="2180" w:type="dxa"/>
            <w:vAlign w:val="bottom"/>
            <w:tcBorders>
              <w:left w:val="single" w:sz="8" w:color="424E6A"/>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EnCap Partners LLC</w:t>
            </w:r>
            <w:r>
              <w:rPr>
                <w:rFonts w:ascii="Arial" w:cs="Arial" w:eastAsia="Arial" w:hAnsi="Arial"/>
                <w:sz w:val="19"/>
                <w:szCs w:val="19"/>
                <w:color w:val="auto"/>
                <w:vertAlign w:val="superscript"/>
              </w:rPr>
              <w:t>(5)</w:t>
            </w:r>
          </w:p>
        </w:tc>
        <w:tc>
          <w:tcPr>
            <w:tcW w:w="1700" w:type="dxa"/>
            <w:vAlign w:val="bottom"/>
            <w:tcBorders>
              <w:bottom w:val="single" w:sz="8" w:color="424E6A"/>
              <w:right w:val="single" w:sz="8" w:color="424E6A"/>
            </w:tcBorders>
          </w:tcPr>
          <w:p>
            <w:pPr>
              <w:jc w:val="right"/>
              <w:ind w:right="4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424E6A"/>
              <w:right w:val="single" w:sz="8" w:color="424E6A"/>
            </w:tcBorders>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tcPr>
          <w:p>
            <w:pPr>
              <w:jc w:val="right"/>
              <w:ind w:right="200"/>
              <w:spacing w:after="0"/>
              <w:rPr>
                <w:sz w:val="20"/>
                <w:szCs w:val="20"/>
                <w:color w:val="auto"/>
              </w:rPr>
            </w:pPr>
            <w:r>
              <w:rPr>
                <w:rFonts w:ascii="Arial" w:cs="Arial" w:eastAsia="Arial" w:hAnsi="Arial"/>
                <w:sz w:val="16"/>
                <w:szCs w:val="16"/>
                <w:color w:val="auto"/>
              </w:rPr>
              <w:t>12,678,560</w:t>
            </w:r>
          </w:p>
        </w:tc>
        <w:tc>
          <w:tcPr>
            <w:tcW w:w="1260" w:type="dxa"/>
            <w:vAlign w:val="bottom"/>
            <w:tcBorders>
              <w:bottom w:val="single" w:sz="8" w:color="424E6A"/>
              <w:right w:val="single" w:sz="8" w:color="424E6A"/>
            </w:tcBorders>
          </w:tcPr>
          <w:p>
            <w:pPr>
              <w:jc w:val="right"/>
              <w:ind w:right="200"/>
              <w:spacing w:after="0"/>
              <w:rPr>
                <w:sz w:val="20"/>
                <w:szCs w:val="20"/>
                <w:color w:val="auto"/>
              </w:rPr>
            </w:pPr>
            <w:r>
              <w:rPr>
                <w:rFonts w:ascii="Arial" w:cs="Arial" w:eastAsia="Arial" w:hAnsi="Arial"/>
                <w:sz w:val="16"/>
                <w:szCs w:val="16"/>
                <w:color w:val="auto"/>
              </w:rPr>
              <w:t>21.7%</w:t>
            </w:r>
          </w:p>
        </w:tc>
        <w:tc>
          <w:tcPr>
            <w:tcW w:w="1300" w:type="dxa"/>
            <w:vAlign w:val="bottom"/>
            <w:tcBorders>
              <w:bottom w:val="single" w:sz="8" w:color="424E6A"/>
              <w:right w:val="single" w:sz="8" w:color="424E6A"/>
            </w:tcBorders>
          </w:tcPr>
          <w:p>
            <w:pPr>
              <w:jc w:val="right"/>
              <w:ind w:right="301"/>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79"/>
        </w:trPr>
        <w:tc>
          <w:tcPr>
            <w:tcW w:w="2180" w:type="dxa"/>
            <w:vAlign w:val="bottom"/>
            <w:tcBorders>
              <w:left w:val="single" w:sz="8" w:color="424E6A"/>
              <w:right w:val="single" w:sz="8" w:color="424E6A"/>
            </w:tcBorders>
            <w:shd w:val="clear" w:color="auto" w:fill="D9DCE1"/>
          </w:tcPr>
          <w:p>
            <w:pPr>
              <w:ind w:left="80"/>
              <w:spacing w:after="0" w:line="180" w:lineRule="exact"/>
              <w:rPr>
                <w:sz w:val="20"/>
                <w:szCs w:val="20"/>
                <w:color w:val="auto"/>
              </w:rPr>
            </w:pPr>
            <w:r>
              <w:rPr>
                <w:rFonts w:ascii="Arial" w:cs="Arial" w:eastAsia="Arial" w:hAnsi="Arial"/>
                <w:sz w:val="16"/>
                <w:szCs w:val="16"/>
                <w:color w:val="auto"/>
              </w:rPr>
              <w:t>FR XIII PAA Holdings</w:t>
            </w:r>
          </w:p>
        </w:tc>
        <w:tc>
          <w:tcPr>
            <w:tcW w:w="1700" w:type="dxa"/>
            <w:vAlign w:val="bottom"/>
            <w:tcBorders>
              <w:right w:val="single" w:sz="8" w:color="424E6A"/>
            </w:tcBorders>
            <w:shd w:val="clear" w:color="auto" w:fill="D9DCE1"/>
          </w:tcPr>
          <w:p>
            <w:pPr>
              <w:spacing w:after="0"/>
              <w:rPr>
                <w:sz w:val="15"/>
                <w:szCs w:val="15"/>
                <w:color w:val="auto"/>
              </w:rPr>
            </w:pPr>
          </w:p>
        </w:tc>
        <w:tc>
          <w:tcPr>
            <w:tcW w:w="1380" w:type="dxa"/>
            <w:vAlign w:val="bottom"/>
            <w:tcBorders>
              <w:right w:val="single" w:sz="8" w:color="424E6A"/>
            </w:tcBorders>
            <w:shd w:val="clear" w:color="auto" w:fill="D9DCE1"/>
          </w:tcPr>
          <w:p>
            <w:pPr>
              <w:spacing w:after="0"/>
              <w:rPr>
                <w:sz w:val="15"/>
                <w:szCs w:val="15"/>
                <w:color w:val="auto"/>
              </w:rPr>
            </w:pPr>
          </w:p>
        </w:tc>
        <w:tc>
          <w:tcPr>
            <w:tcW w:w="1260" w:type="dxa"/>
            <w:vAlign w:val="bottom"/>
            <w:tcBorders>
              <w:right w:val="single" w:sz="8" w:color="424E6A"/>
            </w:tcBorders>
            <w:shd w:val="clear" w:color="auto" w:fill="D9DCE1"/>
          </w:tcPr>
          <w:p>
            <w:pPr>
              <w:spacing w:after="0"/>
              <w:rPr>
                <w:sz w:val="15"/>
                <w:szCs w:val="15"/>
                <w:color w:val="auto"/>
              </w:rPr>
            </w:pPr>
          </w:p>
        </w:tc>
        <w:tc>
          <w:tcPr>
            <w:tcW w:w="1260" w:type="dxa"/>
            <w:vAlign w:val="bottom"/>
            <w:tcBorders>
              <w:right w:val="single" w:sz="8" w:color="424E6A"/>
            </w:tcBorders>
            <w:shd w:val="clear" w:color="auto" w:fill="D9DCE1"/>
          </w:tcPr>
          <w:p>
            <w:pPr>
              <w:spacing w:after="0"/>
              <w:rPr>
                <w:sz w:val="15"/>
                <w:szCs w:val="15"/>
                <w:color w:val="auto"/>
              </w:rPr>
            </w:pPr>
          </w:p>
        </w:tc>
        <w:tc>
          <w:tcPr>
            <w:tcW w:w="1300" w:type="dxa"/>
            <w:vAlign w:val="bottom"/>
            <w:tcBorders>
              <w:right w:val="single" w:sz="8" w:color="424E6A"/>
            </w:tcBorders>
            <w:shd w:val="clear" w:color="auto" w:fill="D9DCE1"/>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180" w:type="dxa"/>
            <w:vAlign w:val="bottom"/>
            <w:tcBorders>
              <w:left w:val="single" w:sz="8" w:color="424E6A"/>
              <w:bottom w:val="single" w:sz="8" w:color="424E6A"/>
              <w:right w:val="single" w:sz="8" w:color="424E6A"/>
            </w:tcBorders>
            <w:shd w:val="clear" w:color="auto" w:fill="D9DCE1"/>
          </w:tcPr>
          <w:p>
            <w:pPr>
              <w:ind w:left="240"/>
              <w:spacing w:after="0"/>
              <w:rPr>
                <w:sz w:val="20"/>
                <w:szCs w:val="20"/>
                <w:color w:val="auto"/>
              </w:rPr>
            </w:pPr>
            <w:r>
              <w:rPr>
                <w:rFonts w:ascii="Arial" w:cs="Arial" w:eastAsia="Arial" w:hAnsi="Arial"/>
                <w:sz w:val="16"/>
                <w:szCs w:val="16"/>
                <w:color w:val="auto"/>
              </w:rPr>
              <w:t>Holdco LLC</w:t>
            </w:r>
            <w:r>
              <w:rPr>
                <w:rFonts w:ascii="Arial" w:cs="Arial" w:eastAsia="Arial" w:hAnsi="Arial"/>
                <w:sz w:val="19"/>
                <w:szCs w:val="19"/>
                <w:color w:val="auto"/>
                <w:vertAlign w:val="superscript"/>
              </w:rPr>
              <w:t>(6)</w:t>
            </w:r>
          </w:p>
        </w:tc>
        <w:tc>
          <w:tcPr>
            <w:tcW w:w="1700" w:type="dxa"/>
            <w:vAlign w:val="bottom"/>
            <w:tcBorders>
              <w:bottom w:val="single" w:sz="8" w:color="424E6A"/>
              <w:right w:val="single" w:sz="8" w:color="424E6A"/>
            </w:tcBorders>
            <w:shd w:val="clear" w:color="auto" w:fill="D9DCE1"/>
          </w:tcPr>
          <w:p>
            <w:pPr>
              <w:jc w:val="right"/>
              <w:ind w:right="4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424E6A"/>
              <w:right w:val="single" w:sz="8" w:color="424E6A"/>
            </w:tcBorders>
            <w:shd w:val="clear" w:color="auto" w:fill="D9DCE1"/>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shd w:val="clear" w:color="auto" w:fill="D9DCE1"/>
          </w:tcPr>
          <w:p>
            <w:pPr>
              <w:jc w:val="right"/>
              <w:ind w:right="200"/>
              <w:spacing w:after="0"/>
              <w:rPr>
                <w:sz w:val="20"/>
                <w:szCs w:val="20"/>
                <w:color w:val="auto"/>
              </w:rPr>
            </w:pPr>
            <w:r>
              <w:rPr>
                <w:rFonts w:ascii="Arial" w:cs="Arial" w:eastAsia="Arial" w:hAnsi="Arial"/>
                <w:sz w:val="16"/>
                <w:szCs w:val="16"/>
                <w:color w:val="auto"/>
              </w:rPr>
              <w:t>6,410,139</w:t>
            </w:r>
          </w:p>
        </w:tc>
        <w:tc>
          <w:tcPr>
            <w:tcW w:w="1260" w:type="dxa"/>
            <w:vAlign w:val="bottom"/>
            <w:tcBorders>
              <w:bottom w:val="single" w:sz="8" w:color="424E6A"/>
              <w:right w:val="single" w:sz="8" w:color="424E6A"/>
            </w:tcBorders>
            <w:shd w:val="clear" w:color="auto" w:fill="D9DCE1"/>
          </w:tcPr>
          <w:p>
            <w:pPr>
              <w:jc w:val="right"/>
              <w:ind w:right="200"/>
              <w:spacing w:after="0"/>
              <w:rPr>
                <w:sz w:val="20"/>
                <w:szCs w:val="20"/>
                <w:color w:val="auto"/>
              </w:rPr>
            </w:pPr>
            <w:r>
              <w:rPr>
                <w:rFonts w:ascii="Arial" w:cs="Arial" w:eastAsia="Arial" w:hAnsi="Arial"/>
                <w:sz w:val="16"/>
                <w:szCs w:val="16"/>
                <w:color w:val="auto"/>
              </w:rPr>
              <w:t>11.0%</w:t>
            </w:r>
          </w:p>
        </w:tc>
        <w:tc>
          <w:tcPr>
            <w:tcW w:w="1300" w:type="dxa"/>
            <w:vAlign w:val="bottom"/>
            <w:tcBorders>
              <w:bottom w:val="single" w:sz="8" w:color="424E6A"/>
              <w:right w:val="single" w:sz="8" w:color="424E6A"/>
            </w:tcBorders>
            <w:shd w:val="clear" w:color="auto" w:fill="D9DCE1"/>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2180" w:type="dxa"/>
            <w:vAlign w:val="bottom"/>
            <w:tcBorders>
              <w:left w:val="single" w:sz="8" w:color="424E6A"/>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Stonepeak Partners LLC</w:t>
            </w:r>
            <w:r>
              <w:rPr>
                <w:rFonts w:ascii="Arial" w:cs="Arial" w:eastAsia="Arial" w:hAnsi="Arial"/>
                <w:sz w:val="19"/>
                <w:szCs w:val="19"/>
                <w:color w:val="auto"/>
                <w:vertAlign w:val="superscript"/>
              </w:rPr>
              <w:t>(7)</w:t>
            </w:r>
          </w:p>
        </w:tc>
        <w:tc>
          <w:tcPr>
            <w:tcW w:w="1700" w:type="dxa"/>
            <w:vAlign w:val="bottom"/>
            <w:tcBorders>
              <w:bottom w:val="single" w:sz="8" w:color="424E6A"/>
              <w:right w:val="single" w:sz="8" w:color="424E6A"/>
            </w:tcBorders>
          </w:tcPr>
          <w:p>
            <w:pPr>
              <w:jc w:val="right"/>
              <w:ind w:right="4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424E6A"/>
              <w:right w:val="single" w:sz="8" w:color="424E6A"/>
            </w:tcBorders>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tcPr>
          <w:p>
            <w:pPr>
              <w:jc w:val="right"/>
              <w:ind w:right="200"/>
              <w:spacing w:after="0"/>
              <w:rPr>
                <w:sz w:val="20"/>
                <w:szCs w:val="20"/>
                <w:color w:val="auto"/>
              </w:rPr>
            </w:pPr>
            <w:r>
              <w:rPr>
                <w:rFonts w:ascii="Arial" w:cs="Arial" w:eastAsia="Arial" w:hAnsi="Arial"/>
                <w:sz w:val="16"/>
                <w:szCs w:val="16"/>
                <w:color w:val="auto"/>
              </w:rPr>
              <w:t>6,339,278</w:t>
            </w:r>
          </w:p>
        </w:tc>
        <w:tc>
          <w:tcPr>
            <w:tcW w:w="1260" w:type="dxa"/>
            <w:vAlign w:val="bottom"/>
            <w:tcBorders>
              <w:bottom w:val="single" w:sz="8" w:color="424E6A"/>
              <w:right w:val="single" w:sz="8" w:color="424E6A"/>
            </w:tcBorders>
          </w:tcPr>
          <w:p>
            <w:pPr>
              <w:jc w:val="right"/>
              <w:ind w:right="200"/>
              <w:spacing w:after="0"/>
              <w:rPr>
                <w:sz w:val="20"/>
                <w:szCs w:val="20"/>
                <w:color w:val="auto"/>
              </w:rPr>
            </w:pPr>
            <w:r>
              <w:rPr>
                <w:rFonts w:ascii="Arial" w:cs="Arial" w:eastAsia="Arial" w:hAnsi="Arial"/>
                <w:sz w:val="16"/>
                <w:szCs w:val="16"/>
                <w:color w:val="auto"/>
              </w:rPr>
              <w:t>10.8%</w:t>
            </w:r>
          </w:p>
        </w:tc>
        <w:tc>
          <w:tcPr>
            <w:tcW w:w="1300" w:type="dxa"/>
            <w:vAlign w:val="bottom"/>
            <w:tcBorders>
              <w:bottom w:val="single" w:sz="8" w:color="424E6A"/>
              <w:right w:val="single" w:sz="8" w:color="424E6A"/>
            </w:tcBorders>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2180" w:type="dxa"/>
            <w:vAlign w:val="bottom"/>
            <w:tcBorders>
              <w:left w:val="single" w:sz="8" w:color="424E6A"/>
              <w:right w:val="single" w:sz="8" w:color="424E6A"/>
            </w:tcBorders>
            <w:shd w:val="clear" w:color="auto" w:fill="D9DCE1"/>
          </w:tcPr>
          <w:p>
            <w:pPr>
              <w:ind w:left="80"/>
              <w:spacing w:after="0" w:line="182" w:lineRule="exact"/>
              <w:rPr>
                <w:sz w:val="20"/>
                <w:szCs w:val="20"/>
                <w:color w:val="auto"/>
              </w:rPr>
            </w:pPr>
            <w:r>
              <w:rPr>
                <w:rFonts w:ascii="Arial" w:cs="Arial" w:eastAsia="Arial" w:hAnsi="Arial"/>
                <w:sz w:val="16"/>
                <w:szCs w:val="16"/>
                <w:color w:val="auto"/>
              </w:rPr>
              <w:t>Atlas Point Energy</w:t>
            </w:r>
          </w:p>
        </w:tc>
        <w:tc>
          <w:tcPr>
            <w:tcW w:w="1700" w:type="dxa"/>
            <w:vAlign w:val="bottom"/>
            <w:tcBorders>
              <w:right w:val="single" w:sz="8" w:color="424E6A"/>
            </w:tcBorders>
            <w:shd w:val="clear" w:color="auto" w:fill="D9DCE1"/>
          </w:tcPr>
          <w:p>
            <w:pPr>
              <w:spacing w:after="0"/>
              <w:rPr>
                <w:sz w:val="15"/>
                <w:szCs w:val="15"/>
                <w:color w:val="auto"/>
              </w:rPr>
            </w:pPr>
          </w:p>
        </w:tc>
        <w:tc>
          <w:tcPr>
            <w:tcW w:w="1380" w:type="dxa"/>
            <w:vAlign w:val="bottom"/>
            <w:tcBorders>
              <w:right w:val="single" w:sz="8" w:color="424E6A"/>
            </w:tcBorders>
            <w:shd w:val="clear" w:color="auto" w:fill="D9DCE1"/>
          </w:tcPr>
          <w:p>
            <w:pPr>
              <w:spacing w:after="0"/>
              <w:rPr>
                <w:sz w:val="15"/>
                <w:szCs w:val="15"/>
                <w:color w:val="auto"/>
              </w:rPr>
            </w:pPr>
          </w:p>
        </w:tc>
        <w:tc>
          <w:tcPr>
            <w:tcW w:w="1260" w:type="dxa"/>
            <w:vAlign w:val="bottom"/>
            <w:tcBorders>
              <w:right w:val="single" w:sz="8" w:color="424E6A"/>
            </w:tcBorders>
            <w:shd w:val="clear" w:color="auto" w:fill="D9DCE1"/>
          </w:tcPr>
          <w:p>
            <w:pPr>
              <w:spacing w:after="0"/>
              <w:rPr>
                <w:sz w:val="15"/>
                <w:szCs w:val="15"/>
                <w:color w:val="auto"/>
              </w:rPr>
            </w:pPr>
          </w:p>
        </w:tc>
        <w:tc>
          <w:tcPr>
            <w:tcW w:w="1260" w:type="dxa"/>
            <w:vAlign w:val="bottom"/>
            <w:tcBorders>
              <w:right w:val="single" w:sz="8" w:color="424E6A"/>
            </w:tcBorders>
            <w:shd w:val="clear" w:color="auto" w:fill="D9DCE1"/>
          </w:tcPr>
          <w:p>
            <w:pPr>
              <w:spacing w:after="0"/>
              <w:rPr>
                <w:sz w:val="15"/>
                <w:szCs w:val="15"/>
                <w:color w:val="auto"/>
              </w:rPr>
            </w:pPr>
          </w:p>
        </w:tc>
        <w:tc>
          <w:tcPr>
            <w:tcW w:w="1300" w:type="dxa"/>
            <w:vAlign w:val="bottom"/>
            <w:tcBorders>
              <w:right w:val="single" w:sz="8" w:color="424E6A"/>
            </w:tcBorders>
            <w:shd w:val="clear" w:color="auto" w:fill="D9DCE1"/>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180" w:type="dxa"/>
            <w:vAlign w:val="bottom"/>
            <w:tcBorders>
              <w:left w:val="single" w:sz="8" w:color="424E6A"/>
              <w:right w:val="single" w:sz="8" w:color="424E6A"/>
            </w:tcBorders>
            <w:shd w:val="clear" w:color="auto" w:fill="D9DCE1"/>
          </w:tcPr>
          <w:p>
            <w:pPr>
              <w:ind w:left="240"/>
              <w:spacing w:after="0"/>
              <w:rPr>
                <w:sz w:val="20"/>
                <w:szCs w:val="20"/>
                <w:color w:val="auto"/>
              </w:rPr>
            </w:pPr>
            <w:r>
              <w:rPr>
                <w:rFonts w:ascii="Arial" w:cs="Arial" w:eastAsia="Arial" w:hAnsi="Arial"/>
                <w:sz w:val="16"/>
                <w:szCs w:val="16"/>
                <w:color w:val="auto"/>
              </w:rPr>
              <w:t>Infrastructure</w:t>
            </w:r>
          </w:p>
        </w:tc>
        <w:tc>
          <w:tcPr>
            <w:tcW w:w="1700" w:type="dxa"/>
            <w:vAlign w:val="bottom"/>
            <w:tcBorders>
              <w:right w:val="single" w:sz="8" w:color="424E6A"/>
            </w:tcBorders>
            <w:shd w:val="clear" w:color="auto" w:fill="D9DCE1"/>
          </w:tcPr>
          <w:p>
            <w:pPr>
              <w:spacing w:after="0"/>
              <w:rPr>
                <w:sz w:val="16"/>
                <w:szCs w:val="16"/>
                <w:color w:val="auto"/>
              </w:rPr>
            </w:pPr>
          </w:p>
        </w:tc>
        <w:tc>
          <w:tcPr>
            <w:tcW w:w="1380" w:type="dxa"/>
            <w:vAlign w:val="bottom"/>
            <w:tcBorders>
              <w:right w:val="single" w:sz="8" w:color="424E6A"/>
            </w:tcBorders>
            <w:shd w:val="clear" w:color="auto" w:fill="D9DCE1"/>
          </w:tcPr>
          <w:p>
            <w:pPr>
              <w:spacing w:after="0"/>
              <w:rPr>
                <w:sz w:val="16"/>
                <w:szCs w:val="16"/>
                <w:color w:val="auto"/>
              </w:rPr>
            </w:pPr>
          </w:p>
        </w:tc>
        <w:tc>
          <w:tcPr>
            <w:tcW w:w="1260" w:type="dxa"/>
            <w:vAlign w:val="bottom"/>
            <w:tcBorders>
              <w:right w:val="single" w:sz="8" w:color="424E6A"/>
            </w:tcBorders>
            <w:shd w:val="clear" w:color="auto" w:fill="D9DCE1"/>
          </w:tcPr>
          <w:p>
            <w:pPr>
              <w:spacing w:after="0"/>
              <w:rPr>
                <w:sz w:val="16"/>
                <w:szCs w:val="16"/>
                <w:color w:val="auto"/>
              </w:rPr>
            </w:pPr>
          </w:p>
        </w:tc>
        <w:tc>
          <w:tcPr>
            <w:tcW w:w="1260" w:type="dxa"/>
            <w:vAlign w:val="bottom"/>
            <w:tcBorders>
              <w:right w:val="single" w:sz="8" w:color="424E6A"/>
            </w:tcBorders>
            <w:shd w:val="clear" w:color="auto" w:fill="D9DCE1"/>
          </w:tcPr>
          <w:p>
            <w:pPr>
              <w:spacing w:after="0"/>
              <w:rPr>
                <w:sz w:val="16"/>
                <w:szCs w:val="16"/>
                <w:color w:val="auto"/>
              </w:rPr>
            </w:pPr>
          </w:p>
        </w:tc>
        <w:tc>
          <w:tcPr>
            <w:tcW w:w="1300" w:type="dxa"/>
            <w:vAlign w:val="bottom"/>
            <w:tcBorders>
              <w:right w:val="single" w:sz="8" w:color="424E6A"/>
            </w:tcBorders>
            <w:shd w:val="clear" w:color="auto" w:fill="D9DCE1"/>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180" w:type="dxa"/>
            <w:vAlign w:val="bottom"/>
            <w:tcBorders>
              <w:left w:val="single" w:sz="8" w:color="424E6A"/>
              <w:bottom w:val="single" w:sz="8" w:color="424E6A"/>
              <w:right w:val="single" w:sz="8" w:color="424E6A"/>
            </w:tcBorders>
            <w:shd w:val="clear" w:color="auto" w:fill="D9DCE1"/>
          </w:tcPr>
          <w:p>
            <w:pPr>
              <w:ind w:left="240"/>
              <w:spacing w:after="0"/>
              <w:rPr>
                <w:sz w:val="20"/>
                <w:szCs w:val="20"/>
                <w:color w:val="auto"/>
              </w:rPr>
            </w:pPr>
            <w:r>
              <w:rPr>
                <w:rFonts w:ascii="Arial" w:cs="Arial" w:eastAsia="Arial" w:hAnsi="Arial"/>
                <w:sz w:val="16"/>
                <w:szCs w:val="16"/>
                <w:color w:val="auto"/>
              </w:rPr>
              <w:t>Fund LLC</w:t>
            </w:r>
            <w:r>
              <w:rPr>
                <w:rFonts w:ascii="Arial" w:cs="Arial" w:eastAsia="Arial" w:hAnsi="Arial"/>
                <w:sz w:val="19"/>
                <w:szCs w:val="19"/>
                <w:color w:val="auto"/>
                <w:vertAlign w:val="superscript"/>
              </w:rPr>
              <w:t>(8)</w:t>
            </w:r>
          </w:p>
        </w:tc>
        <w:tc>
          <w:tcPr>
            <w:tcW w:w="1700" w:type="dxa"/>
            <w:vAlign w:val="bottom"/>
            <w:tcBorders>
              <w:bottom w:val="single" w:sz="8" w:color="424E6A"/>
              <w:right w:val="single" w:sz="8" w:color="424E6A"/>
            </w:tcBorders>
            <w:shd w:val="clear" w:color="auto" w:fill="D9DCE1"/>
          </w:tcPr>
          <w:p>
            <w:pPr>
              <w:jc w:val="right"/>
              <w:ind w:right="4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424E6A"/>
              <w:right w:val="single" w:sz="8" w:color="424E6A"/>
            </w:tcBorders>
            <w:shd w:val="clear" w:color="auto" w:fill="D9DCE1"/>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shd w:val="clear" w:color="auto" w:fill="D9DCE1"/>
          </w:tcPr>
          <w:p>
            <w:pPr>
              <w:jc w:val="right"/>
              <w:ind w:right="200"/>
              <w:spacing w:after="0"/>
              <w:rPr>
                <w:sz w:val="20"/>
                <w:szCs w:val="20"/>
                <w:color w:val="auto"/>
              </w:rPr>
            </w:pPr>
            <w:r>
              <w:rPr>
                <w:rFonts w:ascii="Arial" w:cs="Arial" w:eastAsia="Arial" w:hAnsi="Arial"/>
                <w:sz w:val="16"/>
                <w:szCs w:val="16"/>
                <w:color w:val="auto"/>
              </w:rPr>
              <w:t>5,435,403</w:t>
            </w:r>
          </w:p>
        </w:tc>
        <w:tc>
          <w:tcPr>
            <w:tcW w:w="1260" w:type="dxa"/>
            <w:vAlign w:val="bottom"/>
            <w:tcBorders>
              <w:bottom w:val="single" w:sz="8" w:color="424E6A"/>
              <w:right w:val="single" w:sz="8" w:color="424E6A"/>
            </w:tcBorders>
            <w:shd w:val="clear" w:color="auto" w:fill="D9DCE1"/>
          </w:tcPr>
          <w:p>
            <w:pPr>
              <w:jc w:val="right"/>
              <w:ind w:right="200"/>
              <w:spacing w:after="0"/>
              <w:rPr>
                <w:sz w:val="20"/>
                <w:szCs w:val="20"/>
                <w:color w:val="auto"/>
              </w:rPr>
            </w:pPr>
            <w:r>
              <w:rPr>
                <w:rFonts w:ascii="Arial" w:cs="Arial" w:eastAsia="Arial" w:hAnsi="Arial"/>
                <w:sz w:val="16"/>
                <w:szCs w:val="16"/>
                <w:color w:val="auto"/>
              </w:rPr>
              <w:t>9.3%</w:t>
            </w:r>
          </w:p>
        </w:tc>
        <w:tc>
          <w:tcPr>
            <w:tcW w:w="1300" w:type="dxa"/>
            <w:vAlign w:val="bottom"/>
            <w:tcBorders>
              <w:bottom w:val="single" w:sz="8" w:color="424E6A"/>
              <w:right w:val="single" w:sz="8" w:color="424E6A"/>
            </w:tcBorders>
            <w:shd w:val="clear" w:color="auto" w:fill="D9DCE1"/>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2180" w:type="dxa"/>
            <w:vAlign w:val="bottom"/>
            <w:tcBorders>
              <w:left w:val="single" w:sz="8" w:color="424E6A"/>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AP Lethe SPV LP</w:t>
            </w:r>
            <w:r>
              <w:rPr>
                <w:rFonts w:ascii="Arial" w:cs="Arial" w:eastAsia="Arial" w:hAnsi="Arial"/>
                <w:sz w:val="19"/>
                <w:szCs w:val="19"/>
                <w:color w:val="auto"/>
                <w:vertAlign w:val="superscript"/>
              </w:rPr>
              <w:t>(9)</w:t>
            </w:r>
          </w:p>
        </w:tc>
        <w:tc>
          <w:tcPr>
            <w:tcW w:w="1700" w:type="dxa"/>
            <w:vAlign w:val="bottom"/>
            <w:tcBorders>
              <w:bottom w:val="single" w:sz="8" w:color="424E6A"/>
              <w:right w:val="single" w:sz="8" w:color="424E6A"/>
            </w:tcBorders>
          </w:tcPr>
          <w:p>
            <w:pPr>
              <w:jc w:val="right"/>
              <w:ind w:right="4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424E6A"/>
              <w:right w:val="single" w:sz="8" w:color="424E6A"/>
            </w:tcBorders>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tcPr>
          <w:p>
            <w:pPr>
              <w:jc w:val="right"/>
              <w:ind w:right="200"/>
              <w:spacing w:after="0"/>
              <w:rPr>
                <w:sz w:val="20"/>
                <w:szCs w:val="20"/>
                <w:color w:val="auto"/>
              </w:rPr>
            </w:pPr>
            <w:r>
              <w:rPr>
                <w:rFonts w:ascii="Arial" w:cs="Arial" w:eastAsia="Arial" w:hAnsi="Arial"/>
                <w:sz w:val="16"/>
                <w:szCs w:val="16"/>
                <w:color w:val="auto"/>
              </w:rPr>
              <w:t>3,812,538</w:t>
            </w:r>
          </w:p>
        </w:tc>
        <w:tc>
          <w:tcPr>
            <w:tcW w:w="1260" w:type="dxa"/>
            <w:vAlign w:val="bottom"/>
            <w:tcBorders>
              <w:bottom w:val="single" w:sz="8" w:color="424E6A"/>
              <w:right w:val="single" w:sz="8" w:color="424E6A"/>
            </w:tcBorders>
          </w:tcPr>
          <w:p>
            <w:pPr>
              <w:jc w:val="right"/>
              <w:ind w:right="200"/>
              <w:spacing w:after="0"/>
              <w:rPr>
                <w:sz w:val="20"/>
                <w:szCs w:val="20"/>
                <w:color w:val="auto"/>
              </w:rPr>
            </w:pPr>
            <w:r>
              <w:rPr>
                <w:rFonts w:ascii="Arial" w:cs="Arial" w:eastAsia="Arial" w:hAnsi="Arial"/>
                <w:sz w:val="16"/>
                <w:szCs w:val="16"/>
                <w:color w:val="auto"/>
              </w:rPr>
              <w:t>6.5%</w:t>
            </w:r>
          </w:p>
        </w:tc>
        <w:tc>
          <w:tcPr>
            <w:tcW w:w="1300" w:type="dxa"/>
            <w:vAlign w:val="bottom"/>
            <w:tcBorders>
              <w:bottom w:val="single" w:sz="8" w:color="424E6A"/>
              <w:right w:val="single" w:sz="8" w:color="424E6A"/>
            </w:tcBorders>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180" w:type="dxa"/>
            <w:vAlign w:val="bottom"/>
            <w:tcBorders>
              <w:left w:val="single" w:sz="8" w:color="424E6A"/>
              <w:bottom w:val="single" w:sz="8" w:color="424E6A"/>
              <w:right w:val="single" w:sz="8" w:color="424E6A"/>
            </w:tcBorders>
            <w:shd w:val="clear" w:color="auto" w:fill="D9DCE1"/>
          </w:tcPr>
          <w:p>
            <w:pPr>
              <w:ind w:left="80"/>
              <w:spacing w:after="0"/>
              <w:rPr>
                <w:sz w:val="20"/>
                <w:szCs w:val="20"/>
                <w:color w:val="auto"/>
              </w:rPr>
            </w:pPr>
            <w:r>
              <w:rPr>
                <w:rFonts w:ascii="Arial" w:cs="Arial" w:eastAsia="Arial" w:hAnsi="Arial"/>
                <w:sz w:val="16"/>
                <w:szCs w:val="16"/>
                <w:color w:val="auto"/>
              </w:rPr>
              <w:t>Willie Chiang</w:t>
            </w:r>
            <w:r>
              <w:rPr>
                <w:rFonts w:ascii="Arial" w:cs="Arial" w:eastAsia="Arial" w:hAnsi="Arial"/>
                <w:sz w:val="19"/>
                <w:szCs w:val="19"/>
                <w:color w:val="auto"/>
                <w:vertAlign w:val="superscript"/>
              </w:rPr>
              <w:t>(12)</w:t>
            </w:r>
          </w:p>
        </w:tc>
        <w:tc>
          <w:tcPr>
            <w:tcW w:w="1700" w:type="dxa"/>
            <w:vAlign w:val="bottom"/>
            <w:tcBorders>
              <w:bottom w:val="single" w:sz="8" w:color="424E6A"/>
              <w:right w:val="single" w:sz="8" w:color="424E6A"/>
            </w:tcBorders>
            <w:shd w:val="clear" w:color="auto" w:fill="D9DCE1"/>
          </w:tcPr>
          <w:p>
            <w:pPr>
              <w:jc w:val="right"/>
              <w:ind w:right="260"/>
              <w:spacing w:after="0"/>
              <w:rPr>
                <w:sz w:val="20"/>
                <w:szCs w:val="20"/>
                <w:color w:val="auto"/>
              </w:rPr>
            </w:pPr>
            <w:r>
              <w:rPr>
                <w:rFonts w:ascii="Arial" w:cs="Arial" w:eastAsia="Arial" w:hAnsi="Arial"/>
                <w:sz w:val="16"/>
                <w:szCs w:val="16"/>
                <w:color w:val="auto"/>
              </w:rPr>
              <w:t>1,186,791</w:t>
            </w:r>
            <w:r>
              <w:rPr>
                <w:rFonts w:ascii="Arial" w:cs="Arial" w:eastAsia="Arial" w:hAnsi="Arial"/>
                <w:sz w:val="19"/>
                <w:szCs w:val="19"/>
                <w:color w:val="auto"/>
                <w:vertAlign w:val="superscript"/>
              </w:rPr>
              <w:t>(10)</w:t>
            </w:r>
          </w:p>
        </w:tc>
        <w:tc>
          <w:tcPr>
            <w:tcW w:w="1380" w:type="dxa"/>
            <w:vAlign w:val="bottom"/>
            <w:tcBorders>
              <w:bottom w:val="single" w:sz="8" w:color="424E6A"/>
              <w:right w:val="single" w:sz="8" w:color="424E6A"/>
            </w:tcBorders>
            <w:shd w:val="clear" w:color="auto" w:fill="D9DCE1"/>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shd w:val="clear" w:color="auto" w:fill="D9DCE1"/>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shd w:val="clear" w:color="auto" w:fill="D9DCE1"/>
          </w:tcPr>
          <w:p>
            <w:pPr>
              <w:jc w:val="right"/>
              <w:ind w:right="3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24E6A"/>
              <w:right w:val="single" w:sz="8" w:color="424E6A"/>
            </w:tcBorders>
            <w:shd w:val="clear" w:color="auto" w:fill="D9DCE1"/>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2180" w:type="dxa"/>
            <w:vAlign w:val="bottom"/>
            <w:tcBorders>
              <w:left w:val="single" w:sz="8" w:color="424E6A"/>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Al Swanson</w:t>
            </w:r>
            <w:r>
              <w:rPr>
                <w:rFonts w:ascii="Arial" w:cs="Arial" w:eastAsia="Arial" w:hAnsi="Arial"/>
                <w:sz w:val="19"/>
                <w:szCs w:val="19"/>
                <w:color w:val="auto"/>
                <w:vertAlign w:val="superscript"/>
              </w:rPr>
              <w:t>(12)</w:t>
            </w:r>
          </w:p>
        </w:tc>
        <w:tc>
          <w:tcPr>
            <w:tcW w:w="1700" w:type="dxa"/>
            <w:vAlign w:val="bottom"/>
            <w:tcBorders>
              <w:bottom w:val="single" w:sz="8" w:color="424E6A"/>
              <w:right w:val="single" w:sz="8" w:color="424E6A"/>
            </w:tcBorders>
          </w:tcPr>
          <w:p>
            <w:pPr>
              <w:jc w:val="right"/>
              <w:ind w:right="260"/>
              <w:spacing w:after="0"/>
              <w:rPr>
                <w:sz w:val="20"/>
                <w:szCs w:val="20"/>
                <w:color w:val="auto"/>
              </w:rPr>
            </w:pPr>
            <w:r>
              <w:rPr>
                <w:rFonts w:ascii="Arial" w:cs="Arial" w:eastAsia="Arial" w:hAnsi="Arial"/>
                <w:sz w:val="16"/>
                <w:szCs w:val="16"/>
                <w:color w:val="auto"/>
              </w:rPr>
              <w:t>601,901</w:t>
            </w:r>
            <w:r>
              <w:rPr>
                <w:rFonts w:ascii="Arial" w:cs="Arial" w:eastAsia="Arial" w:hAnsi="Arial"/>
                <w:sz w:val="19"/>
                <w:szCs w:val="19"/>
                <w:color w:val="auto"/>
                <w:vertAlign w:val="superscript"/>
              </w:rPr>
              <w:t>(10)</w:t>
            </w:r>
          </w:p>
        </w:tc>
        <w:tc>
          <w:tcPr>
            <w:tcW w:w="1380" w:type="dxa"/>
            <w:vAlign w:val="bottom"/>
            <w:tcBorders>
              <w:bottom w:val="single" w:sz="8" w:color="424E6A"/>
              <w:right w:val="single" w:sz="8" w:color="424E6A"/>
            </w:tcBorders>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tcPr>
          <w:p>
            <w:pPr>
              <w:jc w:val="right"/>
              <w:ind w:right="3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24E6A"/>
              <w:right w:val="single" w:sz="8" w:color="424E6A"/>
            </w:tcBorders>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180" w:type="dxa"/>
            <w:vAlign w:val="bottom"/>
            <w:tcBorders>
              <w:left w:val="single" w:sz="8" w:color="424E6A"/>
              <w:bottom w:val="single" w:sz="8" w:color="424E6A"/>
              <w:right w:val="single" w:sz="8" w:color="424E6A"/>
            </w:tcBorders>
            <w:shd w:val="clear" w:color="auto" w:fill="D9DCE1"/>
          </w:tcPr>
          <w:p>
            <w:pPr>
              <w:ind w:left="80"/>
              <w:spacing w:after="0"/>
              <w:rPr>
                <w:sz w:val="20"/>
                <w:szCs w:val="20"/>
                <w:color w:val="auto"/>
              </w:rPr>
            </w:pPr>
            <w:r>
              <w:rPr>
                <w:rFonts w:ascii="Arial" w:cs="Arial" w:eastAsia="Arial" w:hAnsi="Arial"/>
                <w:sz w:val="16"/>
                <w:szCs w:val="16"/>
                <w:color w:val="auto"/>
              </w:rPr>
              <w:t>Richard McGee</w:t>
            </w:r>
            <w:r>
              <w:rPr>
                <w:rFonts w:ascii="Arial" w:cs="Arial" w:eastAsia="Arial" w:hAnsi="Arial"/>
                <w:sz w:val="19"/>
                <w:szCs w:val="19"/>
                <w:color w:val="auto"/>
                <w:vertAlign w:val="superscript"/>
              </w:rPr>
              <w:t>(12)</w:t>
            </w:r>
          </w:p>
        </w:tc>
        <w:tc>
          <w:tcPr>
            <w:tcW w:w="1700" w:type="dxa"/>
            <w:vAlign w:val="bottom"/>
            <w:tcBorders>
              <w:bottom w:val="single" w:sz="8" w:color="424E6A"/>
              <w:right w:val="single" w:sz="8" w:color="424E6A"/>
            </w:tcBorders>
            <w:shd w:val="clear" w:color="auto" w:fill="D9DCE1"/>
          </w:tcPr>
          <w:p>
            <w:pPr>
              <w:jc w:val="right"/>
              <w:ind w:right="260"/>
              <w:spacing w:after="0"/>
              <w:rPr>
                <w:sz w:val="20"/>
                <w:szCs w:val="20"/>
                <w:color w:val="auto"/>
              </w:rPr>
            </w:pPr>
            <w:r>
              <w:rPr>
                <w:rFonts w:ascii="Arial" w:cs="Arial" w:eastAsia="Arial" w:hAnsi="Arial"/>
                <w:sz w:val="16"/>
                <w:szCs w:val="16"/>
                <w:color w:val="auto"/>
              </w:rPr>
              <w:t>606,353</w:t>
            </w:r>
            <w:r>
              <w:rPr>
                <w:rFonts w:ascii="Arial" w:cs="Arial" w:eastAsia="Arial" w:hAnsi="Arial"/>
                <w:sz w:val="19"/>
                <w:szCs w:val="19"/>
                <w:color w:val="auto"/>
                <w:vertAlign w:val="superscript"/>
              </w:rPr>
              <w:t>(10)</w:t>
            </w:r>
          </w:p>
        </w:tc>
        <w:tc>
          <w:tcPr>
            <w:tcW w:w="1380" w:type="dxa"/>
            <w:vAlign w:val="bottom"/>
            <w:tcBorders>
              <w:bottom w:val="single" w:sz="8" w:color="424E6A"/>
              <w:right w:val="single" w:sz="8" w:color="424E6A"/>
            </w:tcBorders>
            <w:shd w:val="clear" w:color="auto" w:fill="D9DCE1"/>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shd w:val="clear" w:color="auto" w:fill="D9DCE1"/>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shd w:val="clear" w:color="auto" w:fill="D9DCE1"/>
          </w:tcPr>
          <w:p>
            <w:pPr>
              <w:jc w:val="right"/>
              <w:ind w:right="3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24E6A"/>
              <w:right w:val="single" w:sz="8" w:color="424E6A"/>
            </w:tcBorders>
            <w:shd w:val="clear" w:color="auto" w:fill="D9DCE1"/>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2180" w:type="dxa"/>
            <w:vAlign w:val="bottom"/>
            <w:tcBorders>
              <w:left w:val="single" w:sz="8" w:color="424E6A"/>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Chris Chandler</w:t>
            </w:r>
            <w:r>
              <w:rPr>
                <w:rFonts w:ascii="Arial" w:cs="Arial" w:eastAsia="Arial" w:hAnsi="Arial"/>
                <w:sz w:val="19"/>
                <w:szCs w:val="19"/>
                <w:color w:val="auto"/>
                <w:vertAlign w:val="superscript"/>
              </w:rPr>
              <w:t>(12)</w:t>
            </w:r>
          </w:p>
        </w:tc>
        <w:tc>
          <w:tcPr>
            <w:tcW w:w="1700" w:type="dxa"/>
            <w:vAlign w:val="bottom"/>
            <w:tcBorders>
              <w:bottom w:val="single" w:sz="8" w:color="424E6A"/>
              <w:right w:val="single" w:sz="8" w:color="424E6A"/>
            </w:tcBorders>
          </w:tcPr>
          <w:p>
            <w:pPr>
              <w:jc w:val="right"/>
              <w:ind w:right="260"/>
              <w:spacing w:after="0"/>
              <w:rPr>
                <w:sz w:val="20"/>
                <w:szCs w:val="20"/>
                <w:color w:val="auto"/>
              </w:rPr>
            </w:pPr>
            <w:r>
              <w:rPr>
                <w:rFonts w:ascii="Arial" w:cs="Arial" w:eastAsia="Arial" w:hAnsi="Arial"/>
                <w:sz w:val="16"/>
                <w:szCs w:val="16"/>
                <w:color w:val="auto"/>
              </w:rPr>
              <w:t>493,904</w:t>
            </w:r>
            <w:r>
              <w:rPr>
                <w:rFonts w:ascii="Arial" w:cs="Arial" w:eastAsia="Arial" w:hAnsi="Arial"/>
                <w:sz w:val="19"/>
                <w:szCs w:val="19"/>
                <w:color w:val="auto"/>
                <w:vertAlign w:val="superscript"/>
              </w:rPr>
              <w:t>(10)</w:t>
            </w:r>
          </w:p>
        </w:tc>
        <w:tc>
          <w:tcPr>
            <w:tcW w:w="1380" w:type="dxa"/>
            <w:vAlign w:val="bottom"/>
            <w:tcBorders>
              <w:bottom w:val="single" w:sz="8" w:color="424E6A"/>
              <w:right w:val="single" w:sz="8" w:color="424E6A"/>
            </w:tcBorders>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tcPr>
          <w:p>
            <w:pPr>
              <w:jc w:val="right"/>
              <w:ind w:right="3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24E6A"/>
              <w:right w:val="single" w:sz="8" w:color="424E6A"/>
            </w:tcBorders>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180" w:type="dxa"/>
            <w:vAlign w:val="bottom"/>
            <w:tcBorders>
              <w:left w:val="single" w:sz="8" w:color="424E6A"/>
              <w:bottom w:val="single" w:sz="8" w:color="424E6A"/>
              <w:right w:val="single" w:sz="8" w:color="424E6A"/>
            </w:tcBorders>
            <w:shd w:val="clear" w:color="auto" w:fill="D9DCE1"/>
          </w:tcPr>
          <w:p>
            <w:pPr>
              <w:ind w:left="80"/>
              <w:spacing w:after="0"/>
              <w:rPr>
                <w:sz w:val="20"/>
                <w:szCs w:val="20"/>
                <w:color w:val="auto"/>
              </w:rPr>
            </w:pPr>
            <w:r>
              <w:rPr>
                <w:rFonts w:ascii="Arial" w:cs="Arial" w:eastAsia="Arial" w:hAnsi="Arial"/>
                <w:sz w:val="16"/>
                <w:szCs w:val="16"/>
                <w:color w:val="auto"/>
              </w:rPr>
              <w:t>Jeremy Goebel</w:t>
            </w:r>
            <w:r>
              <w:rPr>
                <w:rFonts w:ascii="Arial" w:cs="Arial" w:eastAsia="Arial" w:hAnsi="Arial"/>
                <w:sz w:val="19"/>
                <w:szCs w:val="19"/>
                <w:color w:val="auto"/>
                <w:vertAlign w:val="superscript"/>
              </w:rPr>
              <w:t>(12)</w:t>
            </w:r>
          </w:p>
        </w:tc>
        <w:tc>
          <w:tcPr>
            <w:tcW w:w="1700" w:type="dxa"/>
            <w:vAlign w:val="bottom"/>
            <w:tcBorders>
              <w:bottom w:val="single" w:sz="8" w:color="424E6A"/>
              <w:right w:val="single" w:sz="8" w:color="424E6A"/>
            </w:tcBorders>
            <w:shd w:val="clear" w:color="auto" w:fill="D9DCE1"/>
          </w:tcPr>
          <w:p>
            <w:pPr>
              <w:jc w:val="right"/>
              <w:ind w:right="260"/>
              <w:spacing w:after="0"/>
              <w:rPr>
                <w:sz w:val="20"/>
                <w:szCs w:val="20"/>
                <w:color w:val="auto"/>
              </w:rPr>
            </w:pPr>
            <w:r>
              <w:rPr>
                <w:rFonts w:ascii="Arial" w:cs="Arial" w:eastAsia="Arial" w:hAnsi="Arial"/>
                <w:sz w:val="16"/>
                <w:szCs w:val="16"/>
                <w:color w:val="auto"/>
              </w:rPr>
              <w:t>518,936</w:t>
            </w:r>
            <w:r>
              <w:rPr>
                <w:rFonts w:ascii="Arial" w:cs="Arial" w:eastAsia="Arial" w:hAnsi="Arial"/>
                <w:sz w:val="19"/>
                <w:szCs w:val="19"/>
                <w:color w:val="auto"/>
                <w:vertAlign w:val="superscript"/>
              </w:rPr>
              <w:t>(10)</w:t>
            </w:r>
          </w:p>
        </w:tc>
        <w:tc>
          <w:tcPr>
            <w:tcW w:w="1380" w:type="dxa"/>
            <w:vAlign w:val="bottom"/>
            <w:tcBorders>
              <w:bottom w:val="single" w:sz="8" w:color="424E6A"/>
              <w:right w:val="single" w:sz="8" w:color="424E6A"/>
            </w:tcBorders>
            <w:shd w:val="clear" w:color="auto" w:fill="D9DCE1"/>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shd w:val="clear" w:color="auto" w:fill="D9DCE1"/>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shd w:val="clear" w:color="auto" w:fill="D9DCE1"/>
          </w:tcPr>
          <w:p>
            <w:pPr>
              <w:jc w:val="right"/>
              <w:ind w:right="3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24E6A"/>
              <w:right w:val="single" w:sz="8" w:color="424E6A"/>
            </w:tcBorders>
            <w:shd w:val="clear" w:color="auto" w:fill="D9DCE1"/>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180" w:type="dxa"/>
            <w:vAlign w:val="bottom"/>
            <w:tcBorders>
              <w:left w:val="single" w:sz="8" w:color="424E6A"/>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Greg L. Armstrong</w:t>
            </w:r>
            <w:r>
              <w:rPr>
                <w:rFonts w:ascii="Arial" w:cs="Arial" w:eastAsia="Arial" w:hAnsi="Arial"/>
                <w:sz w:val="19"/>
                <w:szCs w:val="19"/>
                <w:color w:val="auto"/>
                <w:vertAlign w:val="superscript"/>
              </w:rPr>
              <w:t>(12)</w:t>
            </w:r>
          </w:p>
        </w:tc>
        <w:tc>
          <w:tcPr>
            <w:tcW w:w="1700" w:type="dxa"/>
            <w:vAlign w:val="bottom"/>
            <w:tcBorders>
              <w:bottom w:val="single" w:sz="8" w:color="424E6A"/>
              <w:right w:val="single" w:sz="8" w:color="424E6A"/>
            </w:tcBorders>
          </w:tcPr>
          <w:p>
            <w:pPr>
              <w:jc w:val="right"/>
              <w:ind w:right="440"/>
              <w:spacing w:after="0"/>
              <w:rPr>
                <w:sz w:val="20"/>
                <w:szCs w:val="20"/>
                <w:color w:val="auto"/>
              </w:rPr>
            </w:pPr>
            <w:r>
              <w:rPr>
                <w:rFonts w:ascii="Arial" w:cs="Arial" w:eastAsia="Arial" w:hAnsi="Arial"/>
                <w:sz w:val="16"/>
                <w:szCs w:val="16"/>
                <w:color w:val="auto"/>
              </w:rPr>
              <w:t>1,508,418</w:t>
            </w:r>
          </w:p>
        </w:tc>
        <w:tc>
          <w:tcPr>
            <w:tcW w:w="1380" w:type="dxa"/>
            <w:vAlign w:val="bottom"/>
            <w:tcBorders>
              <w:bottom w:val="single" w:sz="8" w:color="424E6A"/>
              <w:right w:val="single" w:sz="8" w:color="424E6A"/>
            </w:tcBorders>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tcPr>
          <w:p>
            <w:pPr>
              <w:jc w:val="right"/>
              <w:ind w:right="3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24E6A"/>
              <w:right w:val="single" w:sz="8" w:color="424E6A"/>
            </w:tcBorders>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2180" w:type="dxa"/>
            <w:vAlign w:val="bottom"/>
            <w:tcBorders>
              <w:left w:val="single" w:sz="8" w:color="424E6A"/>
              <w:bottom w:val="single" w:sz="8" w:color="424E6A"/>
              <w:right w:val="single" w:sz="8" w:color="424E6A"/>
            </w:tcBorders>
            <w:shd w:val="clear" w:color="auto" w:fill="D9DCE1"/>
          </w:tcPr>
          <w:p>
            <w:pPr>
              <w:ind w:left="80"/>
              <w:spacing w:after="0"/>
              <w:rPr>
                <w:sz w:val="20"/>
                <w:szCs w:val="20"/>
                <w:color w:val="auto"/>
              </w:rPr>
            </w:pPr>
            <w:r>
              <w:rPr>
                <w:rFonts w:ascii="Arial" w:cs="Arial" w:eastAsia="Arial" w:hAnsi="Arial"/>
                <w:sz w:val="16"/>
                <w:szCs w:val="16"/>
                <w:color w:val="auto"/>
              </w:rPr>
              <w:t>Victor Burk</w:t>
            </w:r>
            <w:r>
              <w:rPr>
                <w:rFonts w:ascii="Arial" w:cs="Arial" w:eastAsia="Arial" w:hAnsi="Arial"/>
                <w:sz w:val="19"/>
                <w:szCs w:val="19"/>
                <w:color w:val="auto"/>
                <w:vertAlign w:val="superscript"/>
              </w:rPr>
              <w:t>(12)</w:t>
            </w:r>
          </w:p>
        </w:tc>
        <w:tc>
          <w:tcPr>
            <w:tcW w:w="1700" w:type="dxa"/>
            <w:vAlign w:val="bottom"/>
            <w:tcBorders>
              <w:bottom w:val="single" w:sz="8" w:color="424E6A"/>
              <w:right w:val="single" w:sz="8" w:color="424E6A"/>
            </w:tcBorders>
            <w:shd w:val="clear" w:color="auto" w:fill="D9DCE1"/>
          </w:tcPr>
          <w:p>
            <w:pPr>
              <w:jc w:val="right"/>
              <w:ind w:right="440"/>
              <w:spacing w:after="0"/>
              <w:rPr>
                <w:sz w:val="20"/>
                <w:szCs w:val="20"/>
                <w:color w:val="auto"/>
              </w:rPr>
            </w:pPr>
            <w:r>
              <w:rPr>
                <w:rFonts w:ascii="Arial" w:cs="Arial" w:eastAsia="Arial" w:hAnsi="Arial"/>
                <w:sz w:val="16"/>
                <w:szCs w:val="16"/>
                <w:color w:val="auto"/>
              </w:rPr>
              <w:t>37,043</w:t>
            </w:r>
          </w:p>
        </w:tc>
        <w:tc>
          <w:tcPr>
            <w:tcW w:w="1380" w:type="dxa"/>
            <w:vAlign w:val="bottom"/>
            <w:tcBorders>
              <w:bottom w:val="single" w:sz="8" w:color="424E6A"/>
              <w:right w:val="single" w:sz="8" w:color="424E6A"/>
            </w:tcBorders>
            <w:shd w:val="clear" w:color="auto" w:fill="D9DCE1"/>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shd w:val="clear" w:color="auto" w:fill="D9DCE1"/>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shd w:val="clear" w:color="auto" w:fill="D9DCE1"/>
          </w:tcPr>
          <w:p>
            <w:pPr>
              <w:jc w:val="right"/>
              <w:ind w:right="3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24E6A"/>
              <w:right w:val="single" w:sz="8" w:color="424E6A"/>
            </w:tcBorders>
            <w:shd w:val="clear" w:color="auto" w:fill="D9DCE1"/>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180" w:type="dxa"/>
            <w:vAlign w:val="bottom"/>
            <w:tcBorders>
              <w:left w:val="single" w:sz="8" w:color="424E6A"/>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Ellen DeSanctis</w:t>
            </w:r>
            <w:r>
              <w:rPr>
                <w:rFonts w:ascii="Arial" w:cs="Arial" w:eastAsia="Arial" w:hAnsi="Arial"/>
                <w:sz w:val="19"/>
                <w:szCs w:val="19"/>
                <w:color w:val="auto"/>
                <w:vertAlign w:val="superscript"/>
              </w:rPr>
              <w:t>(12)</w:t>
            </w:r>
          </w:p>
        </w:tc>
        <w:tc>
          <w:tcPr>
            <w:tcW w:w="1700" w:type="dxa"/>
            <w:vAlign w:val="bottom"/>
            <w:tcBorders>
              <w:bottom w:val="single" w:sz="8" w:color="424E6A"/>
              <w:right w:val="single" w:sz="8" w:color="424E6A"/>
            </w:tcBorders>
          </w:tcPr>
          <w:p>
            <w:pPr>
              <w:jc w:val="right"/>
              <w:ind w:right="4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424E6A"/>
              <w:right w:val="single" w:sz="8" w:color="424E6A"/>
            </w:tcBorders>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tcPr>
          <w:p>
            <w:pPr>
              <w:jc w:val="right"/>
              <w:ind w:right="3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24E6A"/>
              <w:right w:val="single" w:sz="8" w:color="424E6A"/>
            </w:tcBorders>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2180" w:type="dxa"/>
            <w:vAlign w:val="bottom"/>
            <w:tcBorders>
              <w:left w:val="single" w:sz="8" w:color="424E6A"/>
              <w:bottom w:val="single" w:sz="8" w:color="424E6A"/>
              <w:right w:val="single" w:sz="8" w:color="424E6A"/>
            </w:tcBorders>
            <w:shd w:val="clear" w:color="auto" w:fill="D9DCE1"/>
          </w:tcPr>
          <w:p>
            <w:pPr>
              <w:ind w:left="80"/>
              <w:spacing w:after="0"/>
              <w:rPr>
                <w:sz w:val="20"/>
                <w:szCs w:val="20"/>
                <w:color w:val="auto"/>
              </w:rPr>
            </w:pPr>
            <w:r>
              <w:rPr>
                <w:rFonts w:ascii="Arial" w:cs="Arial" w:eastAsia="Arial" w:hAnsi="Arial"/>
                <w:sz w:val="16"/>
                <w:szCs w:val="16"/>
                <w:color w:val="auto"/>
              </w:rPr>
              <w:t>Kevin S. McCarthy</w:t>
            </w:r>
            <w:r>
              <w:rPr>
                <w:rFonts w:ascii="Arial" w:cs="Arial" w:eastAsia="Arial" w:hAnsi="Arial"/>
                <w:sz w:val="19"/>
                <w:szCs w:val="19"/>
                <w:color w:val="auto"/>
                <w:vertAlign w:val="superscript"/>
              </w:rPr>
              <w:t>(12)</w:t>
            </w:r>
          </w:p>
        </w:tc>
        <w:tc>
          <w:tcPr>
            <w:tcW w:w="1700" w:type="dxa"/>
            <w:vAlign w:val="bottom"/>
            <w:tcBorders>
              <w:bottom w:val="single" w:sz="8" w:color="424E6A"/>
              <w:right w:val="single" w:sz="8" w:color="424E6A"/>
            </w:tcBorders>
            <w:shd w:val="clear" w:color="auto" w:fill="D9DCE1"/>
          </w:tcPr>
          <w:p>
            <w:pPr>
              <w:jc w:val="right"/>
              <w:ind w:right="440"/>
              <w:spacing w:after="0"/>
              <w:rPr>
                <w:sz w:val="20"/>
                <w:szCs w:val="20"/>
                <w:color w:val="auto"/>
              </w:rPr>
            </w:pPr>
            <w:r>
              <w:rPr>
                <w:rFonts w:ascii="Arial" w:cs="Arial" w:eastAsia="Arial" w:hAnsi="Arial"/>
                <w:sz w:val="16"/>
                <w:szCs w:val="16"/>
                <w:color w:val="auto"/>
              </w:rPr>
              <w:t>200,000</w:t>
            </w:r>
          </w:p>
        </w:tc>
        <w:tc>
          <w:tcPr>
            <w:tcW w:w="1380" w:type="dxa"/>
            <w:vAlign w:val="bottom"/>
            <w:tcBorders>
              <w:bottom w:val="single" w:sz="8" w:color="424E6A"/>
              <w:right w:val="single" w:sz="8" w:color="424E6A"/>
            </w:tcBorders>
            <w:shd w:val="clear" w:color="auto" w:fill="D9DCE1"/>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shd w:val="clear" w:color="auto" w:fill="D9DCE1"/>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shd w:val="clear" w:color="auto" w:fill="D9DCE1"/>
          </w:tcPr>
          <w:p>
            <w:pPr>
              <w:jc w:val="right"/>
              <w:ind w:right="3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24E6A"/>
              <w:right w:val="single" w:sz="8" w:color="424E6A"/>
            </w:tcBorders>
            <w:shd w:val="clear" w:color="auto" w:fill="D9DCE1"/>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180" w:type="dxa"/>
            <w:vAlign w:val="bottom"/>
            <w:tcBorders>
              <w:left w:val="single" w:sz="8" w:color="424E6A"/>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Harry N. Pefanis</w:t>
            </w:r>
            <w:r>
              <w:rPr>
                <w:rFonts w:ascii="Arial" w:cs="Arial" w:eastAsia="Arial" w:hAnsi="Arial"/>
                <w:sz w:val="19"/>
                <w:szCs w:val="19"/>
                <w:color w:val="auto"/>
                <w:vertAlign w:val="superscript"/>
              </w:rPr>
              <w:t>(12)</w:t>
            </w:r>
          </w:p>
        </w:tc>
        <w:tc>
          <w:tcPr>
            <w:tcW w:w="1700" w:type="dxa"/>
            <w:vAlign w:val="bottom"/>
            <w:tcBorders>
              <w:bottom w:val="single" w:sz="8" w:color="424E6A"/>
              <w:right w:val="single" w:sz="8" w:color="424E6A"/>
            </w:tcBorders>
          </w:tcPr>
          <w:p>
            <w:pPr>
              <w:jc w:val="right"/>
              <w:ind w:right="440"/>
              <w:spacing w:after="0"/>
              <w:rPr>
                <w:sz w:val="20"/>
                <w:szCs w:val="20"/>
                <w:color w:val="auto"/>
              </w:rPr>
            </w:pPr>
            <w:r>
              <w:rPr>
                <w:rFonts w:ascii="Arial" w:cs="Arial" w:eastAsia="Arial" w:hAnsi="Arial"/>
                <w:sz w:val="16"/>
                <w:szCs w:val="16"/>
                <w:color w:val="auto"/>
              </w:rPr>
              <w:t>420,194</w:t>
            </w:r>
          </w:p>
        </w:tc>
        <w:tc>
          <w:tcPr>
            <w:tcW w:w="1380" w:type="dxa"/>
            <w:vAlign w:val="bottom"/>
            <w:tcBorders>
              <w:bottom w:val="single" w:sz="8" w:color="424E6A"/>
              <w:right w:val="single" w:sz="8" w:color="424E6A"/>
            </w:tcBorders>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tcPr>
          <w:p>
            <w:pPr>
              <w:jc w:val="right"/>
              <w:ind w:right="3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24E6A"/>
              <w:right w:val="single" w:sz="8" w:color="424E6A"/>
            </w:tcBorders>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2180" w:type="dxa"/>
            <w:vAlign w:val="bottom"/>
            <w:tcBorders>
              <w:left w:val="single" w:sz="8" w:color="424E6A"/>
              <w:bottom w:val="single" w:sz="8" w:color="424E6A"/>
              <w:right w:val="single" w:sz="8" w:color="424E6A"/>
            </w:tcBorders>
            <w:shd w:val="clear" w:color="auto" w:fill="D9DCE1"/>
          </w:tcPr>
          <w:p>
            <w:pPr>
              <w:ind w:left="80"/>
              <w:spacing w:after="0"/>
              <w:rPr>
                <w:sz w:val="20"/>
                <w:szCs w:val="20"/>
                <w:color w:val="auto"/>
              </w:rPr>
            </w:pPr>
            <w:r>
              <w:rPr>
                <w:rFonts w:ascii="Arial" w:cs="Arial" w:eastAsia="Arial" w:hAnsi="Arial"/>
                <w:sz w:val="16"/>
                <w:szCs w:val="16"/>
                <w:color w:val="auto"/>
              </w:rPr>
              <w:t>Gary R. Petersen</w:t>
            </w:r>
            <w:r>
              <w:rPr>
                <w:rFonts w:ascii="Arial" w:cs="Arial" w:eastAsia="Arial" w:hAnsi="Arial"/>
                <w:sz w:val="19"/>
                <w:szCs w:val="19"/>
                <w:color w:val="auto"/>
                <w:vertAlign w:val="superscript"/>
              </w:rPr>
              <w:t>(12)</w:t>
            </w:r>
          </w:p>
        </w:tc>
        <w:tc>
          <w:tcPr>
            <w:tcW w:w="1700" w:type="dxa"/>
            <w:vAlign w:val="bottom"/>
            <w:tcBorders>
              <w:bottom w:val="single" w:sz="8" w:color="424E6A"/>
              <w:right w:val="single" w:sz="8" w:color="424E6A"/>
            </w:tcBorders>
            <w:shd w:val="clear" w:color="auto" w:fill="D9DCE1"/>
          </w:tcPr>
          <w:p>
            <w:pPr>
              <w:jc w:val="right"/>
              <w:ind w:right="440"/>
              <w:spacing w:after="0"/>
              <w:rPr>
                <w:sz w:val="20"/>
                <w:szCs w:val="20"/>
                <w:color w:val="auto"/>
              </w:rPr>
            </w:pPr>
            <w:r>
              <w:rPr>
                <w:rFonts w:ascii="Arial" w:cs="Arial" w:eastAsia="Arial" w:hAnsi="Arial"/>
                <w:sz w:val="16"/>
                <w:szCs w:val="16"/>
                <w:color w:val="auto"/>
              </w:rPr>
              <w:t>68,200</w:t>
            </w:r>
          </w:p>
        </w:tc>
        <w:tc>
          <w:tcPr>
            <w:tcW w:w="1380" w:type="dxa"/>
            <w:vAlign w:val="bottom"/>
            <w:tcBorders>
              <w:bottom w:val="single" w:sz="8" w:color="424E6A"/>
              <w:right w:val="single" w:sz="8" w:color="424E6A"/>
            </w:tcBorders>
            <w:shd w:val="clear" w:color="auto" w:fill="D9DCE1"/>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shd w:val="clear" w:color="auto" w:fill="D9DCE1"/>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shd w:val="clear" w:color="auto" w:fill="D9DCE1"/>
          </w:tcPr>
          <w:p>
            <w:pPr>
              <w:jc w:val="right"/>
              <w:ind w:right="3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24E6A"/>
              <w:right w:val="single" w:sz="8" w:color="424E6A"/>
            </w:tcBorders>
            <w:shd w:val="clear" w:color="auto" w:fill="D9DCE1"/>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180" w:type="dxa"/>
            <w:vAlign w:val="bottom"/>
            <w:tcBorders>
              <w:left w:val="single" w:sz="8" w:color="424E6A"/>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Alexandra D. Pruner</w:t>
            </w:r>
            <w:r>
              <w:rPr>
                <w:rFonts w:ascii="Arial" w:cs="Arial" w:eastAsia="Arial" w:hAnsi="Arial"/>
                <w:sz w:val="19"/>
                <w:szCs w:val="19"/>
                <w:color w:val="auto"/>
                <w:vertAlign w:val="superscript"/>
              </w:rPr>
              <w:t>(12)</w:t>
            </w:r>
          </w:p>
        </w:tc>
        <w:tc>
          <w:tcPr>
            <w:tcW w:w="1700" w:type="dxa"/>
            <w:vAlign w:val="bottom"/>
            <w:tcBorders>
              <w:bottom w:val="single" w:sz="8" w:color="424E6A"/>
              <w:right w:val="single" w:sz="8" w:color="424E6A"/>
            </w:tcBorders>
          </w:tcPr>
          <w:p>
            <w:pPr>
              <w:jc w:val="right"/>
              <w:ind w:right="4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424E6A"/>
              <w:right w:val="single" w:sz="8" w:color="424E6A"/>
            </w:tcBorders>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tcPr>
          <w:p>
            <w:pPr>
              <w:jc w:val="right"/>
              <w:ind w:right="3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24E6A"/>
              <w:right w:val="single" w:sz="8" w:color="424E6A"/>
            </w:tcBorders>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2180" w:type="dxa"/>
            <w:vAlign w:val="bottom"/>
            <w:tcBorders>
              <w:left w:val="single" w:sz="8" w:color="424E6A"/>
              <w:bottom w:val="single" w:sz="8" w:color="424E6A"/>
              <w:right w:val="single" w:sz="8" w:color="424E6A"/>
            </w:tcBorders>
            <w:shd w:val="clear" w:color="auto" w:fill="D9DCE1"/>
          </w:tcPr>
          <w:p>
            <w:pPr>
              <w:ind w:left="80"/>
              <w:spacing w:after="0"/>
              <w:rPr>
                <w:sz w:val="20"/>
                <w:szCs w:val="20"/>
                <w:color w:val="auto"/>
              </w:rPr>
            </w:pPr>
            <w:r>
              <w:rPr>
                <w:rFonts w:ascii="Arial" w:cs="Arial" w:eastAsia="Arial" w:hAnsi="Arial"/>
                <w:sz w:val="16"/>
                <w:szCs w:val="16"/>
                <w:color w:val="auto"/>
              </w:rPr>
              <w:t>John T. Raymond</w:t>
            </w:r>
            <w:r>
              <w:rPr>
                <w:rFonts w:ascii="Arial" w:cs="Arial" w:eastAsia="Arial" w:hAnsi="Arial"/>
                <w:sz w:val="19"/>
                <w:szCs w:val="19"/>
                <w:color w:val="auto"/>
                <w:vertAlign w:val="superscript"/>
              </w:rPr>
              <w:t>(4)(12)</w:t>
            </w:r>
          </w:p>
        </w:tc>
        <w:tc>
          <w:tcPr>
            <w:tcW w:w="1700" w:type="dxa"/>
            <w:vAlign w:val="bottom"/>
            <w:tcBorders>
              <w:bottom w:val="single" w:sz="8" w:color="424E6A"/>
              <w:right w:val="single" w:sz="8" w:color="424E6A"/>
            </w:tcBorders>
            <w:shd w:val="clear" w:color="auto" w:fill="D9DCE1"/>
          </w:tcPr>
          <w:p>
            <w:pPr>
              <w:jc w:val="right"/>
              <w:ind w:right="440"/>
              <w:spacing w:after="0"/>
              <w:rPr>
                <w:sz w:val="20"/>
                <w:szCs w:val="20"/>
                <w:color w:val="auto"/>
              </w:rPr>
            </w:pPr>
            <w:r>
              <w:rPr>
                <w:rFonts w:ascii="Arial" w:cs="Arial" w:eastAsia="Arial" w:hAnsi="Arial"/>
                <w:sz w:val="16"/>
                <w:szCs w:val="16"/>
                <w:color w:val="auto"/>
              </w:rPr>
              <w:t>1,602,616</w:t>
            </w:r>
          </w:p>
        </w:tc>
        <w:tc>
          <w:tcPr>
            <w:tcW w:w="1380" w:type="dxa"/>
            <w:vAlign w:val="bottom"/>
            <w:tcBorders>
              <w:bottom w:val="single" w:sz="8" w:color="424E6A"/>
              <w:right w:val="single" w:sz="8" w:color="424E6A"/>
            </w:tcBorders>
            <w:shd w:val="clear" w:color="auto" w:fill="D9DCE1"/>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shd w:val="clear" w:color="auto" w:fill="D9DCE1"/>
          </w:tcPr>
          <w:p>
            <w:pPr>
              <w:jc w:val="right"/>
              <w:ind w:right="200"/>
              <w:spacing w:after="0"/>
              <w:rPr>
                <w:sz w:val="20"/>
                <w:szCs w:val="20"/>
                <w:color w:val="auto"/>
              </w:rPr>
            </w:pPr>
            <w:r>
              <w:rPr>
                <w:rFonts w:ascii="Arial" w:cs="Arial" w:eastAsia="Arial" w:hAnsi="Arial"/>
                <w:sz w:val="16"/>
                <w:szCs w:val="16"/>
                <w:color w:val="auto"/>
              </w:rPr>
              <w:t>20,376,259</w:t>
            </w:r>
          </w:p>
        </w:tc>
        <w:tc>
          <w:tcPr>
            <w:tcW w:w="1260" w:type="dxa"/>
            <w:vAlign w:val="bottom"/>
            <w:tcBorders>
              <w:bottom w:val="single" w:sz="8" w:color="424E6A"/>
              <w:right w:val="single" w:sz="8" w:color="424E6A"/>
            </w:tcBorders>
            <w:shd w:val="clear" w:color="auto" w:fill="D9DCE1"/>
          </w:tcPr>
          <w:p>
            <w:pPr>
              <w:jc w:val="right"/>
              <w:ind w:right="200"/>
              <w:spacing w:after="0"/>
              <w:rPr>
                <w:sz w:val="20"/>
                <w:szCs w:val="20"/>
                <w:color w:val="auto"/>
              </w:rPr>
            </w:pPr>
            <w:r>
              <w:rPr>
                <w:rFonts w:ascii="Arial" w:cs="Arial" w:eastAsia="Arial" w:hAnsi="Arial"/>
                <w:sz w:val="16"/>
                <w:szCs w:val="16"/>
                <w:color w:val="auto"/>
              </w:rPr>
              <w:t>34.9%</w:t>
            </w:r>
          </w:p>
        </w:tc>
        <w:tc>
          <w:tcPr>
            <w:tcW w:w="1300" w:type="dxa"/>
            <w:vAlign w:val="bottom"/>
            <w:tcBorders>
              <w:bottom w:val="single" w:sz="8" w:color="424E6A"/>
              <w:right w:val="single" w:sz="8" w:color="424E6A"/>
            </w:tcBorders>
            <w:shd w:val="clear" w:color="auto" w:fill="D9DCE1"/>
          </w:tcPr>
          <w:p>
            <w:pPr>
              <w:jc w:val="right"/>
              <w:ind w:right="301"/>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7"/>
        </w:trPr>
        <w:tc>
          <w:tcPr>
            <w:tcW w:w="2180" w:type="dxa"/>
            <w:vAlign w:val="bottom"/>
            <w:tcBorders>
              <w:left w:val="single" w:sz="8" w:color="424E6A"/>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Bobby S. Shackouls</w:t>
            </w:r>
            <w:r>
              <w:rPr>
                <w:rFonts w:ascii="Arial" w:cs="Arial" w:eastAsia="Arial" w:hAnsi="Arial"/>
                <w:sz w:val="19"/>
                <w:szCs w:val="19"/>
                <w:color w:val="auto"/>
                <w:vertAlign w:val="superscript"/>
              </w:rPr>
              <w:t>(12)</w:t>
            </w:r>
          </w:p>
        </w:tc>
        <w:tc>
          <w:tcPr>
            <w:tcW w:w="1700" w:type="dxa"/>
            <w:vAlign w:val="bottom"/>
            <w:tcBorders>
              <w:bottom w:val="single" w:sz="8" w:color="424E6A"/>
              <w:right w:val="single" w:sz="8" w:color="424E6A"/>
            </w:tcBorders>
          </w:tcPr>
          <w:p>
            <w:pPr>
              <w:jc w:val="right"/>
              <w:ind w:right="440"/>
              <w:spacing w:after="0"/>
              <w:rPr>
                <w:sz w:val="20"/>
                <w:szCs w:val="20"/>
                <w:color w:val="auto"/>
              </w:rPr>
            </w:pPr>
            <w:r>
              <w:rPr>
                <w:rFonts w:ascii="Arial" w:cs="Arial" w:eastAsia="Arial" w:hAnsi="Arial"/>
                <w:sz w:val="16"/>
                <w:szCs w:val="16"/>
                <w:color w:val="auto"/>
              </w:rPr>
              <w:t>35,033</w:t>
            </w:r>
          </w:p>
        </w:tc>
        <w:tc>
          <w:tcPr>
            <w:tcW w:w="1380" w:type="dxa"/>
            <w:vAlign w:val="bottom"/>
            <w:tcBorders>
              <w:bottom w:val="single" w:sz="8" w:color="424E6A"/>
              <w:right w:val="single" w:sz="8" w:color="424E6A"/>
            </w:tcBorders>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tcPr>
          <w:p>
            <w:pPr>
              <w:jc w:val="right"/>
              <w:ind w:right="3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24E6A"/>
              <w:right w:val="single" w:sz="8" w:color="424E6A"/>
            </w:tcBorders>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180" w:type="dxa"/>
            <w:vAlign w:val="bottom"/>
            <w:tcBorders>
              <w:left w:val="single" w:sz="8" w:color="424E6A"/>
              <w:bottom w:val="single" w:sz="8" w:color="424E6A"/>
              <w:right w:val="single" w:sz="8" w:color="424E6A"/>
            </w:tcBorders>
            <w:shd w:val="clear" w:color="auto" w:fill="D9DCE1"/>
          </w:tcPr>
          <w:p>
            <w:pPr>
              <w:ind w:left="80"/>
              <w:spacing w:after="0"/>
              <w:rPr>
                <w:sz w:val="20"/>
                <w:szCs w:val="20"/>
                <w:color w:val="auto"/>
              </w:rPr>
            </w:pPr>
            <w:r>
              <w:rPr>
                <w:rFonts w:ascii="Arial" w:cs="Arial" w:eastAsia="Arial" w:hAnsi="Arial"/>
                <w:sz w:val="16"/>
                <w:szCs w:val="16"/>
                <w:color w:val="auto"/>
              </w:rPr>
              <w:t>Lawrence M. Ziemba</w:t>
            </w:r>
            <w:r>
              <w:rPr>
                <w:rFonts w:ascii="Arial" w:cs="Arial" w:eastAsia="Arial" w:hAnsi="Arial"/>
                <w:sz w:val="19"/>
                <w:szCs w:val="19"/>
                <w:color w:val="auto"/>
                <w:vertAlign w:val="superscript"/>
              </w:rPr>
              <w:t>(12)</w:t>
            </w:r>
          </w:p>
        </w:tc>
        <w:tc>
          <w:tcPr>
            <w:tcW w:w="1700" w:type="dxa"/>
            <w:vAlign w:val="bottom"/>
            <w:tcBorders>
              <w:bottom w:val="single" w:sz="8" w:color="424E6A"/>
              <w:right w:val="single" w:sz="8" w:color="424E6A"/>
            </w:tcBorders>
            <w:shd w:val="clear" w:color="auto" w:fill="D9DCE1"/>
          </w:tcPr>
          <w:p>
            <w:pPr>
              <w:jc w:val="right"/>
              <w:ind w:right="440"/>
              <w:spacing w:after="0"/>
              <w:rPr>
                <w:sz w:val="20"/>
                <w:szCs w:val="20"/>
                <w:color w:val="auto"/>
              </w:rPr>
            </w:pPr>
            <w:r>
              <w:rPr>
                <w:rFonts w:ascii="Arial" w:cs="Arial" w:eastAsia="Arial" w:hAnsi="Arial"/>
                <w:sz w:val="16"/>
                <w:szCs w:val="16"/>
                <w:color w:val="auto"/>
              </w:rPr>
              <w:t>2,346</w:t>
            </w:r>
          </w:p>
        </w:tc>
        <w:tc>
          <w:tcPr>
            <w:tcW w:w="1380" w:type="dxa"/>
            <w:vAlign w:val="bottom"/>
            <w:tcBorders>
              <w:bottom w:val="single" w:sz="8" w:color="424E6A"/>
              <w:right w:val="single" w:sz="8" w:color="424E6A"/>
            </w:tcBorders>
            <w:shd w:val="clear" w:color="auto" w:fill="D9DCE1"/>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shd w:val="clear" w:color="auto" w:fill="D9DCE1"/>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shd w:val="clear" w:color="auto" w:fill="D9DCE1"/>
          </w:tcPr>
          <w:p>
            <w:pPr>
              <w:jc w:val="right"/>
              <w:ind w:right="3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24E6A"/>
              <w:right w:val="single" w:sz="8" w:color="424E6A"/>
            </w:tcBorders>
            <w:shd w:val="clear" w:color="auto" w:fill="D9DCE1"/>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2180" w:type="dxa"/>
            <w:vAlign w:val="bottom"/>
            <w:tcBorders>
              <w:left w:val="single" w:sz="8" w:color="424E6A"/>
              <w:right w:val="single" w:sz="8" w:color="424E6A"/>
            </w:tcBorders>
          </w:tcPr>
          <w:p>
            <w:pPr>
              <w:ind w:left="80"/>
              <w:spacing w:after="0" w:line="182" w:lineRule="exact"/>
              <w:rPr>
                <w:sz w:val="20"/>
                <w:szCs w:val="20"/>
                <w:color w:val="auto"/>
              </w:rPr>
            </w:pPr>
            <w:r>
              <w:rPr>
                <w:rFonts w:ascii="Arial" w:cs="Arial" w:eastAsia="Arial" w:hAnsi="Arial"/>
                <w:sz w:val="16"/>
                <w:szCs w:val="16"/>
                <w:color w:val="auto"/>
              </w:rPr>
              <w:t>All directors and executive</w:t>
            </w:r>
          </w:p>
        </w:tc>
        <w:tc>
          <w:tcPr>
            <w:tcW w:w="1700" w:type="dxa"/>
            <w:vAlign w:val="bottom"/>
            <w:tcBorders>
              <w:right w:val="single" w:sz="8" w:color="424E6A"/>
            </w:tcBorders>
          </w:tcPr>
          <w:p>
            <w:pPr>
              <w:spacing w:after="0"/>
              <w:rPr>
                <w:sz w:val="15"/>
                <w:szCs w:val="15"/>
                <w:color w:val="auto"/>
              </w:rPr>
            </w:pPr>
          </w:p>
        </w:tc>
        <w:tc>
          <w:tcPr>
            <w:tcW w:w="1380" w:type="dxa"/>
            <w:vAlign w:val="bottom"/>
            <w:tcBorders>
              <w:right w:val="single" w:sz="8" w:color="424E6A"/>
            </w:tcBorders>
          </w:tcPr>
          <w:p>
            <w:pPr>
              <w:spacing w:after="0"/>
              <w:rPr>
                <w:sz w:val="15"/>
                <w:szCs w:val="15"/>
                <w:color w:val="auto"/>
              </w:rPr>
            </w:pPr>
          </w:p>
        </w:tc>
        <w:tc>
          <w:tcPr>
            <w:tcW w:w="1260" w:type="dxa"/>
            <w:vAlign w:val="bottom"/>
            <w:tcBorders>
              <w:right w:val="single" w:sz="8" w:color="424E6A"/>
            </w:tcBorders>
          </w:tcPr>
          <w:p>
            <w:pPr>
              <w:spacing w:after="0"/>
              <w:rPr>
                <w:sz w:val="15"/>
                <w:szCs w:val="15"/>
                <w:color w:val="auto"/>
              </w:rPr>
            </w:pPr>
          </w:p>
        </w:tc>
        <w:tc>
          <w:tcPr>
            <w:tcW w:w="1260" w:type="dxa"/>
            <w:vAlign w:val="bottom"/>
            <w:tcBorders>
              <w:right w:val="single" w:sz="8" w:color="424E6A"/>
            </w:tcBorders>
          </w:tcPr>
          <w:p>
            <w:pPr>
              <w:spacing w:after="0"/>
              <w:rPr>
                <w:sz w:val="15"/>
                <w:szCs w:val="15"/>
                <w:color w:val="auto"/>
              </w:rPr>
            </w:pPr>
          </w:p>
        </w:tc>
        <w:tc>
          <w:tcPr>
            <w:tcW w:w="1300" w:type="dxa"/>
            <w:vAlign w:val="bottom"/>
            <w:tcBorders>
              <w:right w:val="single" w:sz="8" w:color="424E6A"/>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180" w:type="dxa"/>
            <w:vAlign w:val="bottom"/>
            <w:tcBorders>
              <w:left w:val="single" w:sz="8" w:color="424E6A"/>
              <w:right w:val="single" w:sz="8" w:color="424E6A"/>
            </w:tcBorders>
          </w:tcPr>
          <w:p>
            <w:pPr>
              <w:ind w:left="240"/>
              <w:spacing w:after="0"/>
              <w:rPr>
                <w:sz w:val="20"/>
                <w:szCs w:val="20"/>
                <w:color w:val="auto"/>
              </w:rPr>
            </w:pPr>
            <w:r>
              <w:rPr>
                <w:rFonts w:ascii="Arial" w:cs="Arial" w:eastAsia="Arial" w:hAnsi="Arial"/>
                <w:sz w:val="16"/>
                <w:szCs w:val="16"/>
                <w:color w:val="auto"/>
              </w:rPr>
              <w:t>officers as a group</w:t>
            </w:r>
          </w:p>
        </w:tc>
        <w:tc>
          <w:tcPr>
            <w:tcW w:w="1700" w:type="dxa"/>
            <w:vAlign w:val="bottom"/>
            <w:tcBorders>
              <w:right w:val="single" w:sz="8" w:color="424E6A"/>
            </w:tcBorders>
            <w:vMerge w:val="restart"/>
          </w:tcPr>
          <w:p>
            <w:pPr>
              <w:jc w:val="right"/>
              <w:ind w:right="80"/>
              <w:spacing w:after="0"/>
              <w:rPr>
                <w:sz w:val="20"/>
                <w:szCs w:val="20"/>
                <w:color w:val="auto"/>
              </w:rPr>
            </w:pPr>
            <w:r>
              <w:rPr>
                <w:rFonts w:ascii="Arial" w:cs="Arial" w:eastAsia="Arial" w:hAnsi="Arial"/>
                <w:sz w:val="16"/>
                <w:szCs w:val="16"/>
                <w:color w:val="auto"/>
              </w:rPr>
              <w:t>7,522,808</w:t>
            </w:r>
            <w:r>
              <w:rPr>
                <w:rFonts w:ascii="Arial" w:cs="Arial" w:eastAsia="Arial" w:hAnsi="Arial"/>
                <w:sz w:val="19"/>
                <w:szCs w:val="19"/>
                <w:color w:val="auto"/>
                <w:vertAlign w:val="superscript"/>
              </w:rPr>
              <w:t>(10)(11)</w:t>
            </w:r>
          </w:p>
        </w:tc>
        <w:tc>
          <w:tcPr>
            <w:tcW w:w="1380" w:type="dxa"/>
            <w:vAlign w:val="bottom"/>
            <w:tcBorders>
              <w:right w:val="single" w:sz="8" w:color="424E6A"/>
            </w:tcBorders>
          </w:tcPr>
          <w:p>
            <w:pPr>
              <w:spacing w:after="0"/>
              <w:rPr>
                <w:sz w:val="16"/>
                <w:szCs w:val="16"/>
                <w:color w:val="auto"/>
              </w:rPr>
            </w:pPr>
          </w:p>
        </w:tc>
        <w:tc>
          <w:tcPr>
            <w:tcW w:w="1260" w:type="dxa"/>
            <w:vAlign w:val="bottom"/>
            <w:tcBorders>
              <w:right w:val="single" w:sz="8" w:color="424E6A"/>
            </w:tcBorders>
            <w:vMerge w:val="restart"/>
          </w:tcPr>
          <w:p>
            <w:pPr>
              <w:jc w:val="right"/>
              <w:ind w:right="40"/>
              <w:spacing w:after="0"/>
              <w:rPr>
                <w:sz w:val="20"/>
                <w:szCs w:val="20"/>
                <w:color w:val="auto"/>
              </w:rPr>
            </w:pPr>
            <w:r>
              <w:rPr>
                <w:rFonts w:ascii="Arial" w:cs="Arial" w:eastAsia="Arial" w:hAnsi="Arial"/>
                <w:sz w:val="16"/>
                <w:szCs w:val="16"/>
                <w:color w:val="auto"/>
              </w:rPr>
              <w:t>20,376,259</w:t>
            </w:r>
            <w:r>
              <w:rPr>
                <w:rFonts w:ascii="Arial" w:cs="Arial" w:eastAsia="Arial" w:hAnsi="Arial"/>
                <w:sz w:val="19"/>
                <w:szCs w:val="19"/>
                <w:color w:val="auto"/>
                <w:vertAlign w:val="superscript"/>
              </w:rPr>
              <w:t>(11)</w:t>
            </w:r>
          </w:p>
        </w:tc>
        <w:tc>
          <w:tcPr>
            <w:tcW w:w="1260" w:type="dxa"/>
            <w:vAlign w:val="bottom"/>
            <w:tcBorders>
              <w:right w:val="single" w:sz="8" w:color="424E6A"/>
            </w:tcBorders>
          </w:tcPr>
          <w:p>
            <w:pPr>
              <w:spacing w:after="0"/>
              <w:rPr>
                <w:sz w:val="16"/>
                <w:szCs w:val="16"/>
                <w:color w:val="auto"/>
              </w:rPr>
            </w:pPr>
          </w:p>
        </w:tc>
        <w:tc>
          <w:tcPr>
            <w:tcW w:w="1300" w:type="dxa"/>
            <w:vAlign w:val="bottom"/>
            <w:tcBorders>
              <w:right w:val="single" w:sz="8" w:color="424E6A"/>
            </w:tcBorders>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2180" w:type="dxa"/>
            <w:vAlign w:val="bottom"/>
            <w:tcBorders>
              <w:left w:val="single" w:sz="8" w:color="424E6A"/>
              <w:bottom w:val="single" w:sz="8" w:color="424E6A"/>
              <w:right w:val="single" w:sz="8" w:color="424E6A"/>
            </w:tcBorders>
          </w:tcPr>
          <w:p>
            <w:pPr>
              <w:ind w:left="240"/>
              <w:spacing w:after="0"/>
              <w:rPr>
                <w:sz w:val="20"/>
                <w:szCs w:val="20"/>
                <w:color w:val="auto"/>
              </w:rPr>
            </w:pPr>
            <w:r>
              <w:rPr>
                <w:rFonts w:ascii="Arial" w:cs="Arial" w:eastAsia="Arial" w:hAnsi="Arial"/>
                <w:sz w:val="16"/>
                <w:szCs w:val="16"/>
                <w:color w:val="auto"/>
              </w:rPr>
              <w:t>(16 persons)</w:t>
            </w:r>
            <w:r>
              <w:rPr>
                <w:rFonts w:ascii="Arial" w:cs="Arial" w:eastAsia="Arial" w:hAnsi="Arial"/>
                <w:sz w:val="19"/>
                <w:szCs w:val="19"/>
                <w:color w:val="auto"/>
                <w:vertAlign w:val="superscript"/>
              </w:rPr>
              <w:t>(12)</w:t>
            </w:r>
          </w:p>
        </w:tc>
        <w:tc>
          <w:tcPr>
            <w:tcW w:w="1700" w:type="dxa"/>
            <w:vAlign w:val="bottom"/>
            <w:tcBorders>
              <w:bottom w:val="single" w:sz="8" w:color="424E6A"/>
              <w:right w:val="single" w:sz="8" w:color="424E6A"/>
            </w:tcBorders>
            <w:vMerge w:val="continue"/>
          </w:tcPr>
          <w:p>
            <w:pPr>
              <w:spacing w:after="0"/>
              <w:rPr>
                <w:sz w:val="21"/>
                <w:szCs w:val="21"/>
                <w:color w:val="auto"/>
              </w:rPr>
            </w:pPr>
          </w:p>
        </w:tc>
        <w:tc>
          <w:tcPr>
            <w:tcW w:w="1380" w:type="dxa"/>
            <w:vAlign w:val="bottom"/>
            <w:tcBorders>
              <w:bottom w:val="single" w:sz="8" w:color="424E6A"/>
              <w:right w:val="single" w:sz="8" w:color="424E6A"/>
            </w:tcBorders>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24E6A"/>
              <w:right w:val="single" w:sz="8" w:color="424E6A"/>
            </w:tcBorders>
            <w:vMerge w:val="continue"/>
          </w:tcPr>
          <w:p>
            <w:pPr>
              <w:spacing w:after="0"/>
              <w:rPr>
                <w:sz w:val="21"/>
                <w:szCs w:val="21"/>
                <w:color w:val="auto"/>
              </w:rPr>
            </w:pPr>
          </w:p>
        </w:tc>
        <w:tc>
          <w:tcPr>
            <w:tcW w:w="1260" w:type="dxa"/>
            <w:vAlign w:val="bottom"/>
            <w:tcBorders>
              <w:bottom w:val="single" w:sz="8" w:color="424E6A"/>
              <w:right w:val="single" w:sz="8" w:color="424E6A"/>
            </w:tcBorders>
          </w:tcPr>
          <w:p>
            <w:pPr>
              <w:jc w:val="right"/>
              <w:ind w:right="200"/>
              <w:spacing w:after="0"/>
              <w:rPr>
                <w:sz w:val="20"/>
                <w:szCs w:val="20"/>
                <w:color w:val="auto"/>
              </w:rPr>
            </w:pPr>
            <w:r>
              <w:rPr>
                <w:rFonts w:ascii="Arial" w:cs="Arial" w:eastAsia="Arial" w:hAnsi="Arial"/>
                <w:sz w:val="16"/>
                <w:szCs w:val="16"/>
                <w:color w:val="auto"/>
              </w:rPr>
              <w:t>34.9%</w:t>
            </w:r>
          </w:p>
        </w:tc>
        <w:tc>
          <w:tcPr>
            <w:tcW w:w="1300" w:type="dxa"/>
            <w:vAlign w:val="bottom"/>
            <w:tcBorders>
              <w:bottom w:val="single" w:sz="8" w:color="424E6A"/>
              <w:right w:val="single" w:sz="8" w:color="424E6A"/>
            </w:tcBorders>
          </w:tcPr>
          <w:p>
            <w:pPr>
              <w:jc w:val="right"/>
              <w:ind w:right="301"/>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00"/>
          </w:cols>
          <w:pgMar w:left="580" w:top="97" w:right="141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553085</wp:posOffset>
            </wp:positionV>
            <wp:extent cx="123444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620" w:hanging="360"/>
        <w:spacing w:after="0"/>
        <w:tabs>
          <w:tab w:leader="none" w:pos="1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90" w:lineRule="exact"/>
        <w:rPr>
          <w:sz w:val="20"/>
          <w:szCs w:val="20"/>
          <w:color w:val="auto"/>
        </w:rPr>
      </w:pPr>
    </w:p>
    <w:p>
      <w:pPr>
        <w:ind w:left="1620" w:right="1239" w:hanging="360"/>
        <w:spacing w:after="0" w:line="269" w:lineRule="auto"/>
        <w:tabs>
          <w:tab w:leader="none" w:pos="1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Common Unit Equivalents include outstanding common units and Series A preferred units combined.</w:t>
      </w:r>
    </w:p>
    <w:p>
      <w:pPr>
        <w:spacing w:after="0" w:line="36" w:lineRule="exact"/>
        <w:rPr>
          <w:sz w:val="20"/>
          <w:szCs w:val="20"/>
          <w:color w:val="auto"/>
        </w:rPr>
      </w:pPr>
    </w:p>
    <w:p>
      <w:pPr>
        <w:ind w:left="1620" w:right="479" w:hanging="360"/>
        <w:spacing w:after="0" w:line="232" w:lineRule="auto"/>
        <w:tabs>
          <w:tab w:leader="none" w:pos="1620" w:val="left"/>
        </w:tabs>
        <w:numPr>
          <w:ilvl w:val="0"/>
          <w:numId w:val="69"/>
        </w:numPr>
        <w:rPr>
          <w:rFonts w:ascii="Arial" w:cs="Arial" w:eastAsia="Arial" w:hAnsi="Arial"/>
          <w:sz w:val="27"/>
          <w:szCs w:val="27"/>
          <w:color w:val="auto"/>
          <w:vertAlign w:val="superscript"/>
        </w:rPr>
      </w:pPr>
      <w:r>
        <w:rPr>
          <w:rFonts w:ascii="Arial" w:cs="Arial" w:eastAsia="Arial" w:hAnsi="Arial"/>
          <w:sz w:val="18"/>
          <w:szCs w:val="18"/>
          <w:color w:val="auto"/>
        </w:rPr>
        <w:t>The Series A preferred units vote on an as-converted basis with the common units and have certain other class voting rights with respect to any amendment to our partnership agreement that would adversely affect any rights, preferences or privileges of the Series A preferred units. The Series A preferred units are convertible, generally on a one-for-one basis and subject to customary anti-dilution adjustments, at any time by the holders or by us.</w:t>
      </w:r>
    </w:p>
    <w:p>
      <w:pPr>
        <w:spacing w:after="0" w:line="47" w:lineRule="exact"/>
        <w:rPr>
          <w:rFonts w:ascii="Arial" w:cs="Arial" w:eastAsia="Arial" w:hAnsi="Arial"/>
          <w:sz w:val="27"/>
          <w:szCs w:val="27"/>
          <w:color w:val="auto"/>
          <w:vertAlign w:val="superscript"/>
        </w:rPr>
      </w:pPr>
    </w:p>
    <w:p>
      <w:pPr>
        <w:ind w:left="1620" w:right="499" w:hanging="360"/>
        <w:spacing w:after="0" w:line="230" w:lineRule="auto"/>
        <w:tabs>
          <w:tab w:leader="none" w:pos="1620" w:val="left"/>
        </w:tabs>
        <w:numPr>
          <w:ilvl w:val="0"/>
          <w:numId w:val="69"/>
        </w:numPr>
        <w:rPr>
          <w:rFonts w:ascii="Arial" w:cs="Arial" w:eastAsia="Arial" w:hAnsi="Arial"/>
          <w:sz w:val="27"/>
          <w:szCs w:val="27"/>
          <w:color w:val="auto"/>
          <w:vertAlign w:val="superscript"/>
        </w:rPr>
      </w:pPr>
      <w:r>
        <w:rPr>
          <w:rFonts w:ascii="Arial" w:cs="Arial" w:eastAsia="Arial" w:hAnsi="Arial"/>
          <w:sz w:val="18"/>
          <w:szCs w:val="18"/>
          <w:color w:val="auto"/>
        </w:rPr>
        <w:t xml:space="preserve">The address for this holder is 333 Clay Street, Suite 1600, Houston, Texas 77002. The number of common units owned by Plains AAP equals the number of outstanding Class A and Class B shares of PAGP (233,000,430). </w:t>
      </w:r>
      <w:r>
        <w:rPr>
          <w:rFonts w:ascii="Arial" w:cs="Arial" w:eastAsia="Arial" w:hAnsi="Arial"/>
          <w:sz w:val="18"/>
          <w:szCs w:val="18"/>
          <w:b w:val="1"/>
          <w:bCs w:val="1"/>
          <w:color w:val="auto"/>
        </w:rPr>
        <w:t>Plains AAP is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not</w:t>
      </w:r>
      <w:r>
        <w:rPr>
          <w:rFonts w:ascii="Arial" w:cs="Arial" w:eastAsia="Arial" w:hAnsi="Arial"/>
          <w:sz w:val="18"/>
          <w:szCs w:val="18"/>
          <w:color w:val="auto"/>
        </w:rPr>
        <w:t xml:space="preserve"> </w:t>
      </w:r>
      <w:r>
        <w:rPr>
          <w:rFonts w:ascii="Arial" w:cs="Arial" w:eastAsia="Arial" w:hAnsi="Arial"/>
          <w:sz w:val="18"/>
          <w:szCs w:val="18"/>
          <w:b w:val="1"/>
          <w:bCs w:val="1"/>
          <w:color w:val="auto"/>
        </w:rPr>
        <w:t>entitled to vote these units in the election of</w:t>
      </w:r>
      <w:r>
        <w:rPr>
          <w:rFonts w:ascii="Arial" w:cs="Arial" w:eastAsia="Arial" w:hAnsi="Arial"/>
          <w:sz w:val="18"/>
          <w:szCs w:val="18"/>
          <w:color w:val="auto"/>
        </w:rPr>
        <w:t xml:space="preserve"> </w:t>
      </w:r>
      <w:r>
        <w:rPr>
          <w:rFonts w:ascii="Arial" w:cs="Arial" w:eastAsia="Arial" w:hAnsi="Arial"/>
          <w:sz w:val="18"/>
          <w:szCs w:val="18"/>
          <w:b w:val="1"/>
          <w:bCs w:val="1"/>
          <w:color w:val="auto"/>
        </w:rPr>
        <w:t>directors.</w:t>
      </w:r>
    </w:p>
    <w:p>
      <w:pPr>
        <w:spacing w:after="0" w:line="52" w:lineRule="exact"/>
        <w:rPr>
          <w:rFonts w:ascii="Arial" w:cs="Arial" w:eastAsia="Arial" w:hAnsi="Arial"/>
          <w:sz w:val="27"/>
          <w:szCs w:val="27"/>
          <w:color w:val="auto"/>
          <w:vertAlign w:val="superscript"/>
        </w:rPr>
      </w:pPr>
    </w:p>
    <w:p>
      <w:pPr>
        <w:ind w:left="1620" w:right="439" w:hanging="360"/>
        <w:spacing w:after="0" w:line="222" w:lineRule="auto"/>
        <w:tabs>
          <w:tab w:leader="none" w:pos="1620" w:val="left"/>
        </w:tabs>
        <w:numPr>
          <w:ilvl w:val="0"/>
          <w:numId w:val="69"/>
        </w:numPr>
        <w:rPr>
          <w:rFonts w:ascii="Arial" w:cs="Arial" w:eastAsia="Arial" w:hAnsi="Arial"/>
          <w:sz w:val="27"/>
          <w:szCs w:val="27"/>
          <w:color w:val="auto"/>
          <w:vertAlign w:val="superscript"/>
        </w:rPr>
      </w:pPr>
      <w:r>
        <w:rPr>
          <w:rFonts w:ascii="Arial" w:cs="Arial" w:eastAsia="Arial" w:hAnsi="Arial"/>
          <w:sz w:val="18"/>
          <w:szCs w:val="18"/>
          <w:color w:val="auto"/>
        </w:rPr>
        <w:t>Reflects beneficial ownership as of December 31, 2025 as reported in a Schedule 13G filed with the SEC on January 6, 2026. The address of this holder is 1290 Broadway, Suite 1000, Denver, Colorado 80203.</w:t>
      </w:r>
    </w:p>
    <w:p>
      <w:pPr>
        <w:spacing w:after="0" w:line="45" w:lineRule="exact"/>
        <w:rPr>
          <w:rFonts w:ascii="Arial" w:cs="Arial" w:eastAsia="Arial" w:hAnsi="Arial"/>
          <w:sz w:val="27"/>
          <w:szCs w:val="27"/>
          <w:color w:val="auto"/>
          <w:vertAlign w:val="superscript"/>
        </w:rPr>
      </w:pPr>
    </w:p>
    <w:p>
      <w:pPr>
        <w:ind w:left="1620" w:right="599" w:hanging="360"/>
        <w:spacing w:after="0" w:line="235" w:lineRule="auto"/>
        <w:tabs>
          <w:tab w:leader="none" w:pos="1620" w:val="left"/>
        </w:tabs>
        <w:numPr>
          <w:ilvl w:val="0"/>
          <w:numId w:val="69"/>
        </w:numPr>
        <w:rPr>
          <w:rFonts w:ascii="Arial" w:cs="Arial" w:eastAsia="Arial" w:hAnsi="Arial"/>
          <w:sz w:val="27"/>
          <w:szCs w:val="27"/>
          <w:color w:val="auto"/>
          <w:vertAlign w:val="superscript"/>
        </w:rPr>
      </w:pPr>
      <w:r>
        <w:rPr>
          <w:rFonts w:ascii="Arial" w:cs="Arial" w:eastAsia="Arial" w:hAnsi="Arial"/>
          <w:sz w:val="18"/>
          <w:szCs w:val="18"/>
          <w:color w:val="auto"/>
        </w:rPr>
        <w:t>The address for this holder is 2229 San Felipe, Suite 1300, Houston, Texas 77019. John T. Raymond has sole voting and dispositive power over the Series A preferred units and may be deemed to be the beneficial owner of the Series A preferred units owned by the holder by virtue of being the sole member of the general partner of the holder’s manager. Mr. Raymond disclaims beneficial ownership of the Series A preferred units except to the extent of his pecuniary interest therein.</w:t>
      </w:r>
    </w:p>
    <w:p>
      <w:pPr>
        <w:spacing w:after="0" w:line="46" w:lineRule="exact"/>
        <w:rPr>
          <w:rFonts w:ascii="Arial" w:cs="Arial" w:eastAsia="Arial" w:hAnsi="Arial"/>
          <w:sz w:val="27"/>
          <w:szCs w:val="27"/>
          <w:color w:val="auto"/>
          <w:vertAlign w:val="superscript"/>
        </w:rPr>
      </w:pPr>
    </w:p>
    <w:p>
      <w:pPr>
        <w:ind w:left="1620" w:right="419" w:hanging="360"/>
        <w:spacing w:after="0" w:line="210" w:lineRule="auto"/>
        <w:tabs>
          <w:tab w:leader="none" w:pos="1620" w:val="left"/>
        </w:tabs>
        <w:numPr>
          <w:ilvl w:val="0"/>
          <w:numId w:val="69"/>
        </w:numPr>
        <w:rPr>
          <w:rFonts w:ascii="Arial" w:cs="Arial" w:eastAsia="Arial" w:hAnsi="Arial"/>
          <w:sz w:val="27"/>
          <w:szCs w:val="27"/>
          <w:color w:val="auto"/>
          <w:vertAlign w:val="superscript"/>
        </w:rPr>
      </w:pPr>
      <w:r>
        <w:rPr>
          <w:rFonts w:ascii="Arial" w:cs="Arial" w:eastAsia="Arial" w:hAnsi="Arial"/>
          <w:sz w:val="18"/>
          <w:szCs w:val="18"/>
          <w:color w:val="auto"/>
        </w:rPr>
        <w:t>The Series A preferred units are owned by funds managed by EnCap Partners, LLC, whose address is 9651 Katy Freeway, 6th Floor, Houston, Texas 77024.</w:t>
      </w:r>
    </w:p>
    <w:p>
      <w:pPr>
        <w:spacing w:after="0" w:line="2" w:lineRule="exact"/>
        <w:rPr>
          <w:rFonts w:ascii="Arial" w:cs="Arial" w:eastAsia="Arial" w:hAnsi="Arial"/>
          <w:sz w:val="27"/>
          <w:szCs w:val="27"/>
          <w:color w:val="auto"/>
          <w:vertAlign w:val="superscript"/>
        </w:rPr>
      </w:pPr>
    </w:p>
    <w:p>
      <w:pPr>
        <w:ind w:left="1620" w:hanging="360"/>
        <w:spacing w:after="0" w:line="229" w:lineRule="auto"/>
        <w:tabs>
          <w:tab w:leader="none" w:pos="1620" w:val="left"/>
        </w:tabs>
        <w:numPr>
          <w:ilvl w:val="0"/>
          <w:numId w:val="69"/>
        </w:numPr>
        <w:rPr>
          <w:rFonts w:ascii="Arial" w:cs="Arial" w:eastAsia="Arial" w:hAnsi="Arial"/>
          <w:sz w:val="27"/>
          <w:szCs w:val="27"/>
          <w:color w:val="auto"/>
          <w:vertAlign w:val="superscript"/>
        </w:rPr>
      </w:pPr>
      <w:r>
        <w:rPr>
          <w:rFonts w:ascii="Arial" w:cs="Arial" w:eastAsia="Arial" w:hAnsi="Arial"/>
          <w:sz w:val="18"/>
          <w:szCs w:val="18"/>
          <w:color w:val="auto"/>
        </w:rPr>
        <w:t>The address for this holder is 600 Travis, Suite 6000, Houston, Texas 77002.</w:t>
      </w:r>
    </w:p>
    <w:p>
      <w:pPr>
        <w:spacing w:after="0" w:line="76" w:lineRule="exact"/>
        <w:rPr>
          <w:rFonts w:ascii="Arial" w:cs="Arial" w:eastAsia="Arial" w:hAnsi="Arial"/>
          <w:sz w:val="27"/>
          <w:szCs w:val="27"/>
          <w:color w:val="auto"/>
          <w:vertAlign w:val="superscript"/>
        </w:rPr>
      </w:pPr>
    </w:p>
    <w:p>
      <w:pPr>
        <w:ind w:left="1620" w:right="839" w:hanging="360"/>
        <w:spacing w:after="0" w:line="202" w:lineRule="auto"/>
        <w:tabs>
          <w:tab w:leader="none" w:pos="1620" w:val="left"/>
        </w:tabs>
        <w:numPr>
          <w:ilvl w:val="0"/>
          <w:numId w:val="69"/>
        </w:numPr>
        <w:rPr>
          <w:rFonts w:ascii="Arial" w:cs="Arial" w:eastAsia="Arial" w:hAnsi="Arial"/>
          <w:sz w:val="27"/>
          <w:szCs w:val="27"/>
          <w:color w:val="auto"/>
          <w:vertAlign w:val="superscript"/>
        </w:rPr>
      </w:pPr>
      <w:r>
        <w:rPr>
          <w:rFonts w:ascii="Arial" w:cs="Arial" w:eastAsia="Arial" w:hAnsi="Arial"/>
          <w:sz w:val="18"/>
          <w:szCs w:val="18"/>
          <w:color w:val="auto"/>
        </w:rPr>
        <w:t>The Series A preferred units are owned by funds managed by Stonepeak Partners LLC, whose address is 550 W. 34th Street, 48th Floor, New York, New York 10001.</w:t>
      </w:r>
    </w:p>
    <w:p>
      <w:pPr>
        <w:spacing w:after="0" w:line="25" w:lineRule="exact"/>
        <w:rPr>
          <w:rFonts w:ascii="Arial" w:cs="Arial" w:eastAsia="Arial" w:hAnsi="Arial"/>
          <w:sz w:val="27"/>
          <w:szCs w:val="27"/>
          <w:color w:val="auto"/>
          <w:vertAlign w:val="superscript"/>
        </w:rPr>
      </w:pPr>
    </w:p>
    <w:p>
      <w:pPr>
        <w:ind w:left="1620" w:hanging="360"/>
        <w:spacing w:after="0"/>
        <w:tabs>
          <w:tab w:leader="none" w:pos="1620" w:val="left"/>
        </w:tabs>
        <w:numPr>
          <w:ilvl w:val="0"/>
          <w:numId w:val="69"/>
        </w:numPr>
        <w:rPr>
          <w:rFonts w:ascii="Arial" w:cs="Arial" w:eastAsia="Arial" w:hAnsi="Arial"/>
          <w:sz w:val="27"/>
          <w:szCs w:val="27"/>
          <w:color w:val="auto"/>
          <w:vertAlign w:val="superscript"/>
        </w:rPr>
      </w:pPr>
      <w:r>
        <w:rPr>
          <w:rFonts w:ascii="Arial" w:cs="Arial" w:eastAsia="Arial" w:hAnsi="Arial"/>
          <w:sz w:val="18"/>
          <w:szCs w:val="18"/>
          <w:color w:val="auto"/>
        </w:rPr>
        <w:t>The address for this holder is 3290 Northside Parkway, 7</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Atlanta, GA 30327.</w:t>
      </w:r>
    </w:p>
    <w:p>
      <w:pPr>
        <w:spacing w:after="0" w:line="38" w:lineRule="exact"/>
        <w:rPr>
          <w:rFonts w:ascii="Arial" w:cs="Arial" w:eastAsia="Arial" w:hAnsi="Arial"/>
          <w:sz w:val="27"/>
          <w:szCs w:val="27"/>
          <w:color w:val="auto"/>
          <w:vertAlign w:val="superscript"/>
        </w:rPr>
      </w:pPr>
    </w:p>
    <w:p>
      <w:pPr>
        <w:ind w:left="1620" w:hanging="360"/>
        <w:spacing w:after="0" w:line="229" w:lineRule="auto"/>
        <w:tabs>
          <w:tab w:leader="none" w:pos="1620" w:val="left"/>
        </w:tabs>
        <w:numPr>
          <w:ilvl w:val="0"/>
          <w:numId w:val="69"/>
        </w:numPr>
        <w:rPr>
          <w:rFonts w:ascii="Arial" w:cs="Arial" w:eastAsia="Arial" w:hAnsi="Arial"/>
          <w:sz w:val="27"/>
          <w:szCs w:val="27"/>
          <w:color w:val="auto"/>
          <w:vertAlign w:val="superscript"/>
        </w:rPr>
      </w:pPr>
      <w:r>
        <w:rPr>
          <w:rFonts w:ascii="Arial" w:cs="Arial" w:eastAsia="Arial" w:hAnsi="Arial"/>
          <w:sz w:val="18"/>
          <w:szCs w:val="18"/>
          <w:color w:val="auto"/>
        </w:rPr>
        <w:t>The address for this holder is 9 West 57</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Street, New York, NY 10019.</w:t>
      </w:r>
    </w:p>
    <w:p>
      <w:pPr>
        <w:ind w:left="1620" w:right="999" w:hanging="360"/>
        <w:spacing w:after="0" w:line="202" w:lineRule="auto"/>
        <w:tabs>
          <w:tab w:leader="none" w:pos="1620" w:val="left"/>
        </w:tabs>
        <w:numPr>
          <w:ilvl w:val="0"/>
          <w:numId w:val="69"/>
        </w:numPr>
        <w:rPr>
          <w:rFonts w:ascii="Arial" w:cs="Arial" w:eastAsia="Arial" w:hAnsi="Arial"/>
          <w:sz w:val="27"/>
          <w:szCs w:val="27"/>
          <w:color w:val="auto"/>
          <w:vertAlign w:val="superscript"/>
        </w:rPr>
      </w:pPr>
      <w:r>
        <w:rPr>
          <w:rFonts w:ascii="Arial" w:cs="Arial" w:eastAsia="Arial" w:hAnsi="Arial"/>
          <w:sz w:val="18"/>
          <w:szCs w:val="18"/>
          <w:color w:val="auto"/>
        </w:rPr>
        <w:t>Does not include unvested phantom units granted under our Long-Term Incentive Plans. See “Executive Compensation — Outstanding Equity Awards at Fiscal Year-End”.</w:t>
      </w:r>
    </w:p>
    <w:p>
      <w:pPr>
        <w:spacing w:after="0" w:line="45" w:lineRule="exact"/>
        <w:rPr>
          <w:rFonts w:ascii="Arial" w:cs="Arial" w:eastAsia="Arial" w:hAnsi="Arial"/>
          <w:sz w:val="27"/>
          <w:szCs w:val="27"/>
          <w:color w:val="auto"/>
          <w:vertAlign w:val="superscript"/>
        </w:rPr>
      </w:pPr>
    </w:p>
    <w:p>
      <w:pPr>
        <w:ind w:left="1620" w:right="499" w:hanging="360"/>
        <w:spacing w:after="0" w:line="210" w:lineRule="auto"/>
        <w:tabs>
          <w:tab w:leader="none" w:pos="1620" w:val="left"/>
        </w:tabs>
        <w:numPr>
          <w:ilvl w:val="0"/>
          <w:numId w:val="69"/>
        </w:numPr>
        <w:rPr>
          <w:rFonts w:ascii="Arial" w:cs="Arial" w:eastAsia="Arial" w:hAnsi="Arial"/>
          <w:sz w:val="27"/>
          <w:szCs w:val="27"/>
          <w:color w:val="auto"/>
          <w:vertAlign w:val="superscript"/>
        </w:rPr>
      </w:pPr>
      <w:r>
        <w:rPr>
          <w:rFonts w:ascii="Arial" w:cs="Arial" w:eastAsia="Arial" w:hAnsi="Arial"/>
          <w:sz w:val="18"/>
          <w:szCs w:val="18"/>
          <w:color w:val="auto"/>
        </w:rPr>
        <w:t>Consistent with our policies that prohibit pledging of company securities, to our knowledge, no units were pledged by directors or Named Executive Officers as of March 23, 2026.</w:t>
      </w:r>
    </w:p>
    <w:p>
      <w:pPr>
        <w:spacing w:after="0" w:line="60" w:lineRule="exact"/>
        <w:rPr>
          <w:rFonts w:ascii="Arial" w:cs="Arial" w:eastAsia="Arial" w:hAnsi="Arial"/>
          <w:sz w:val="27"/>
          <w:szCs w:val="27"/>
          <w:color w:val="auto"/>
          <w:vertAlign w:val="superscript"/>
        </w:rPr>
      </w:pPr>
    </w:p>
    <w:p>
      <w:pPr>
        <w:ind w:left="1620" w:right="479" w:hanging="360"/>
        <w:spacing w:after="0" w:line="235" w:lineRule="auto"/>
        <w:tabs>
          <w:tab w:leader="none" w:pos="1620" w:val="left"/>
        </w:tabs>
        <w:numPr>
          <w:ilvl w:val="0"/>
          <w:numId w:val="69"/>
        </w:numPr>
        <w:rPr>
          <w:rFonts w:ascii="Arial" w:cs="Arial" w:eastAsia="Arial" w:hAnsi="Arial"/>
          <w:sz w:val="27"/>
          <w:szCs w:val="27"/>
          <w:color w:val="auto"/>
          <w:vertAlign w:val="superscript"/>
        </w:rPr>
      </w:pPr>
      <w:r>
        <w:rPr>
          <w:rFonts w:ascii="Arial" w:cs="Arial" w:eastAsia="Arial" w:hAnsi="Arial"/>
          <w:sz w:val="18"/>
          <w:szCs w:val="18"/>
          <w:color w:val="auto"/>
        </w:rPr>
        <w:t>In addition to owning the common units or Series A preferred units as shown in the table above, certain of our Named Executive Officers and directors also own PAGP Class A shares or PAGP Class B shares and are entitled to vote those shares in the election of directors at the PAGP Annual Meeting. Information regarding the beneficial ownership of PAGP and PAA voting securities (exclusive of unvested equity awards) by our Named Executive Officers, directors and all director and executive officers as a group is reflected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1270" w:type="dxa"/>
        <w:tblCellMar>
          <w:top w:w="0" w:type="dxa"/>
          <w:left w:w="0" w:type="dxa"/>
          <w:bottom w:w="0" w:type="dxa"/>
          <w:right w:w="0" w:type="dxa"/>
        </w:tblCellMar>
      </w:tblPr>
      <w:tr>
        <w:trPr>
          <w:trHeight w:val="247"/>
        </w:trPr>
        <w:tc>
          <w:tcPr>
            <w:tcW w:w="1340" w:type="dxa"/>
            <w:vAlign w:val="bottom"/>
            <w:tcBorders>
              <w:left w:val="single" w:sz="8" w:color="424E6A"/>
            </w:tcBorders>
            <w:shd w:val="clear" w:color="auto" w:fill="424E6A"/>
          </w:tcPr>
          <w:p>
            <w:pPr>
              <w:spacing w:after="0"/>
              <w:rPr>
                <w:sz w:val="21"/>
                <w:szCs w:val="21"/>
                <w:color w:val="auto"/>
              </w:rPr>
            </w:pPr>
          </w:p>
        </w:tc>
        <w:tc>
          <w:tcPr>
            <w:tcW w:w="120" w:type="dxa"/>
            <w:vAlign w:val="bottom"/>
            <w:tcBorders>
              <w:right w:val="single" w:sz="8" w:color="424E6A"/>
            </w:tcBorders>
            <w:shd w:val="clear" w:color="auto" w:fill="424E6A"/>
          </w:tcPr>
          <w:p>
            <w:pPr>
              <w:spacing w:after="0"/>
              <w:rPr>
                <w:sz w:val="21"/>
                <w:szCs w:val="21"/>
                <w:color w:val="auto"/>
              </w:rPr>
            </w:pPr>
          </w:p>
        </w:tc>
        <w:tc>
          <w:tcPr>
            <w:tcW w:w="280" w:type="dxa"/>
            <w:vAlign w:val="bottom"/>
            <w:shd w:val="clear" w:color="auto" w:fill="424E6A"/>
          </w:tcPr>
          <w:p>
            <w:pPr>
              <w:spacing w:after="0"/>
              <w:rPr>
                <w:sz w:val="21"/>
                <w:szCs w:val="21"/>
                <w:color w:val="auto"/>
              </w:rPr>
            </w:pPr>
          </w:p>
        </w:tc>
        <w:tc>
          <w:tcPr>
            <w:tcW w:w="840" w:type="dxa"/>
            <w:vAlign w:val="bottom"/>
            <w:shd w:val="clear" w:color="auto" w:fill="424E6A"/>
          </w:tcPr>
          <w:p>
            <w:pPr>
              <w:spacing w:after="0"/>
              <w:rPr>
                <w:sz w:val="21"/>
                <w:szCs w:val="21"/>
                <w:color w:val="auto"/>
              </w:rPr>
            </w:pPr>
          </w:p>
        </w:tc>
        <w:tc>
          <w:tcPr>
            <w:tcW w:w="200" w:type="dxa"/>
            <w:vAlign w:val="bottom"/>
            <w:tcBorders>
              <w:right w:val="single" w:sz="8" w:color="424E6A"/>
            </w:tcBorders>
            <w:shd w:val="clear" w:color="auto" w:fill="424E6A"/>
          </w:tcPr>
          <w:p>
            <w:pPr>
              <w:spacing w:after="0"/>
              <w:rPr>
                <w:sz w:val="21"/>
                <w:szCs w:val="21"/>
                <w:color w:val="auto"/>
              </w:rPr>
            </w:pPr>
          </w:p>
        </w:tc>
        <w:tc>
          <w:tcPr>
            <w:tcW w:w="220" w:type="dxa"/>
            <w:vAlign w:val="bottom"/>
            <w:shd w:val="clear" w:color="auto" w:fill="424E6A"/>
          </w:tcPr>
          <w:p>
            <w:pPr>
              <w:spacing w:after="0"/>
              <w:rPr>
                <w:sz w:val="21"/>
                <w:szCs w:val="21"/>
                <w:color w:val="auto"/>
              </w:rPr>
            </w:pPr>
          </w:p>
        </w:tc>
        <w:tc>
          <w:tcPr>
            <w:tcW w:w="640" w:type="dxa"/>
            <w:vAlign w:val="bottom"/>
            <w:shd w:val="clear" w:color="auto" w:fill="424E6A"/>
          </w:tcPr>
          <w:p>
            <w:pPr>
              <w:spacing w:after="0"/>
              <w:rPr>
                <w:sz w:val="21"/>
                <w:szCs w:val="21"/>
                <w:color w:val="auto"/>
              </w:rPr>
            </w:pPr>
          </w:p>
        </w:tc>
        <w:tc>
          <w:tcPr>
            <w:tcW w:w="160" w:type="dxa"/>
            <w:vAlign w:val="bottom"/>
            <w:tcBorders>
              <w:right w:val="single" w:sz="8" w:color="424E6A"/>
            </w:tcBorders>
            <w:shd w:val="clear" w:color="auto" w:fill="424E6A"/>
          </w:tcPr>
          <w:p>
            <w:pPr>
              <w:spacing w:after="0"/>
              <w:rPr>
                <w:sz w:val="21"/>
                <w:szCs w:val="21"/>
                <w:color w:val="auto"/>
              </w:rPr>
            </w:pPr>
          </w:p>
        </w:tc>
        <w:tc>
          <w:tcPr>
            <w:tcW w:w="260" w:type="dxa"/>
            <w:vAlign w:val="bottom"/>
            <w:shd w:val="clear" w:color="auto" w:fill="424E6A"/>
          </w:tcPr>
          <w:p>
            <w:pPr>
              <w:spacing w:after="0"/>
              <w:rPr>
                <w:sz w:val="21"/>
                <w:szCs w:val="21"/>
                <w:color w:val="auto"/>
              </w:rPr>
            </w:pPr>
          </w:p>
        </w:tc>
        <w:tc>
          <w:tcPr>
            <w:tcW w:w="880" w:type="dxa"/>
            <w:vAlign w:val="bottom"/>
            <w:tcBorders>
              <w:right w:val="single" w:sz="8" w:color="424E6A"/>
            </w:tcBorders>
            <w:shd w:val="clear" w:color="auto" w:fill="424E6A"/>
          </w:tcPr>
          <w:p>
            <w:pPr>
              <w:spacing w:after="0"/>
              <w:rPr>
                <w:sz w:val="21"/>
                <w:szCs w:val="21"/>
                <w:color w:val="auto"/>
              </w:rPr>
            </w:pPr>
          </w:p>
        </w:tc>
        <w:tc>
          <w:tcPr>
            <w:tcW w:w="240" w:type="dxa"/>
            <w:vAlign w:val="bottom"/>
            <w:shd w:val="clear" w:color="auto" w:fill="424E6A"/>
          </w:tcPr>
          <w:p>
            <w:pPr>
              <w:spacing w:after="0"/>
              <w:rPr>
                <w:sz w:val="21"/>
                <w:szCs w:val="21"/>
                <w:color w:val="auto"/>
              </w:rPr>
            </w:pPr>
          </w:p>
        </w:tc>
        <w:tc>
          <w:tcPr>
            <w:tcW w:w="880" w:type="dxa"/>
            <w:vAlign w:val="bottom"/>
            <w:tcBorders>
              <w:right w:val="single" w:sz="8" w:color="424E6A"/>
            </w:tcBorders>
            <w:shd w:val="clear" w:color="auto" w:fill="424E6A"/>
          </w:tcPr>
          <w:p>
            <w:pPr>
              <w:jc w:val="center"/>
              <w:ind w:right="228"/>
              <w:spacing w:after="0"/>
              <w:rPr>
                <w:sz w:val="20"/>
                <w:szCs w:val="20"/>
                <w:color w:val="auto"/>
              </w:rPr>
            </w:pPr>
            <w:r>
              <w:rPr>
                <w:rFonts w:ascii="Arial" w:cs="Arial" w:eastAsia="Arial" w:hAnsi="Arial"/>
                <w:sz w:val="14"/>
                <w:szCs w:val="14"/>
                <w:b w:val="1"/>
                <w:bCs w:val="1"/>
                <w:color w:val="FFFFFF"/>
              </w:rPr>
              <w:t>Total</w:t>
            </w:r>
          </w:p>
        </w:tc>
        <w:tc>
          <w:tcPr>
            <w:tcW w:w="300" w:type="dxa"/>
            <w:vAlign w:val="bottom"/>
            <w:shd w:val="clear" w:color="auto" w:fill="424E6A"/>
          </w:tcPr>
          <w:p>
            <w:pPr>
              <w:spacing w:after="0"/>
              <w:rPr>
                <w:sz w:val="21"/>
                <w:szCs w:val="21"/>
                <w:color w:val="auto"/>
              </w:rPr>
            </w:pPr>
          </w:p>
        </w:tc>
        <w:tc>
          <w:tcPr>
            <w:tcW w:w="640" w:type="dxa"/>
            <w:vAlign w:val="bottom"/>
            <w:shd w:val="clear" w:color="auto" w:fill="424E6A"/>
          </w:tcPr>
          <w:p>
            <w:pPr>
              <w:spacing w:after="0"/>
              <w:rPr>
                <w:sz w:val="21"/>
                <w:szCs w:val="21"/>
                <w:color w:val="auto"/>
              </w:rPr>
            </w:pPr>
          </w:p>
        </w:tc>
        <w:tc>
          <w:tcPr>
            <w:tcW w:w="180" w:type="dxa"/>
            <w:vAlign w:val="bottom"/>
            <w:tcBorders>
              <w:right w:val="single" w:sz="8" w:color="424E6A"/>
            </w:tcBorders>
            <w:shd w:val="clear" w:color="auto" w:fill="424E6A"/>
          </w:tcPr>
          <w:p>
            <w:pPr>
              <w:spacing w:after="0"/>
              <w:rPr>
                <w:sz w:val="21"/>
                <w:szCs w:val="21"/>
                <w:color w:val="auto"/>
              </w:rPr>
            </w:pPr>
          </w:p>
        </w:tc>
        <w:tc>
          <w:tcPr>
            <w:tcW w:w="560" w:type="dxa"/>
            <w:vAlign w:val="bottom"/>
            <w:shd w:val="clear" w:color="auto" w:fill="424E6A"/>
          </w:tcPr>
          <w:p>
            <w:pPr>
              <w:spacing w:after="0"/>
              <w:rPr>
                <w:sz w:val="21"/>
                <w:szCs w:val="21"/>
                <w:color w:val="auto"/>
              </w:rPr>
            </w:pPr>
          </w:p>
        </w:tc>
        <w:tc>
          <w:tcPr>
            <w:tcW w:w="400" w:type="dxa"/>
            <w:vAlign w:val="bottom"/>
            <w:shd w:val="clear" w:color="auto" w:fill="424E6A"/>
          </w:tcPr>
          <w:p>
            <w:pPr>
              <w:spacing w:after="0"/>
              <w:rPr>
                <w:sz w:val="21"/>
                <w:szCs w:val="21"/>
                <w:color w:val="auto"/>
              </w:rPr>
            </w:pPr>
          </w:p>
        </w:tc>
        <w:tc>
          <w:tcPr>
            <w:tcW w:w="220" w:type="dxa"/>
            <w:vAlign w:val="bottom"/>
            <w:tcBorders>
              <w:right w:val="single" w:sz="8" w:color="424E6A"/>
            </w:tcBorders>
            <w:shd w:val="clear" w:color="auto" w:fill="424E6A"/>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340" w:type="dxa"/>
            <w:vAlign w:val="bottom"/>
            <w:tcBorders>
              <w:left w:val="single" w:sz="8" w:color="424E6A"/>
            </w:tcBorders>
            <w:shd w:val="clear" w:color="auto" w:fill="424E6A"/>
          </w:tcPr>
          <w:p>
            <w:pPr>
              <w:spacing w:after="0"/>
              <w:rPr>
                <w:sz w:val="14"/>
                <w:szCs w:val="14"/>
                <w:color w:val="auto"/>
              </w:rPr>
            </w:pPr>
          </w:p>
        </w:tc>
        <w:tc>
          <w:tcPr>
            <w:tcW w:w="120" w:type="dxa"/>
            <w:vAlign w:val="bottom"/>
            <w:tcBorders>
              <w:right w:val="single" w:sz="8" w:color="424E6A"/>
            </w:tcBorders>
            <w:shd w:val="clear" w:color="auto" w:fill="424E6A"/>
          </w:tcPr>
          <w:p>
            <w:pPr>
              <w:spacing w:after="0"/>
              <w:rPr>
                <w:sz w:val="14"/>
                <w:szCs w:val="14"/>
                <w:color w:val="auto"/>
              </w:rPr>
            </w:pPr>
          </w:p>
        </w:tc>
        <w:tc>
          <w:tcPr>
            <w:tcW w:w="280" w:type="dxa"/>
            <w:vAlign w:val="bottom"/>
            <w:shd w:val="clear" w:color="auto" w:fill="424E6A"/>
          </w:tcPr>
          <w:p>
            <w:pPr>
              <w:spacing w:after="0"/>
              <w:rPr>
                <w:sz w:val="14"/>
                <w:szCs w:val="14"/>
                <w:color w:val="auto"/>
              </w:rPr>
            </w:pPr>
          </w:p>
        </w:tc>
        <w:tc>
          <w:tcPr>
            <w:tcW w:w="840" w:type="dxa"/>
            <w:vAlign w:val="bottom"/>
            <w:shd w:val="clear" w:color="auto" w:fill="424E6A"/>
          </w:tcPr>
          <w:p>
            <w:pPr>
              <w:spacing w:after="0"/>
              <w:rPr>
                <w:sz w:val="14"/>
                <w:szCs w:val="14"/>
                <w:color w:val="auto"/>
              </w:rPr>
            </w:pPr>
          </w:p>
        </w:tc>
        <w:tc>
          <w:tcPr>
            <w:tcW w:w="20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640" w:type="dxa"/>
            <w:vAlign w:val="bottom"/>
            <w:shd w:val="clear" w:color="auto" w:fill="424E6A"/>
          </w:tcPr>
          <w:p>
            <w:pPr>
              <w:spacing w:after="0"/>
              <w:rPr>
                <w:sz w:val="14"/>
                <w:szCs w:val="14"/>
                <w:color w:val="auto"/>
              </w:rPr>
            </w:pPr>
          </w:p>
        </w:tc>
        <w:tc>
          <w:tcPr>
            <w:tcW w:w="160" w:type="dxa"/>
            <w:vAlign w:val="bottom"/>
            <w:tcBorders>
              <w:right w:val="single" w:sz="8" w:color="424E6A"/>
            </w:tcBorders>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880" w:type="dxa"/>
            <w:vAlign w:val="bottom"/>
            <w:tcBorders>
              <w:right w:val="single" w:sz="8" w:color="424E6A"/>
            </w:tcBorders>
            <w:shd w:val="clear" w:color="auto" w:fill="424E6A"/>
          </w:tcPr>
          <w:p>
            <w:pPr>
              <w:spacing w:after="0"/>
              <w:rPr>
                <w:sz w:val="14"/>
                <w:szCs w:val="14"/>
                <w:color w:val="auto"/>
              </w:rPr>
            </w:pPr>
          </w:p>
        </w:tc>
        <w:tc>
          <w:tcPr>
            <w:tcW w:w="240" w:type="dxa"/>
            <w:vAlign w:val="bottom"/>
            <w:shd w:val="clear" w:color="auto" w:fill="424E6A"/>
          </w:tcPr>
          <w:p>
            <w:pPr>
              <w:spacing w:after="0"/>
              <w:rPr>
                <w:sz w:val="14"/>
                <w:szCs w:val="14"/>
                <w:color w:val="auto"/>
              </w:rPr>
            </w:pPr>
          </w:p>
        </w:tc>
        <w:tc>
          <w:tcPr>
            <w:tcW w:w="880" w:type="dxa"/>
            <w:vAlign w:val="bottom"/>
            <w:tcBorders>
              <w:right w:val="single" w:sz="8" w:color="424E6A"/>
            </w:tcBorders>
            <w:shd w:val="clear" w:color="auto" w:fill="424E6A"/>
          </w:tcPr>
          <w:p>
            <w:pPr>
              <w:jc w:val="center"/>
              <w:ind w:right="228"/>
              <w:spacing w:after="0"/>
              <w:rPr>
                <w:sz w:val="20"/>
                <w:szCs w:val="20"/>
                <w:color w:val="auto"/>
              </w:rPr>
            </w:pPr>
            <w:r>
              <w:rPr>
                <w:rFonts w:ascii="Arial" w:cs="Arial" w:eastAsia="Arial" w:hAnsi="Arial"/>
                <w:sz w:val="14"/>
                <w:szCs w:val="14"/>
                <w:b w:val="1"/>
                <w:bCs w:val="1"/>
                <w:color w:val="FFFFFF"/>
                <w:w w:val="95"/>
              </w:rPr>
              <w:t>PAGP</w:t>
            </w:r>
          </w:p>
        </w:tc>
        <w:tc>
          <w:tcPr>
            <w:tcW w:w="300" w:type="dxa"/>
            <w:vAlign w:val="bottom"/>
            <w:shd w:val="clear" w:color="auto" w:fill="424E6A"/>
          </w:tcPr>
          <w:p>
            <w:pPr>
              <w:spacing w:after="0"/>
              <w:rPr>
                <w:sz w:val="14"/>
                <w:szCs w:val="14"/>
                <w:color w:val="auto"/>
              </w:rPr>
            </w:pPr>
          </w:p>
        </w:tc>
        <w:tc>
          <w:tcPr>
            <w:tcW w:w="640" w:type="dxa"/>
            <w:vAlign w:val="bottom"/>
            <w:shd w:val="clear" w:color="auto" w:fill="424E6A"/>
          </w:tcPr>
          <w:p>
            <w:pPr>
              <w:jc w:val="right"/>
              <w:ind w:right="148"/>
              <w:spacing w:after="0"/>
              <w:rPr>
                <w:sz w:val="20"/>
                <w:szCs w:val="20"/>
                <w:color w:val="auto"/>
              </w:rPr>
            </w:pPr>
            <w:r>
              <w:rPr>
                <w:rFonts w:ascii="Arial" w:cs="Arial" w:eastAsia="Arial" w:hAnsi="Arial"/>
                <w:sz w:val="14"/>
                <w:szCs w:val="14"/>
                <w:b w:val="1"/>
                <w:bCs w:val="1"/>
                <w:color w:val="FFFFFF"/>
              </w:rPr>
              <w:t>Total</w:t>
            </w:r>
          </w:p>
        </w:tc>
        <w:tc>
          <w:tcPr>
            <w:tcW w:w="180" w:type="dxa"/>
            <w:vAlign w:val="bottom"/>
            <w:tcBorders>
              <w:right w:val="single" w:sz="8" w:color="424E6A"/>
            </w:tcBorders>
            <w:shd w:val="clear" w:color="auto" w:fill="424E6A"/>
          </w:tcPr>
          <w:p>
            <w:pPr>
              <w:spacing w:after="0"/>
              <w:rPr>
                <w:sz w:val="14"/>
                <w:szCs w:val="14"/>
                <w:color w:val="auto"/>
              </w:rPr>
            </w:pPr>
          </w:p>
        </w:tc>
        <w:tc>
          <w:tcPr>
            <w:tcW w:w="960" w:type="dxa"/>
            <w:vAlign w:val="bottom"/>
            <w:gridSpan w:val="2"/>
            <w:shd w:val="clear" w:color="auto" w:fill="424E6A"/>
          </w:tcPr>
          <w:p>
            <w:pPr>
              <w:jc w:val="center"/>
              <w:ind w:left="69"/>
              <w:spacing w:after="0"/>
              <w:rPr>
                <w:sz w:val="20"/>
                <w:szCs w:val="20"/>
                <w:color w:val="auto"/>
              </w:rPr>
            </w:pPr>
            <w:r>
              <w:rPr>
                <w:rFonts w:ascii="Arial" w:cs="Arial" w:eastAsia="Arial" w:hAnsi="Arial"/>
                <w:sz w:val="14"/>
                <w:szCs w:val="14"/>
                <w:b w:val="1"/>
                <w:bCs w:val="1"/>
                <w:color w:val="FFFFFF"/>
              </w:rPr>
              <w:t>Percentage</w:t>
            </w:r>
          </w:p>
        </w:tc>
        <w:tc>
          <w:tcPr>
            <w:tcW w:w="22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Borders>
              <w:left w:val="single" w:sz="8" w:color="424E6A"/>
            </w:tcBorders>
            <w:shd w:val="clear" w:color="auto" w:fill="424E6A"/>
          </w:tcPr>
          <w:p>
            <w:pPr>
              <w:spacing w:after="0"/>
              <w:rPr>
                <w:sz w:val="14"/>
                <w:szCs w:val="14"/>
                <w:color w:val="auto"/>
              </w:rPr>
            </w:pPr>
          </w:p>
        </w:tc>
        <w:tc>
          <w:tcPr>
            <w:tcW w:w="120" w:type="dxa"/>
            <w:vAlign w:val="bottom"/>
            <w:tcBorders>
              <w:right w:val="single" w:sz="8" w:color="424E6A"/>
            </w:tcBorders>
            <w:shd w:val="clear" w:color="auto" w:fill="424E6A"/>
          </w:tcPr>
          <w:p>
            <w:pPr>
              <w:spacing w:after="0"/>
              <w:rPr>
                <w:sz w:val="14"/>
                <w:szCs w:val="14"/>
                <w:color w:val="auto"/>
              </w:rPr>
            </w:pPr>
          </w:p>
        </w:tc>
        <w:tc>
          <w:tcPr>
            <w:tcW w:w="1120" w:type="dxa"/>
            <w:vAlign w:val="bottom"/>
            <w:gridSpan w:val="2"/>
            <w:shd w:val="clear" w:color="auto" w:fill="424E6A"/>
          </w:tcPr>
          <w:p>
            <w:pPr>
              <w:ind w:left="240"/>
              <w:spacing w:after="0"/>
              <w:rPr>
                <w:sz w:val="20"/>
                <w:szCs w:val="20"/>
                <w:color w:val="auto"/>
              </w:rPr>
            </w:pPr>
            <w:r>
              <w:rPr>
                <w:rFonts w:ascii="Arial" w:cs="Arial" w:eastAsia="Arial" w:hAnsi="Arial"/>
                <w:sz w:val="14"/>
                <w:szCs w:val="14"/>
                <w:b w:val="1"/>
                <w:bCs w:val="1"/>
                <w:color w:val="FFFFFF"/>
              </w:rPr>
              <w:t>Total PAA</w:t>
            </w:r>
          </w:p>
        </w:tc>
        <w:tc>
          <w:tcPr>
            <w:tcW w:w="20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640" w:type="dxa"/>
            <w:vAlign w:val="bottom"/>
            <w:shd w:val="clear" w:color="auto" w:fill="424E6A"/>
          </w:tcPr>
          <w:p>
            <w:pPr>
              <w:spacing w:after="0"/>
              <w:rPr>
                <w:sz w:val="14"/>
                <w:szCs w:val="14"/>
                <w:color w:val="auto"/>
              </w:rPr>
            </w:pPr>
          </w:p>
        </w:tc>
        <w:tc>
          <w:tcPr>
            <w:tcW w:w="160" w:type="dxa"/>
            <w:vAlign w:val="bottom"/>
            <w:tcBorders>
              <w:right w:val="single" w:sz="8" w:color="424E6A"/>
            </w:tcBorders>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880" w:type="dxa"/>
            <w:vAlign w:val="bottom"/>
            <w:tcBorders>
              <w:right w:val="single" w:sz="8" w:color="424E6A"/>
            </w:tcBorders>
            <w:shd w:val="clear" w:color="auto" w:fill="424E6A"/>
          </w:tcPr>
          <w:p>
            <w:pPr>
              <w:spacing w:after="0"/>
              <w:rPr>
                <w:sz w:val="14"/>
                <w:szCs w:val="14"/>
                <w:color w:val="auto"/>
              </w:rPr>
            </w:pPr>
          </w:p>
        </w:tc>
        <w:tc>
          <w:tcPr>
            <w:tcW w:w="240" w:type="dxa"/>
            <w:vAlign w:val="bottom"/>
            <w:shd w:val="clear" w:color="auto" w:fill="424E6A"/>
          </w:tcPr>
          <w:p>
            <w:pPr>
              <w:spacing w:after="0"/>
              <w:rPr>
                <w:sz w:val="14"/>
                <w:szCs w:val="14"/>
                <w:color w:val="auto"/>
              </w:rPr>
            </w:pPr>
          </w:p>
        </w:tc>
        <w:tc>
          <w:tcPr>
            <w:tcW w:w="880" w:type="dxa"/>
            <w:vAlign w:val="bottom"/>
            <w:tcBorders>
              <w:right w:val="single" w:sz="8" w:color="424E6A"/>
            </w:tcBorders>
            <w:shd w:val="clear" w:color="auto" w:fill="424E6A"/>
          </w:tcPr>
          <w:p>
            <w:pPr>
              <w:jc w:val="center"/>
              <w:ind w:right="248"/>
              <w:spacing w:after="0"/>
              <w:rPr>
                <w:sz w:val="20"/>
                <w:szCs w:val="20"/>
                <w:color w:val="auto"/>
              </w:rPr>
            </w:pPr>
            <w:r>
              <w:rPr>
                <w:rFonts w:ascii="Arial" w:cs="Arial" w:eastAsia="Arial" w:hAnsi="Arial"/>
                <w:sz w:val="14"/>
                <w:szCs w:val="14"/>
                <w:b w:val="1"/>
                <w:bCs w:val="1"/>
                <w:color w:val="FFFFFF"/>
              </w:rPr>
              <w:t>Class A</w:t>
            </w:r>
          </w:p>
        </w:tc>
        <w:tc>
          <w:tcPr>
            <w:tcW w:w="940" w:type="dxa"/>
            <w:vAlign w:val="bottom"/>
            <w:gridSpan w:val="2"/>
            <w:shd w:val="clear" w:color="auto" w:fill="424E6A"/>
          </w:tcPr>
          <w:p>
            <w:pPr>
              <w:ind w:left="200"/>
              <w:spacing w:after="0"/>
              <w:rPr>
                <w:sz w:val="20"/>
                <w:szCs w:val="20"/>
                <w:color w:val="auto"/>
              </w:rPr>
            </w:pPr>
            <w:r>
              <w:rPr>
                <w:rFonts w:ascii="Arial" w:cs="Arial" w:eastAsia="Arial" w:hAnsi="Arial"/>
                <w:sz w:val="14"/>
                <w:szCs w:val="14"/>
                <w:b w:val="1"/>
                <w:bCs w:val="1"/>
                <w:color w:val="FFFFFF"/>
              </w:rPr>
              <w:t>Combined</w:t>
            </w:r>
          </w:p>
        </w:tc>
        <w:tc>
          <w:tcPr>
            <w:tcW w:w="180" w:type="dxa"/>
            <w:vAlign w:val="bottom"/>
            <w:tcBorders>
              <w:right w:val="single" w:sz="8" w:color="424E6A"/>
            </w:tcBorders>
            <w:shd w:val="clear" w:color="auto" w:fill="424E6A"/>
          </w:tcPr>
          <w:p>
            <w:pPr>
              <w:spacing w:after="0"/>
              <w:rPr>
                <w:sz w:val="14"/>
                <w:szCs w:val="14"/>
                <w:color w:val="auto"/>
              </w:rPr>
            </w:pPr>
          </w:p>
        </w:tc>
        <w:tc>
          <w:tcPr>
            <w:tcW w:w="960" w:type="dxa"/>
            <w:vAlign w:val="bottom"/>
            <w:gridSpan w:val="2"/>
            <w:shd w:val="clear" w:color="auto" w:fill="424E6A"/>
          </w:tcPr>
          <w:p>
            <w:pPr>
              <w:jc w:val="center"/>
              <w:ind w:left="69"/>
              <w:spacing w:after="0"/>
              <w:rPr>
                <w:sz w:val="20"/>
                <w:szCs w:val="20"/>
                <w:color w:val="auto"/>
              </w:rPr>
            </w:pPr>
            <w:r>
              <w:rPr>
                <w:rFonts w:ascii="Arial" w:cs="Arial" w:eastAsia="Arial" w:hAnsi="Arial"/>
                <w:sz w:val="14"/>
                <w:szCs w:val="14"/>
                <w:b w:val="1"/>
                <w:bCs w:val="1"/>
                <w:color w:val="FFFFFF"/>
              </w:rPr>
              <w:t>of</w:t>
            </w:r>
          </w:p>
        </w:tc>
        <w:tc>
          <w:tcPr>
            <w:tcW w:w="22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Borders>
              <w:left w:val="single" w:sz="8" w:color="424E6A"/>
            </w:tcBorders>
            <w:shd w:val="clear" w:color="auto" w:fill="424E6A"/>
          </w:tcPr>
          <w:p>
            <w:pPr>
              <w:spacing w:after="0"/>
              <w:rPr>
                <w:sz w:val="14"/>
                <w:szCs w:val="14"/>
                <w:color w:val="auto"/>
              </w:rPr>
            </w:pPr>
          </w:p>
        </w:tc>
        <w:tc>
          <w:tcPr>
            <w:tcW w:w="120" w:type="dxa"/>
            <w:vAlign w:val="bottom"/>
            <w:tcBorders>
              <w:right w:val="single" w:sz="8" w:color="424E6A"/>
            </w:tcBorders>
            <w:shd w:val="clear" w:color="auto" w:fill="424E6A"/>
          </w:tcPr>
          <w:p>
            <w:pPr>
              <w:spacing w:after="0"/>
              <w:rPr>
                <w:sz w:val="14"/>
                <w:szCs w:val="14"/>
                <w:color w:val="auto"/>
              </w:rPr>
            </w:pPr>
          </w:p>
        </w:tc>
        <w:tc>
          <w:tcPr>
            <w:tcW w:w="11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Common and</w:t>
            </w:r>
          </w:p>
        </w:tc>
        <w:tc>
          <w:tcPr>
            <w:tcW w:w="20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640" w:type="dxa"/>
            <w:vAlign w:val="bottom"/>
            <w:shd w:val="clear" w:color="auto" w:fill="424E6A"/>
          </w:tcPr>
          <w:p>
            <w:pPr>
              <w:jc w:val="center"/>
              <w:ind w:right="48"/>
              <w:spacing w:after="0"/>
              <w:rPr>
                <w:sz w:val="20"/>
                <w:szCs w:val="20"/>
                <w:color w:val="auto"/>
              </w:rPr>
            </w:pPr>
            <w:r>
              <w:rPr>
                <w:rFonts w:ascii="Arial" w:cs="Arial" w:eastAsia="Arial" w:hAnsi="Arial"/>
                <w:sz w:val="14"/>
                <w:szCs w:val="14"/>
                <w:b w:val="1"/>
                <w:bCs w:val="1"/>
                <w:color w:val="FFFFFF"/>
              </w:rPr>
              <w:t>PAGP</w:t>
            </w:r>
          </w:p>
        </w:tc>
        <w:tc>
          <w:tcPr>
            <w:tcW w:w="160" w:type="dxa"/>
            <w:vAlign w:val="bottom"/>
            <w:tcBorders>
              <w:right w:val="single" w:sz="8" w:color="424E6A"/>
            </w:tcBorders>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880" w:type="dxa"/>
            <w:vAlign w:val="bottom"/>
            <w:tcBorders>
              <w:right w:val="single" w:sz="8" w:color="424E6A"/>
            </w:tcBorders>
            <w:shd w:val="clear" w:color="auto" w:fill="424E6A"/>
          </w:tcPr>
          <w:p>
            <w:pPr>
              <w:jc w:val="center"/>
              <w:ind w:right="248"/>
              <w:spacing w:after="0"/>
              <w:rPr>
                <w:sz w:val="20"/>
                <w:szCs w:val="20"/>
                <w:color w:val="auto"/>
              </w:rPr>
            </w:pPr>
            <w:r>
              <w:rPr>
                <w:rFonts w:ascii="Arial" w:cs="Arial" w:eastAsia="Arial" w:hAnsi="Arial"/>
                <w:sz w:val="14"/>
                <w:szCs w:val="14"/>
                <w:b w:val="1"/>
                <w:bCs w:val="1"/>
                <w:color w:val="FFFFFF"/>
              </w:rPr>
              <w:t>PAGP</w:t>
            </w:r>
          </w:p>
        </w:tc>
        <w:tc>
          <w:tcPr>
            <w:tcW w:w="240" w:type="dxa"/>
            <w:vAlign w:val="bottom"/>
            <w:shd w:val="clear" w:color="auto" w:fill="424E6A"/>
          </w:tcPr>
          <w:p>
            <w:pPr>
              <w:spacing w:after="0"/>
              <w:rPr>
                <w:sz w:val="14"/>
                <w:szCs w:val="14"/>
                <w:color w:val="auto"/>
              </w:rPr>
            </w:pPr>
          </w:p>
        </w:tc>
        <w:tc>
          <w:tcPr>
            <w:tcW w:w="880" w:type="dxa"/>
            <w:vAlign w:val="bottom"/>
            <w:tcBorders>
              <w:right w:val="single" w:sz="8" w:color="424E6A"/>
            </w:tcBorders>
            <w:shd w:val="clear" w:color="auto" w:fill="424E6A"/>
          </w:tcPr>
          <w:p>
            <w:pPr>
              <w:jc w:val="center"/>
              <w:ind w:right="228"/>
              <w:spacing w:after="0"/>
              <w:rPr>
                <w:sz w:val="20"/>
                <w:szCs w:val="20"/>
                <w:color w:val="auto"/>
              </w:rPr>
            </w:pPr>
            <w:r>
              <w:rPr>
                <w:rFonts w:ascii="Arial" w:cs="Arial" w:eastAsia="Arial" w:hAnsi="Arial"/>
                <w:sz w:val="14"/>
                <w:szCs w:val="14"/>
                <w:b w:val="1"/>
                <w:bCs w:val="1"/>
                <w:color w:val="FFFFFF"/>
              </w:rPr>
              <w:t>and</w:t>
            </w:r>
          </w:p>
        </w:tc>
        <w:tc>
          <w:tcPr>
            <w:tcW w:w="300" w:type="dxa"/>
            <w:vAlign w:val="bottom"/>
            <w:shd w:val="clear" w:color="auto" w:fill="424E6A"/>
          </w:tcPr>
          <w:p>
            <w:pPr>
              <w:spacing w:after="0"/>
              <w:rPr>
                <w:sz w:val="14"/>
                <w:szCs w:val="14"/>
                <w:color w:val="auto"/>
              </w:rPr>
            </w:pPr>
          </w:p>
        </w:tc>
        <w:tc>
          <w:tcPr>
            <w:tcW w:w="640" w:type="dxa"/>
            <w:vAlign w:val="bottom"/>
            <w:shd w:val="clear" w:color="auto" w:fill="424E6A"/>
          </w:tcPr>
          <w:p>
            <w:pPr>
              <w:jc w:val="right"/>
              <w:ind w:right="88"/>
              <w:spacing w:after="0"/>
              <w:rPr>
                <w:sz w:val="20"/>
                <w:szCs w:val="20"/>
                <w:color w:val="auto"/>
              </w:rPr>
            </w:pPr>
            <w:r>
              <w:rPr>
                <w:rFonts w:ascii="Arial" w:cs="Arial" w:eastAsia="Arial" w:hAnsi="Arial"/>
                <w:sz w:val="14"/>
                <w:szCs w:val="14"/>
                <w:b w:val="1"/>
                <w:bCs w:val="1"/>
                <w:color w:val="FFFFFF"/>
              </w:rPr>
              <w:t>PAA/​</w:t>
            </w:r>
          </w:p>
        </w:tc>
        <w:tc>
          <w:tcPr>
            <w:tcW w:w="180" w:type="dxa"/>
            <w:vAlign w:val="bottom"/>
            <w:tcBorders>
              <w:right w:val="single" w:sz="8" w:color="424E6A"/>
            </w:tcBorders>
            <w:shd w:val="clear" w:color="auto" w:fill="424E6A"/>
          </w:tcPr>
          <w:p>
            <w:pPr>
              <w:spacing w:after="0"/>
              <w:rPr>
                <w:sz w:val="14"/>
                <w:szCs w:val="14"/>
                <w:color w:val="auto"/>
              </w:rPr>
            </w:pPr>
          </w:p>
        </w:tc>
        <w:tc>
          <w:tcPr>
            <w:tcW w:w="960" w:type="dxa"/>
            <w:vAlign w:val="bottom"/>
            <w:gridSpan w:val="2"/>
            <w:shd w:val="clear" w:color="auto" w:fill="424E6A"/>
          </w:tcPr>
          <w:p>
            <w:pPr>
              <w:jc w:val="center"/>
              <w:ind w:left="89"/>
              <w:spacing w:after="0"/>
              <w:rPr>
                <w:sz w:val="20"/>
                <w:szCs w:val="20"/>
                <w:color w:val="auto"/>
              </w:rPr>
            </w:pPr>
            <w:r>
              <w:rPr>
                <w:rFonts w:ascii="Arial" w:cs="Arial" w:eastAsia="Arial" w:hAnsi="Arial"/>
                <w:sz w:val="14"/>
                <w:szCs w:val="14"/>
                <w:b w:val="1"/>
                <w:bCs w:val="1"/>
                <w:color w:val="FFFFFF"/>
              </w:rPr>
              <w:t>Overall</w:t>
            </w:r>
          </w:p>
        </w:tc>
        <w:tc>
          <w:tcPr>
            <w:tcW w:w="22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Borders>
              <w:left w:val="single" w:sz="8" w:color="424E6A"/>
            </w:tcBorders>
            <w:shd w:val="clear" w:color="auto" w:fill="424E6A"/>
          </w:tcPr>
          <w:p>
            <w:pPr>
              <w:spacing w:after="0"/>
              <w:rPr>
                <w:sz w:val="14"/>
                <w:szCs w:val="14"/>
                <w:color w:val="auto"/>
              </w:rPr>
            </w:pPr>
          </w:p>
        </w:tc>
        <w:tc>
          <w:tcPr>
            <w:tcW w:w="120" w:type="dxa"/>
            <w:vAlign w:val="bottom"/>
            <w:tcBorders>
              <w:right w:val="single" w:sz="8" w:color="424E6A"/>
            </w:tcBorders>
            <w:shd w:val="clear" w:color="auto" w:fill="424E6A"/>
          </w:tcPr>
          <w:p>
            <w:pPr>
              <w:spacing w:after="0"/>
              <w:rPr>
                <w:sz w:val="14"/>
                <w:szCs w:val="14"/>
                <w:color w:val="auto"/>
              </w:rPr>
            </w:pPr>
          </w:p>
        </w:tc>
        <w:tc>
          <w:tcPr>
            <w:tcW w:w="280" w:type="dxa"/>
            <w:vAlign w:val="bottom"/>
            <w:shd w:val="clear" w:color="auto" w:fill="424E6A"/>
          </w:tcPr>
          <w:p>
            <w:pPr>
              <w:spacing w:after="0"/>
              <w:rPr>
                <w:sz w:val="14"/>
                <w:szCs w:val="14"/>
                <w:color w:val="auto"/>
              </w:rPr>
            </w:pPr>
          </w:p>
        </w:tc>
        <w:tc>
          <w:tcPr>
            <w:tcW w:w="840" w:type="dxa"/>
            <w:vAlign w:val="bottom"/>
            <w:shd w:val="clear" w:color="auto" w:fill="424E6A"/>
          </w:tcPr>
          <w:p>
            <w:pPr>
              <w:jc w:val="center"/>
              <w:ind w:right="188"/>
              <w:spacing w:after="0"/>
              <w:rPr>
                <w:sz w:val="20"/>
                <w:szCs w:val="20"/>
                <w:color w:val="auto"/>
              </w:rPr>
            </w:pPr>
            <w:r>
              <w:rPr>
                <w:rFonts w:ascii="Arial" w:cs="Arial" w:eastAsia="Arial" w:hAnsi="Arial"/>
                <w:sz w:val="14"/>
                <w:szCs w:val="14"/>
                <w:b w:val="1"/>
                <w:bCs w:val="1"/>
                <w:color w:val="FFFFFF"/>
              </w:rPr>
              <w:t>Series A</w:t>
            </w:r>
          </w:p>
        </w:tc>
        <w:tc>
          <w:tcPr>
            <w:tcW w:w="20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640" w:type="dxa"/>
            <w:vAlign w:val="bottom"/>
            <w:shd w:val="clear" w:color="auto" w:fill="424E6A"/>
          </w:tcPr>
          <w:p>
            <w:pPr>
              <w:jc w:val="center"/>
              <w:ind w:right="48"/>
              <w:spacing w:after="0"/>
              <w:rPr>
                <w:sz w:val="20"/>
                <w:szCs w:val="20"/>
                <w:color w:val="auto"/>
              </w:rPr>
            </w:pPr>
            <w:r>
              <w:rPr>
                <w:rFonts w:ascii="Arial" w:cs="Arial" w:eastAsia="Arial" w:hAnsi="Arial"/>
                <w:sz w:val="14"/>
                <w:szCs w:val="14"/>
                <w:b w:val="1"/>
                <w:bCs w:val="1"/>
                <w:color w:val="FFFFFF"/>
              </w:rPr>
              <w:t>Class A</w:t>
            </w:r>
          </w:p>
        </w:tc>
        <w:tc>
          <w:tcPr>
            <w:tcW w:w="160" w:type="dxa"/>
            <w:vAlign w:val="bottom"/>
            <w:tcBorders>
              <w:right w:val="single" w:sz="8" w:color="424E6A"/>
            </w:tcBorders>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880" w:type="dxa"/>
            <w:vAlign w:val="bottom"/>
            <w:tcBorders>
              <w:right w:val="single" w:sz="8" w:color="424E6A"/>
            </w:tcBorders>
            <w:shd w:val="clear" w:color="auto" w:fill="424E6A"/>
          </w:tcPr>
          <w:p>
            <w:pPr>
              <w:jc w:val="center"/>
              <w:ind w:right="248"/>
              <w:spacing w:after="0"/>
              <w:rPr>
                <w:sz w:val="20"/>
                <w:szCs w:val="20"/>
                <w:color w:val="auto"/>
              </w:rPr>
            </w:pPr>
            <w:r>
              <w:rPr>
                <w:rFonts w:ascii="Arial" w:cs="Arial" w:eastAsia="Arial" w:hAnsi="Arial"/>
                <w:sz w:val="14"/>
                <w:szCs w:val="14"/>
                <w:b w:val="1"/>
                <w:bCs w:val="1"/>
                <w:color w:val="FFFFFF"/>
              </w:rPr>
              <w:t>Class B</w:t>
            </w:r>
          </w:p>
        </w:tc>
        <w:tc>
          <w:tcPr>
            <w:tcW w:w="240" w:type="dxa"/>
            <w:vAlign w:val="bottom"/>
            <w:shd w:val="clear" w:color="auto" w:fill="424E6A"/>
          </w:tcPr>
          <w:p>
            <w:pPr>
              <w:spacing w:after="0"/>
              <w:rPr>
                <w:sz w:val="14"/>
                <w:szCs w:val="14"/>
                <w:color w:val="auto"/>
              </w:rPr>
            </w:pPr>
          </w:p>
        </w:tc>
        <w:tc>
          <w:tcPr>
            <w:tcW w:w="880" w:type="dxa"/>
            <w:vAlign w:val="bottom"/>
            <w:tcBorders>
              <w:right w:val="single" w:sz="8" w:color="424E6A"/>
            </w:tcBorders>
            <w:shd w:val="clear" w:color="auto" w:fill="424E6A"/>
          </w:tcPr>
          <w:p>
            <w:pPr>
              <w:jc w:val="center"/>
              <w:ind w:right="228"/>
              <w:spacing w:after="0"/>
              <w:rPr>
                <w:sz w:val="20"/>
                <w:szCs w:val="20"/>
                <w:color w:val="auto"/>
              </w:rPr>
            </w:pPr>
            <w:r>
              <w:rPr>
                <w:rFonts w:ascii="Arial" w:cs="Arial" w:eastAsia="Arial" w:hAnsi="Arial"/>
                <w:sz w:val="14"/>
                <w:szCs w:val="14"/>
                <w:b w:val="1"/>
                <w:bCs w:val="1"/>
                <w:color w:val="FFFFFF"/>
              </w:rPr>
              <w:t>Class B</w:t>
            </w:r>
          </w:p>
        </w:tc>
        <w:tc>
          <w:tcPr>
            <w:tcW w:w="300" w:type="dxa"/>
            <w:vAlign w:val="bottom"/>
            <w:shd w:val="clear" w:color="auto" w:fill="424E6A"/>
          </w:tcPr>
          <w:p>
            <w:pPr>
              <w:spacing w:after="0"/>
              <w:rPr>
                <w:sz w:val="14"/>
                <w:szCs w:val="14"/>
                <w:color w:val="auto"/>
              </w:rPr>
            </w:pPr>
          </w:p>
        </w:tc>
        <w:tc>
          <w:tcPr>
            <w:tcW w:w="640" w:type="dxa"/>
            <w:vAlign w:val="bottom"/>
            <w:shd w:val="clear" w:color="auto" w:fill="424E6A"/>
          </w:tcPr>
          <w:p>
            <w:pPr>
              <w:jc w:val="right"/>
              <w:ind w:right="108"/>
              <w:spacing w:after="0"/>
              <w:rPr>
                <w:sz w:val="20"/>
                <w:szCs w:val="20"/>
                <w:color w:val="auto"/>
              </w:rPr>
            </w:pPr>
            <w:r>
              <w:rPr>
                <w:rFonts w:ascii="Arial" w:cs="Arial" w:eastAsia="Arial" w:hAnsi="Arial"/>
                <w:sz w:val="14"/>
                <w:szCs w:val="14"/>
                <w:b w:val="1"/>
                <w:bCs w:val="1"/>
                <w:color w:val="FFFFFF"/>
              </w:rPr>
              <w:t>PAGP</w:t>
            </w:r>
          </w:p>
        </w:tc>
        <w:tc>
          <w:tcPr>
            <w:tcW w:w="180" w:type="dxa"/>
            <w:vAlign w:val="bottom"/>
            <w:tcBorders>
              <w:right w:val="single" w:sz="8" w:color="424E6A"/>
            </w:tcBorders>
            <w:shd w:val="clear" w:color="auto" w:fill="424E6A"/>
          </w:tcPr>
          <w:p>
            <w:pPr>
              <w:spacing w:after="0"/>
              <w:rPr>
                <w:sz w:val="14"/>
                <w:szCs w:val="14"/>
                <w:color w:val="auto"/>
              </w:rPr>
            </w:pPr>
          </w:p>
        </w:tc>
        <w:tc>
          <w:tcPr>
            <w:tcW w:w="960" w:type="dxa"/>
            <w:vAlign w:val="bottom"/>
            <w:gridSpan w:val="2"/>
            <w:shd w:val="clear" w:color="auto" w:fill="424E6A"/>
          </w:tcPr>
          <w:p>
            <w:pPr>
              <w:jc w:val="center"/>
              <w:ind w:left="89"/>
              <w:spacing w:after="0"/>
              <w:rPr>
                <w:sz w:val="20"/>
                <w:szCs w:val="20"/>
                <w:color w:val="auto"/>
              </w:rPr>
            </w:pPr>
            <w:r>
              <w:rPr>
                <w:rFonts w:ascii="Arial" w:cs="Arial" w:eastAsia="Arial" w:hAnsi="Arial"/>
                <w:sz w:val="14"/>
                <w:szCs w:val="14"/>
                <w:b w:val="1"/>
                <w:bCs w:val="1"/>
                <w:color w:val="FFFFFF"/>
              </w:rPr>
              <w:t>Voting</w:t>
            </w:r>
          </w:p>
        </w:tc>
        <w:tc>
          <w:tcPr>
            <w:tcW w:w="22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340" w:type="dxa"/>
            <w:vAlign w:val="bottom"/>
            <w:tcBorders>
              <w:lef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Name</w:t>
            </w:r>
          </w:p>
        </w:tc>
        <w:tc>
          <w:tcPr>
            <w:tcW w:w="120" w:type="dxa"/>
            <w:vAlign w:val="bottom"/>
            <w:tcBorders>
              <w:righ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w:t>
            </w:r>
          </w:p>
        </w:tc>
        <w:tc>
          <w:tcPr>
            <w:tcW w:w="11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Preferred Units</w:t>
            </w:r>
          </w:p>
        </w:tc>
        <w:tc>
          <w:tcPr>
            <w:tcW w:w="200" w:type="dxa"/>
            <w:vAlign w:val="bottom"/>
            <w:tcBorders>
              <w:right w:val="single" w:sz="8" w:color="424E6A"/>
            </w:tcBorders>
            <w:shd w:val="clear" w:color="auto" w:fill="424E6A"/>
          </w:tcPr>
          <w:p>
            <w:pPr>
              <w:jc w:val="right"/>
              <w:ind w:right="8"/>
              <w:spacing w:after="0"/>
              <w:rPr>
                <w:sz w:val="20"/>
                <w:szCs w:val="20"/>
                <w:color w:val="auto"/>
              </w:rPr>
            </w:pPr>
            <w:r>
              <w:rPr>
                <w:rFonts w:ascii="Arial" w:cs="Arial" w:eastAsia="Arial" w:hAnsi="Arial"/>
                <w:sz w:val="14"/>
                <w:szCs w:val="14"/>
                <w:b w:val="1"/>
                <w:bCs w:val="1"/>
                <w:color w:val="FFFFFF"/>
              </w:rPr>
              <w:t>​</w:t>
            </w:r>
          </w:p>
        </w:tc>
        <w:tc>
          <w:tcPr>
            <w:tcW w:w="220" w:type="dxa"/>
            <w:vAlign w:val="bottom"/>
            <w:shd w:val="clear" w:color="auto" w:fill="424E6A"/>
          </w:tcPr>
          <w:p>
            <w:pPr>
              <w:ind w:left="80"/>
              <w:spacing w:after="0"/>
              <w:rPr>
                <w:sz w:val="20"/>
                <w:szCs w:val="20"/>
                <w:color w:val="auto"/>
              </w:rPr>
            </w:pPr>
            <w:r>
              <w:rPr>
                <w:rFonts w:ascii="Arial" w:cs="Arial" w:eastAsia="Arial" w:hAnsi="Arial"/>
                <w:sz w:val="14"/>
                <w:szCs w:val="14"/>
                <w:b w:val="1"/>
                <w:bCs w:val="1"/>
                <w:color w:val="FFFFFF"/>
              </w:rPr>
              <w:t>​</w:t>
            </w:r>
          </w:p>
        </w:tc>
        <w:tc>
          <w:tcPr>
            <w:tcW w:w="640" w:type="dxa"/>
            <w:vAlign w:val="bottom"/>
            <w:shd w:val="clear" w:color="auto" w:fill="424E6A"/>
          </w:tcPr>
          <w:p>
            <w:pPr>
              <w:jc w:val="center"/>
              <w:ind w:right="8"/>
              <w:spacing w:after="0"/>
              <w:rPr>
                <w:sz w:val="20"/>
                <w:szCs w:val="20"/>
                <w:color w:val="auto"/>
              </w:rPr>
            </w:pPr>
            <w:r>
              <w:rPr>
                <w:rFonts w:ascii="Arial" w:cs="Arial" w:eastAsia="Arial" w:hAnsi="Arial"/>
                <w:sz w:val="14"/>
                <w:szCs w:val="14"/>
                <w:b w:val="1"/>
                <w:bCs w:val="1"/>
                <w:color w:val="FFFFFF"/>
              </w:rPr>
              <w:t>Shares</w:t>
            </w:r>
          </w:p>
        </w:tc>
        <w:tc>
          <w:tcPr>
            <w:tcW w:w="160" w:type="dxa"/>
            <w:vAlign w:val="bottom"/>
            <w:tcBorders>
              <w:righ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w:t>
            </w:r>
          </w:p>
        </w:tc>
        <w:tc>
          <w:tcPr>
            <w:tcW w:w="260" w:type="dxa"/>
            <w:vAlign w:val="bottom"/>
            <w:shd w:val="clear" w:color="auto" w:fill="424E6A"/>
          </w:tcPr>
          <w:p>
            <w:pPr>
              <w:spacing w:after="0"/>
              <w:rPr>
                <w:sz w:val="18"/>
                <w:szCs w:val="18"/>
                <w:color w:val="auto"/>
              </w:rPr>
            </w:pPr>
          </w:p>
        </w:tc>
        <w:tc>
          <w:tcPr>
            <w:tcW w:w="880" w:type="dxa"/>
            <w:vAlign w:val="bottom"/>
            <w:tcBorders>
              <w:right w:val="single" w:sz="8" w:color="424E6A"/>
            </w:tcBorders>
            <w:shd w:val="clear" w:color="auto" w:fill="424E6A"/>
          </w:tcPr>
          <w:p>
            <w:pPr>
              <w:jc w:val="center"/>
              <w:ind w:right="208"/>
              <w:spacing w:after="0"/>
              <w:rPr>
                <w:sz w:val="20"/>
                <w:szCs w:val="20"/>
                <w:color w:val="auto"/>
              </w:rPr>
            </w:pPr>
            <w:r>
              <w:rPr>
                <w:rFonts w:ascii="Arial" w:cs="Arial" w:eastAsia="Arial" w:hAnsi="Arial"/>
                <w:sz w:val="14"/>
                <w:szCs w:val="14"/>
                <w:b w:val="1"/>
                <w:bCs w:val="1"/>
                <w:color w:val="FFFFFF"/>
              </w:rPr>
              <w:t>Shares</w:t>
            </w:r>
          </w:p>
        </w:tc>
        <w:tc>
          <w:tcPr>
            <w:tcW w:w="240" w:type="dxa"/>
            <w:vAlign w:val="bottom"/>
            <w:shd w:val="clear" w:color="auto" w:fill="424E6A"/>
          </w:tcPr>
          <w:p>
            <w:pPr>
              <w:spacing w:after="0"/>
              <w:rPr>
                <w:sz w:val="18"/>
                <w:szCs w:val="18"/>
                <w:color w:val="auto"/>
              </w:rPr>
            </w:pPr>
          </w:p>
        </w:tc>
        <w:tc>
          <w:tcPr>
            <w:tcW w:w="880" w:type="dxa"/>
            <w:vAlign w:val="bottom"/>
            <w:tcBorders>
              <w:right w:val="single" w:sz="8" w:color="424E6A"/>
            </w:tcBorders>
            <w:shd w:val="clear" w:color="auto" w:fill="424E6A"/>
          </w:tcPr>
          <w:p>
            <w:pPr>
              <w:jc w:val="center"/>
              <w:ind w:right="208"/>
              <w:spacing w:after="0"/>
              <w:rPr>
                <w:sz w:val="20"/>
                <w:szCs w:val="20"/>
                <w:color w:val="auto"/>
              </w:rPr>
            </w:pPr>
            <w:r>
              <w:rPr>
                <w:rFonts w:ascii="Arial" w:cs="Arial" w:eastAsia="Arial" w:hAnsi="Arial"/>
                <w:sz w:val="14"/>
                <w:szCs w:val="14"/>
                <w:b w:val="1"/>
                <w:bCs w:val="1"/>
                <w:color w:val="FFFFFF"/>
              </w:rPr>
              <w:t>Shares</w:t>
            </w:r>
          </w:p>
        </w:tc>
        <w:tc>
          <w:tcPr>
            <w:tcW w:w="940" w:type="dxa"/>
            <w:vAlign w:val="bottom"/>
            <w:gridSpan w:val="2"/>
            <w:shd w:val="clear" w:color="auto" w:fill="424E6A"/>
          </w:tcPr>
          <w:p>
            <w:pPr>
              <w:ind w:left="200"/>
              <w:spacing w:after="0"/>
              <w:rPr>
                <w:sz w:val="20"/>
                <w:szCs w:val="20"/>
                <w:color w:val="auto"/>
              </w:rPr>
            </w:pPr>
            <w:r>
              <w:rPr>
                <w:rFonts w:ascii="Arial" w:cs="Arial" w:eastAsia="Arial" w:hAnsi="Arial"/>
                <w:sz w:val="14"/>
                <w:szCs w:val="14"/>
                <w:b w:val="1"/>
                <w:bCs w:val="1"/>
                <w:color w:val="FFFFFF"/>
                <w:w w:val="99"/>
              </w:rPr>
              <w:t>Ownership</w:t>
            </w:r>
          </w:p>
        </w:tc>
        <w:tc>
          <w:tcPr>
            <w:tcW w:w="180" w:type="dxa"/>
            <w:vAlign w:val="bottom"/>
            <w:tcBorders>
              <w:right w:val="single" w:sz="8" w:color="424E6A"/>
            </w:tcBorders>
            <w:shd w:val="clear" w:color="auto" w:fill="424E6A"/>
          </w:tcPr>
          <w:p>
            <w:pPr>
              <w:spacing w:after="0"/>
              <w:rPr>
                <w:sz w:val="18"/>
                <w:szCs w:val="18"/>
                <w:color w:val="auto"/>
              </w:rPr>
            </w:pPr>
          </w:p>
        </w:tc>
        <w:tc>
          <w:tcPr>
            <w:tcW w:w="960" w:type="dxa"/>
            <w:vAlign w:val="bottom"/>
            <w:gridSpan w:val="2"/>
            <w:shd w:val="clear" w:color="auto" w:fill="424E6A"/>
          </w:tcPr>
          <w:p>
            <w:pPr>
              <w:jc w:val="center"/>
              <w:ind w:left="129"/>
              <w:spacing w:after="0"/>
              <w:rPr>
                <w:sz w:val="20"/>
                <w:szCs w:val="20"/>
                <w:color w:val="auto"/>
              </w:rPr>
            </w:pPr>
            <w:r>
              <w:rPr>
                <w:rFonts w:ascii="Arial" w:cs="Arial" w:eastAsia="Arial" w:hAnsi="Arial"/>
                <w:sz w:val="14"/>
                <w:szCs w:val="14"/>
                <w:b w:val="1"/>
                <w:bCs w:val="1"/>
                <w:color w:val="FFFFFF"/>
              </w:rPr>
              <w:t>Interests</w:t>
            </w:r>
          </w:p>
        </w:tc>
        <w:tc>
          <w:tcPr>
            <w:tcW w:w="220" w:type="dxa"/>
            <w:vAlign w:val="bottom"/>
            <w:tcBorders>
              <w:right w:val="single" w:sz="8" w:color="424E6A"/>
            </w:tcBorders>
            <w:shd w:val="clear" w:color="auto" w:fill="424E6A"/>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9"/>
        </w:trPr>
        <w:tc>
          <w:tcPr>
            <w:tcW w:w="134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Willie Chiang</w:t>
            </w:r>
          </w:p>
        </w:tc>
        <w:tc>
          <w:tcPr>
            <w:tcW w:w="12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424E6A"/>
            </w:tcBorders>
            <w:gridSpan w:val="2"/>
            <w:shd w:val="clear" w:color="auto" w:fill="D9DCE1"/>
          </w:tcPr>
          <w:p>
            <w:pPr>
              <w:jc w:val="right"/>
              <w:ind w:right="88"/>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1,186,791</w:t>
            </w:r>
          </w:p>
        </w:tc>
        <w:tc>
          <w:tcPr>
            <w:tcW w:w="200" w:type="dxa"/>
            <w:vAlign w:val="bottom"/>
            <w:tcBorders>
              <w:bottom w:val="single" w:sz="8" w:color="424E6A"/>
              <w:right w:val="single" w:sz="8" w:color="424E6A"/>
            </w:tcBorders>
            <w:shd w:val="clear" w:color="auto" w:fill="D9DCE1"/>
          </w:tcPr>
          <w:p>
            <w:pPr>
              <w:jc w:val="right"/>
              <w:ind w:right="8"/>
              <w:spacing w:after="0"/>
              <w:rPr>
                <w:sz w:val="20"/>
                <w:szCs w:val="20"/>
                <w:color w:val="auto"/>
              </w:rPr>
            </w:pPr>
            <w:r>
              <w:rPr>
                <w:rFonts w:ascii="Arial" w:cs="Arial" w:eastAsia="Arial" w:hAnsi="Arial"/>
                <w:sz w:val="14"/>
                <w:szCs w:val="14"/>
                <w:color w:val="auto"/>
              </w:rPr>
              <w:t>​ ​</w:t>
            </w:r>
          </w:p>
        </w:tc>
        <w:tc>
          <w:tcPr>
            <w:tcW w:w="22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4"/>
                <w:szCs w:val="14"/>
                <w:color w:val="auto"/>
              </w:rPr>
              <w:t>​ ​</w:t>
            </w:r>
          </w:p>
        </w:tc>
        <w:tc>
          <w:tcPr>
            <w:tcW w:w="64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378,704</w:t>
            </w:r>
          </w:p>
        </w:tc>
        <w:tc>
          <w:tcPr>
            <w:tcW w:w="16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24E6A"/>
              <w:right w:val="single" w:sz="8" w:color="424E6A"/>
            </w:tcBorders>
            <w:shd w:val="clear" w:color="auto" w:fill="D9DCE1"/>
          </w:tcPr>
          <w:p>
            <w:pPr>
              <w:jc w:val="right"/>
              <w:ind w:right="148"/>
              <w:spacing w:after="0"/>
              <w:rPr>
                <w:sz w:val="20"/>
                <w:szCs w:val="20"/>
                <w:color w:val="auto"/>
              </w:rPr>
            </w:pPr>
            <w:r>
              <w:rPr>
                <w:rFonts w:ascii="Arial" w:cs="Arial" w:eastAsia="Arial" w:hAnsi="Arial"/>
                <w:sz w:val="14"/>
                <w:szCs w:val="14"/>
                <w:color w:val="auto"/>
              </w:rPr>
              <w:t>353,489</w:t>
            </w:r>
          </w:p>
        </w:tc>
        <w:tc>
          <w:tcPr>
            <w:tcW w:w="24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24E6A"/>
              <w:right w:val="single" w:sz="8" w:color="424E6A"/>
            </w:tcBorders>
            <w:shd w:val="clear" w:color="auto" w:fill="D9DCE1"/>
          </w:tcPr>
          <w:p>
            <w:pPr>
              <w:jc w:val="right"/>
              <w:ind w:right="128"/>
              <w:spacing w:after="0"/>
              <w:rPr>
                <w:sz w:val="20"/>
                <w:szCs w:val="20"/>
                <w:color w:val="auto"/>
              </w:rPr>
            </w:pPr>
            <w:r>
              <w:rPr>
                <w:rFonts w:ascii="Arial" w:cs="Arial" w:eastAsia="Arial" w:hAnsi="Arial"/>
                <w:sz w:val="14"/>
                <w:szCs w:val="14"/>
                <w:color w:val="auto"/>
              </w:rPr>
              <w:t>732,193</w:t>
            </w:r>
          </w:p>
        </w:tc>
        <w:tc>
          <w:tcPr>
            <w:tcW w:w="1120" w:type="dxa"/>
            <w:vAlign w:val="bottom"/>
            <w:tcBorders>
              <w:bottom w:val="single" w:sz="8" w:color="424E6A"/>
              <w:right w:val="single" w:sz="8" w:color="424E6A"/>
            </w:tcBorders>
            <w:gridSpan w:val="3"/>
            <w:shd w:val="clear" w:color="auto" w:fill="D9DCE1"/>
          </w:tcPr>
          <w:p>
            <w:pPr>
              <w:jc w:val="right"/>
              <w:ind w:right="68"/>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1,918,984</w:t>
            </w:r>
            <w:r>
              <w:rPr>
                <w:rFonts w:ascii="Arial" w:cs="Arial" w:eastAsia="Arial" w:hAnsi="Arial"/>
                <w:sz w:val="26"/>
                <w:szCs w:val="26"/>
                <w:color w:val="auto"/>
                <w:vertAlign w:val="subscript"/>
              </w:rPr>
              <w:t>​</w:t>
            </w:r>
          </w:p>
        </w:tc>
        <w:tc>
          <w:tcPr>
            <w:tcW w:w="560" w:type="dxa"/>
            <w:vAlign w:val="bottom"/>
            <w:tcBorders>
              <w:bottom w:val="single" w:sz="8" w:color="424E6A"/>
            </w:tcBorders>
            <w:shd w:val="clear" w:color="auto" w:fill="D9DCE1"/>
          </w:tcPr>
          <w:p>
            <w:pPr>
              <w:ind w:left="46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424E6A"/>
            </w:tcBorders>
            <w:shd w:val="clear" w:color="auto" w:fill="D9DCE1"/>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23"/>
        </w:trPr>
        <w:tc>
          <w:tcPr>
            <w:tcW w:w="134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4"/>
                <w:szCs w:val="14"/>
                <w:color w:val="auto"/>
              </w:rPr>
              <w:t>Al Swanson</w:t>
            </w:r>
          </w:p>
        </w:tc>
        <w:tc>
          <w:tcPr>
            <w:tcW w:w="12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424E6A"/>
            </w:tcBorders>
          </w:tcPr>
          <w:p>
            <w:pPr>
              <w:ind w:left="2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24E6A"/>
            </w:tcBorders>
          </w:tcPr>
          <w:p>
            <w:pPr>
              <w:jc w:val="right"/>
              <w:ind w:right="88"/>
              <w:spacing w:after="0"/>
              <w:rPr>
                <w:sz w:val="20"/>
                <w:szCs w:val="20"/>
                <w:color w:val="auto"/>
              </w:rPr>
            </w:pPr>
            <w:r>
              <w:rPr>
                <w:rFonts w:ascii="Arial" w:cs="Arial" w:eastAsia="Arial" w:hAnsi="Arial"/>
                <w:sz w:val="14"/>
                <w:szCs w:val="14"/>
                <w:color w:val="auto"/>
              </w:rPr>
              <w:t>601,901</w:t>
            </w:r>
          </w:p>
        </w:tc>
        <w:tc>
          <w:tcPr>
            <w:tcW w:w="200" w:type="dxa"/>
            <w:vAlign w:val="bottom"/>
            <w:tcBorders>
              <w:bottom w:val="single" w:sz="8" w:color="424E6A"/>
              <w:right w:val="single" w:sz="8" w:color="424E6A"/>
            </w:tcBorders>
          </w:tcPr>
          <w:p>
            <w:pPr>
              <w:jc w:val="right"/>
              <w:ind w:right="8"/>
              <w:spacing w:after="0"/>
              <w:rPr>
                <w:sz w:val="20"/>
                <w:szCs w:val="20"/>
                <w:color w:val="auto"/>
              </w:rPr>
            </w:pPr>
            <w:r>
              <w:rPr>
                <w:rFonts w:ascii="Arial" w:cs="Arial" w:eastAsia="Arial" w:hAnsi="Arial"/>
                <w:sz w:val="14"/>
                <w:szCs w:val="14"/>
                <w:color w:val="auto"/>
              </w:rPr>
              <w:t>​ ​</w:t>
            </w:r>
          </w:p>
        </w:tc>
        <w:tc>
          <w:tcPr>
            <w:tcW w:w="860" w:type="dxa"/>
            <w:vAlign w:val="bottom"/>
            <w:tcBorders>
              <w:bottom w:val="single" w:sz="8" w:color="424E6A"/>
            </w:tcBorders>
            <w:gridSpan w:val="2"/>
          </w:tcPr>
          <w:p>
            <w:pPr>
              <w:ind w:left="80"/>
              <w:spacing w:after="0" w:line="223"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1,351,839</w:t>
            </w:r>
          </w:p>
        </w:tc>
        <w:tc>
          <w:tcPr>
            <w:tcW w:w="16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24E6A"/>
              <w:right w:val="single" w:sz="8" w:color="424E6A"/>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424E6A"/>
              <w:right w:val="single" w:sz="8" w:color="424E6A"/>
            </w:tcBorders>
            <w:gridSpan w:val="2"/>
          </w:tcPr>
          <w:p>
            <w:pPr>
              <w:jc w:val="right"/>
              <w:ind w:right="128"/>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1,351,839</w:t>
            </w:r>
          </w:p>
        </w:tc>
        <w:tc>
          <w:tcPr>
            <w:tcW w:w="1120" w:type="dxa"/>
            <w:vAlign w:val="bottom"/>
            <w:tcBorders>
              <w:bottom w:val="single" w:sz="8" w:color="424E6A"/>
              <w:right w:val="single" w:sz="8" w:color="424E6A"/>
            </w:tcBorders>
            <w:gridSpan w:val="3"/>
          </w:tcPr>
          <w:p>
            <w:pPr>
              <w:jc w:val="right"/>
              <w:ind w:right="68"/>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1,953,740</w:t>
            </w:r>
            <w:r>
              <w:rPr>
                <w:rFonts w:ascii="Arial" w:cs="Arial" w:eastAsia="Arial" w:hAnsi="Arial"/>
                <w:sz w:val="25"/>
                <w:szCs w:val="25"/>
                <w:color w:val="auto"/>
                <w:vertAlign w:val="subscript"/>
              </w:rPr>
              <w:t>​</w:t>
            </w:r>
          </w:p>
        </w:tc>
        <w:tc>
          <w:tcPr>
            <w:tcW w:w="560" w:type="dxa"/>
            <w:vAlign w:val="bottom"/>
            <w:tcBorders>
              <w:bottom w:val="single" w:sz="8" w:color="424E6A"/>
            </w:tcBorders>
          </w:tcPr>
          <w:p>
            <w:pPr>
              <w:ind w:left="46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424E6A"/>
            </w:tcBorders>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23"/>
        </w:trPr>
        <w:tc>
          <w:tcPr>
            <w:tcW w:w="134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Richard McGee</w:t>
            </w:r>
          </w:p>
        </w:tc>
        <w:tc>
          <w:tcPr>
            <w:tcW w:w="12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424E6A"/>
            </w:tcBorders>
            <w:shd w:val="clear" w:color="auto" w:fill="D9DCE1"/>
          </w:tcPr>
          <w:p>
            <w:pPr>
              <w:ind w:left="2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24E6A"/>
            </w:tcBorders>
            <w:shd w:val="clear" w:color="auto" w:fill="D9DCE1"/>
          </w:tcPr>
          <w:p>
            <w:pPr>
              <w:jc w:val="right"/>
              <w:ind w:right="88"/>
              <w:spacing w:after="0"/>
              <w:rPr>
                <w:sz w:val="20"/>
                <w:szCs w:val="20"/>
                <w:color w:val="auto"/>
              </w:rPr>
            </w:pPr>
            <w:r>
              <w:rPr>
                <w:rFonts w:ascii="Arial" w:cs="Arial" w:eastAsia="Arial" w:hAnsi="Arial"/>
                <w:sz w:val="14"/>
                <w:szCs w:val="14"/>
                <w:color w:val="auto"/>
              </w:rPr>
              <w:t>606,353</w:t>
            </w:r>
          </w:p>
        </w:tc>
        <w:tc>
          <w:tcPr>
            <w:tcW w:w="200" w:type="dxa"/>
            <w:vAlign w:val="bottom"/>
            <w:tcBorders>
              <w:bottom w:val="single" w:sz="8" w:color="424E6A"/>
              <w:right w:val="single" w:sz="8" w:color="424E6A"/>
            </w:tcBorders>
            <w:shd w:val="clear" w:color="auto" w:fill="D9DCE1"/>
          </w:tcPr>
          <w:p>
            <w:pPr>
              <w:jc w:val="right"/>
              <w:ind w:right="8"/>
              <w:spacing w:after="0"/>
              <w:rPr>
                <w:sz w:val="20"/>
                <w:szCs w:val="20"/>
                <w:color w:val="auto"/>
              </w:rPr>
            </w:pPr>
            <w:r>
              <w:rPr>
                <w:rFonts w:ascii="Arial" w:cs="Arial" w:eastAsia="Arial" w:hAnsi="Arial"/>
                <w:sz w:val="14"/>
                <w:szCs w:val="14"/>
                <w:color w:val="auto"/>
              </w:rPr>
              <w:t>​ ​</w:t>
            </w:r>
          </w:p>
        </w:tc>
        <w:tc>
          <w:tcPr>
            <w:tcW w:w="22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4"/>
                <w:szCs w:val="14"/>
                <w:color w:val="auto"/>
              </w:rPr>
              <w:t>​ ​</w:t>
            </w:r>
          </w:p>
        </w:tc>
        <w:tc>
          <w:tcPr>
            <w:tcW w:w="64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24E6A"/>
              <w:right w:val="single" w:sz="8" w:color="424E6A"/>
            </w:tcBorders>
            <w:shd w:val="clear" w:color="auto" w:fill="D9DCE1"/>
          </w:tcPr>
          <w:p>
            <w:pPr>
              <w:jc w:val="right"/>
              <w:ind w:right="148"/>
              <w:spacing w:after="0"/>
              <w:rPr>
                <w:sz w:val="20"/>
                <w:szCs w:val="20"/>
                <w:color w:val="auto"/>
              </w:rPr>
            </w:pPr>
            <w:r>
              <w:rPr>
                <w:rFonts w:ascii="Arial" w:cs="Arial" w:eastAsia="Arial" w:hAnsi="Arial"/>
                <w:sz w:val="14"/>
                <w:szCs w:val="14"/>
                <w:color w:val="auto"/>
              </w:rPr>
              <w:t>429,346</w:t>
            </w:r>
          </w:p>
        </w:tc>
        <w:tc>
          <w:tcPr>
            <w:tcW w:w="24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24E6A"/>
              <w:right w:val="single" w:sz="8" w:color="424E6A"/>
            </w:tcBorders>
            <w:shd w:val="clear" w:color="auto" w:fill="D9DCE1"/>
          </w:tcPr>
          <w:p>
            <w:pPr>
              <w:jc w:val="right"/>
              <w:ind w:right="128"/>
              <w:spacing w:after="0"/>
              <w:rPr>
                <w:sz w:val="20"/>
                <w:szCs w:val="20"/>
                <w:color w:val="auto"/>
              </w:rPr>
            </w:pPr>
            <w:r>
              <w:rPr>
                <w:rFonts w:ascii="Arial" w:cs="Arial" w:eastAsia="Arial" w:hAnsi="Arial"/>
                <w:sz w:val="14"/>
                <w:szCs w:val="14"/>
                <w:color w:val="auto"/>
              </w:rPr>
              <w:t>429,346</w:t>
            </w:r>
          </w:p>
        </w:tc>
        <w:tc>
          <w:tcPr>
            <w:tcW w:w="1120" w:type="dxa"/>
            <w:vAlign w:val="bottom"/>
            <w:tcBorders>
              <w:bottom w:val="single" w:sz="8" w:color="424E6A"/>
              <w:right w:val="single" w:sz="8" w:color="424E6A"/>
            </w:tcBorders>
            <w:gridSpan w:val="3"/>
            <w:shd w:val="clear" w:color="auto" w:fill="D9DCE1"/>
          </w:tcPr>
          <w:p>
            <w:pPr>
              <w:jc w:val="right"/>
              <w:ind w:right="68"/>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1,035,699</w:t>
            </w:r>
            <w:r>
              <w:rPr>
                <w:rFonts w:ascii="Arial" w:cs="Arial" w:eastAsia="Arial" w:hAnsi="Arial"/>
                <w:sz w:val="25"/>
                <w:szCs w:val="25"/>
                <w:color w:val="auto"/>
                <w:vertAlign w:val="subscript"/>
              </w:rPr>
              <w:t>​</w:t>
            </w:r>
          </w:p>
        </w:tc>
        <w:tc>
          <w:tcPr>
            <w:tcW w:w="560" w:type="dxa"/>
            <w:vAlign w:val="bottom"/>
            <w:tcBorders>
              <w:bottom w:val="single" w:sz="8" w:color="424E6A"/>
            </w:tcBorders>
            <w:shd w:val="clear" w:color="auto" w:fill="D9DCE1"/>
          </w:tcPr>
          <w:p>
            <w:pPr>
              <w:ind w:left="46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424E6A"/>
            </w:tcBorders>
            <w:shd w:val="clear" w:color="auto" w:fill="D9DCE1"/>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23"/>
        </w:trPr>
        <w:tc>
          <w:tcPr>
            <w:tcW w:w="134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4"/>
                <w:szCs w:val="14"/>
                <w:color w:val="auto"/>
              </w:rPr>
              <w:t>Chris Chandler</w:t>
            </w:r>
          </w:p>
        </w:tc>
        <w:tc>
          <w:tcPr>
            <w:tcW w:w="12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424E6A"/>
            </w:tcBorders>
          </w:tcPr>
          <w:p>
            <w:pPr>
              <w:ind w:left="2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24E6A"/>
            </w:tcBorders>
          </w:tcPr>
          <w:p>
            <w:pPr>
              <w:jc w:val="right"/>
              <w:ind w:right="88"/>
              <w:spacing w:after="0"/>
              <w:rPr>
                <w:sz w:val="20"/>
                <w:szCs w:val="20"/>
                <w:color w:val="auto"/>
              </w:rPr>
            </w:pPr>
            <w:r>
              <w:rPr>
                <w:rFonts w:ascii="Arial" w:cs="Arial" w:eastAsia="Arial" w:hAnsi="Arial"/>
                <w:sz w:val="14"/>
                <w:szCs w:val="14"/>
                <w:color w:val="auto"/>
              </w:rPr>
              <w:t>493,904</w:t>
            </w:r>
          </w:p>
        </w:tc>
        <w:tc>
          <w:tcPr>
            <w:tcW w:w="200" w:type="dxa"/>
            <w:vAlign w:val="bottom"/>
            <w:tcBorders>
              <w:bottom w:val="single" w:sz="8" w:color="424E6A"/>
              <w:right w:val="single" w:sz="8" w:color="424E6A"/>
            </w:tcBorders>
          </w:tcPr>
          <w:p>
            <w:pPr>
              <w:jc w:val="right"/>
              <w:ind w:right="8"/>
              <w:spacing w:after="0"/>
              <w:rPr>
                <w:sz w:val="20"/>
                <w:szCs w:val="20"/>
                <w:color w:val="auto"/>
              </w:rPr>
            </w:pPr>
            <w:r>
              <w:rPr>
                <w:rFonts w:ascii="Arial" w:cs="Arial" w:eastAsia="Arial" w:hAnsi="Arial"/>
                <w:sz w:val="14"/>
                <w:szCs w:val="14"/>
                <w:color w:val="auto"/>
              </w:rPr>
              <w:t>​ ​</w:t>
            </w:r>
          </w:p>
        </w:tc>
        <w:tc>
          <w:tcPr>
            <w:tcW w:w="220" w:type="dxa"/>
            <w:vAlign w:val="bottom"/>
            <w:tcBorders>
              <w:bottom w:val="single" w:sz="8" w:color="424E6A"/>
            </w:tcBorders>
          </w:tcPr>
          <w:p>
            <w:pPr>
              <w:ind w:left="80"/>
              <w:spacing w:after="0"/>
              <w:rPr>
                <w:sz w:val="20"/>
                <w:szCs w:val="20"/>
                <w:color w:val="auto"/>
              </w:rPr>
            </w:pPr>
            <w:r>
              <w:rPr>
                <w:rFonts w:ascii="Arial" w:cs="Arial" w:eastAsia="Arial" w:hAnsi="Arial"/>
                <w:sz w:val="14"/>
                <w:szCs w:val="14"/>
                <w:color w:val="auto"/>
              </w:rPr>
              <w:t>​ ​</w:t>
            </w:r>
          </w:p>
        </w:tc>
        <w:tc>
          <w:tcPr>
            <w:tcW w:w="64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24E6A"/>
              <w:right w:val="single" w:sz="8" w:color="424E6A"/>
            </w:tcBorders>
          </w:tcPr>
          <w:p>
            <w:pPr>
              <w:jc w:val="right"/>
              <w:ind w:right="1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24E6A"/>
              <w:right w:val="single" w:sz="8" w:color="424E6A"/>
            </w:tcBorders>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24E6A"/>
            </w:tcBorders>
          </w:tcPr>
          <w:p>
            <w:pPr>
              <w:ind w:left="2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493,904</w:t>
            </w:r>
          </w:p>
        </w:tc>
        <w:tc>
          <w:tcPr>
            <w:tcW w:w="180" w:type="dxa"/>
            <w:vAlign w:val="bottom"/>
            <w:tcBorders>
              <w:bottom w:val="single" w:sz="8" w:color="424E6A"/>
              <w:right w:val="single" w:sz="8" w:color="424E6A"/>
            </w:tcBorders>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tcPr>
          <w:p>
            <w:pPr>
              <w:ind w:left="46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424E6A"/>
            </w:tcBorders>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23"/>
        </w:trPr>
        <w:tc>
          <w:tcPr>
            <w:tcW w:w="134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Jeremy Goebel</w:t>
            </w:r>
          </w:p>
        </w:tc>
        <w:tc>
          <w:tcPr>
            <w:tcW w:w="12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424E6A"/>
            </w:tcBorders>
            <w:shd w:val="clear" w:color="auto" w:fill="D9DCE1"/>
          </w:tcPr>
          <w:p>
            <w:pPr>
              <w:ind w:left="2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24E6A"/>
            </w:tcBorders>
            <w:shd w:val="clear" w:color="auto" w:fill="D9DCE1"/>
          </w:tcPr>
          <w:p>
            <w:pPr>
              <w:jc w:val="right"/>
              <w:ind w:right="88"/>
              <w:spacing w:after="0"/>
              <w:rPr>
                <w:sz w:val="20"/>
                <w:szCs w:val="20"/>
                <w:color w:val="auto"/>
              </w:rPr>
            </w:pPr>
            <w:r>
              <w:rPr>
                <w:rFonts w:ascii="Arial" w:cs="Arial" w:eastAsia="Arial" w:hAnsi="Arial"/>
                <w:sz w:val="14"/>
                <w:szCs w:val="14"/>
                <w:color w:val="auto"/>
              </w:rPr>
              <w:t>518,936</w:t>
            </w:r>
          </w:p>
        </w:tc>
        <w:tc>
          <w:tcPr>
            <w:tcW w:w="200" w:type="dxa"/>
            <w:vAlign w:val="bottom"/>
            <w:tcBorders>
              <w:bottom w:val="single" w:sz="8" w:color="424E6A"/>
              <w:right w:val="single" w:sz="8" w:color="424E6A"/>
            </w:tcBorders>
            <w:shd w:val="clear" w:color="auto" w:fill="D9DCE1"/>
          </w:tcPr>
          <w:p>
            <w:pPr>
              <w:jc w:val="right"/>
              <w:ind w:right="8"/>
              <w:spacing w:after="0"/>
              <w:rPr>
                <w:sz w:val="20"/>
                <w:szCs w:val="20"/>
                <w:color w:val="auto"/>
              </w:rPr>
            </w:pPr>
            <w:r>
              <w:rPr>
                <w:rFonts w:ascii="Arial" w:cs="Arial" w:eastAsia="Arial" w:hAnsi="Arial"/>
                <w:sz w:val="14"/>
                <w:szCs w:val="14"/>
                <w:color w:val="auto"/>
              </w:rPr>
              <w:t>​ ​</w:t>
            </w:r>
          </w:p>
        </w:tc>
        <w:tc>
          <w:tcPr>
            <w:tcW w:w="22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4"/>
                <w:szCs w:val="14"/>
                <w:color w:val="auto"/>
              </w:rPr>
              <w:t>​ ​</w:t>
            </w:r>
          </w:p>
        </w:tc>
        <w:tc>
          <w:tcPr>
            <w:tcW w:w="64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1,314</w:t>
            </w:r>
          </w:p>
        </w:tc>
        <w:tc>
          <w:tcPr>
            <w:tcW w:w="16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24E6A"/>
              <w:right w:val="single" w:sz="8" w:color="424E6A"/>
            </w:tcBorders>
            <w:shd w:val="clear" w:color="auto" w:fill="D9DCE1"/>
          </w:tcPr>
          <w:p>
            <w:pPr>
              <w:jc w:val="right"/>
              <w:ind w:right="148"/>
              <w:spacing w:after="0"/>
              <w:rPr>
                <w:sz w:val="20"/>
                <w:szCs w:val="20"/>
                <w:color w:val="auto"/>
              </w:rPr>
            </w:pPr>
            <w:r>
              <w:rPr>
                <w:rFonts w:ascii="Arial" w:cs="Arial" w:eastAsia="Arial" w:hAnsi="Arial"/>
                <w:sz w:val="14"/>
                <w:szCs w:val="14"/>
                <w:color w:val="auto"/>
              </w:rPr>
              <w:t>35,350</w:t>
            </w:r>
          </w:p>
        </w:tc>
        <w:tc>
          <w:tcPr>
            <w:tcW w:w="24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24E6A"/>
              <w:right w:val="single" w:sz="8" w:color="424E6A"/>
            </w:tcBorders>
            <w:shd w:val="clear" w:color="auto" w:fill="D9DCE1"/>
          </w:tcPr>
          <w:p>
            <w:pPr>
              <w:jc w:val="right"/>
              <w:ind w:right="128"/>
              <w:spacing w:after="0"/>
              <w:rPr>
                <w:sz w:val="20"/>
                <w:szCs w:val="20"/>
                <w:color w:val="auto"/>
              </w:rPr>
            </w:pPr>
            <w:r>
              <w:rPr>
                <w:rFonts w:ascii="Arial" w:cs="Arial" w:eastAsia="Arial" w:hAnsi="Arial"/>
                <w:sz w:val="14"/>
                <w:szCs w:val="14"/>
                <w:color w:val="auto"/>
              </w:rPr>
              <w:t>36,664</w:t>
            </w:r>
          </w:p>
        </w:tc>
        <w:tc>
          <w:tcPr>
            <w:tcW w:w="300" w:type="dxa"/>
            <w:vAlign w:val="bottom"/>
            <w:tcBorders>
              <w:bottom w:val="single" w:sz="8" w:color="424E6A"/>
            </w:tcBorders>
            <w:shd w:val="clear" w:color="auto" w:fill="D9DCE1"/>
          </w:tcPr>
          <w:p>
            <w:pPr>
              <w:ind w:left="2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555,600</w:t>
            </w:r>
          </w:p>
        </w:tc>
        <w:tc>
          <w:tcPr>
            <w:tcW w:w="180" w:type="dxa"/>
            <w:vAlign w:val="bottom"/>
            <w:tcBorders>
              <w:bottom w:val="single" w:sz="8" w:color="424E6A"/>
              <w:right w:val="single" w:sz="8" w:color="424E6A"/>
            </w:tcBorders>
            <w:shd w:val="clear" w:color="auto" w:fill="D9DCE1"/>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shd w:val="clear" w:color="auto" w:fill="D9DCE1"/>
          </w:tcPr>
          <w:p>
            <w:pPr>
              <w:ind w:left="46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424E6A"/>
            </w:tcBorders>
            <w:shd w:val="clear" w:color="auto" w:fill="D9DCE1"/>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23"/>
        </w:trPr>
        <w:tc>
          <w:tcPr>
            <w:tcW w:w="134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4"/>
                <w:szCs w:val="14"/>
                <w:color w:val="auto"/>
              </w:rPr>
              <w:t>Greg Armstrong</w:t>
            </w:r>
          </w:p>
        </w:tc>
        <w:tc>
          <w:tcPr>
            <w:tcW w:w="12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424E6A"/>
            </w:tcBorders>
            <w:gridSpan w:val="2"/>
          </w:tcPr>
          <w:p>
            <w:pPr>
              <w:jc w:val="right"/>
              <w:ind w:right="88"/>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1,508,418</w:t>
            </w:r>
          </w:p>
        </w:tc>
        <w:tc>
          <w:tcPr>
            <w:tcW w:w="200" w:type="dxa"/>
            <w:vAlign w:val="bottom"/>
            <w:tcBorders>
              <w:bottom w:val="single" w:sz="8" w:color="424E6A"/>
              <w:right w:val="single" w:sz="8" w:color="424E6A"/>
            </w:tcBorders>
          </w:tcPr>
          <w:p>
            <w:pPr>
              <w:jc w:val="right"/>
              <w:ind w:right="8"/>
              <w:spacing w:after="0"/>
              <w:rPr>
                <w:sz w:val="20"/>
                <w:szCs w:val="20"/>
                <w:color w:val="auto"/>
              </w:rPr>
            </w:pPr>
            <w:r>
              <w:rPr>
                <w:rFonts w:ascii="Arial" w:cs="Arial" w:eastAsia="Arial" w:hAnsi="Arial"/>
                <w:sz w:val="14"/>
                <w:szCs w:val="14"/>
                <w:color w:val="auto"/>
              </w:rPr>
              <w:t>​ ​</w:t>
            </w:r>
          </w:p>
        </w:tc>
        <w:tc>
          <w:tcPr>
            <w:tcW w:w="860" w:type="dxa"/>
            <w:vAlign w:val="bottom"/>
            <w:tcBorders>
              <w:bottom w:val="single" w:sz="8" w:color="424E6A"/>
            </w:tcBorders>
            <w:gridSpan w:val="2"/>
          </w:tcPr>
          <w:p>
            <w:pPr>
              <w:ind w:left="80"/>
              <w:spacing w:after="0" w:line="223"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1,765,812</w:t>
            </w:r>
          </w:p>
        </w:tc>
        <w:tc>
          <w:tcPr>
            <w:tcW w:w="16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424E6A"/>
              <w:right w:val="single" w:sz="8" w:color="424E6A"/>
            </w:tcBorders>
            <w:gridSpan w:val="2"/>
          </w:tcPr>
          <w:p>
            <w:pPr>
              <w:jc w:val="right"/>
              <w:ind w:right="148"/>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4,492,268</w:t>
            </w:r>
          </w:p>
        </w:tc>
        <w:tc>
          <w:tcPr>
            <w:tcW w:w="1120" w:type="dxa"/>
            <w:vAlign w:val="bottom"/>
            <w:tcBorders>
              <w:bottom w:val="single" w:sz="8" w:color="424E6A"/>
              <w:right w:val="single" w:sz="8" w:color="424E6A"/>
            </w:tcBorders>
            <w:gridSpan w:val="2"/>
          </w:tcPr>
          <w:p>
            <w:pPr>
              <w:jc w:val="right"/>
              <w:ind w:right="128"/>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6,258,080</w:t>
            </w:r>
          </w:p>
        </w:tc>
        <w:tc>
          <w:tcPr>
            <w:tcW w:w="1120" w:type="dxa"/>
            <w:vAlign w:val="bottom"/>
            <w:tcBorders>
              <w:bottom w:val="single" w:sz="8" w:color="424E6A"/>
              <w:right w:val="single" w:sz="8" w:color="424E6A"/>
            </w:tcBorders>
            <w:gridSpan w:val="3"/>
          </w:tcPr>
          <w:p>
            <w:pPr>
              <w:jc w:val="right"/>
              <w:ind w:right="68"/>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7,766,498</w:t>
            </w:r>
            <w:r>
              <w:rPr>
                <w:rFonts w:ascii="Arial" w:cs="Arial" w:eastAsia="Arial" w:hAnsi="Arial"/>
                <w:sz w:val="25"/>
                <w:szCs w:val="25"/>
                <w:color w:val="auto"/>
                <w:vertAlign w:val="subscript"/>
              </w:rPr>
              <w:t>​</w:t>
            </w:r>
          </w:p>
        </w:tc>
        <w:tc>
          <w:tcPr>
            <w:tcW w:w="960" w:type="dxa"/>
            <w:vAlign w:val="bottom"/>
            <w:tcBorders>
              <w:bottom w:val="single" w:sz="8" w:color="424E6A"/>
            </w:tcBorders>
            <w:gridSpan w:val="2"/>
          </w:tcPr>
          <w:p>
            <w:pPr>
              <w:ind w:left="4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1.0%</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23"/>
        </w:trPr>
        <w:tc>
          <w:tcPr>
            <w:tcW w:w="134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Victor Burk</w:t>
            </w:r>
          </w:p>
        </w:tc>
        <w:tc>
          <w:tcPr>
            <w:tcW w:w="12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424E6A"/>
            </w:tcBorders>
            <w:shd w:val="clear" w:color="auto" w:fill="D9DCE1"/>
          </w:tcPr>
          <w:p>
            <w:pPr>
              <w:ind w:left="2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24E6A"/>
            </w:tcBorders>
            <w:shd w:val="clear" w:color="auto" w:fill="D9DCE1"/>
          </w:tcPr>
          <w:p>
            <w:pPr>
              <w:jc w:val="right"/>
              <w:ind w:right="88"/>
              <w:spacing w:after="0"/>
              <w:rPr>
                <w:sz w:val="20"/>
                <w:szCs w:val="20"/>
                <w:color w:val="auto"/>
              </w:rPr>
            </w:pPr>
            <w:r>
              <w:rPr>
                <w:rFonts w:ascii="Arial" w:cs="Arial" w:eastAsia="Arial" w:hAnsi="Arial"/>
                <w:sz w:val="14"/>
                <w:szCs w:val="14"/>
                <w:color w:val="auto"/>
              </w:rPr>
              <w:t>37,043</w:t>
            </w:r>
          </w:p>
        </w:tc>
        <w:tc>
          <w:tcPr>
            <w:tcW w:w="200" w:type="dxa"/>
            <w:vAlign w:val="bottom"/>
            <w:tcBorders>
              <w:bottom w:val="single" w:sz="8" w:color="424E6A"/>
              <w:right w:val="single" w:sz="8" w:color="424E6A"/>
            </w:tcBorders>
            <w:shd w:val="clear" w:color="auto" w:fill="D9DCE1"/>
          </w:tcPr>
          <w:p>
            <w:pPr>
              <w:jc w:val="right"/>
              <w:ind w:right="8"/>
              <w:spacing w:after="0"/>
              <w:rPr>
                <w:sz w:val="20"/>
                <w:szCs w:val="20"/>
                <w:color w:val="auto"/>
              </w:rPr>
            </w:pPr>
            <w:r>
              <w:rPr>
                <w:rFonts w:ascii="Arial" w:cs="Arial" w:eastAsia="Arial" w:hAnsi="Arial"/>
                <w:sz w:val="14"/>
                <w:szCs w:val="14"/>
                <w:color w:val="auto"/>
              </w:rPr>
              <w:t>​ ​</w:t>
            </w:r>
          </w:p>
        </w:tc>
        <w:tc>
          <w:tcPr>
            <w:tcW w:w="22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4"/>
                <w:szCs w:val="14"/>
                <w:color w:val="auto"/>
              </w:rPr>
              <w:t>​ ​</w:t>
            </w:r>
          </w:p>
        </w:tc>
        <w:tc>
          <w:tcPr>
            <w:tcW w:w="64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42,923</w:t>
            </w:r>
          </w:p>
        </w:tc>
        <w:tc>
          <w:tcPr>
            <w:tcW w:w="16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24E6A"/>
              <w:right w:val="single" w:sz="8" w:color="424E6A"/>
            </w:tcBorders>
            <w:shd w:val="clear" w:color="auto" w:fill="D9DCE1"/>
          </w:tcPr>
          <w:p>
            <w:pPr>
              <w:jc w:val="right"/>
              <w:ind w:right="1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24E6A"/>
              <w:right w:val="single" w:sz="8" w:color="424E6A"/>
            </w:tcBorders>
            <w:shd w:val="clear" w:color="auto" w:fill="D9DCE1"/>
          </w:tcPr>
          <w:p>
            <w:pPr>
              <w:jc w:val="right"/>
              <w:ind w:right="128"/>
              <w:spacing w:after="0"/>
              <w:rPr>
                <w:sz w:val="20"/>
                <w:szCs w:val="20"/>
                <w:color w:val="auto"/>
              </w:rPr>
            </w:pPr>
            <w:r>
              <w:rPr>
                <w:rFonts w:ascii="Arial" w:cs="Arial" w:eastAsia="Arial" w:hAnsi="Arial"/>
                <w:sz w:val="14"/>
                <w:szCs w:val="14"/>
                <w:color w:val="auto"/>
              </w:rPr>
              <w:t>42,923</w:t>
            </w:r>
          </w:p>
        </w:tc>
        <w:tc>
          <w:tcPr>
            <w:tcW w:w="300" w:type="dxa"/>
            <w:vAlign w:val="bottom"/>
            <w:tcBorders>
              <w:bottom w:val="single" w:sz="8" w:color="424E6A"/>
            </w:tcBorders>
            <w:shd w:val="clear" w:color="auto" w:fill="D9DCE1"/>
          </w:tcPr>
          <w:p>
            <w:pPr>
              <w:ind w:left="2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79,966</w:t>
            </w:r>
          </w:p>
        </w:tc>
        <w:tc>
          <w:tcPr>
            <w:tcW w:w="180" w:type="dxa"/>
            <w:vAlign w:val="bottom"/>
            <w:tcBorders>
              <w:bottom w:val="single" w:sz="8" w:color="424E6A"/>
              <w:right w:val="single" w:sz="8" w:color="424E6A"/>
            </w:tcBorders>
            <w:shd w:val="clear" w:color="auto" w:fill="D9DCE1"/>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shd w:val="clear" w:color="auto" w:fill="D9DCE1"/>
          </w:tcPr>
          <w:p>
            <w:pPr>
              <w:ind w:left="46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424E6A"/>
            </w:tcBorders>
            <w:shd w:val="clear" w:color="auto" w:fill="D9DCE1"/>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23"/>
        </w:trPr>
        <w:tc>
          <w:tcPr>
            <w:tcW w:w="134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4"/>
                <w:szCs w:val="14"/>
                <w:color w:val="auto"/>
              </w:rPr>
              <w:t>Ellen DeSanctis</w:t>
            </w:r>
          </w:p>
        </w:tc>
        <w:tc>
          <w:tcPr>
            <w:tcW w:w="12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424E6A"/>
            </w:tcBorders>
          </w:tcPr>
          <w:p>
            <w:pPr>
              <w:ind w:left="2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24E6A"/>
            </w:tcBorders>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right w:val="single" w:sz="8" w:color="424E6A"/>
            </w:tcBorders>
          </w:tcPr>
          <w:p>
            <w:pPr>
              <w:jc w:val="right"/>
              <w:ind w:right="8"/>
              <w:spacing w:after="0"/>
              <w:rPr>
                <w:sz w:val="20"/>
                <w:szCs w:val="20"/>
                <w:color w:val="auto"/>
              </w:rPr>
            </w:pPr>
            <w:r>
              <w:rPr>
                <w:rFonts w:ascii="Arial" w:cs="Arial" w:eastAsia="Arial" w:hAnsi="Arial"/>
                <w:sz w:val="14"/>
                <w:szCs w:val="14"/>
                <w:color w:val="auto"/>
              </w:rPr>
              <w:t>​ ​</w:t>
            </w:r>
          </w:p>
        </w:tc>
        <w:tc>
          <w:tcPr>
            <w:tcW w:w="220" w:type="dxa"/>
            <w:vAlign w:val="bottom"/>
            <w:tcBorders>
              <w:bottom w:val="single" w:sz="8" w:color="424E6A"/>
            </w:tcBorders>
          </w:tcPr>
          <w:p>
            <w:pPr>
              <w:ind w:left="80"/>
              <w:spacing w:after="0"/>
              <w:rPr>
                <w:sz w:val="20"/>
                <w:szCs w:val="20"/>
                <w:color w:val="auto"/>
              </w:rPr>
            </w:pPr>
            <w:r>
              <w:rPr>
                <w:rFonts w:ascii="Arial" w:cs="Arial" w:eastAsia="Arial" w:hAnsi="Arial"/>
                <w:sz w:val="14"/>
                <w:szCs w:val="14"/>
                <w:color w:val="auto"/>
              </w:rPr>
              <w:t>​ ​</w:t>
            </w:r>
          </w:p>
        </w:tc>
        <w:tc>
          <w:tcPr>
            <w:tcW w:w="64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37,100</w:t>
            </w:r>
          </w:p>
        </w:tc>
        <w:tc>
          <w:tcPr>
            <w:tcW w:w="16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24E6A"/>
              <w:right w:val="single" w:sz="8" w:color="424E6A"/>
            </w:tcBorders>
          </w:tcPr>
          <w:p>
            <w:pPr>
              <w:jc w:val="right"/>
              <w:ind w:right="1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24E6A"/>
              <w:right w:val="single" w:sz="8" w:color="424E6A"/>
            </w:tcBorders>
          </w:tcPr>
          <w:p>
            <w:pPr>
              <w:jc w:val="right"/>
              <w:ind w:right="128"/>
              <w:spacing w:after="0"/>
              <w:rPr>
                <w:sz w:val="20"/>
                <w:szCs w:val="20"/>
                <w:color w:val="auto"/>
              </w:rPr>
            </w:pPr>
            <w:r>
              <w:rPr>
                <w:rFonts w:ascii="Arial" w:cs="Arial" w:eastAsia="Arial" w:hAnsi="Arial"/>
                <w:sz w:val="14"/>
                <w:szCs w:val="14"/>
                <w:color w:val="auto"/>
              </w:rPr>
              <w:t>37,100</w:t>
            </w:r>
          </w:p>
        </w:tc>
        <w:tc>
          <w:tcPr>
            <w:tcW w:w="300" w:type="dxa"/>
            <w:vAlign w:val="bottom"/>
            <w:tcBorders>
              <w:bottom w:val="single" w:sz="8" w:color="424E6A"/>
            </w:tcBorders>
          </w:tcPr>
          <w:p>
            <w:pPr>
              <w:ind w:left="2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37,100</w:t>
            </w:r>
          </w:p>
        </w:tc>
        <w:tc>
          <w:tcPr>
            <w:tcW w:w="180" w:type="dxa"/>
            <w:vAlign w:val="bottom"/>
            <w:tcBorders>
              <w:bottom w:val="single" w:sz="8" w:color="424E6A"/>
              <w:right w:val="single" w:sz="8" w:color="424E6A"/>
            </w:tcBorders>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tcPr>
          <w:p>
            <w:pPr>
              <w:ind w:left="46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424E6A"/>
            </w:tcBorders>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23"/>
        </w:trPr>
        <w:tc>
          <w:tcPr>
            <w:tcW w:w="134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Kevin McCarthy</w:t>
            </w:r>
          </w:p>
        </w:tc>
        <w:tc>
          <w:tcPr>
            <w:tcW w:w="12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424E6A"/>
            </w:tcBorders>
            <w:shd w:val="clear" w:color="auto" w:fill="D9DCE1"/>
          </w:tcPr>
          <w:p>
            <w:pPr>
              <w:ind w:left="2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24E6A"/>
            </w:tcBorders>
            <w:shd w:val="clear" w:color="auto" w:fill="D9DCE1"/>
          </w:tcPr>
          <w:p>
            <w:pPr>
              <w:jc w:val="right"/>
              <w:ind w:right="88"/>
              <w:spacing w:after="0"/>
              <w:rPr>
                <w:sz w:val="20"/>
                <w:szCs w:val="20"/>
                <w:color w:val="auto"/>
              </w:rPr>
            </w:pPr>
            <w:r>
              <w:rPr>
                <w:rFonts w:ascii="Arial" w:cs="Arial" w:eastAsia="Arial" w:hAnsi="Arial"/>
                <w:sz w:val="14"/>
                <w:szCs w:val="14"/>
                <w:color w:val="auto"/>
              </w:rPr>
              <w:t>200,000</w:t>
            </w:r>
          </w:p>
        </w:tc>
        <w:tc>
          <w:tcPr>
            <w:tcW w:w="200" w:type="dxa"/>
            <w:vAlign w:val="bottom"/>
            <w:tcBorders>
              <w:bottom w:val="single" w:sz="8" w:color="424E6A"/>
              <w:right w:val="single" w:sz="8" w:color="424E6A"/>
            </w:tcBorders>
            <w:shd w:val="clear" w:color="auto" w:fill="D9DCE1"/>
          </w:tcPr>
          <w:p>
            <w:pPr>
              <w:jc w:val="right"/>
              <w:ind w:right="8"/>
              <w:spacing w:after="0"/>
              <w:rPr>
                <w:sz w:val="20"/>
                <w:szCs w:val="20"/>
                <w:color w:val="auto"/>
              </w:rPr>
            </w:pPr>
            <w:r>
              <w:rPr>
                <w:rFonts w:ascii="Arial" w:cs="Arial" w:eastAsia="Arial" w:hAnsi="Arial"/>
                <w:sz w:val="14"/>
                <w:szCs w:val="14"/>
                <w:color w:val="auto"/>
              </w:rPr>
              <w:t>​ ​</w:t>
            </w:r>
          </w:p>
        </w:tc>
        <w:tc>
          <w:tcPr>
            <w:tcW w:w="22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4"/>
                <w:szCs w:val="14"/>
                <w:color w:val="auto"/>
              </w:rPr>
              <w:t>​ ​</w:t>
            </w:r>
          </w:p>
        </w:tc>
        <w:tc>
          <w:tcPr>
            <w:tcW w:w="64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148,691</w:t>
            </w:r>
          </w:p>
        </w:tc>
        <w:tc>
          <w:tcPr>
            <w:tcW w:w="16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24E6A"/>
              <w:right w:val="single" w:sz="8" w:color="424E6A"/>
            </w:tcBorders>
            <w:shd w:val="clear" w:color="auto" w:fill="D9DCE1"/>
          </w:tcPr>
          <w:p>
            <w:pPr>
              <w:jc w:val="right"/>
              <w:ind w:right="1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24E6A"/>
              <w:right w:val="single" w:sz="8" w:color="424E6A"/>
            </w:tcBorders>
            <w:shd w:val="clear" w:color="auto" w:fill="D9DCE1"/>
          </w:tcPr>
          <w:p>
            <w:pPr>
              <w:jc w:val="right"/>
              <w:ind w:right="128"/>
              <w:spacing w:after="0"/>
              <w:rPr>
                <w:sz w:val="20"/>
                <w:szCs w:val="20"/>
                <w:color w:val="auto"/>
              </w:rPr>
            </w:pPr>
            <w:r>
              <w:rPr>
                <w:rFonts w:ascii="Arial" w:cs="Arial" w:eastAsia="Arial" w:hAnsi="Arial"/>
                <w:sz w:val="14"/>
                <w:szCs w:val="14"/>
                <w:color w:val="auto"/>
              </w:rPr>
              <w:t>148,691</w:t>
            </w:r>
          </w:p>
        </w:tc>
        <w:tc>
          <w:tcPr>
            <w:tcW w:w="300" w:type="dxa"/>
            <w:vAlign w:val="bottom"/>
            <w:tcBorders>
              <w:bottom w:val="single" w:sz="8" w:color="424E6A"/>
            </w:tcBorders>
            <w:shd w:val="clear" w:color="auto" w:fill="D9DCE1"/>
          </w:tcPr>
          <w:p>
            <w:pPr>
              <w:ind w:left="2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348,691</w:t>
            </w:r>
          </w:p>
        </w:tc>
        <w:tc>
          <w:tcPr>
            <w:tcW w:w="180" w:type="dxa"/>
            <w:vAlign w:val="bottom"/>
            <w:tcBorders>
              <w:bottom w:val="single" w:sz="8" w:color="424E6A"/>
              <w:right w:val="single" w:sz="8" w:color="424E6A"/>
            </w:tcBorders>
            <w:shd w:val="clear" w:color="auto" w:fill="D9DCE1"/>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shd w:val="clear" w:color="auto" w:fill="D9DCE1"/>
          </w:tcPr>
          <w:p>
            <w:pPr>
              <w:ind w:left="46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424E6A"/>
            </w:tcBorders>
            <w:shd w:val="clear" w:color="auto" w:fill="D9DCE1"/>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23"/>
        </w:trPr>
        <w:tc>
          <w:tcPr>
            <w:tcW w:w="134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4"/>
                <w:szCs w:val="14"/>
                <w:color w:val="auto"/>
              </w:rPr>
              <w:t>Harry Pefanis</w:t>
            </w:r>
          </w:p>
        </w:tc>
        <w:tc>
          <w:tcPr>
            <w:tcW w:w="12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424E6A"/>
            </w:tcBorders>
          </w:tcPr>
          <w:p>
            <w:pPr>
              <w:ind w:left="2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24E6A"/>
            </w:tcBorders>
          </w:tcPr>
          <w:p>
            <w:pPr>
              <w:jc w:val="right"/>
              <w:ind w:right="88"/>
              <w:spacing w:after="0"/>
              <w:rPr>
                <w:sz w:val="20"/>
                <w:szCs w:val="20"/>
                <w:color w:val="auto"/>
              </w:rPr>
            </w:pPr>
            <w:r>
              <w:rPr>
                <w:rFonts w:ascii="Arial" w:cs="Arial" w:eastAsia="Arial" w:hAnsi="Arial"/>
                <w:sz w:val="14"/>
                <w:szCs w:val="14"/>
                <w:color w:val="auto"/>
              </w:rPr>
              <w:t>420,194</w:t>
            </w:r>
          </w:p>
        </w:tc>
        <w:tc>
          <w:tcPr>
            <w:tcW w:w="200" w:type="dxa"/>
            <w:vAlign w:val="bottom"/>
            <w:tcBorders>
              <w:bottom w:val="single" w:sz="8" w:color="424E6A"/>
              <w:right w:val="single" w:sz="8" w:color="424E6A"/>
            </w:tcBorders>
          </w:tcPr>
          <w:p>
            <w:pPr>
              <w:jc w:val="right"/>
              <w:ind w:right="8"/>
              <w:spacing w:after="0"/>
              <w:rPr>
                <w:sz w:val="20"/>
                <w:szCs w:val="20"/>
                <w:color w:val="auto"/>
              </w:rPr>
            </w:pPr>
            <w:r>
              <w:rPr>
                <w:rFonts w:ascii="Arial" w:cs="Arial" w:eastAsia="Arial" w:hAnsi="Arial"/>
                <w:sz w:val="14"/>
                <w:szCs w:val="14"/>
                <w:color w:val="auto"/>
              </w:rPr>
              <w:t>​ ​</w:t>
            </w:r>
          </w:p>
        </w:tc>
        <w:tc>
          <w:tcPr>
            <w:tcW w:w="860" w:type="dxa"/>
            <w:vAlign w:val="bottom"/>
            <w:tcBorders>
              <w:bottom w:val="single" w:sz="8" w:color="424E6A"/>
            </w:tcBorders>
            <w:gridSpan w:val="2"/>
          </w:tcPr>
          <w:p>
            <w:pPr>
              <w:ind w:left="80"/>
              <w:spacing w:after="0" w:line="223"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1,108,653</w:t>
            </w:r>
          </w:p>
        </w:tc>
        <w:tc>
          <w:tcPr>
            <w:tcW w:w="16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424E6A"/>
              <w:right w:val="single" w:sz="8" w:color="424E6A"/>
            </w:tcBorders>
            <w:gridSpan w:val="2"/>
          </w:tcPr>
          <w:p>
            <w:pPr>
              <w:jc w:val="right"/>
              <w:ind w:right="148"/>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2,268,988</w:t>
            </w:r>
          </w:p>
        </w:tc>
        <w:tc>
          <w:tcPr>
            <w:tcW w:w="1120" w:type="dxa"/>
            <w:vAlign w:val="bottom"/>
            <w:tcBorders>
              <w:bottom w:val="single" w:sz="8" w:color="424E6A"/>
              <w:right w:val="single" w:sz="8" w:color="424E6A"/>
            </w:tcBorders>
            <w:gridSpan w:val="2"/>
          </w:tcPr>
          <w:p>
            <w:pPr>
              <w:jc w:val="right"/>
              <w:ind w:right="128"/>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3,377,641</w:t>
            </w:r>
          </w:p>
        </w:tc>
        <w:tc>
          <w:tcPr>
            <w:tcW w:w="1120" w:type="dxa"/>
            <w:vAlign w:val="bottom"/>
            <w:tcBorders>
              <w:bottom w:val="single" w:sz="8" w:color="424E6A"/>
              <w:right w:val="single" w:sz="8" w:color="424E6A"/>
            </w:tcBorders>
            <w:gridSpan w:val="3"/>
          </w:tcPr>
          <w:p>
            <w:pPr>
              <w:jc w:val="right"/>
              <w:ind w:right="68"/>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3,797,835</w:t>
            </w:r>
            <w:r>
              <w:rPr>
                <w:rFonts w:ascii="Arial" w:cs="Arial" w:eastAsia="Arial" w:hAnsi="Arial"/>
                <w:sz w:val="25"/>
                <w:szCs w:val="25"/>
                <w:color w:val="auto"/>
                <w:vertAlign w:val="subscript"/>
              </w:rPr>
              <w:t>​</w:t>
            </w:r>
          </w:p>
        </w:tc>
        <w:tc>
          <w:tcPr>
            <w:tcW w:w="560" w:type="dxa"/>
            <w:vAlign w:val="bottom"/>
            <w:tcBorders>
              <w:bottom w:val="single" w:sz="8" w:color="424E6A"/>
            </w:tcBorders>
          </w:tcPr>
          <w:p>
            <w:pPr>
              <w:ind w:left="46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424E6A"/>
            </w:tcBorders>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23"/>
        </w:trPr>
        <w:tc>
          <w:tcPr>
            <w:tcW w:w="134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Gary Petersen</w:t>
            </w:r>
          </w:p>
        </w:tc>
        <w:tc>
          <w:tcPr>
            <w:tcW w:w="12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424E6A"/>
            </w:tcBorders>
            <w:shd w:val="clear" w:color="auto" w:fill="D9DCE1"/>
          </w:tcPr>
          <w:p>
            <w:pPr>
              <w:ind w:left="2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24E6A"/>
            </w:tcBorders>
            <w:shd w:val="clear" w:color="auto" w:fill="D9DCE1"/>
          </w:tcPr>
          <w:p>
            <w:pPr>
              <w:jc w:val="right"/>
              <w:ind w:right="88"/>
              <w:spacing w:after="0"/>
              <w:rPr>
                <w:sz w:val="20"/>
                <w:szCs w:val="20"/>
                <w:color w:val="auto"/>
              </w:rPr>
            </w:pPr>
            <w:r>
              <w:rPr>
                <w:rFonts w:ascii="Arial" w:cs="Arial" w:eastAsia="Arial" w:hAnsi="Arial"/>
                <w:sz w:val="14"/>
                <w:szCs w:val="14"/>
                <w:color w:val="auto"/>
              </w:rPr>
              <w:t>68,200</w:t>
            </w:r>
          </w:p>
        </w:tc>
        <w:tc>
          <w:tcPr>
            <w:tcW w:w="200" w:type="dxa"/>
            <w:vAlign w:val="bottom"/>
            <w:tcBorders>
              <w:bottom w:val="single" w:sz="8" w:color="424E6A"/>
              <w:right w:val="single" w:sz="8" w:color="424E6A"/>
            </w:tcBorders>
            <w:shd w:val="clear" w:color="auto" w:fill="D9DCE1"/>
          </w:tcPr>
          <w:p>
            <w:pPr>
              <w:jc w:val="right"/>
              <w:ind w:right="8"/>
              <w:spacing w:after="0"/>
              <w:rPr>
                <w:sz w:val="20"/>
                <w:szCs w:val="20"/>
                <w:color w:val="auto"/>
              </w:rPr>
            </w:pPr>
            <w:r>
              <w:rPr>
                <w:rFonts w:ascii="Arial" w:cs="Arial" w:eastAsia="Arial" w:hAnsi="Arial"/>
                <w:sz w:val="14"/>
                <w:szCs w:val="14"/>
                <w:color w:val="auto"/>
              </w:rPr>
              <w:t>​ ​</w:t>
            </w:r>
          </w:p>
        </w:tc>
        <w:tc>
          <w:tcPr>
            <w:tcW w:w="22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4"/>
                <w:szCs w:val="14"/>
                <w:color w:val="auto"/>
              </w:rPr>
              <w:t>​ ​</w:t>
            </w:r>
          </w:p>
        </w:tc>
        <w:tc>
          <w:tcPr>
            <w:tcW w:w="64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68,144</w:t>
            </w:r>
          </w:p>
        </w:tc>
        <w:tc>
          <w:tcPr>
            <w:tcW w:w="16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24E6A"/>
              <w:right w:val="single" w:sz="8" w:color="424E6A"/>
            </w:tcBorders>
            <w:shd w:val="clear" w:color="auto" w:fill="D9DCE1"/>
          </w:tcPr>
          <w:p>
            <w:pPr>
              <w:jc w:val="right"/>
              <w:ind w:right="1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24E6A"/>
              <w:right w:val="single" w:sz="8" w:color="424E6A"/>
            </w:tcBorders>
            <w:shd w:val="clear" w:color="auto" w:fill="D9DCE1"/>
          </w:tcPr>
          <w:p>
            <w:pPr>
              <w:jc w:val="right"/>
              <w:ind w:right="128"/>
              <w:spacing w:after="0"/>
              <w:rPr>
                <w:sz w:val="20"/>
                <w:szCs w:val="20"/>
                <w:color w:val="auto"/>
              </w:rPr>
            </w:pPr>
            <w:r>
              <w:rPr>
                <w:rFonts w:ascii="Arial" w:cs="Arial" w:eastAsia="Arial" w:hAnsi="Arial"/>
                <w:sz w:val="14"/>
                <w:szCs w:val="14"/>
                <w:color w:val="auto"/>
              </w:rPr>
              <w:t>68,144</w:t>
            </w:r>
          </w:p>
        </w:tc>
        <w:tc>
          <w:tcPr>
            <w:tcW w:w="300" w:type="dxa"/>
            <w:vAlign w:val="bottom"/>
            <w:tcBorders>
              <w:bottom w:val="single" w:sz="8" w:color="424E6A"/>
            </w:tcBorders>
            <w:shd w:val="clear" w:color="auto" w:fill="D9DCE1"/>
          </w:tcPr>
          <w:p>
            <w:pPr>
              <w:ind w:left="2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136,344</w:t>
            </w:r>
          </w:p>
        </w:tc>
        <w:tc>
          <w:tcPr>
            <w:tcW w:w="180" w:type="dxa"/>
            <w:vAlign w:val="bottom"/>
            <w:tcBorders>
              <w:bottom w:val="single" w:sz="8" w:color="424E6A"/>
              <w:right w:val="single" w:sz="8" w:color="424E6A"/>
            </w:tcBorders>
            <w:shd w:val="clear" w:color="auto" w:fill="D9DCE1"/>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shd w:val="clear" w:color="auto" w:fill="D9DCE1"/>
          </w:tcPr>
          <w:p>
            <w:pPr>
              <w:ind w:left="46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424E6A"/>
            </w:tcBorders>
            <w:shd w:val="clear" w:color="auto" w:fill="D9DCE1"/>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23"/>
        </w:trPr>
        <w:tc>
          <w:tcPr>
            <w:tcW w:w="134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4"/>
                <w:szCs w:val="14"/>
                <w:color w:val="auto"/>
              </w:rPr>
              <w:t>Alexandra Pruner</w:t>
            </w:r>
          </w:p>
        </w:tc>
        <w:tc>
          <w:tcPr>
            <w:tcW w:w="12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424E6A"/>
            </w:tcBorders>
          </w:tcPr>
          <w:p>
            <w:pPr>
              <w:ind w:left="2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24E6A"/>
            </w:tcBorders>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right w:val="single" w:sz="8" w:color="424E6A"/>
            </w:tcBorders>
          </w:tcPr>
          <w:p>
            <w:pPr>
              <w:jc w:val="right"/>
              <w:ind w:right="8"/>
              <w:spacing w:after="0"/>
              <w:rPr>
                <w:sz w:val="20"/>
                <w:szCs w:val="20"/>
                <w:color w:val="auto"/>
              </w:rPr>
            </w:pPr>
            <w:r>
              <w:rPr>
                <w:rFonts w:ascii="Arial" w:cs="Arial" w:eastAsia="Arial" w:hAnsi="Arial"/>
                <w:sz w:val="14"/>
                <w:szCs w:val="14"/>
                <w:color w:val="auto"/>
              </w:rPr>
              <w:t>​ ​</w:t>
            </w:r>
          </w:p>
        </w:tc>
        <w:tc>
          <w:tcPr>
            <w:tcW w:w="220" w:type="dxa"/>
            <w:vAlign w:val="bottom"/>
            <w:tcBorders>
              <w:bottom w:val="single" w:sz="8" w:color="424E6A"/>
            </w:tcBorders>
          </w:tcPr>
          <w:p>
            <w:pPr>
              <w:ind w:left="80"/>
              <w:spacing w:after="0"/>
              <w:rPr>
                <w:sz w:val="20"/>
                <w:szCs w:val="20"/>
                <w:color w:val="auto"/>
              </w:rPr>
            </w:pPr>
            <w:r>
              <w:rPr>
                <w:rFonts w:ascii="Arial" w:cs="Arial" w:eastAsia="Arial" w:hAnsi="Arial"/>
                <w:sz w:val="14"/>
                <w:szCs w:val="14"/>
                <w:color w:val="auto"/>
              </w:rPr>
              <w:t>​ ​</w:t>
            </w:r>
          </w:p>
        </w:tc>
        <w:tc>
          <w:tcPr>
            <w:tcW w:w="64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80,894</w:t>
            </w:r>
          </w:p>
        </w:tc>
        <w:tc>
          <w:tcPr>
            <w:tcW w:w="16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24E6A"/>
              <w:right w:val="single" w:sz="8" w:color="424E6A"/>
            </w:tcBorders>
          </w:tcPr>
          <w:p>
            <w:pPr>
              <w:jc w:val="right"/>
              <w:ind w:right="1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24E6A"/>
              <w:right w:val="single" w:sz="8" w:color="424E6A"/>
            </w:tcBorders>
          </w:tcPr>
          <w:p>
            <w:pPr>
              <w:jc w:val="right"/>
              <w:ind w:right="128"/>
              <w:spacing w:after="0"/>
              <w:rPr>
                <w:sz w:val="20"/>
                <w:szCs w:val="20"/>
                <w:color w:val="auto"/>
              </w:rPr>
            </w:pPr>
            <w:r>
              <w:rPr>
                <w:rFonts w:ascii="Arial" w:cs="Arial" w:eastAsia="Arial" w:hAnsi="Arial"/>
                <w:sz w:val="14"/>
                <w:szCs w:val="14"/>
                <w:color w:val="auto"/>
              </w:rPr>
              <w:t>80,894</w:t>
            </w:r>
          </w:p>
        </w:tc>
        <w:tc>
          <w:tcPr>
            <w:tcW w:w="300" w:type="dxa"/>
            <w:vAlign w:val="bottom"/>
            <w:tcBorders>
              <w:bottom w:val="single" w:sz="8" w:color="424E6A"/>
            </w:tcBorders>
          </w:tcPr>
          <w:p>
            <w:pPr>
              <w:ind w:left="2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80,894</w:t>
            </w:r>
          </w:p>
        </w:tc>
        <w:tc>
          <w:tcPr>
            <w:tcW w:w="180" w:type="dxa"/>
            <w:vAlign w:val="bottom"/>
            <w:tcBorders>
              <w:bottom w:val="single" w:sz="8" w:color="424E6A"/>
              <w:right w:val="single" w:sz="8" w:color="424E6A"/>
            </w:tcBorders>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tcPr>
          <w:p>
            <w:pPr>
              <w:ind w:left="46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424E6A"/>
            </w:tcBorders>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23"/>
        </w:trPr>
        <w:tc>
          <w:tcPr>
            <w:tcW w:w="134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John Raymond</w:t>
            </w:r>
          </w:p>
        </w:tc>
        <w:tc>
          <w:tcPr>
            <w:tcW w:w="12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424E6A"/>
            </w:tcBorders>
            <w:gridSpan w:val="2"/>
            <w:shd w:val="clear" w:color="auto" w:fill="D9DCE1"/>
          </w:tcPr>
          <w:p>
            <w:pPr>
              <w:jc w:val="right"/>
              <w:ind w:right="88"/>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21,978,875</w:t>
            </w:r>
          </w:p>
        </w:tc>
        <w:tc>
          <w:tcPr>
            <w:tcW w:w="200" w:type="dxa"/>
            <w:vAlign w:val="bottom"/>
            <w:tcBorders>
              <w:bottom w:val="single" w:sz="8" w:color="424E6A"/>
              <w:right w:val="single" w:sz="8" w:color="424E6A"/>
            </w:tcBorders>
            <w:shd w:val="clear" w:color="auto" w:fill="D9DCE1"/>
          </w:tcPr>
          <w:p>
            <w:pPr>
              <w:jc w:val="right"/>
              <w:ind w:right="8"/>
              <w:spacing w:after="0"/>
              <w:rPr>
                <w:sz w:val="20"/>
                <w:szCs w:val="20"/>
                <w:color w:val="auto"/>
              </w:rPr>
            </w:pPr>
            <w:r>
              <w:rPr>
                <w:rFonts w:ascii="Arial" w:cs="Arial" w:eastAsia="Arial" w:hAnsi="Arial"/>
                <w:sz w:val="14"/>
                <w:szCs w:val="14"/>
                <w:color w:val="auto"/>
              </w:rPr>
              <w:t>​ ​</w:t>
            </w:r>
          </w:p>
        </w:tc>
        <w:tc>
          <w:tcPr>
            <w:tcW w:w="22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4"/>
                <w:szCs w:val="14"/>
                <w:color w:val="auto"/>
              </w:rPr>
              <w:t>​ ​</w:t>
            </w:r>
          </w:p>
        </w:tc>
        <w:tc>
          <w:tcPr>
            <w:tcW w:w="64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315,394</w:t>
            </w:r>
          </w:p>
        </w:tc>
        <w:tc>
          <w:tcPr>
            <w:tcW w:w="16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424E6A"/>
              <w:right w:val="single" w:sz="8" w:color="424E6A"/>
            </w:tcBorders>
            <w:gridSpan w:val="2"/>
            <w:shd w:val="clear" w:color="auto" w:fill="D9DCE1"/>
          </w:tcPr>
          <w:p>
            <w:pPr>
              <w:jc w:val="right"/>
              <w:ind w:right="148"/>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11,458,736</w:t>
            </w:r>
          </w:p>
        </w:tc>
        <w:tc>
          <w:tcPr>
            <w:tcW w:w="1120" w:type="dxa"/>
            <w:vAlign w:val="bottom"/>
            <w:tcBorders>
              <w:bottom w:val="single" w:sz="8" w:color="424E6A"/>
              <w:right w:val="single" w:sz="8" w:color="424E6A"/>
            </w:tcBorders>
            <w:gridSpan w:val="2"/>
            <w:shd w:val="clear" w:color="auto" w:fill="D9DCE1"/>
          </w:tcPr>
          <w:p>
            <w:pPr>
              <w:jc w:val="right"/>
              <w:ind w:right="128"/>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11,774,130</w:t>
            </w:r>
          </w:p>
        </w:tc>
        <w:tc>
          <w:tcPr>
            <w:tcW w:w="1120" w:type="dxa"/>
            <w:vAlign w:val="bottom"/>
            <w:tcBorders>
              <w:bottom w:val="single" w:sz="8" w:color="424E6A"/>
              <w:right w:val="single" w:sz="8" w:color="424E6A"/>
            </w:tcBorders>
            <w:gridSpan w:val="3"/>
            <w:shd w:val="clear" w:color="auto" w:fill="D9DCE1"/>
          </w:tcPr>
          <w:p>
            <w:pPr>
              <w:jc w:val="right"/>
              <w:ind w:right="68"/>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33,753,005</w:t>
            </w:r>
            <w:r>
              <w:rPr>
                <w:rFonts w:ascii="Arial" w:cs="Arial" w:eastAsia="Arial" w:hAnsi="Arial"/>
                <w:sz w:val="25"/>
                <w:szCs w:val="25"/>
                <w:color w:val="auto"/>
                <w:vertAlign w:val="subscript"/>
              </w:rPr>
              <w:t>​</w:t>
            </w:r>
          </w:p>
        </w:tc>
        <w:tc>
          <w:tcPr>
            <w:tcW w:w="960" w:type="dxa"/>
            <w:vAlign w:val="bottom"/>
            <w:tcBorders>
              <w:bottom w:val="single" w:sz="8" w:color="424E6A"/>
            </w:tcBorders>
            <w:gridSpan w:val="2"/>
            <w:shd w:val="clear" w:color="auto" w:fill="D9DCE1"/>
          </w:tcPr>
          <w:p>
            <w:pPr>
              <w:ind w:left="4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4.4%</w:t>
            </w:r>
          </w:p>
        </w:tc>
        <w:tc>
          <w:tcPr>
            <w:tcW w:w="2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23"/>
        </w:trPr>
        <w:tc>
          <w:tcPr>
            <w:tcW w:w="134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4"/>
                <w:szCs w:val="14"/>
                <w:color w:val="auto"/>
              </w:rPr>
              <w:t>Bobby Shackouls</w:t>
            </w:r>
          </w:p>
        </w:tc>
        <w:tc>
          <w:tcPr>
            <w:tcW w:w="12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424E6A"/>
            </w:tcBorders>
          </w:tcPr>
          <w:p>
            <w:pPr>
              <w:ind w:left="2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24E6A"/>
            </w:tcBorders>
          </w:tcPr>
          <w:p>
            <w:pPr>
              <w:jc w:val="right"/>
              <w:ind w:right="88"/>
              <w:spacing w:after="0"/>
              <w:rPr>
                <w:sz w:val="20"/>
                <w:szCs w:val="20"/>
                <w:color w:val="auto"/>
              </w:rPr>
            </w:pPr>
            <w:r>
              <w:rPr>
                <w:rFonts w:ascii="Arial" w:cs="Arial" w:eastAsia="Arial" w:hAnsi="Arial"/>
                <w:sz w:val="14"/>
                <w:szCs w:val="14"/>
                <w:color w:val="auto"/>
              </w:rPr>
              <w:t>35,033</w:t>
            </w:r>
          </w:p>
        </w:tc>
        <w:tc>
          <w:tcPr>
            <w:tcW w:w="200" w:type="dxa"/>
            <w:vAlign w:val="bottom"/>
            <w:tcBorders>
              <w:bottom w:val="single" w:sz="8" w:color="424E6A"/>
              <w:right w:val="single" w:sz="8" w:color="424E6A"/>
            </w:tcBorders>
          </w:tcPr>
          <w:p>
            <w:pPr>
              <w:jc w:val="right"/>
              <w:ind w:right="8"/>
              <w:spacing w:after="0"/>
              <w:rPr>
                <w:sz w:val="20"/>
                <w:szCs w:val="20"/>
                <w:color w:val="auto"/>
              </w:rPr>
            </w:pPr>
            <w:r>
              <w:rPr>
                <w:rFonts w:ascii="Arial" w:cs="Arial" w:eastAsia="Arial" w:hAnsi="Arial"/>
                <w:sz w:val="14"/>
                <w:szCs w:val="14"/>
                <w:color w:val="auto"/>
              </w:rPr>
              <w:t>​ ​</w:t>
            </w:r>
          </w:p>
        </w:tc>
        <w:tc>
          <w:tcPr>
            <w:tcW w:w="220" w:type="dxa"/>
            <w:vAlign w:val="bottom"/>
            <w:tcBorders>
              <w:bottom w:val="single" w:sz="8" w:color="424E6A"/>
            </w:tcBorders>
          </w:tcPr>
          <w:p>
            <w:pPr>
              <w:ind w:left="80"/>
              <w:spacing w:after="0"/>
              <w:rPr>
                <w:sz w:val="20"/>
                <w:szCs w:val="20"/>
                <w:color w:val="auto"/>
              </w:rPr>
            </w:pPr>
            <w:r>
              <w:rPr>
                <w:rFonts w:ascii="Arial" w:cs="Arial" w:eastAsia="Arial" w:hAnsi="Arial"/>
                <w:sz w:val="14"/>
                <w:szCs w:val="14"/>
                <w:color w:val="auto"/>
              </w:rPr>
              <w:t>​ ​</w:t>
            </w:r>
          </w:p>
        </w:tc>
        <w:tc>
          <w:tcPr>
            <w:tcW w:w="64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73,401</w:t>
            </w:r>
          </w:p>
        </w:tc>
        <w:tc>
          <w:tcPr>
            <w:tcW w:w="16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24E6A"/>
              <w:right w:val="single" w:sz="8" w:color="424E6A"/>
            </w:tcBorders>
          </w:tcPr>
          <w:p>
            <w:pPr>
              <w:jc w:val="right"/>
              <w:ind w:right="1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24E6A"/>
              <w:right w:val="single" w:sz="8" w:color="424E6A"/>
            </w:tcBorders>
          </w:tcPr>
          <w:p>
            <w:pPr>
              <w:jc w:val="right"/>
              <w:ind w:right="128"/>
              <w:spacing w:after="0"/>
              <w:rPr>
                <w:sz w:val="20"/>
                <w:szCs w:val="20"/>
                <w:color w:val="auto"/>
              </w:rPr>
            </w:pPr>
            <w:r>
              <w:rPr>
                <w:rFonts w:ascii="Arial" w:cs="Arial" w:eastAsia="Arial" w:hAnsi="Arial"/>
                <w:sz w:val="14"/>
                <w:szCs w:val="14"/>
                <w:color w:val="auto"/>
              </w:rPr>
              <w:t>73,401</w:t>
            </w:r>
          </w:p>
        </w:tc>
        <w:tc>
          <w:tcPr>
            <w:tcW w:w="300" w:type="dxa"/>
            <w:vAlign w:val="bottom"/>
            <w:tcBorders>
              <w:bottom w:val="single" w:sz="8" w:color="424E6A"/>
            </w:tcBorders>
          </w:tcPr>
          <w:p>
            <w:pPr>
              <w:ind w:left="2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108,434</w:t>
            </w:r>
          </w:p>
        </w:tc>
        <w:tc>
          <w:tcPr>
            <w:tcW w:w="180" w:type="dxa"/>
            <w:vAlign w:val="bottom"/>
            <w:tcBorders>
              <w:bottom w:val="single" w:sz="8" w:color="424E6A"/>
              <w:right w:val="single" w:sz="8" w:color="424E6A"/>
            </w:tcBorders>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tcPr>
          <w:p>
            <w:pPr>
              <w:ind w:left="46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424E6A"/>
            </w:tcBorders>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23"/>
        </w:trPr>
        <w:tc>
          <w:tcPr>
            <w:tcW w:w="134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highlight w:val="lightGray"/>
              </w:rPr>
              <w:t>Lawrence Ziemba</w:t>
            </w:r>
          </w:p>
        </w:tc>
        <w:tc>
          <w:tcPr>
            <w:tcW w:w="12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highlight w:val="lightGray"/>
              </w:rPr>
              <w:t>​</w:t>
            </w:r>
          </w:p>
        </w:tc>
        <w:tc>
          <w:tcPr>
            <w:tcW w:w="280" w:type="dxa"/>
            <w:vAlign w:val="bottom"/>
            <w:tcBorders>
              <w:bottom w:val="single" w:sz="8" w:color="424E6A"/>
            </w:tcBorders>
            <w:shd w:val="clear" w:color="auto" w:fill="D9DCE1"/>
          </w:tcPr>
          <w:p>
            <w:pPr>
              <w:ind w:left="2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24E6A"/>
            </w:tcBorders>
            <w:shd w:val="clear" w:color="auto" w:fill="D9DCE1"/>
          </w:tcPr>
          <w:p>
            <w:pPr>
              <w:jc w:val="right"/>
              <w:ind w:right="88"/>
              <w:spacing w:after="0"/>
              <w:rPr>
                <w:sz w:val="20"/>
                <w:szCs w:val="20"/>
                <w:color w:val="auto"/>
              </w:rPr>
            </w:pPr>
            <w:r>
              <w:rPr>
                <w:rFonts w:ascii="Arial" w:cs="Arial" w:eastAsia="Arial" w:hAnsi="Arial"/>
                <w:sz w:val="14"/>
                <w:szCs w:val="14"/>
                <w:color w:val="auto"/>
              </w:rPr>
              <w:t>2,346</w:t>
            </w:r>
          </w:p>
        </w:tc>
        <w:tc>
          <w:tcPr>
            <w:tcW w:w="200" w:type="dxa"/>
            <w:vAlign w:val="bottom"/>
            <w:tcBorders>
              <w:bottom w:val="single" w:sz="8" w:color="424E6A"/>
              <w:right w:val="single" w:sz="8" w:color="424E6A"/>
            </w:tcBorders>
            <w:shd w:val="clear" w:color="auto" w:fill="D9DCE1"/>
          </w:tcPr>
          <w:p>
            <w:pPr>
              <w:jc w:val="right"/>
              <w:ind w:right="8"/>
              <w:spacing w:after="0"/>
              <w:rPr>
                <w:sz w:val="20"/>
                <w:szCs w:val="20"/>
                <w:color w:val="auto"/>
              </w:rPr>
            </w:pPr>
            <w:r>
              <w:rPr>
                <w:rFonts w:ascii="Arial" w:cs="Arial" w:eastAsia="Arial" w:hAnsi="Arial"/>
                <w:sz w:val="14"/>
                <w:szCs w:val="14"/>
                <w:color w:val="auto"/>
              </w:rPr>
              <w:t>​ ​</w:t>
            </w:r>
          </w:p>
        </w:tc>
        <w:tc>
          <w:tcPr>
            <w:tcW w:w="22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4"/>
                <w:szCs w:val="14"/>
                <w:color w:val="auto"/>
              </w:rPr>
              <w:t>​ ​</w:t>
            </w:r>
          </w:p>
        </w:tc>
        <w:tc>
          <w:tcPr>
            <w:tcW w:w="64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87,780</w:t>
            </w:r>
          </w:p>
        </w:tc>
        <w:tc>
          <w:tcPr>
            <w:tcW w:w="16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24E6A"/>
              <w:right w:val="single" w:sz="8" w:color="424E6A"/>
            </w:tcBorders>
            <w:shd w:val="clear" w:color="auto" w:fill="D9DCE1"/>
          </w:tcPr>
          <w:p>
            <w:pPr>
              <w:jc w:val="right"/>
              <w:ind w:right="1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424E6A"/>
              <w:right w:val="single" w:sz="8" w:color="424E6A"/>
            </w:tcBorders>
            <w:shd w:val="clear" w:color="auto" w:fill="D9DCE1"/>
          </w:tcPr>
          <w:p>
            <w:pPr>
              <w:jc w:val="right"/>
              <w:ind w:right="128"/>
              <w:spacing w:after="0"/>
              <w:rPr>
                <w:sz w:val="20"/>
                <w:szCs w:val="20"/>
                <w:color w:val="auto"/>
              </w:rPr>
            </w:pPr>
            <w:r>
              <w:rPr>
                <w:rFonts w:ascii="Arial" w:cs="Arial" w:eastAsia="Arial" w:hAnsi="Arial"/>
                <w:sz w:val="14"/>
                <w:szCs w:val="14"/>
                <w:color w:val="auto"/>
              </w:rPr>
              <w:t>87,780</w:t>
            </w:r>
          </w:p>
        </w:tc>
        <w:tc>
          <w:tcPr>
            <w:tcW w:w="300" w:type="dxa"/>
            <w:vAlign w:val="bottom"/>
            <w:tcBorders>
              <w:bottom w:val="single" w:sz="8" w:color="424E6A"/>
            </w:tcBorders>
            <w:shd w:val="clear" w:color="auto" w:fill="D9DCE1"/>
          </w:tcPr>
          <w:p>
            <w:pPr>
              <w:ind w:left="2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90,126</w:t>
            </w:r>
          </w:p>
        </w:tc>
        <w:tc>
          <w:tcPr>
            <w:tcW w:w="180" w:type="dxa"/>
            <w:vAlign w:val="bottom"/>
            <w:tcBorders>
              <w:bottom w:val="single" w:sz="8" w:color="424E6A"/>
              <w:right w:val="single" w:sz="8" w:color="424E6A"/>
            </w:tcBorders>
            <w:shd w:val="clear" w:color="auto" w:fill="D9DCE1"/>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24E6A"/>
            </w:tcBorders>
            <w:shd w:val="clear" w:color="auto" w:fill="D9DCE1"/>
          </w:tcPr>
          <w:p>
            <w:pPr>
              <w:ind w:left="46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424E6A"/>
            </w:tcBorders>
            <w:shd w:val="clear" w:color="auto" w:fill="D9DCE1"/>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73"/>
        </w:trPr>
        <w:tc>
          <w:tcPr>
            <w:tcW w:w="1340" w:type="dxa"/>
            <w:vAlign w:val="bottom"/>
            <w:tcBorders>
              <w:left w:val="single" w:sz="8" w:color="424E6A"/>
            </w:tcBorders>
          </w:tcPr>
          <w:p>
            <w:pPr>
              <w:ind w:left="60"/>
              <w:spacing w:after="0"/>
              <w:rPr>
                <w:sz w:val="20"/>
                <w:szCs w:val="20"/>
                <w:color w:val="auto"/>
              </w:rPr>
            </w:pPr>
            <w:r>
              <w:rPr>
                <w:rFonts w:ascii="Arial" w:cs="Arial" w:eastAsia="Arial" w:hAnsi="Arial"/>
                <w:sz w:val="14"/>
                <w:szCs w:val="14"/>
                <w:color w:val="auto"/>
              </w:rPr>
              <w:t>All directors and</w:t>
            </w:r>
          </w:p>
        </w:tc>
        <w:tc>
          <w:tcPr>
            <w:tcW w:w="120" w:type="dxa"/>
            <w:vAlign w:val="bottom"/>
            <w:tcBorders>
              <w:right w:val="single" w:sz="8" w:color="424E6A"/>
            </w:tcBorders>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Borders>
              <w:right w:val="single" w:sz="8" w:color="424E6A"/>
            </w:tcBorders>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Borders>
              <w:right w:val="single" w:sz="8" w:color="424E6A"/>
            </w:tcBorders>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Borders>
              <w:right w:val="single" w:sz="8" w:color="424E6A"/>
            </w:tcBorders>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Borders>
              <w:right w:val="single" w:sz="8" w:color="424E6A"/>
            </w:tcBorders>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Borders>
              <w:right w:val="single" w:sz="8" w:color="424E6A"/>
            </w:tcBorders>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Borders>
              <w:right w:val="single" w:sz="8" w:color="424E6A"/>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40" w:type="dxa"/>
            <w:vAlign w:val="bottom"/>
            <w:tcBorders>
              <w:left w:val="single" w:sz="8" w:color="424E6A"/>
            </w:tcBorders>
          </w:tcPr>
          <w:p>
            <w:pPr>
              <w:ind w:left="220"/>
              <w:spacing w:after="0"/>
              <w:rPr>
                <w:sz w:val="20"/>
                <w:szCs w:val="20"/>
                <w:color w:val="auto"/>
              </w:rPr>
            </w:pPr>
            <w:r>
              <w:rPr>
                <w:rFonts w:ascii="Arial" w:cs="Arial" w:eastAsia="Arial" w:hAnsi="Arial"/>
                <w:sz w:val="14"/>
                <w:szCs w:val="14"/>
                <w:color w:val="auto"/>
              </w:rPr>
              <w:t>executive officers</w:t>
            </w:r>
          </w:p>
        </w:tc>
        <w:tc>
          <w:tcPr>
            <w:tcW w:w="120" w:type="dxa"/>
            <w:vAlign w:val="bottom"/>
            <w:tcBorders>
              <w:right w:val="single" w:sz="8" w:color="424E6A"/>
            </w:tcBorders>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Borders>
              <w:right w:val="single" w:sz="8" w:color="424E6A"/>
            </w:tcBorders>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Borders>
              <w:right w:val="single" w:sz="8" w:color="424E6A"/>
            </w:tcBorders>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Borders>
              <w:right w:val="single" w:sz="8" w:color="424E6A"/>
            </w:tcBorders>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Borders>
              <w:right w:val="single" w:sz="8" w:color="424E6A"/>
            </w:tcBorders>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Borders>
              <w:right w:val="single" w:sz="8" w:color="424E6A"/>
            </w:tcBorders>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Borders>
              <w:right w:val="single" w:sz="8" w:color="424E6A"/>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40" w:type="dxa"/>
            <w:vAlign w:val="bottom"/>
            <w:tcBorders>
              <w:left w:val="single" w:sz="8" w:color="424E6A"/>
            </w:tcBorders>
          </w:tcPr>
          <w:p>
            <w:pPr>
              <w:ind w:left="220"/>
              <w:spacing w:after="0"/>
              <w:rPr>
                <w:sz w:val="20"/>
                <w:szCs w:val="20"/>
                <w:color w:val="auto"/>
              </w:rPr>
            </w:pPr>
            <w:r>
              <w:rPr>
                <w:rFonts w:ascii="Arial" w:cs="Arial" w:eastAsia="Arial" w:hAnsi="Arial"/>
                <w:sz w:val="14"/>
                <w:szCs w:val="14"/>
                <w:color w:val="auto"/>
              </w:rPr>
              <w:t>as a group</w:t>
            </w:r>
          </w:p>
        </w:tc>
        <w:tc>
          <w:tcPr>
            <w:tcW w:w="120" w:type="dxa"/>
            <w:vAlign w:val="bottom"/>
            <w:tcBorders>
              <w:right w:val="single" w:sz="8" w:color="424E6A"/>
            </w:tcBorders>
          </w:tcPr>
          <w:p>
            <w:pPr>
              <w:spacing w:after="0"/>
              <w:rPr>
                <w:sz w:val="15"/>
                <w:szCs w:val="15"/>
                <w:color w:val="auto"/>
              </w:rPr>
            </w:pPr>
          </w:p>
        </w:tc>
        <w:tc>
          <w:tcPr>
            <w:tcW w:w="1120" w:type="dxa"/>
            <w:vAlign w:val="bottom"/>
            <w:gridSpan w:val="2"/>
            <w:vMerge w:val="restart"/>
          </w:tcPr>
          <w:p>
            <w:pPr>
              <w:jc w:val="right"/>
              <w:ind w:right="88"/>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27,899,067</w:t>
            </w:r>
          </w:p>
        </w:tc>
        <w:tc>
          <w:tcPr>
            <w:tcW w:w="200" w:type="dxa"/>
            <w:vAlign w:val="bottom"/>
            <w:tcBorders>
              <w:right w:val="single" w:sz="8" w:color="424E6A"/>
            </w:tcBorders>
          </w:tcPr>
          <w:p>
            <w:pPr>
              <w:spacing w:after="0"/>
              <w:rPr>
                <w:sz w:val="15"/>
                <w:szCs w:val="15"/>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5,460,649</w:t>
            </w:r>
          </w:p>
        </w:tc>
        <w:tc>
          <w:tcPr>
            <w:tcW w:w="160" w:type="dxa"/>
            <w:vAlign w:val="bottom"/>
            <w:tcBorders>
              <w:right w:val="single" w:sz="8" w:color="424E6A"/>
            </w:tcBorders>
          </w:tcPr>
          <w:p>
            <w:pPr>
              <w:spacing w:after="0"/>
              <w:rPr>
                <w:sz w:val="15"/>
                <w:szCs w:val="15"/>
                <w:color w:val="auto"/>
              </w:rPr>
            </w:pPr>
          </w:p>
        </w:tc>
        <w:tc>
          <w:tcPr>
            <w:tcW w:w="1140" w:type="dxa"/>
            <w:vAlign w:val="bottom"/>
            <w:tcBorders>
              <w:right w:val="single" w:sz="8" w:color="424E6A"/>
            </w:tcBorders>
            <w:gridSpan w:val="2"/>
            <w:vMerge w:val="restart"/>
          </w:tcPr>
          <w:p>
            <w:pPr>
              <w:jc w:val="right"/>
              <w:ind w:right="148"/>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19,184,581</w:t>
            </w:r>
          </w:p>
        </w:tc>
        <w:tc>
          <w:tcPr>
            <w:tcW w:w="1120" w:type="dxa"/>
            <w:vAlign w:val="bottom"/>
            <w:tcBorders>
              <w:right w:val="single" w:sz="8" w:color="424E6A"/>
            </w:tcBorders>
            <w:gridSpan w:val="2"/>
            <w:vMerge w:val="restart"/>
          </w:tcPr>
          <w:p>
            <w:pPr>
              <w:jc w:val="right"/>
              <w:ind w:right="128"/>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24,645,230</w:t>
            </w:r>
          </w:p>
        </w:tc>
        <w:tc>
          <w:tcPr>
            <w:tcW w:w="1120" w:type="dxa"/>
            <w:vAlign w:val="bottom"/>
            <w:tcBorders>
              <w:right w:val="single" w:sz="8" w:color="424E6A"/>
            </w:tcBorders>
            <w:gridSpan w:val="3"/>
            <w:vMerge w:val="restart"/>
          </w:tcPr>
          <w:p>
            <w:pPr>
              <w:jc w:val="right"/>
              <w:ind w:right="68"/>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52,544,297</w:t>
            </w:r>
            <w:r>
              <w:rPr>
                <w:rFonts w:ascii="Arial" w:cs="Arial" w:eastAsia="Arial" w:hAnsi="Arial"/>
                <w:sz w:val="28"/>
                <w:szCs w:val="28"/>
                <w:color w:val="auto"/>
                <w:vertAlign w:val="subscript"/>
              </w:rPr>
              <w:t>​</w:t>
            </w:r>
          </w:p>
        </w:tc>
        <w:tc>
          <w:tcPr>
            <w:tcW w:w="960" w:type="dxa"/>
            <w:vAlign w:val="bottom"/>
            <w:gridSpan w:val="2"/>
            <w:vMerge w:val="restart"/>
          </w:tcPr>
          <w:p>
            <w:pPr>
              <w:ind w:left="46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6.9%</w:t>
            </w:r>
          </w:p>
        </w:tc>
        <w:tc>
          <w:tcPr>
            <w:tcW w:w="220" w:type="dxa"/>
            <w:vAlign w:val="bottom"/>
            <w:tcBorders>
              <w:right w:val="single" w:sz="8" w:color="424E6A"/>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340" w:type="dxa"/>
            <w:vAlign w:val="bottom"/>
            <w:tcBorders>
              <w:left w:val="single" w:sz="8" w:color="424E6A"/>
              <w:bottom w:val="single" w:sz="8" w:color="424E6A"/>
            </w:tcBorders>
          </w:tcPr>
          <w:p>
            <w:pPr>
              <w:ind w:left="220"/>
              <w:spacing w:after="0"/>
              <w:rPr>
                <w:sz w:val="20"/>
                <w:szCs w:val="20"/>
                <w:color w:val="auto"/>
              </w:rPr>
            </w:pPr>
            <w:r>
              <w:rPr>
                <w:rFonts w:ascii="Arial" w:cs="Arial" w:eastAsia="Arial" w:hAnsi="Arial"/>
                <w:sz w:val="14"/>
                <w:szCs w:val="14"/>
                <w:color w:val="auto"/>
              </w:rPr>
              <w:t>(16 persons)</w:t>
            </w:r>
          </w:p>
        </w:tc>
        <w:tc>
          <w:tcPr>
            <w:tcW w:w="12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424E6A"/>
            </w:tcBorders>
            <w:gridSpan w:val="2"/>
            <w:vMerge w:val="continue"/>
          </w:tcPr>
          <w:p>
            <w:pPr>
              <w:spacing w:after="0"/>
              <w:rPr>
                <w:sz w:val="18"/>
                <w:szCs w:val="18"/>
                <w:color w:val="auto"/>
              </w:rPr>
            </w:pPr>
          </w:p>
        </w:tc>
        <w:tc>
          <w:tcPr>
            <w:tcW w:w="200" w:type="dxa"/>
            <w:vAlign w:val="bottom"/>
            <w:tcBorders>
              <w:bottom w:val="single" w:sz="8" w:color="424E6A"/>
              <w:right w:val="single" w:sz="8" w:color="424E6A"/>
            </w:tcBorders>
          </w:tcPr>
          <w:p>
            <w:pPr>
              <w:jc w:val="right"/>
              <w:ind w:right="8"/>
              <w:spacing w:after="0"/>
              <w:rPr>
                <w:sz w:val="20"/>
                <w:szCs w:val="20"/>
                <w:color w:val="auto"/>
              </w:rPr>
            </w:pPr>
            <w:r>
              <w:rPr>
                <w:rFonts w:ascii="Arial" w:cs="Arial" w:eastAsia="Arial" w:hAnsi="Arial"/>
                <w:sz w:val="14"/>
                <w:szCs w:val="14"/>
                <w:color w:val="auto"/>
              </w:rPr>
              <w:t>​ ​</w:t>
            </w:r>
          </w:p>
        </w:tc>
        <w:tc>
          <w:tcPr>
            <w:tcW w:w="860" w:type="dxa"/>
            <w:vAlign w:val="bottom"/>
            <w:tcBorders>
              <w:bottom w:val="single" w:sz="8" w:color="424E6A"/>
            </w:tcBorders>
            <w:gridSpan w:val="2"/>
            <w:vMerge w:val="continue"/>
          </w:tcPr>
          <w:p>
            <w:pPr>
              <w:spacing w:after="0"/>
              <w:rPr>
                <w:sz w:val="18"/>
                <w:szCs w:val="18"/>
                <w:color w:val="auto"/>
              </w:rPr>
            </w:pPr>
          </w:p>
        </w:tc>
        <w:tc>
          <w:tcPr>
            <w:tcW w:w="16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424E6A"/>
              <w:right w:val="single" w:sz="8" w:color="424E6A"/>
            </w:tcBorders>
            <w:gridSpan w:val="2"/>
            <w:vMerge w:val="continue"/>
          </w:tcPr>
          <w:p>
            <w:pPr>
              <w:spacing w:after="0"/>
              <w:rPr>
                <w:sz w:val="18"/>
                <w:szCs w:val="18"/>
                <w:color w:val="auto"/>
              </w:rPr>
            </w:pPr>
          </w:p>
        </w:tc>
        <w:tc>
          <w:tcPr>
            <w:tcW w:w="1120" w:type="dxa"/>
            <w:vAlign w:val="bottom"/>
            <w:tcBorders>
              <w:bottom w:val="single" w:sz="8" w:color="424E6A"/>
              <w:right w:val="single" w:sz="8" w:color="424E6A"/>
            </w:tcBorders>
            <w:gridSpan w:val="2"/>
            <w:vMerge w:val="continue"/>
          </w:tcPr>
          <w:p>
            <w:pPr>
              <w:spacing w:after="0"/>
              <w:rPr>
                <w:sz w:val="18"/>
                <w:szCs w:val="18"/>
                <w:color w:val="auto"/>
              </w:rPr>
            </w:pPr>
          </w:p>
        </w:tc>
        <w:tc>
          <w:tcPr>
            <w:tcW w:w="1120" w:type="dxa"/>
            <w:vAlign w:val="bottom"/>
            <w:tcBorders>
              <w:bottom w:val="single" w:sz="8" w:color="424E6A"/>
              <w:right w:val="single" w:sz="8" w:color="424E6A"/>
            </w:tcBorders>
            <w:gridSpan w:val="3"/>
            <w:vMerge w:val="continue"/>
          </w:tcPr>
          <w:p>
            <w:pPr>
              <w:spacing w:after="0"/>
              <w:rPr>
                <w:sz w:val="18"/>
                <w:szCs w:val="18"/>
                <w:color w:val="auto"/>
              </w:rPr>
            </w:pPr>
          </w:p>
        </w:tc>
        <w:tc>
          <w:tcPr>
            <w:tcW w:w="960" w:type="dxa"/>
            <w:vAlign w:val="bottom"/>
            <w:tcBorders>
              <w:bottom w:val="single" w:sz="8" w:color="424E6A"/>
            </w:tcBorders>
            <w:gridSpan w:val="2"/>
            <w:vMerge w:val="continue"/>
          </w:tcPr>
          <w:p>
            <w:pPr>
              <w:spacing w:after="0"/>
              <w:rPr>
                <w:sz w:val="18"/>
                <w:szCs w:val="18"/>
                <w:color w:val="auto"/>
              </w:rPr>
            </w:pP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180340</wp:posOffset>
            </wp:positionV>
            <wp:extent cx="123444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620" w:hanging="360"/>
        <w:spacing w:after="0"/>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Beneficial Ownership of General Partner Interest</w:t>
      </w:r>
    </w:p>
    <w:p>
      <w:pPr>
        <w:spacing w:after="0" w:line="158"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Plains AAP owns a significant limited partner interest in us and, indirectly through its 100% member interest in PAA GP LLC, our non-economic general partner interest. GP LLC owns the non-economic general partner interest in Plains AAP. The Class A limited partners of Plains AAP collectively own 100% of the economic interests in Plains AAP. The following table sets forth the percentage ownership of the Class A limited partners of Plains AAP, including certain of our directors and Named Executive Officers, as of March 23, 2026:</w:t>
      </w:r>
    </w:p>
    <w:p>
      <w:pPr>
        <w:spacing w:after="0" w:line="160" w:lineRule="exact"/>
        <w:rPr>
          <w:sz w:val="20"/>
          <w:szCs w:val="20"/>
          <w:color w:val="auto"/>
        </w:rPr>
      </w:pPr>
    </w:p>
    <w:tbl>
      <w:tblPr>
        <w:tblLayout w:type="fixed"/>
        <w:tblInd w:w="1270" w:type="dxa"/>
        <w:tblCellMar>
          <w:top w:w="0" w:type="dxa"/>
          <w:left w:w="0" w:type="dxa"/>
          <w:bottom w:w="0" w:type="dxa"/>
          <w:right w:w="0" w:type="dxa"/>
        </w:tblCellMar>
      </w:tblPr>
      <w:tr>
        <w:trPr>
          <w:trHeight w:val="247"/>
        </w:trPr>
        <w:tc>
          <w:tcPr>
            <w:tcW w:w="5020" w:type="dxa"/>
            <w:vAlign w:val="bottom"/>
            <w:tcBorders>
              <w:left w:val="single" w:sz="8" w:color="424E6A"/>
            </w:tcBorders>
            <w:shd w:val="clear" w:color="auto" w:fill="424E6A"/>
          </w:tcPr>
          <w:p>
            <w:pPr>
              <w:spacing w:after="0"/>
              <w:rPr>
                <w:sz w:val="21"/>
                <w:szCs w:val="21"/>
                <w:color w:val="auto"/>
              </w:rPr>
            </w:pPr>
          </w:p>
        </w:tc>
        <w:tc>
          <w:tcPr>
            <w:tcW w:w="2040" w:type="dxa"/>
            <w:vAlign w:val="bottom"/>
            <w:tcBorders>
              <w:right w:val="single" w:sz="8" w:color="424E6A"/>
            </w:tcBorders>
            <w:shd w:val="clear" w:color="auto" w:fill="424E6A"/>
          </w:tcPr>
          <w:p>
            <w:pPr>
              <w:spacing w:after="0"/>
              <w:rPr>
                <w:sz w:val="21"/>
                <w:szCs w:val="21"/>
                <w:color w:val="auto"/>
              </w:rPr>
            </w:pPr>
          </w:p>
        </w:tc>
        <w:tc>
          <w:tcPr>
            <w:tcW w:w="100" w:type="dxa"/>
            <w:vAlign w:val="bottom"/>
            <w:shd w:val="clear" w:color="auto" w:fill="424E6A"/>
          </w:tcPr>
          <w:p>
            <w:pPr>
              <w:spacing w:after="0"/>
              <w:rPr>
                <w:sz w:val="21"/>
                <w:szCs w:val="21"/>
                <w:color w:val="auto"/>
              </w:rPr>
            </w:pPr>
          </w:p>
        </w:tc>
        <w:tc>
          <w:tcPr>
            <w:tcW w:w="7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Percentage</w:t>
            </w:r>
          </w:p>
        </w:tc>
        <w:tc>
          <w:tcPr>
            <w:tcW w:w="280" w:type="dxa"/>
            <w:vAlign w:val="bottom"/>
            <w:tcBorders>
              <w:right w:val="single" w:sz="8" w:color="424E6A"/>
            </w:tcBorders>
            <w:shd w:val="clear" w:color="auto" w:fill="424E6A"/>
          </w:tcPr>
          <w:p>
            <w:pPr>
              <w:spacing w:after="0"/>
              <w:rPr>
                <w:sz w:val="21"/>
                <w:szCs w:val="21"/>
                <w:color w:val="auto"/>
              </w:rPr>
            </w:pPr>
          </w:p>
        </w:tc>
      </w:tr>
      <w:tr>
        <w:trPr>
          <w:trHeight w:val="162"/>
        </w:trPr>
        <w:tc>
          <w:tcPr>
            <w:tcW w:w="5020" w:type="dxa"/>
            <w:vAlign w:val="bottom"/>
            <w:tcBorders>
              <w:left w:val="single" w:sz="8" w:color="424E6A"/>
            </w:tcBorders>
            <w:shd w:val="clear" w:color="auto" w:fill="424E6A"/>
          </w:tcPr>
          <w:p>
            <w:pPr>
              <w:spacing w:after="0"/>
              <w:rPr>
                <w:sz w:val="14"/>
                <w:szCs w:val="14"/>
                <w:color w:val="auto"/>
              </w:rPr>
            </w:pPr>
          </w:p>
        </w:tc>
        <w:tc>
          <w:tcPr>
            <w:tcW w:w="204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7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Ownership</w:t>
            </w:r>
          </w:p>
        </w:tc>
        <w:tc>
          <w:tcPr>
            <w:tcW w:w="280" w:type="dxa"/>
            <w:vAlign w:val="bottom"/>
            <w:tcBorders>
              <w:right w:val="single" w:sz="8" w:color="424E6A"/>
            </w:tcBorders>
            <w:shd w:val="clear" w:color="auto" w:fill="424E6A"/>
          </w:tcPr>
          <w:p>
            <w:pPr>
              <w:spacing w:after="0"/>
              <w:rPr>
                <w:sz w:val="14"/>
                <w:szCs w:val="14"/>
                <w:color w:val="auto"/>
              </w:rPr>
            </w:pPr>
          </w:p>
        </w:tc>
      </w:tr>
      <w:tr>
        <w:trPr>
          <w:trHeight w:val="162"/>
        </w:trPr>
        <w:tc>
          <w:tcPr>
            <w:tcW w:w="5020" w:type="dxa"/>
            <w:vAlign w:val="bottom"/>
            <w:tcBorders>
              <w:left w:val="single" w:sz="8" w:color="424E6A"/>
            </w:tcBorders>
            <w:shd w:val="clear" w:color="auto" w:fill="424E6A"/>
          </w:tcPr>
          <w:p>
            <w:pPr>
              <w:spacing w:after="0"/>
              <w:rPr>
                <w:sz w:val="14"/>
                <w:szCs w:val="14"/>
                <w:color w:val="auto"/>
              </w:rPr>
            </w:pPr>
          </w:p>
        </w:tc>
        <w:tc>
          <w:tcPr>
            <w:tcW w:w="204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280" w:type="dxa"/>
            <w:vAlign w:val="bottom"/>
            <w:shd w:val="clear" w:color="auto" w:fill="424E6A"/>
          </w:tcPr>
          <w:p>
            <w:pPr>
              <w:spacing w:after="0"/>
              <w:rPr>
                <w:sz w:val="14"/>
                <w:szCs w:val="14"/>
                <w:color w:val="auto"/>
              </w:rPr>
            </w:pPr>
          </w:p>
        </w:tc>
        <w:tc>
          <w:tcPr>
            <w:tcW w:w="500" w:type="dxa"/>
            <w:vAlign w:val="bottom"/>
            <w:shd w:val="clear" w:color="auto" w:fill="424E6A"/>
          </w:tcPr>
          <w:p>
            <w:pPr>
              <w:jc w:val="center"/>
              <w:ind w:right="194"/>
              <w:spacing w:after="0"/>
              <w:rPr>
                <w:sz w:val="20"/>
                <w:szCs w:val="20"/>
                <w:color w:val="auto"/>
              </w:rPr>
            </w:pPr>
            <w:r>
              <w:rPr>
                <w:rFonts w:ascii="Arial" w:cs="Arial" w:eastAsia="Arial" w:hAnsi="Arial"/>
                <w:sz w:val="14"/>
                <w:szCs w:val="14"/>
                <w:b w:val="1"/>
                <w:bCs w:val="1"/>
                <w:color w:val="FFFFFF"/>
              </w:rPr>
              <w:t>of</w:t>
            </w:r>
          </w:p>
        </w:tc>
        <w:tc>
          <w:tcPr>
            <w:tcW w:w="280" w:type="dxa"/>
            <w:vAlign w:val="bottom"/>
            <w:tcBorders>
              <w:right w:val="single" w:sz="8" w:color="424E6A"/>
            </w:tcBorders>
            <w:shd w:val="clear" w:color="auto" w:fill="424E6A"/>
          </w:tcPr>
          <w:p>
            <w:pPr>
              <w:spacing w:after="0"/>
              <w:rPr>
                <w:sz w:val="14"/>
                <w:szCs w:val="14"/>
                <w:color w:val="auto"/>
              </w:rPr>
            </w:pPr>
          </w:p>
        </w:tc>
      </w:tr>
      <w:tr>
        <w:trPr>
          <w:trHeight w:val="162"/>
        </w:trPr>
        <w:tc>
          <w:tcPr>
            <w:tcW w:w="5020" w:type="dxa"/>
            <w:vAlign w:val="bottom"/>
            <w:tcBorders>
              <w:left w:val="single" w:sz="8" w:color="424E6A"/>
            </w:tcBorders>
            <w:shd w:val="clear" w:color="auto" w:fill="424E6A"/>
          </w:tcPr>
          <w:p>
            <w:pPr>
              <w:spacing w:after="0"/>
              <w:rPr>
                <w:sz w:val="14"/>
                <w:szCs w:val="14"/>
                <w:color w:val="auto"/>
              </w:rPr>
            </w:pPr>
          </w:p>
        </w:tc>
        <w:tc>
          <w:tcPr>
            <w:tcW w:w="204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7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Plains</w:t>
            </w:r>
          </w:p>
        </w:tc>
        <w:tc>
          <w:tcPr>
            <w:tcW w:w="280" w:type="dxa"/>
            <w:vAlign w:val="bottom"/>
            <w:tcBorders>
              <w:right w:val="single" w:sz="8" w:color="424E6A"/>
            </w:tcBorders>
            <w:shd w:val="clear" w:color="auto" w:fill="424E6A"/>
          </w:tcPr>
          <w:p>
            <w:pPr>
              <w:spacing w:after="0"/>
              <w:rPr>
                <w:sz w:val="14"/>
                <w:szCs w:val="14"/>
                <w:color w:val="auto"/>
              </w:rPr>
            </w:pPr>
          </w:p>
        </w:tc>
      </w:tr>
      <w:tr>
        <w:trPr>
          <w:trHeight w:val="162"/>
        </w:trPr>
        <w:tc>
          <w:tcPr>
            <w:tcW w:w="5020" w:type="dxa"/>
            <w:vAlign w:val="bottom"/>
            <w:tcBorders>
              <w:left w:val="single" w:sz="8" w:color="424E6A"/>
            </w:tcBorders>
            <w:shd w:val="clear" w:color="auto" w:fill="424E6A"/>
          </w:tcPr>
          <w:p>
            <w:pPr>
              <w:spacing w:after="0"/>
              <w:rPr>
                <w:sz w:val="14"/>
                <w:szCs w:val="14"/>
                <w:color w:val="auto"/>
              </w:rPr>
            </w:pPr>
          </w:p>
        </w:tc>
        <w:tc>
          <w:tcPr>
            <w:tcW w:w="204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7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w w:val="95"/>
              </w:rPr>
              <w:t>AAP, L.P.</w:t>
            </w:r>
          </w:p>
        </w:tc>
        <w:tc>
          <w:tcPr>
            <w:tcW w:w="280" w:type="dxa"/>
            <w:vAlign w:val="bottom"/>
            <w:tcBorders>
              <w:right w:val="single" w:sz="8" w:color="424E6A"/>
            </w:tcBorders>
            <w:shd w:val="clear" w:color="auto" w:fill="424E6A"/>
          </w:tcPr>
          <w:p>
            <w:pPr>
              <w:spacing w:after="0"/>
              <w:rPr>
                <w:sz w:val="14"/>
                <w:szCs w:val="14"/>
                <w:color w:val="auto"/>
              </w:rPr>
            </w:pPr>
          </w:p>
        </w:tc>
      </w:tr>
      <w:tr>
        <w:trPr>
          <w:trHeight w:val="162"/>
        </w:trPr>
        <w:tc>
          <w:tcPr>
            <w:tcW w:w="5020" w:type="dxa"/>
            <w:vAlign w:val="bottom"/>
            <w:tcBorders>
              <w:lef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Name of Owner and Address</w:t>
            </w:r>
          </w:p>
        </w:tc>
        <w:tc>
          <w:tcPr>
            <w:tcW w:w="204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7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Class A LP</w:t>
            </w:r>
          </w:p>
        </w:tc>
        <w:tc>
          <w:tcPr>
            <w:tcW w:w="280" w:type="dxa"/>
            <w:vAlign w:val="bottom"/>
            <w:tcBorders>
              <w:right w:val="single" w:sz="8" w:color="424E6A"/>
            </w:tcBorders>
            <w:shd w:val="clear" w:color="auto" w:fill="424E6A"/>
          </w:tcPr>
          <w:p>
            <w:pPr>
              <w:spacing w:after="0"/>
              <w:rPr>
                <w:sz w:val="14"/>
                <w:szCs w:val="14"/>
                <w:color w:val="auto"/>
              </w:rPr>
            </w:pPr>
          </w:p>
        </w:tc>
      </w:tr>
      <w:tr>
        <w:trPr>
          <w:trHeight w:val="212"/>
        </w:trPr>
        <w:tc>
          <w:tcPr>
            <w:tcW w:w="5020" w:type="dxa"/>
            <w:vAlign w:val="bottom"/>
            <w:tcBorders>
              <w:lef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(in the case of Owners of more than 5%)</w:t>
            </w:r>
          </w:p>
        </w:tc>
        <w:tc>
          <w:tcPr>
            <w:tcW w:w="2040" w:type="dxa"/>
            <w:vAlign w:val="bottom"/>
            <w:tcBorders>
              <w:right w:val="single" w:sz="8" w:color="424E6A"/>
            </w:tcBorders>
            <w:shd w:val="clear" w:color="auto" w:fill="424E6A"/>
          </w:tcPr>
          <w:p>
            <w:pPr>
              <w:spacing w:after="0"/>
              <w:rPr>
                <w:sz w:val="18"/>
                <w:szCs w:val="18"/>
                <w:color w:val="auto"/>
              </w:rPr>
            </w:pPr>
          </w:p>
        </w:tc>
        <w:tc>
          <w:tcPr>
            <w:tcW w:w="100" w:type="dxa"/>
            <w:vAlign w:val="bottom"/>
            <w:shd w:val="clear" w:color="auto" w:fill="424E6A"/>
          </w:tcPr>
          <w:p>
            <w:pPr>
              <w:spacing w:after="0"/>
              <w:rPr>
                <w:sz w:val="18"/>
                <w:szCs w:val="18"/>
                <w:color w:val="auto"/>
              </w:rPr>
            </w:pPr>
          </w:p>
        </w:tc>
        <w:tc>
          <w:tcPr>
            <w:tcW w:w="7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w w:val="96"/>
              </w:rPr>
              <w:t>Interest</w:t>
            </w:r>
            <w:r>
              <w:rPr>
                <w:rFonts w:ascii="Arial" w:cs="Arial" w:eastAsia="Arial" w:hAnsi="Arial"/>
                <w:sz w:val="17"/>
                <w:szCs w:val="17"/>
                <w:b w:val="1"/>
                <w:bCs w:val="1"/>
                <w:color w:val="FFFFFF"/>
                <w:w w:val="96"/>
                <w:vertAlign w:val="superscript"/>
              </w:rPr>
              <w:t>(1)</w:t>
            </w:r>
          </w:p>
        </w:tc>
        <w:tc>
          <w:tcPr>
            <w:tcW w:w="280" w:type="dxa"/>
            <w:vAlign w:val="bottom"/>
            <w:tcBorders>
              <w:right w:val="single" w:sz="8" w:color="424E6A"/>
            </w:tcBorders>
            <w:shd w:val="clear" w:color="auto" w:fill="424E6A"/>
          </w:tcPr>
          <w:p>
            <w:pPr>
              <w:spacing w:after="0"/>
              <w:rPr>
                <w:sz w:val="18"/>
                <w:szCs w:val="18"/>
                <w:color w:val="auto"/>
              </w:rPr>
            </w:pPr>
          </w:p>
        </w:tc>
      </w:tr>
      <w:tr>
        <w:trPr>
          <w:trHeight w:val="256"/>
        </w:trPr>
        <w:tc>
          <w:tcPr>
            <w:tcW w:w="502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Plains GP Holdings, L.P.</w:t>
            </w:r>
          </w:p>
        </w:tc>
        <w:tc>
          <w:tcPr>
            <w:tcW w:w="2040" w:type="dxa"/>
            <w:vAlign w:val="bottom"/>
            <w:tcBorders>
              <w:bottom w:val="single" w:sz="8" w:color="424E6A"/>
              <w:right w:val="single" w:sz="8" w:color="424E6A"/>
            </w:tcBorders>
            <w:shd w:val="clear" w:color="auto" w:fill="D9DCE1"/>
          </w:tcPr>
          <w:p>
            <w:pPr>
              <w:ind w:left="1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24E6A"/>
              <w:right w:val="single" w:sz="8" w:color="424E6A"/>
            </w:tcBorders>
            <w:gridSpan w:val="3"/>
            <w:shd w:val="clear" w:color="auto" w:fill="D9DCE1"/>
          </w:tcPr>
          <w:p>
            <w:pPr>
              <w:jc w:val="right"/>
              <w:ind w:right="11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84.9% </w:t>
            </w:r>
            <w:r>
              <w:rPr>
                <w:rFonts w:ascii="Arial" w:cs="Arial" w:eastAsia="Arial" w:hAnsi="Arial"/>
                <w:sz w:val="29"/>
                <w:szCs w:val="29"/>
                <w:color w:val="auto"/>
                <w:vertAlign w:val="subscript"/>
              </w:rPr>
              <w:t>​</w:t>
            </w:r>
          </w:p>
        </w:tc>
      </w:tr>
      <w:tr>
        <w:trPr>
          <w:trHeight w:val="250"/>
        </w:trPr>
        <w:tc>
          <w:tcPr>
            <w:tcW w:w="5020" w:type="dxa"/>
            <w:vAlign w:val="bottom"/>
            <w:tcBorders>
              <w:left w:val="single" w:sz="8" w:color="424E6A"/>
              <w:bottom w:val="single" w:sz="8" w:color="424E6A"/>
            </w:tcBorders>
          </w:tcPr>
          <w:p>
            <w:pPr>
              <w:ind w:left="240"/>
              <w:spacing w:after="0"/>
              <w:rPr>
                <w:sz w:val="20"/>
                <w:szCs w:val="20"/>
                <w:color w:val="auto"/>
              </w:rPr>
            </w:pPr>
            <w:r>
              <w:rPr>
                <w:rFonts w:ascii="Arial" w:cs="Arial" w:eastAsia="Arial" w:hAnsi="Arial"/>
                <w:sz w:val="18"/>
                <w:szCs w:val="18"/>
                <w:color w:val="auto"/>
              </w:rPr>
              <w:t>333 Clay Street, Suite 1600</w:t>
            </w:r>
          </w:p>
        </w:tc>
        <w:tc>
          <w:tcPr>
            <w:tcW w:w="2040" w:type="dxa"/>
            <w:vAlign w:val="bottom"/>
            <w:tcBorders>
              <w:bottom w:val="single" w:sz="8" w:color="424E6A"/>
              <w:right w:val="single" w:sz="8" w:color="424E6A"/>
            </w:tcBorders>
          </w:tcPr>
          <w:p>
            <w:pPr>
              <w:ind w:left="1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424E6A"/>
            </w:tcBorders>
          </w:tcPr>
          <w:p>
            <w:pPr>
              <w:ind w:lef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424E6A"/>
            </w:tcBorders>
          </w:tcPr>
          <w:p>
            <w:pPr>
              <w:spacing w:after="0"/>
              <w:rPr>
                <w:sz w:val="21"/>
                <w:szCs w:val="21"/>
                <w:color w:val="auto"/>
              </w:rPr>
            </w:pPr>
          </w:p>
        </w:tc>
        <w:tc>
          <w:tcPr>
            <w:tcW w:w="280" w:type="dxa"/>
            <w:vAlign w:val="bottom"/>
            <w:tcBorders>
              <w:bottom w:val="single" w:sz="8" w:color="424E6A"/>
              <w:right w:val="single" w:sz="8" w:color="424E6A"/>
            </w:tcBorders>
          </w:tcPr>
          <w:p>
            <w:pPr>
              <w:jc w:val="right"/>
              <w:ind w:right="110"/>
              <w:spacing w:after="0"/>
              <w:rPr>
                <w:sz w:val="20"/>
                <w:szCs w:val="20"/>
                <w:color w:val="auto"/>
              </w:rPr>
            </w:pPr>
            <w:r>
              <w:rPr>
                <w:rFonts w:ascii="Arial" w:cs="Arial" w:eastAsia="Arial" w:hAnsi="Arial"/>
                <w:sz w:val="18"/>
                <w:szCs w:val="18"/>
                <w:color w:val="auto"/>
              </w:rPr>
              <w:t>​</w:t>
            </w:r>
          </w:p>
        </w:tc>
      </w:tr>
      <w:tr>
        <w:trPr>
          <w:trHeight w:val="250"/>
        </w:trPr>
        <w:tc>
          <w:tcPr>
            <w:tcW w:w="5020" w:type="dxa"/>
            <w:vAlign w:val="bottom"/>
            <w:tcBorders>
              <w:left w:val="single" w:sz="8" w:color="424E6A"/>
              <w:bottom w:val="single" w:sz="8" w:color="424E6A"/>
            </w:tcBorders>
          </w:tcPr>
          <w:p>
            <w:pPr>
              <w:ind w:left="240"/>
              <w:spacing w:after="0"/>
              <w:rPr>
                <w:sz w:val="20"/>
                <w:szCs w:val="20"/>
                <w:color w:val="auto"/>
              </w:rPr>
            </w:pPr>
            <w:r>
              <w:rPr>
                <w:rFonts w:ascii="Arial" w:cs="Arial" w:eastAsia="Arial" w:hAnsi="Arial"/>
                <w:sz w:val="18"/>
                <w:szCs w:val="18"/>
                <w:color w:val="auto"/>
              </w:rPr>
              <w:t>Houston, TX 77002</w:t>
            </w:r>
          </w:p>
        </w:tc>
        <w:tc>
          <w:tcPr>
            <w:tcW w:w="2040" w:type="dxa"/>
            <w:vAlign w:val="bottom"/>
            <w:tcBorders>
              <w:bottom w:val="single" w:sz="8" w:color="424E6A"/>
              <w:right w:val="single" w:sz="8" w:color="424E6A"/>
            </w:tcBorders>
          </w:tcPr>
          <w:p>
            <w:pPr>
              <w:ind w:left="1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424E6A"/>
            </w:tcBorders>
          </w:tcPr>
          <w:p>
            <w:pPr>
              <w:ind w:lef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424E6A"/>
            </w:tcBorders>
          </w:tcPr>
          <w:p>
            <w:pPr>
              <w:spacing w:after="0"/>
              <w:rPr>
                <w:sz w:val="21"/>
                <w:szCs w:val="21"/>
                <w:color w:val="auto"/>
              </w:rPr>
            </w:pPr>
          </w:p>
        </w:tc>
        <w:tc>
          <w:tcPr>
            <w:tcW w:w="280" w:type="dxa"/>
            <w:vAlign w:val="bottom"/>
            <w:tcBorders>
              <w:bottom w:val="single" w:sz="8" w:color="424E6A"/>
              <w:right w:val="single" w:sz="8" w:color="424E6A"/>
            </w:tcBorders>
          </w:tcPr>
          <w:p>
            <w:pPr>
              <w:jc w:val="right"/>
              <w:ind w:right="110"/>
              <w:spacing w:after="0"/>
              <w:rPr>
                <w:sz w:val="20"/>
                <w:szCs w:val="20"/>
                <w:color w:val="auto"/>
              </w:rPr>
            </w:pPr>
            <w:r>
              <w:rPr>
                <w:rFonts w:ascii="Arial" w:cs="Arial" w:eastAsia="Arial" w:hAnsi="Arial"/>
                <w:sz w:val="18"/>
                <w:szCs w:val="18"/>
                <w:color w:val="auto"/>
              </w:rPr>
              <w:t>​</w:t>
            </w:r>
          </w:p>
        </w:tc>
      </w:tr>
      <w:tr>
        <w:trPr>
          <w:trHeight w:val="250"/>
        </w:trPr>
        <w:tc>
          <w:tcPr>
            <w:tcW w:w="502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Lynx Holdings I, LLC</w:t>
            </w:r>
          </w:p>
        </w:tc>
        <w:tc>
          <w:tcPr>
            <w:tcW w:w="2040" w:type="dxa"/>
            <w:vAlign w:val="bottom"/>
            <w:tcBorders>
              <w:bottom w:val="single" w:sz="8" w:color="424E6A"/>
              <w:right w:val="single" w:sz="8" w:color="424E6A"/>
            </w:tcBorders>
            <w:shd w:val="clear" w:color="auto" w:fill="D9DCE1"/>
          </w:tcPr>
          <w:p>
            <w:pPr>
              <w:ind w:left="1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24E6A"/>
              <w:right w:val="single" w:sz="8" w:color="424E6A"/>
            </w:tcBorders>
            <w:gridSpan w:val="3"/>
            <w:shd w:val="clear" w:color="auto" w:fill="D9DCE1"/>
          </w:tcPr>
          <w:p>
            <w:pPr>
              <w:jc w:val="right"/>
              <w:ind w:right="11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1.4% </w:t>
            </w:r>
            <w:r>
              <w:rPr>
                <w:rFonts w:ascii="Arial" w:cs="Arial" w:eastAsia="Arial" w:hAnsi="Arial"/>
                <w:sz w:val="28"/>
                <w:szCs w:val="28"/>
                <w:color w:val="auto"/>
                <w:vertAlign w:val="subscript"/>
              </w:rPr>
              <w:t>​</w:t>
            </w:r>
          </w:p>
        </w:tc>
      </w:tr>
      <w:tr>
        <w:trPr>
          <w:trHeight w:val="250"/>
        </w:trPr>
        <w:tc>
          <w:tcPr>
            <w:tcW w:w="502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John T. Raymond</w:t>
            </w:r>
          </w:p>
        </w:tc>
        <w:tc>
          <w:tcPr>
            <w:tcW w:w="2040" w:type="dxa"/>
            <w:vAlign w:val="bottom"/>
            <w:tcBorders>
              <w:bottom w:val="single" w:sz="8" w:color="424E6A"/>
              <w:right w:val="single" w:sz="8" w:color="424E6A"/>
            </w:tcBorders>
          </w:tcPr>
          <w:p>
            <w:pPr>
              <w:ind w:left="1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24E6A"/>
              <w:right w:val="single" w:sz="8" w:color="424E6A"/>
            </w:tcBorders>
            <w:gridSpan w:val="3"/>
          </w:tcPr>
          <w:p>
            <w:pPr>
              <w:jc w:val="right"/>
              <w:ind w:right="11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3.6% </w:t>
            </w:r>
            <w:r>
              <w:rPr>
                <w:rFonts w:ascii="Arial" w:cs="Arial" w:eastAsia="Arial" w:hAnsi="Arial"/>
                <w:sz w:val="28"/>
                <w:szCs w:val="28"/>
                <w:color w:val="auto"/>
                <w:vertAlign w:val="subscript"/>
              </w:rPr>
              <w:t>​</w:t>
            </w:r>
          </w:p>
        </w:tc>
      </w:tr>
      <w:tr>
        <w:trPr>
          <w:trHeight w:val="250"/>
        </w:trPr>
        <w:tc>
          <w:tcPr>
            <w:tcW w:w="502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Greg L. Armstrong</w:t>
            </w:r>
          </w:p>
        </w:tc>
        <w:tc>
          <w:tcPr>
            <w:tcW w:w="2040" w:type="dxa"/>
            <w:vAlign w:val="bottom"/>
            <w:tcBorders>
              <w:bottom w:val="single" w:sz="8" w:color="424E6A"/>
              <w:right w:val="single" w:sz="8" w:color="424E6A"/>
            </w:tcBorders>
            <w:shd w:val="clear" w:color="auto" w:fill="D9DCE1"/>
          </w:tcPr>
          <w:p>
            <w:pPr>
              <w:ind w:left="1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24E6A"/>
              <w:right w:val="single" w:sz="8" w:color="424E6A"/>
            </w:tcBorders>
            <w:gridSpan w:val="3"/>
            <w:shd w:val="clear" w:color="auto" w:fill="D9DCE1"/>
          </w:tcPr>
          <w:p>
            <w:pPr>
              <w:jc w:val="right"/>
              <w:ind w:right="11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1.9% </w:t>
            </w:r>
            <w:r>
              <w:rPr>
                <w:rFonts w:ascii="Arial" w:cs="Arial" w:eastAsia="Arial" w:hAnsi="Arial"/>
                <w:sz w:val="28"/>
                <w:szCs w:val="28"/>
                <w:color w:val="auto"/>
                <w:vertAlign w:val="subscript"/>
              </w:rPr>
              <w:t>​</w:t>
            </w:r>
          </w:p>
        </w:tc>
      </w:tr>
      <w:tr>
        <w:trPr>
          <w:trHeight w:val="250"/>
        </w:trPr>
        <w:tc>
          <w:tcPr>
            <w:tcW w:w="502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Harry N. Pefanis</w:t>
            </w:r>
          </w:p>
        </w:tc>
        <w:tc>
          <w:tcPr>
            <w:tcW w:w="2040" w:type="dxa"/>
            <w:vAlign w:val="bottom"/>
            <w:tcBorders>
              <w:bottom w:val="single" w:sz="8" w:color="424E6A"/>
              <w:right w:val="single" w:sz="8" w:color="424E6A"/>
            </w:tcBorders>
          </w:tcPr>
          <w:p>
            <w:pPr>
              <w:ind w:left="1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424E6A"/>
            </w:tcBorders>
          </w:tcPr>
          <w:p>
            <w:pPr>
              <w:ind w:lef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424E6A"/>
            </w:tcBorders>
          </w:tcPr>
          <w:p>
            <w:pPr>
              <w:jc w:val="right"/>
              <w:ind w:right="11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424E6A"/>
              <w:right w:val="single" w:sz="8" w:color="424E6A"/>
            </w:tcBorders>
          </w:tcPr>
          <w:p>
            <w:pPr>
              <w:jc w:val="right"/>
              <w:ind w:right="110"/>
              <w:spacing w:after="0"/>
              <w:rPr>
                <w:sz w:val="20"/>
                <w:szCs w:val="20"/>
                <w:color w:val="auto"/>
              </w:rPr>
            </w:pPr>
            <w:r>
              <w:rPr>
                <w:rFonts w:ascii="Arial" w:cs="Arial" w:eastAsia="Arial" w:hAnsi="Arial"/>
                <w:sz w:val="18"/>
                <w:szCs w:val="18"/>
                <w:color w:val="auto"/>
              </w:rPr>
              <w:t>​</w:t>
            </w:r>
          </w:p>
        </w:tc>
      </w:tr>
      <w:tr>
        <w:trPr>
          <w:trHeight w:val="250"/>
        </w:trPr>
        <w:tc>
          <w:tcPr>
            <w:tcW w:w="502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Willie Chiang</w:t>
            </w:r>
          </w:p>
        </w:tc>
        <w:tc>
          <w:tcPr>
            <w:tcW w:w="2040" w:type="dxa"/>
            <w:vAlign w:val="bottom"/>
            <w:tcBorders>
              <w:bottom w:val="single" w:sz="8" w:color="424E6A"/>
              <w:right w:val="single" w:sz="8" w:color="424E6A"/>
            </w:tcBorders>
            <w:shd w:val="clear" w:color="auto" w:fill="D9DCE1"/>
          </w:tcPr>
          <w:p>
            <w:pPr>
              <w:ind w:left="1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424E6A"/>
            </w:tcBorders>
            <w:shd w:val="clear" w:color="auto" w:fill="D9DCE1"/>
          </w:tcPr>
          <w:p>
            <w:pPr>
              <w:ind w:lef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424E6A"/>
            </w:tcBorders>
            <w:shd w:val="clear" w:color="auto" w:fill="D9DCE1"/>
          </w:tcPr>
          <w:p>
            <w:pPr>
              <w:jc w:val="right"/>
              <w:ind w:right="11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424E6A"/>
              <w:right w:val="single" w:sz="8" w:color="424E6A"/>
            </w:tcBorders>
            <w:shd w:val="clear" w:color="auto" w:fill="D9DCE1"/>
          </w:tcPr>
          <w:p>
            <w:pPr>
              <w:jc w:val="right"/>
              <w:ind w:right="110"/>
              <w:spacing w:after="0"/>
              <w:rPr>
                <w:sz w:val="20"/>
                <w:szCs w:val="20"/>
                <w:color w:val="auto"/>
              </w:rPr>
            </w:pPr>
            <w:r>
              <w:rPr>
                <w:rFonts w:ascii="Arial" w:cs="Arial" w:eastAsia="Arial" w:hAnsi="Arial"/>
                <w:sz w:val="18"/>
                <w:szCs w:val="18"/>
                <w:color w:val="auto"/>
              </w:rPr>
              <w:t>​</w:t>
            </w:r>
          </w:p>
        </w:tc>
      </w:tr>
      <w:tr>
        <w:trPr>
          <w:trHeight w:val="250"/>
        </w:trPr>
        <w:tc>
          <w:tcPr>
            <w:tcW w:w="502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Richard McGee</w:t>
            </w:r>
          </w:p>
        </w:tc>
        <w:tc>
          <w:tcPr>
            <w:tcW w:w="2040" w:type="dxa"/>
            <w:vAlign w:val="bottom"/>
            <w:tcBorders>
              <w:bottom w:val="single" w:sz="8" w:color="424E6A"/>
              <w:right w:val="single" w:sz="8" w:color="424E6A"/>
            </w:tcBorders>
          </w:tcPr>
          <w:p>
            <w:pPr>
              <w:ind w:left="1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424E6A"/>
            </w:tcBorders>
          </w:tcPr>
          <w:p>
            <w:pPr>
              <w:ind w:lef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424E6A"/>
            </w:tcBorders>
          </w:tcPr>
          <w:p>
            <w:pPr>
              <w:jc w:val="right"/>
              <w:ind w:right="11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424E6A"/>
              <w:right w:val="single" w:sz="8" w:color="424E6A"/>
            </w:tcBorders>
          </w:tcPr>
          <w:p>
            <w:pPr>
              <w:jc w:val="right"/>
              <w:ind w:right="110"/>
              <w:spacing w:after="0"/>
              <w:rPr>
                <w:sz w:val="20"/>
                <w:szCs w:val="20"/>
                <w:color w:val="auto"/>
              </w:rPr>
            </w:pPr>
            <w:r>
              <w:rPr>
                <w:rFonts w:ascii="Arial" w:cs="Arial" w:eastAsia="Arial" w:hAnsi="Arial"/>
                <w:sz w:val="18"/>
                <w:szCs w:val="18"/>
                <w:color w:val="auto"/>
              </w:rPr>
              <w:t>​</w:t>
            </w:r>
          </w:p>
        </w:tc>
      </w:tr>
      <w:tr>
        <w:trPr>
          <w:trHeight w:val="250"/>
        </w:trPr>
        <w:tc>
          <w:tcPr>
            <w:tcW w:w="502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Jeremy Goebel</w:t>
            </w:r>
          </w:p>
        </w:tc>
        <w:tc>
          <w:tcPr>
            <w:tcW w:w="2040" w:type="dxa"/>
            <w:vAlign w:val="bottom"/>
            <w:tcBorders>
              <w:bottom w:val="single" w:sz="8" w:color="424E6A"/>
              <w:right w:val="single" w:sz="8" w:color="424E6A"/>
            </w:tcBorders>
            <w:shd w:val="clear" w:color="auto" w:fill="D9DCE1"/>
          </w:tcPr>
          <w:p>
            <w:pPr>
              <w:ind w:left="1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424E6A"/>
            </w:tcBorders>
            <w:shd w:val="clear" w:color="auto" w:fill="D9DCE1"/>
          </w:tcPr>
          <w:p>
            <w:pPr>
              <w:ind w:lef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424E6A"/>
            </w:tcBorders>
            <w:shd w:val="clear" w:color="auto" w:fill="D9DCE1"/>
          </w:tcPr>
          <w:p>
            <w:pPr>
              <w:jc w:val="right"/>
              <w:ind w:right="11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424E6A"/>
              <w:right w:val="single" w:sz="8" w:color="424E6A"/>
            </w:tcBorders>
            <w:shd w:val="clear" w:color="auto" w:fill="D9DCE1"/>
          </w:tcPr>
          <w:p>
            <w:pPr>
              <w:jc w:val="right"/>
              <w:ind w:right="110"/>
              <w:spacing w:after="0"/>
              <w:rPr>
                <w:sz w:val="20"/>
                <w:szCs w:val="20"/>
                <w:color w:val="auto"/>
              </w:rPr>
            </w:pPr>
            <w:r>
              <w:rPr>
                <w:rFonts w:ascii="Arial" w:cs="Arial" w:eastAsia="Arial" w:hAnsi="Arial"/>
                <w:sz w:val="18"/>
                <w:szCs w:val="18"/>
                <w:color w:val="auto"/>
              </w:rPr>
              <w:t>​</w:t>
            </w:r>
          </w:p>
        </w:tc>
      </w:tr>
      <w:tr>
        <w:trPr>
          <w:trHeight w:val="250"/>
        </w:trPr>
        <w:tc>
          <w:tcPr>
            <w:tcW w:w="502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Various Individual and Other Investors</w:t>
            </w:r>
          </w:p>
        </w:tc>
        <w:tc>
          <w:tcPr>
            <w:tcW w:w="2040" w:type="dxa"/>
            <w:vAlign w:val="bottom"/>
            <w:tcBorders>
              <w:bottom w:val="single" w:sz="8" w:color="424E6A"/>
              <w:right w:val="single" w:sz="8" w:color="424E6A"/>
            </w:tcBorders>
          </w:tcPr>
          <w:p>
            <w:pPr>
              <w:ind w:left="1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24E6A"/>
              <w:right w:val="single" w:sz="8" w:color="424E6A"/>
            </w:tcBorders>
            <w:gridSpan w:val="3"/>
          </w:tcPr>
          <w:p>
            <w:pPr>
              <w:jc w:val="right"/>
              <w:ind w:right="11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6.9% </w:t>
            </w:r>
            <w:r>
              <w:rPr>
                <w:rFonts w:ascii="Arial" w:cs="Arial" w:eastAsia="Arial" w:hAnsi="Arial"/>
                <w:sz w:val="28"/>
                <w:szCs w:val="28"/>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179705</wp:posOffset>
            </wp:positionV>
            <wp:extent cx="123444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620" w:hanging="360"/>
        <w:spacing w:after="0"/>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77" w:lineRule="exact"/>
        <w:rPr>
          <w:sz w:val="20"/>
          <w:szCs w:val="20"/>
          <w:color w:val="auto"/>
        </w:rPr>
      </w:pPr>
    </w:p>
    <w:p>
      <w:pPr>
        <w:ind w:left="1620" w:right="419" w:hanging="360"/>
        <w:spacing w:after="0" w:line="210" w:lineRule="auto"/>
        <w:tabs>
          <w:tab w:leader="none" w:pos="1620" w:val="left"/>
        </w:tabs>
        <w:numPr>
          <w:ilvl w:val="0"/>
          <w:numId w:val="72"/>
        </w:numPr>
        <w:rPr>
          <w:rFonts w:ascii="Arial" w:cs="Arial" w:eastAsia="Arial" w:hAnsi="Arial"/>
          <w:sz w:val="27"/>
          <w:szCs w:val="27"/>
          <w:color w:val="auto"/>
          <w:vertAlign w:val="superscript"/>
        </w:rPr>
      </w:pPr>
      <w:r>
        <w:rPr>
          <w:rFonts w:ascii="Arial" w:cs="Arial" w:eastAsia="Arial" w:hAnsi="Arial"/>
          <w:sz w:val="18"/>
          <w:szCs w:val="18"/>
          <w:color w:val="auto"/>
        </w:rPr>
        <w:t>Plains AAP owns approximately 233 million PAA common units and a 100% member interest in PAA GP LLC, which owns our non-economic general partner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EQUITY COMPENSATION PLAN INFORMATION TABLE</w:t>
      </w:r>
    </w:p>
    <w:p>
      <w:pPr>
        <w:spacing w:after="0" w:line="158"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8"/>
          <w:szCs w:val="18"/>
          <w:color w:val="auto"/>
        </w:rPr>
        <w:t>The following table sets forth certain information with respect to our equity compensation plans as of December 31, 2025. For a description of these plans, see “Certain Relationships and Related Transactions — Equity-Based Long-Term Incentive Plans.”</w:t>
      </w:r>
    </w:p>
    <w:p>
      <w:pPr>
        <w:spacing w:after="0" w:line="149" w:lineRule="exact"/>
        <w:rPr>
          <w:sz w:val="20"/>
          <w:szCs w:val="20"/>
          <w:color w:val="auto"/>
        </w:rPr>
      </w:pPr>
    </w:p>
    <w:tbl>
      <w:tblPr>
        <w:tblLayout w:type="fixed"/>
        <w:tblInd w:w="1270" w:type="dxa"/>
        <w:tblCellMar>
          <w:top w:w="0" w:type="dxa"/>
          <w:left w:w="0" w:type="dxa"/>
          <w:bottom w:w="0" w:type="dxa"/>
          <w:right w:w="0" w:type="dxa"/>
        </w:tblCellMar>
      </w:tblPr>
      <w:tr>
        <w:trPr>
          <w:trHeight w:val="355"/>
        </w:trPr>
        <w:tc>
          <w:tcPr>
            <w:tcW w:w="3100" w:type="dxa"/>
            <w:vAlign w:val="bottom"/>
            <w:tcBorders>
              <w:left w:val="single" w:sz="8" w:color="424E6A"/>
            </w:tcBorders>
            <w:shd w:val="clear" w:color="auto" w:fill="424E6A"/>
          </w:tcPr>
          <w:p>
            <w:pPr>
              <w:spacing w:after="0"/>
              <w:rPr>
                <w:sz w:val="24"/>
                <w:szCs w:val="24"/>
                <w:color w:val="auto"/>
              </w:rPr>
            </w:pPr>
          </w:p>
        </w:tc>
        <w:tc>
          <w:tcPr>
            <w:tcW w:w="200" w:type="dxa"/>
            <w:vAlign w:val="bottom"/>
            <w:tcBorders>
              <w:right w:val="single" w:sz="8" w:color="424E6A"/>
            </w:tcBorders>
            <w:shd w:val="clear" w:color="auto" w:fill="424E6A"/>
          </w:tcPr>
          <w:p>
            <w:pPr>
              <w:spacing w:after="0"/>
              <w:rPr>
                <w:sz w:val="24"/>
                <w:szCs w:val="24"/>
                <w:color w:val="auto"/>
              </w:rPr>
            </w:pPr>
          </w:p>
        </w:tc>
        <w:tc>
          <w:tcPr>
            <w:tcW w:w="100" w:type="dxa"/>
            <w:vAlign w:val="bottom"/>
            <w:shd w:val="clear" w:color="auto" w:fill="424E6A"/>
          </w:tcPr>
          <w:p>
            <w:pPr>
              <w:spacing w:after="0"/>
              <w:rPr>
                <w:sz w:val="24"/>
                <w:szCs w:val="24"/>
                <w:color w:val="auto"/>
              </w:rPr>
            </w:pPr>
          </w:p>
        </w:tc>
        <w:tc>
          <w:tcPr>
            <w:tcW w:w="960" w:type="dxa"/>
            <w:vAlign w:val="bottom"/>
            <w:shd w:val="clear" w:color="auto" w:fill="424E6A"/>
          </w:tcPr>
          <w:p>
            <w:pPr>
              <w:spacing w:after="0"/>
              <w:rPr>
                <w:sz w:val="24"/>
                <w:szCs w:val="24"/>
                <w:color w:val="auto"/>
              </w:rPr>
            </w:pPr>
          </w:p>
        </w:tc>
        <w:tc>
          <w:tcPr>
            <w:tcW w:w="280" w:type="dxa"/>
            <w:vAlign w:val="bottom"/>
            <w:shd w:val="clear" w:color="auto" w:fill="424E6A"/>
          </w:tcPr>
          <w:p>
            <w:pPr>
              <w:spacing w:after="0"/>
              <w:rPr>
                <w:sz w:val="24"/>
                <w:szCs w:val="24"/>
                <w:color w:val="auto"/>
              </w:rPr>
            </w:pPr>
          </w:p>
        </w:tc>
        <w:tc>
          <w:tcPr>
            <w:tcW w:w="260" w:type="dxa"/>
            <w:vAlign w:val="bottom"/>
            <w:tcBorders>
              <w:right w:val="single" w:sz="8" w:color="424E6A"/>
            </w:tcBorders>
            <w:shd w:val="clear" w:color="auto" w:fill="424E6A"/>
          </w:tcPr>
          <w:p>
            <w:pPr>
              <w:spacing w:after="0"/>
              <w:rPr>
                <w:sz w:val="24"/>
                <w:szCs w:val="24"/>
                <w:color w:val="auto"/>
              </w:rPr>
            </w:pPr>
          </w:p>
        </w:tc>
        <w:tc>
          <w:tcPr>
            <w:tcW w:w="1460" w:type="dxa"/>
            <w:vAlign w:val="bottom"/>
            <w:shd w:val="clear" w:color="auto" w:fill="424E6A"/>
          </w:tcPr>
          <w:p>
            <w:pPr>
              <w:spacing w:after="0"/>
              <w:rPr>
                <w:sz w:val="24"/>
                <w:szCs w:val="24"/>
                <w:color w:val="auto"/>
              </w:rPr>
            </w:pPr>
          </w:p>
        </w:tc>
        <w:tc>
          <w:tcPr>
            <w:tcW w:w="260" w:type="dxa"/>
            <w:vAlign w:val="bottom"/>
            <w:tcBorders>
              <w:right w:val="single" w:sz="8" w:color="424E6A"/>
            </w:tcBorders>
            <w:shd w:val="clear" w:color="auto" w:fill="424E6A"/>
          </w:tcPr>
          <w:p>
            <w:pPr>
              <w:spacing w:after="0"/>
              <w:rPr>
                <w:sz w:val="24"/>
                <w:szCs w:val="24"/>
                <w:color w:val="auto"/>
              </w:rPr>
            </w:pPr>
          </w:p>
        </w:tc>
        <w:tc>
          <w:tcPr>
            <w:tcW w:w="320" w:type="dxa"/>
            <w:vAlign w:val="bottom"/>
            <w:shd w:val="clear" w:color="auto" w:fill="424E6A"/>
          </w:tcPr>
          <w:p>
            <w:pPr>
              <w:spacing w:after="0"/>
              <w:rPr>
                <w:sz w:val="24"/>
                <w:szCs w:val="24"/>
                <w:color w:val="auto"/>
              </w:rPr>
            </w:pPr>
          </w:p>
        </w:tc>
        <w:tc>
          <w:tcPr>
            <w:tcW w:w="8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Number of</w:t>
            </w:r>
          </w:p>
        </w:tc>
        <w:tc>
          <w:tcPr>
            <w:tcW w:w="140" w:type="dxa"/>
            <w:vAlign w:val="bottom"/>
            <w:shd w:val="clear" w:color="auto" w:fill="424E6A"/>
          </w:tcPr>
          <w:p>
            <w:pPr>
              <w:spacing w:after="0"/>
              <w:rPr>
                <w:sz w:val="24"/>
                <w:szCs w:val="24"/>
                <w:color w:val="auto"/>
              </w:rPr>
            </w:pPr>
          </w:p>
        </w:tc>
        <w:tc>
          <w:tcPr>
            <w:tcW w:w="280" w:type="dxa"/>
            <w:vAlign w:val="bottom"/>
            <w:tcBorders>
              <w:right w:val="single" w:sz="8" w:color="424E6A"/>
            </w:tcBorders>
            <w:shd w:val="clear" w:color="auto" w:fill="424E6A"/>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100" w:type="dxa"/>
            <w:vAlign w:val="bottom"/>
            <w:tcBorders>
              <w:left w:val="single" w:sz="8" w:color="424E6A"/>
            </w:tcBorders>
            <w:shd w:val="clear" w:color="auto" w:fill="424E6A"/>
          </w:tcPr>
          <w:p>
            <w:pPr>
              <w:spacing w:after="0"/>
              <w:rPr>
                <w:sz w:val="14"/>
                <w:szCs w:val="14"/>
                <w:color w:val="auto"/>
              </w:rPr>
            </w:pPr>
          </w:p>
        </w:tc>
        <w:tc>
          <w:tcPr>
            <w:tcW w:w="2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2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Number of Units</w:t>
            </w:r>
          </w:p>
        </w:tc>
        <w:tc>
          <w:tcPr>
            <w:tcW w:w="260" w:type="dxa"/>
            <w:vAlign w:val="bottom"/>
            <w:tcBorders>
              <w:right w:val="single" w:sz="8" w:color="424E6A"/>
            </w:tcBorders>
            <w:shd w:val="clear" w:color="auto" w:fill="424E6A"/>
          </w:tcPr>
          <w:p>
            <w:pPr>
              <w:spacing w:after="0"/>
              <w:rPr>
                <w:sz w:val="14"/>
                <w:szCs w:val="14"/>
                <w:color w:val="auto"/>
              </w:rPr>
            </w:pPr>
          </w:p>
        </w:tc>
        <w:tc>
          <w:tcPr>
            <w:tcW w:w="1460" w:type="dxa"/>
            <w:vAlign w:val="bottom"/>
            <w:shd w:val="clear" w:color="auto" w:fill="424E6A"/>
          </w:tcPr>
          <w:p>
            <w:pPr>
              <w:spacing w:after="0"/>
              <w:rPr>
                <w:sz w:val="14"/>
                <w:szCs w:val="14"/>
                <w:color w:val="auto"/>
              </w:rPr>
            </w:pPr>
          </w:p>
        </w:tc>
        <w:tc>
          <w:tcPr>
            <w:tcW w:w="260" w:type="dxa"/>
            <w:vAlign w:val="bottom"/>
            <w:tcBorders>
              <w:right w:val="single" w:sz="8" w:color="424E6A"/>
            </w:tcBorders>
            <w:shd w:val="clear" w:color="auto" w:fill="424E6A"/>
          </w:tcPr>
          <w:p>
            <w:pPr>
              <w:spacing w:after="0"/>
              <w:rPr>
                <w:sz w:val="14"/>
                <w:szCs w:val="14"/>
                <w:color w:val="auto"/>
              </w:rPr>
            </w:pPr>
          </w:p>
        </w:tc>
        <w:tc>
          <w:tcPr>
            <w:tcW w:w="320" w:type="dxa"/>
            <w:vAlign w:val="bottom"/>
            <w:shd w:val="clear" w:color="auto" w:fill="424E6A"/>
          </w:tcPr>
          <w:p>
            <w:pPr>
              <w:spacing w:after="0"/>
              <w:rPr>
                <w:sz w:val="14"/>
                <w:szCs w:val="14"/>
                <w:color w:val="auto"/>
              </w:rPr>
            </w:pPr>
          </w:p>
        </w:tc>
        <w:tc>
          <w:tcPr>
            <w:tcW w:w="8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Units</w:t>
            </w:r>
          </w:p>
        </w:tc>
        <w:tc>
          <w:tcPr>
            <w:tcW w:w="140" w:type="dxa"/>
            <w:vAlign w:val="bottom"/>
            <w:shd w:val="clear" w:color="auto" w:fill="424E6A"/>
          </w:tcPr>
          <w:p>
            <w:pPr>
              <w:spacing w:after="0"/>
              <w:rPr>
                <w:sz w:val="14"/>
                <w:szCs w:val="14"/>
                <w:color w:val="auto"/>
              </w:rPr>
            </w:pPr>
          </w:p>
        </w:tc>
        <w:tc>
          <w:tcPr>
            <w:tcW w:w="28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Borders>
              <w:left w:val="single" w:sz="8" w:color="424E6A"/>
            </w:tcBorders>
            <w:shd w:val="clear" w:color="auto" w:fill="424E6A"/>
          </w:tcPr>
          <w:p>
            <w:pPr>
              <w:spacing w:after="0"/>
              <w:rPr>
                <w:sz w:val="14"/>
                <w:szCs w:val="14"/>
                <w:color w:val="auto"/>
              </w:rPr>
            </w:pPr>
          </w:p>
        </w:tc>
        <w:tc>
          <w:tcPr>
            <w:tcW w:w="2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2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to be Issued upon</w:t>
            </w:r>
          </w:p>
        </w:tc>
        <w:tc>
          <w:tcPr>
            <w:tcW w:w="260" w:type="dxa"/>
            <w:vAlign w:val="bottom"/>
            <w:tcBorders>
              <w:right w:val="single" w:sz="8" w:color="424E6A"/>
            </w:tcBorders>
            <w:shd w:val="clear" w:color="auto" w:fill="424E6A"/>
          </w:tcPr>
          <w:p>
            <w:pPr>
              <w:spacing w:after="0"/>
              <w:rPr>
                <w:sz w:val="14"/>
                <w:szCs w:val="14"/>
                <w:color w:val="auto"/>
              </w:rPr>
            </w:pPr>
          </w:p>
        </w:tc>
        <w:tc>
          <w:tcPr>
            <w:tcW w:w="1460" w:type="dxa"/>
            <w:vAlign w:val="bottom"/>
            <w:shd w:val="clear" w:color="auto" w:fill="424E6A"/>
          </w:tcPr>
          <w:p>
            <w:pPr>
              <w:jc w:val="center"/>
              <w:ind w:left="108"/>
              <w:spacing w:after="0"/>
              <w:rPr>
                <w:sz w:val="20"/>
                <w:szCs w:val="20"/>
                <w:color w:val="auto"/>
              </w:rPr>
            </w:pPr>
            <w:r>
              <w:rPr>
                <w:rFonts w:ascii="Arial" w:cs="Arial" w:eastAsia="Arial" w:hAnsi="Arial"/>
                <w:sz w:val="14"/>
                <w:szCs w:val="14"/>
                <w:b w:val="1"/>
                <w:bCs w:val="1"/>
                <w:color w:val="FFFFFF"/>
              </w:rPr>
              <w:t>Weighted Average</w:t>
            </w:r>
          </w:p>
        </w:tc>
        <w:tc>
          <w:tcPr>
            <w:tcW w:w="260" w:type="dxa"/>
            <w:vAlign w:val="bottom"/>
            <w:tcBorders>
              <w:right w:val="single" w:sz="8" w:color="424E6A"/>
            </w:tcBorders>
            <w:shd w:val="clear" w:color="auto" w:fill="424E6A"/>
          </w:tcPr>
          <w:p>
            <w:pPr>
              <w:spacing w:after="0"/>
              <w:rPr>
                <w:sz w:val="14"/>
                <w:szCs w:val="14"/>
                <w:color w:val="auto"/>
              </w:rPr>
            </w:pPr>
          </w:p>
        </w:tc>
        <w:tc>
          <w:tcPr>
            <w:tcW w:w="320" w:type="dxa"/>
            <w:vAlign w:val="bottom"/>
            <w:shd w:val="clear" w:color="auto" w:fill="424E6A"/>
          </w:tcPr>
          <w:p>
            <w:pPr>
              <w:spacing w:after="0"/>
              <w:rPr>
                <w:sz w:val="14"/>
                <w:szCs w:val="14"/>
                <w:color w:val="auto"/>
              </w:rPr>
            </w:pPr>
          </w:p>
        </w:tc>
        <w:tc>
          <w:tcPr>
            <w:tcW w:w="8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Remaining</w:t>
            </w:r>
          </w:p>
        </w:tc>
        <w:tc>
          <w:tcPr>
            <w:tcW w:w="140" w:type="dxa"/>
            <w:vAlign w:val="bottom"/>
            <w:shd w:val="clear" w:color="auto" w:fill="424E6A"/>
          </w:tcPr>
          <w:p>
            <w:pPr>
              <w:spacing w:after="0"/>
              <w:rPr>
                <w:sz w:val="14"/>
                <w:szCs w:val="14"/>
                <w:color w:val="auto"/>
              </w:rPr>
            </w:pPr>
          </w:p>
        </w:tc>
        <w:tc>
          <w:tcPr>
            <w:tcW w:w="28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Borders>
              <w:left w:val="single" w:sz="8" w:color="424E6A"/>
            </w:tcBorders>
            <w:shd w:val="clear" w:color="auto" w:fill="424E6A"/>
          </w:tcPr>
          <w:p>
            <w:pPr>
              <w:spacing w:after="0"/>
              <w:rPr>
                <w:sz w:val="14"/>
                <w:szCs w:val="14"/>
                <w:color w:val="auto"/>
              </w:rPr>
            </w:pPr>
          </w:p>
        </w:tc>
        <w:tc>
          <w:tcPr>
            <w:tcW w:w="2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2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Exercise/Vesting</w:t>
            </w:r>
          </w:p>
        </w:tc>
        <w:tc>
          <w:tcPr>
            <w:tcW w:w="260" w:type="dxa"/>
            <w:vAlign w:val="bottom"/>
            <w:tcBorders>
              <w:right w:val="single" w:sz="8" w:color="424E6A"/>
            </w:tcBorders>
            <w:shd w:val="clear" w:color="auto" w:fill="424E6A"/>
          </w:tcPr>
          <w:p>
            <w:pPr>
              <w:spacing w:after="0"/>
              <w:rPr>
                <w:sz w:val="14"/>
                <w:szCs w:val="14"/>
                <w:color w:val="auto"/>
              </w:rPr>
            </w:pPr>
          </w:p>
        </w:tc>
        <w:tc>
          <w:tcPr>
            <w:tcW w:w="1460" w:type="dxa"/>
            <w:vAlign w:val="bottom"/>
            <w:shd w:val="clear" w:color="auto" w:fill="424E6A"/>
          </w:tcPr>
          <w:p>
            <w:pPr>
              <w:jc w:val="center"/>
              <w:ind w:left="108"/>
              <w:spacing w:after="0"/>
              <w:rPr>
                <w:sz w:val="20"/>
                <w:szCs w:val="20"/>
                <w:color w:val="auto"/>
              </w:rPr>
            </w:pPr>
            <w:r>
              <w:rPr>
                <w:rFonts w:ascii="Arial" w:cs="Arial" w:eastAsia="Arial" w:hAnsi="Arial"/>
                <w:sz w:val="14"/>
                <w:szCs w:val="14"/>
                <w:b w:val="1"/>
                <w:bCs w:val="1"/>
                <w:color w:val="FFFFFF"/>
              </w:rPr>
              <w:t>Exercise Price of</w:t>
            </w:r>
          </w:p>
        </w:tc>
        <w:tc>
          <w:tcPr>
            <w:tcW w:w="260" w:type="dxa"/>
            <w:vAlign w:val="bottom"/>
            <w:tcBorders>
              <w:right w:val="single" w:sz="8" w:color="424E6A"/>
            </w:tcBorders>
            <w:shd w:val="clear" w:color="auto" w:fill="424E6A"/>
          </w:tcPr>
          <w:p>
            <w:pPr>
              <w:spacing w:after="0"/>
              <w:rPr>
                <w:sz w:val="14"/>
                <w:szCs w:val="14"/>
                <w:color w:val="auto"/>
              </w:rPr>
            </w:pPr>
          </w:p>
        </w:tc>
        <w:tc>
          <w:tcPr>
            <w:tcW w:w="320" w:type="dxa"/>
            <w:vAlign w:val="bottom"/>
            <w:shd w:val="clear" w:color="auto" w:fill="424E6A"/>
          </w:tcPr>
          <w:p>
            <w:pPr>
              <w:spacing w:after="0"/>
              <w:rPr>
                <w:sz w:val="14"/>
                <w:szCs w:val="14"/>
                <w:color w:val="auto"/>
              </w:rPr>
            </w:pPr>
          </w:p>
        </w:tc>
        <w:tc>
          <w:tcPr>
            <w:tcW w:w="1000" w:type="dxa"/>
            <w:vAlign w:val="bottom"/>
            <w:gridSpan w:val="2"/>
            <w:shd w:val="clear" w:color="auto" w:fill="424E6A"/>
          </w:tcPr>
          <w:p>
            <w:pPr>
              <w:jc w:val="center"/>
              <w:ind w:right="33"/>
              <w:spacing w:after="0"/>
              <w:rPr>
                <w:sz w:val="20"/>
                <w:szCs w:val="20"/>
                <w:color w:val="auto"/>
              </w:rPr>
            </w:pPr>
            <w:r>
              <w:rPr>
                <w:rFonts w:ascii="Arial" w:cs="Arial" w:eastAsia="Arial" w:hAnsi="Arial"/>
                <w:sz w:val="14"/>
                <w:szCs w:val="14"/>
                <w:b w:val="1"/>
                <w:bCs w:val="1"/>
                <w:color w:val="FFFFFF"/>
              </w:rPr>
              <w:t>Available for</w:t>
            </w:r>
          </w:p>
        </w:tc>
        <w:tc>
          <w:tcPr>
            <w:tcW w:w="28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Borders>
              <w:left w:val="single" w:sz="8" w:color="424E6A"/>
            </w:tcBorders>
            <w:shd w:val="clear" w:color="auto" w:fill="424E6A"/>
          </w:tcPr>
          <w:p>
            <w:pPr>
              <w:spacing w:after="0"/>
              <w:rPr>
                <w:sz w:val="14"/>
                <w:szCs w:val="14"/>
                <w:color w:val="auto"/>
              </w:rPr>
            </w:pPr>
          </w:p>
        </w:tc>
        <w:tc>
          <w:tcPr>
            <w:tcW w:w="2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2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of Outstanding</w:t>
            </w:r>
          </w:p>
        </w:tc>
        <w:tc>
          <w:tcPr>
            <w:tcW w:w="260" w:type="dxa"/>
            <w:vAlign w:val="bottom"/>
            <w:tcBorders>
              <w:right w:val="single" w:sz="8" w:color="424E6A"/>
            </w:tcBorders>
            <w:shd w:val="clear" w:color="auto" w:fill="424E6A"/>
          </w:tcPr>
          <w:p>
            <w:pPr>
              <w:spacing w:after="0"/>
              <w:rPr>
                <w:sz w:val="14"/>
                <w:szCs w:val="14"/>
                <w:color w:val="auto"/>
              </w:rPr>
            </w:pPr>
          </w:p>
        </w:tc>
        <w:tc>
          <w:tcPr>
            <w:tcW w:w="1460" w:type="dxa"/>
            <w:vAlign w:val="bottom"/>
            <w:shd w:val="clear" w:color="auto" w:fill="424E6A"/>
          </w:tcPr>
          <w:p>
            <w:pPr>
              <w:jc w:val="center"/>
              <w:ind w:left="108"/>
              <w:spacing w:after="0"/>
              <w:rPr>
                <w:sz w:val="20"/>
                <w:szCs w:val="20"/>
                <w:color w:val="auto"/>
              </w:rPr>
            </w:pPr>
            <w:r>
              <w:rPr>
                <w:rFonts w:ascii="Arial" w:cs="Arial" w:eastAsia="Arial" w:hAnsi="Arial"/>
                <w:sz w:val="14"/>
                <w:szCs w:val="14"/>
                <w:b w:val="1"/>
                <w:bCs w:val="1"/>
                <w:color w:val="FFFFFF"/>
              </w:rPr>
              <w:t>Outstanding</w:t>
            </w:r>
          </w:p>
        </w:tc>
        <w:tc>
          <w:tcPr>
            <w:tcW w:w="260" w:type="dxa"/>
            <w:vAlign w:val="bottom"/>
            <w:tcBorders>
              <w:right w:val="single" w:sz="8" w:color="424E6A"/>
            </w:tcBorders>
            <w:shd w:val="clear" w:color="auto" w:fill="424E6A"/>
          </w:tcPr>
          <w:p>
            <w:pPr>
              <w:spacing w:after="0"/>
              <w:rPr>
                <w:sz w:val="14"/>
                <w:szCs w:val="14"/>
                <w:color w:val="auto"/>
              </w:rPr>
            </w:pPr>
          </w:p>
        </w:tc>
        <w:tc>
          <w:tcPr>
            <w:tcW w:w="1320" w:type="dxa"/>
            <w:vAlign w:val="bottom"/>
            <w:gridSpan w:val="3"/>
            <w:shd w:val="clear" w:color="auto" w:fill="424E6A"/>
          </w:tcPr>
          <w:p>
            <w:pPr>
              <w:jc w:val="center"/>
              <w:ind w:left="138"/>
              <w:spacing w:after="0"/>
              <w:rPr>
                <w:sz w:val="20"/>
                <w:szCs w:val="20"/>
                <w:color w:val="auto"/>
              </w:rPr>
            </w:pPr>
            <w:r>
              <w:rPr>
                <w:rFonts w:ascii="Arial" w:cs="Arial" w:eastAsia="Arial" w:hAnsi="Arial"/>
                <w:sz w:val="14"/>
                <w:szCs w:val="14"/>
                <w:b w:val="1"/>
                <w:bCs w:val="1"/>
                <w:color w:val="FFFFFF"/>
              </w:rPr>
              <w:t>Future Issuance</w:t>
            </w:r>
          </w:p>
        </w:tc>
        <w:tc>
          <w:tcPr>
            <w:tcW w:w="28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Borders>
              <w:left w:val="single" w:sz="8" w:color="424E6A"/>
            </w:tcBorders>
            <w:shd w:val="clear" w:color="auto" w:fill="424E6A"/>
          </w:tcPr>
          <w:p>
            <w:pPr>
              <w:spacing w:after="0"/>
              <w:rPr>
                <w:sz w:val="14"/>
                <w:szCs w:val="14"/>
                <w:color w:val="auto"/>
              </w:rPr>
            </w:pPr>
          </w:p>
        </w:tc>
        <w:tc>
          <w:tcPr>
            <w:tcW w:w="2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960" w:type="dxa"/>
            <w:vAlign w:val="bottom"/>
            <w:shd w:val="clear" w:color="auto" w:fill="424E6A"/>
          </w:tcPr>
          <w:p>
            <w:pPr>
              <w:jc w:val="center"/>
              <w:ind w:left="184"/>
              <w:spacing w:after="0"/>
              <w:rPr>
                <w:sz w:val="20"/>
                <w:szCs w:val="20"/>
                <w:color w:val="auto"/>
              </w:rPr>
            </w:pPr>
            <w:r>
              <w:rPr>
                <w:rFonts w:ascii="Arial" w:cs="Arial" w:eastAsia="Arial" w:hAnsi="Arial"/>
                <w:sz w:val="14"/>
                <w:szCs w:val="14"/>
                <w:b w:val="1"/>
                <w:bCs w:val="1"/>
                <w:color w:val="FFFFFF"/>
              </w:rPr>
              <w:t>Options,</w:t>
            </w:r>
          </w:p>
        </w:tc>
        <w:tc>
          <w:tcPr>
            <w:tcW w:w="280" w:type="dxa"/>
            <w:vAlign w:val="bottom"/>
            <w:shd w:val="clear" w:color="auto" w:fill="424E6A"/>
          </w:tcPr>
          <w:p>
            <w:pPr>
              <w:spacing w:after="0"/>
              <w:rPr>
                <w:sz w:val="14"/>
                <w:szCs w:val="14"/>
                <w:color w:val="auto"/>
              </w:rPr>
            </w:pPr>
          </w:p>
        </w:tc>
        <w:tc>
          <w:tcPr>
            <w:tcW w:w="260" w:type="dxa"/>
            <w:vAlign w:val="bottom"/>
            <w:tcBorders>
              <w:right w:val="single" w:sz="8" w:color="424E6A"/>
            </w:tcBorders>
            <w:shd w:val="clear" w:color="auto" w:fill="424E6A"/>
          </w:tcPr>
          <w:p>
            <w:pPr>
              <w:spacing w:after="0"/>
              <w:rPr>
                <w:sz w:val="14"/>
                <w:szCs w:val="14"/>
                <w:color w:val="auto"/>
              </w:rPr>
            </w:pPr>
          </w:p>
        </w:tc>
        <w:tc>
          <w:tcPr>
            <w:tcW w:w="1460" w:type="dxa"/>
            <w:vAlign w:val="bottom"/>
            <w:shd w:val="clear" w:color="auto" w:fill="424E6A"/>
          </w:tcPr>
          <w:p>
            <w:pPr>
              <w:jc w:val="center"/>
              <w:ind w:left="128"/>
              <w:spacing w:after="0"/>
              <w:rPr>
                <w:sz w:val="20"/>
                <w:szCs w:val="20"/>
                <w:color w:val="auto"/>
              </w:rPr>
            </w:pPr>
            <w:r>
              <w:rPr>
                <w:rFonts w:ascii="Arial" w:cs="Arial" w:eastAsia="Arial" w:hAnsi="Arial"/>
                <w:sz w:val="14"/>
                <w:szCs w:val="14"/>
                <w:b w:val="1"/>
                <w:bCs w:val="1"/>
                <w:color w:val="FFFFFF"/>
              </w:rPr>
              <w:t>Options,</w:t>
            </w:r>
          </w:p>
        </w:tc>
        <w:tc>
          <w:tcPr>
            <w:tcW w:w="260" w:type="dxa"/>
            <w:vAlign w:val="bottom"/>
            <w:tcBorders>
              <w:right w:val="single" w:sz="8" w:color="424E6A"/>
            </w:tcBorders>
            <w:shd w:val="clear" w:color="auto" w:fill="424E6A"/>
          </w:tcPr>
          <w:p>
            <w:pPr>
              <w:spacing w:after="0"/>
              <w:rPr>
                <w:sz w:val="14"/>
                <w:szCs w:val="14"/>
                <w:color w:val="auto"/>
              </w:rPr>
            </w:pPr>
          </w:p>
        </w:tc>
        <w:tc>
          <w:tcPr>
            <w:tcW w:w="320" w:type="dxa"/>
            <w:vAlign w:val="bottom"/>
            <w:shd w:val="clear" w:color="auto" w:fill="424E6A"/>
          </w:tcPr>
          <w:p>
            <w:pPr>
              <w:spacing w:after="0"/>
              <w:rPr>
                <w:sz w:val="14"/>
                <w:szCs w:val="14"/>
                <w:color w:val="auto"/>
              </w:rPr>
            </w:pPr>
          </w:p>
        </w:tc>
        <w:tc>
          <w:tcPr>
            <w:tcW w:w="1000" w:type="dxa"/>
            <w:vAlign w:val="bottom"/>
            <w:gridSpan w:val="2"/>
            <w:shd w:val="clear" w:color="auto" w:fill="424E6A"/>
          </w:tcPr>
          <w:p>
            <w:pPr>
              <w:jc w:val="center"/>
              <w:ind w:right="53"/>
              <w:spacing w:after="0"/>
              <w:rPr>
                <w:sz w:val="20"/>
                <w:szCs w:val="20"/>
                <w:color w:val="auto"/>
              </w:rPr>
            </w:pPr>
            <w:r>
              <w:rPr>
                <w:rFonts w:ascii="Arial" w:cs="Arial" w:eastAsia="Arial" w:hAnsi="Arial"/>
                <w:sz w:val="14"/>
                <w:szCs w:val="14"/>
                <w:b w:val="1"/>
                <w:bCs w:val="1"/>
                <w:color w:val="FFFFFF"/>
              </w:rPr>
              <w:t>under Equity</w:t>
            </w:r>
          </w:p>
        </w:tc>
        <w:tc>
          <w:tcPr>
            <w:tcW w:w="28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Borders>
              <w:left w:val="single" w:sz="8" w:color="424E6A"/>
            </w:tcBorders>
            <w:shd w:val="clear" w:color="auto" w:fill="424E6A"/>
          </w:tcPr>
          <w:p>
            <w:pPr>
              <w:spacing w:after="0"/>
              <w:rPr>
                <w:sz w:val="14"/>
                <w:szCs w:val="14"/>
                <w:color w:val="auto"/>
              </w:rPr>
            </w:pPr>
          </w:p>
        </w:tc>
        <w:tc>
          <w:tcPr>
            <w:tcW w:w="2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2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Warrants and</w:t>
            </w:r>
          </w:p>
        </w:tc>
        <w:tc>
          <w:tcPr>
            <w:tcW w:w="260" w:type="dxa"/>
            <w:vAlign w:val="bottom"/>
            <w:tcBorders>
              <w:right w:val="single" w:sz="8" w:color="424E6A"/>
            </w:tcBorders>
            <w:shd w:val="clear" w:color="auto" w:fill="424E6A"/>
          </w:tcPr>
          <w:p>
            <w:pPr>
              <w:spacing w:after="0"/>
              <w:rPr>
                <w:sz w:val="14"/>
                <w:szCs w:val="14"/>
                <w:color w:val="auto"/>
              </w:rPr>
            </w:pPr>
          </w:p>
        </w:tc>
        <w:tc>
          <w:tcPr>
            <w:tcW w:w="1460" w:type="dxa"/>
            <w:vAlign w:val="bottom"/>
            <w:shd w:val="clear" w:color="auto" w:fill="424E6A"/>
          </w:tcPr>
          <w:p>
            <w:pPr>
              <w:jc w:val="center"/>
              <w:ind w:left="108"/>
              <w:spacing w:after="0"/>
              <w:rPr>
                <w:sz w:val="20"/>
                <w:szCs w:val="20"/>
                <w:color w:val="auto"/>
              </w:rPr>
            </w:pPr>
            <w:r>
              <w:rPr>
                <w:rFonts w:ascii="Arial" w:cs="Arial" w:eastAsia="Arial" w:hAnsi="Arial"/>
                <w:sz w:val="14"/>
                <w:szCs w:val="14"/>
                <w:b w:val="1"/>
                <w:bCs w:val="1"/>
                <w:color w:val="FFFFFF"/>
              </w:rPr>
              <w:t>Warrants and</w:t>
            </w:r>
          </w:p>
        </w:tc>
        <w:tc>
          <w:tcPr>
            <w:tcW w:w="260" w:type="dxa"/>
            <w:vAlign w:val="bottom"/>
            <w:tcBorders>
              <w:right w:val="single" w:sz="8" w:color="424E6A"/>
            </w:tcBorders>
            <w:shd w:val="clear" w:color="auto" w:fill="424E6A"/>
          </w:tcPr>
          <w:p>
            <w:pPr>
              <w:spacing w:after="0"/>
              <w:rPr>
                <w:sz w:val="14"/>
                <w:szCs w:val="14"/>
                <w:color w:val="auto"/>
              </w:rPr>
            </w:pPr>
          </w:p>
        </w:tc>
        <w:tc>
          <w:tcPr>
            <w:tcW w:w="1320" w:type="dxa"/>
            <w:vAlign w:val="bottom"/>
            <w:gridSpan w:val="3"/>
            <w:shd w:val="clear" w:color="auto" w:fill="424E6A"/>
          </w:tcPr>
          <w:p>
            <w:pPr>
              <w:jc w:val="center"/>
              <w:ind w:left="118"/>
              <w:spacing w:after="0"/>
              <w:rPr>
                <w:sz w:val="20"/>
                <w:szCs w:val="20"/>
                <w:color w:val="auto"/>
              </w:rPr>
            </w:pPr>
            <w:r>
              <w:rPr>
                <w:rFonts w:ascii="Arial" w:cs="Arial" w:eastAsia="Arial" w:hAnsi="Arial"/>
                <w:sz w:val="14"/>
                <w:szCs w:val="14"/>
                <w:b w:val="1"/>
                <w:bCs w:val="1"/>
                <w:color w:val="FFFFFF"/>
              </w:rPr>
              <w:t>Compensation</w:t>
            </w:r>
          </w:p>
        </w:tc>
        <w:tc>
          <w:tcPr>
            <w:tcW w:w="28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Borders>
              <w:left w:val="single" w:sz="8" w:color="424E6A"/>
            </w:tcBorders>
            <w:shd w:val="clear" w:color="auto" w:fill="424E6A"/>
          </w:tcPr>
          <w:p>
            <w:pPr>
              <w:spacing w:after="0"/>
              <w:rPr>
                <w:sz w:val="14"/>
                <w:szCs w:val="14"/>
                <w:color w:val="auto"/>
              </w:rPr>
            </w:pPr>
          </w:p>
        </w:tc>
        <w:tc>
          <w:tcPr>
            <w:tcW w:w="2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960" w:type="dxa"/>
            <w:vAlign w:val="bottom"/>
            <w:shd w:val="clear" w:color="auto" w:fill="424E6A"/>
          </w:tcPr>
          <w:p>
            <w:pPr>
              <w:jc w:val="center"/>
              <w:ind w:left="164"/>
              <w:spacing w:after="0"/>
              <w:rPr>
                <w:sz w:val="20"/>
                <w:szCs w:val="20"/>
                <w:color w:val="auto"/>
              </w:rPr>
            </w:pPr>
            <w:r>
              <w:rPr>
                <w:rFonts w:ascii="Arial" w:cs="Arial" w:eastAsia="Arial" w:hAnsi="Arial"/>
                <w:sz w:val="14"/>
                <w:szCs w:val="14"/>
                <w:b w:val="1"/>
                <w:bCs w:val="1"/>
                <w:color w:val="FFFFFF"/>
              </w:rPr>
              <w:t>Rights</w:t>
            </w:r>
          </w:p>
        </w:tc>
        <w:tc>
          <w:tcPr>
            <w:tcW w:w="280" w:type="dxa"/>
            <w:vAlign w:val="bottom"/>
            <w:shd w:val="clear" w:color="auto" w:fill="424E6A"/>
          </w:tcPr>
          <w:p>
            <w:pPr>
              <w:spacing w:after="0"/>
              <w:rPr>
                <w:sz w:val="14"/>
                <w:szCs w:val="14"/>
                <w:color w:val="auto"/>
              </w:rPr>
            </w:pPr>
          </w:p>
        </w:tc>
        <w:tc>
          <w:tcPr>
            <w:tcW w:w="260" w:type="dxa"/>
            <w:vAlign w:val="bottom"/>
            <w:tcBorders>
              <w:right w:val="single" w:sz="8" w:color="424E6A"/>
            </w:tcBorders>
            <w:shd w:val="clear" w:color="auto" w:fill="424E6A"/>
          </w:tcPr>
          <w:p>
            <w:pPr>
              <w:spacing w:after="0"/>
              <w:rPr>
                <w:sz w:val="14"/>
                <w:szCs w:val="14"/>
                <w:color w:val="auto"/>
              </w:rPr>
            </w:pPr>
          </w:p>
        </w:tc>
        <w:tc>
          <w:tcPr>
            <w:tcW w:w="1460" w:type="dxa"/>
            <w:vAlign w:val="bottom"/>
            <w:shd w:val="clear" w:color="auto" w:fill="424E6A"/>
          </w:tcPr>
          <w:p>
            <w:pPr>
              <w:jc w:val="center"/>
              <w:ind w:left="108"/>
              <w:spacing w:after="0"/>
              <w:rPr>
                <w:sz w:val="20"/>
                <w:szCs w:val="20"/>
                <w:color w:val="auto"/>
              </w:rPr>
            </w:pPr>
            <w:r>
              <w:rPr>
                <w:rFonts w:ascii="Arial" w:cs="Arial" w:eastAsia="Arial" w:hAnsi="Arial"/>
                <w:sz w:val="14"/>
                <w:szCs w:val="14"/>
                <w:b w:val="1"/>
                <w:bCs w:val="1"/>
                <w:color w:val="FFFFFF"/>
              </w:rPr>
              <w:t>Rights</w:t>
            </w:r>
          </w:p>
        </w:tc>
        <w:tc>
          <w:tcPr>
            <w:tcW w:w="260" w:type="dxa"/>
            <w:vAlign w:val="bottom"/>
            <w:tcBorders>
              <w:right w:val="single" w:sz="8" w:color="424E6A"/>
            </w:tcBorders>
            <w:shd w:val="clear" w:color="auto" w:fill="424E6A"/>
          </w:tcPr>
          <w:p>
            <w:pPr>
              <w:spacing w:after="0"/>
              <w:rPr>
                <w:sz w:val="14"/>
                <w:szCs w:val="14"/>
                <w:color w:val="auto"/>
              </w:rPr>
            </w:pPr>
          </w:p>
        </w:tc>
        <w:tc>
          <w:tcPr>
            <w:tcW w:w="320" w:type="dxa"/>
            <w:vAlign w:val="bottom"/>
            <w:shd w:val="clear" w:color="auto" w:fill="424E6A"/>
          </w:tcPr>
          <w:p>
            <w:pPr>
              <w:spacing w:after="0"/>
              <w:rPr>
                <w:sz w:val="14"/>
                <w:szCs w:val="14"/>
                <w:color w:val="auto"/>
              </w:rPr>
            </w:pPr>
          </w:p>
        </w:tc>
        <w:tc>
          <w:tcPr>
            <w:tcW w:w="8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Plans</w:t>
            </w:r>
          </w:p>
        </w:tc>
        <w:tc>
          <w:tcPr>
            <w:tcW w:w="140" w:type="dxa"/>
            <w:vAlign w:val="bottom"/>
            <w:shd w:val="clear" w:color="auto" w:fill="424E6A"/>
          </w:tcPr>
          <w:p>
            <w:pPr>
              <w:spacing w:after="0"/>
              <w:rPr>
                <w:sz w:val="14"/>
                <w:szCs w:val="14"/>
                <w:color w:val="auto"/>
              </w:rPr>
            </w:pPr>
          </w:p>
        </w:tc>
        <w:tc>
          <w:tcPr>
            <w:tcW w:w="28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100" w:type="dxa"/>
            <w:vAlign w:val="bottom"/>
            <w:tcBorders>
              <w:lef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Plan Category</w:t>
            </w:r>
          </w:p>
        </w:tc>
        <w:tc>
          <w:tcPr>
            <w:tcW w:w="300" w:type="dxa"/>
            <w:vAlign w:val="bottom"/>
            <w:gridSpan w:val="2"/>
            <w:shd w:val="clear" w:color="auto" w:fill="424E6A"/>
          </w:tcPr>
          <w:p>
            <w:pPr>
              <w:ind w:left="140"/>
              <w:spacing w:after="0"/>
              <w:rPr>
                <w:sz w:val="20"/>
                <w:szCs w:val="20"/>
                <w:color w:val="auto"/>
              </w:rPr>
            </w:pPr>
            <w:r>
              <w:rPr>
                <w:rFonts w:ascii="Arial" w:cs="Arial" w:eastAsia="Arial" w:hAnsi="Arial"/>
                <w:sz w:val="14"/>
                <w:szCs w:val="14"/>
                <w:b w:val="1"/>
                <w:bCs w:val="1"/>
                <w:color w:val="FFFFFF"/>
              </w:rPr>
              <w:t>​ ​</w:t>
            </w:r>
          </w:p>
        </w:tc>
        <w:tc>
          <w:tcPr>
            <w:tcW w:w="960" w:type="dxa"/>
            <w:vAlign w:val="bottom"/>
            <w:shd w:val="clear" w:color="auto" w:fill="424E6A"/>
          </w:tcPr>
          <w:p>
            <w:pPr>
              <w:jc w:val="center"/>
              <w:ind w:left="224"/>
              <w:spacing w:after="0"/>
              <w:rPr>
                <w:sz w:val="20"/>
                <w:szCs w:val="20"/>
                <w:color w:val="auto"/>
              </w:rPr>
            </w:pPr>
            <w:r>
              <w:rPr>
                <w:rFonts w:ascii="Arial" w:cs="Arial" w:eastAsia="Arial" w:hAnsi="Arial"/>
                <w:sz w:val="14"/>
                <w:szCs w:val="14"/>
                <w:b w:val="1"/>
                <w:bCs w:val="1"/>
                <w:color w:val="FFFFFF"/>
              </w:rPr>
              <w:t>(a)</w:t>
            </w:r>
          </w:p>
        </w:tc>
        <w:tc>
          <w:tcPr>
            <w:tcW w:w="280" w:type="dxa"/>
            <w:vAlign w:val="bottom"/>
            <w:shd w:val="clear" w:color="auto" w:fill="424E6A"/>
          </w:tcPr>
          <w:p>
            <w:pPr>
              <w:spacing w:after="0"/>
              <w:rPr>
                <w:sz w:val="18"/>
                <w:szCs w:val="18"/>
                <w:color w:val="auto"/>
              </w:rPr>
            </w:pPr>
          </w:p>
        </w:tc>
        <w:tc>
          <w:tcPr>
            <w:tcW w:w="260" w:type="dxa"/>
            <w:vAlign w:val="bottom"/>
            <w:tcBorders>
              <w:right w:val="single" w:sz="8" w:color="424E6A"/>
            </w:tcBorders>
            <w:shd w:val="clear" w:color="auto" w:fill="424E6A"/>
          </w:tcPr>
          <w:p>
            <w:pPr>
              <w:spacing w:after="0"/>
              <w:rPr>
                <w:sz w:val="18"/>
                <w:szCs w:val="18"/>
                <w:color w:val="auto"/>
              </w:rPr>
            </w:pPr>
          </w:p>
        </w:tc>
        <w:tc>
          <w:tcPr>
            <w:tcW w:w="1460" w:type="dxa"/>
            <w:vAlign w:val="bottom"/>
            <w:shd w:val="clear" w:color="auto" w:fill="424E6A"/>
          </w:tcPr>
          <w:p>
            <w:pPr>
              <w:jc w:val="center"/>
              <w:ind w:left="168"/>
              <w:spacing w:after="0"/>
              <w:rPr>
                <w:sz w:val="20"/>
                <w:szCs w:val="20"/>
                <w:color w:val="auto"/>
              </w:rPr>
            </w:pPr>
            <w:r>
              <w:rPr>
                <w:rFonts w:ascii="Arial" w:cs="Arial" w:eastAsia="Arial" w:hAnsi="Arial"/>
                <w:sz w:val="14"/>
                <w:szCs w:val="14"/>
                <w:b w:val="1"/>
                <w:bCs w:val="1"/>
                <w:color w:val="FFFFFF"/>
              </w:rPr>
              <w:t>(b)</w:t>
            </w:r>
          </w:p>
        </w:tc>
        <w:tc>
          <w:tcPr>
            <w:tcW w:w="260" w:type="dxa"/>
            <w:vAlign w:val="bottom"/>
            <w:tcBorders>
              <w:right w:val="single" w:sz="8" w:color="424E6A"/>
            </w:tcBorders>
            <w:shd w:val="clear" w:color="auto" w:fill="424E6A"/>
          </w:tcPr>
          <w:p>
            <w:pPr>
              <w:spacing w:after="0"/>
              <w:rPr>
                <w:sz w:val="18"/>
                <w:szCs w:val="18"/>
                <w:color w:val="auto"/>
              </w:rPr>
            </w:pPr>
          </w:p>
        </w:tc>
        <w:tc>
          <w:tcPr>
            <w:tcW w:w="320" w:type="dxa"/>
            <w:vAlign w:val="bottom"/>
            <w:shd w:val="clear" w:color="auto" w:fill="424E6A"/>
          </w:tcPr>
          <w:p>
            <w:pPr>
              <w:spacing w:after="0"/>
              <w:rPr>
                <w:sz w:val="18"/>
                <w:szCs w:val="18"/>
                <w:color w:val="auto"/>
              </w:rPr>
            </w:pPr>
          </w:p>
        </w:tc>
        <w:tc>
          <w:tcPr>
            <w:tcW w:w="860" w:type="dxa"/>
            <w:vAlign w:val="bottom"/>
            <w:shd w:val="clear" w:color="auto" w:fill="424E6A"/>
          </w:tcPr>
          <w:p>
            <w:pPr>
              <w:jc w:val="center"/>
              <w:ind w:left="6"/>
              <w:spacing w:after="0"/>
              <w:rPr>
                <w:sz w:val="20"/>
                <w:szCs w:val="20"/>
                <w:color w:val="auto"/>
              </w:rPr>
            </w:pPr>
            <w:r>
              <w:rPr>
                <w:rFonts w:ascii="Arial" w:cs="Arial" w:eastAsia="Arial" w:hAnsi="Arial"/>
                <w:sz w:val="14"/>
                <w:szCs w:val="14"/>
                <w:b w:val="1"/>
                <w:bCs w:val="1"/>
                <w:color w:val="FFFFFF"/>
              </w:rPr>
              <w:t>(c)</w:t>
            </w:r>
          </w:p>
        </w:tc>
        <w:tc>
          <w:tcPr>
            <w:tcW w:w="140" w:type="dxa"/>
            <w:vAlign w:val="bottom"/>
            <w:shd w:val="clear" w:color="auto" w:fill="424E6A"/>
          </w:tcPr>
          <w:p>
            <w:pPr>
              <w:spacing w:after="0"/>
              <w:rPr>
                <w:sz w:val="18"/>
                <w:szCs w:val="18"/>
                <w:color w:val="auto"/>
              </w:rPr>
            </w:pPr>
          </w:p>
        </w:tc>
        <w:tc>
          <w:tcPr>
            <w:tcW w:w="280" w:type="dxa"/>
            <w:vAlign w:val="bottom"/>
            <w:tcBorders>
              <w:right w:val="single" w:sz="8" w:color="424E6A"/>
            </w:tcBorders>
            <w:shd w:val="clear" w:color="auto" w:fill="424E6A"/>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100" w:type="dxa"/>
            <w:vAlign w:val="bottom"/>
            <w:tcBorders>
              <w:left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Equity compensation plans approved</w:t>
            </w:r>
          </w:p>
        </w:tc>
        <w:tc>
          <w:tcPr>
            <w:tcW w:w="200" w:type="dxa"/>
            <w:vAlign w:val="bottom"/>
            <w:tcBorders>
              <w:right w:val="single" w:sz="8" w:color="424E6A"/>
            </w:tcBorders>
            <w:shd w:val="clear" w:color="auto" w:fill="D9DCE1"/>
          </w:tcPr>
          <w:p>
            <w:pPr>
              <w:spacing w:after="0"/>
              <w:rPr>
                <w:sz w:val="18"/>
                <w:szCs w:val="18"/>
                <w:color w:val="auto"/>
              </w:rPr>
            </w:pPr>
          </w:p>
        </w:tc>
        <w:tc>
          <w:tcPr>
            <w:tcW w:w="100" w:type="dxa"/>
            <w:vAlign w:val="bottom"/>
            <w:shd w:val="clear" w:color="auto" w:fill="D9DCE1"/>
          </w:tcPr>
          <w:p>
            <w:pPr>
              <w:spacing w:after="0"/>
              <w:rPr>
                <w:sz w:val="18"/>
                <w:szCs w:val="18"/>
                <w:color w:val="auto"/>
              </w:rPr>
            </w:pPr>
          </w:p>
        </w:tc>
        <w:tc>
          <w:tcPr>
            <w:tcW w:w="960" w:type="dxa"/>
            <w:vAlign w:val="bottom"/>
            <w:shd w:val="clear" w:color="auto" w:fill="D9DCE1"/>
          </w:tcPr>
          <w:p>
            <w:pPr>
              <w:spacing w:after="0"/>
              <w:rPr>
                <w:sz w:val="18"/>
                <w:szCs w:val="18"/>
                <w:color w:val="auto"/>
              </w:rPr>
            </w:pPr>
          </w:p>
        </w:tc>
        <w:tc>
          <w:tcPr>
            <w:tcW w:w="280" w:type="dxa"/>
            <w:vAlign w:val="bottom"/>
            <w:shd w:val="clear" w:color="auto" w:fill="D9DCE1"/>
          </w:tcPr>
          <w:p>
            <w:pPr>
              <w:spacing w:after="0"/>
              <w:rPr>
                <w:sz w:val="18"/>
                <w:szCs w:val="18"/>
                <w:color w:val="auto"/>
              </w:rPr>
            </w:pPr>
          </w:p>
        </w:tc>
        <w:tc>
          <w:tcPr>
            <w:tcW w:w="260" w:type="dxa"/>
            <w:vAlign w:val="bottom"/>
            <w:tcBorders>
              <w:right w:val="single" w:sz="8" w:color="424E6A"/>
            </w:tcBorders>
            <w:shd w:val="clear" w:color="auto" w:fill="D9DCE1"/>
          </w:tcPr>
          <w:p>
            <w:pPr>
              <w:spacing w:after="0"/>
              <w:rPr>
                <w:sz w:val="18"/>
                <w:szCs w:val="18"/>
                <w:color w:val="auto"/>
              </w:rPr>
            </w:pPr>
          </w:p>
        </w:tc>
        <w:tc>
          <w:tcPr>
            <w:tcW w:w="1460" w:type="dxa"/>
            <w:vAlign w:val="bottom"/>
            <w:shd w:val="clear" w:color="auto" w:fill="D9DCE1"/>
          </w:tcPr>
          <w:p>
            <w:pPr>
              <w:spacing w:after="0"/>
              <w:rPr>
                <w:sz w:val="18"/>
                <w:szCs w:val="18"/>
                <w:color w:val="auto"/>
              </w:rPr>
            </w:pPr>
          </w:p>
        </w:tc>
        <w:tc>
          <w:tcPr>
            <w:tcW w:w="260" w:type="dxa"/>
            <w:vAlign w:val="bottom"/>
            <w:tcBorders>
              <w:right w:val="single" w:sz="8" w:color="424E6A"/>
            </w:tcBorders>
            <w:shd w:val="clear" w:color="auto" w:fill="D9DCE1"/>
          </w:tcPr>
          <w:p>
            <w:pPr>
              <w:spacing w:after="0"/>
              <w:rPr>
                <w:sz w:val="18"/>
                <w:szCs w:val="18"/>
                <w:color w:val="auto"/>
              </w:rPr>
            </w:pPr>
          </w:p>
        </w:tc>
        <w:tc>
          <w:tcPr>
            <w:tcW w:w="320" w:type="dxa"/>
            <w:vAlign w:val="bottom"/>
            <w:shd w:val="clear" w:color="auto" w:fill="D9DCE1"/>
          </w:tcPr>
          <w:p>
            <w:pPr>
              <w:spacing w:after="0"/>
              <w:rPr>
                <w:sz w:val="18"/>
                <w:szCs w:val="18"/>
                <w:color w:val="auto"/>
              </w:rPr>
            </w:pPr>
          </w:p>
        </w:tc>
        <w:tc>
          <w:tcPr>
            <w:tcW w:w="860" w:type="dxa"/>
            <w:vAlign w:val="bottom"/>
            <w:shd w:val="clear" w:color="auto" w:fill="D9DCE1"/>
          </w:tcPr>
          <w:p>
            <w:pPr>
              <w:spacing w:after="0"/>
              <w:rPr>
                <w:sz w:val="18"/>
                <w:szCs w:val="18"/>
                <w:color w:val="auto"/>
              </w:rPr>
            </w:pPr>
          </w:p>
        </w:tc>
        <w:tc>
          <w:tcPr>
            <w:tcW w:w="140" w:type="dxa"/>
            <w:vAlign w:val="bottom"/>
            <w:shd w:val="clear" w:color="auto" w:fill="D9DCE1"/>
          </w:tcPr>
          <w:p>
            <w:pPr>
              <w:spacing w:after="0"/>
              <w:rPr>
                <w:sz w:val="18"/>
                <w:szCs w:val="18"/>
                <w:color w:val="auto"/>
              </w:rPr>
            </w:pPr>
          </w:p>
        </w:tc>
        <w:tc>
          <w:tcPr>
            <w:tcW w:w="280" w:type="dxa"/>
            <w:vAlign w:val="bottom"/>
            <w:tcBorders>
              <w:right w:val="single" w:sz="8" w:color="424E6A"/>
            </w:tcBorders>
            <w:shd w:val="clear" w:color="auto" w:fill="D9DCE1"/>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3100" w:type="dxa"/>
            <w:vAlign w:val="bottom"/>
            <w:tcBorders>
              <w:left w:val="single" w:sz="8" w:color="424E6A"/>
              <w:bottom w:val="single" w:sz="8" w:color="424E6A"/>
            </w:tcBorders>
            <w:shd w:val="clear" w:color="auto" w:fill="D9DCE1"/>
          </w:tcPr>
          <w:p>
            <w:pPr>
              <w:ind w:left="240"/>
              <w:spacing w:after="0"/>
              <w:rPr>
                <w:sz w:val="20"/>
                <w:szCs w:val="20"/>
                <w:color w:val="auto"/>
              </w:rPr>
            </w:pPr>
            <w:r>
              <w:rPr>
                <w:rFonts w:ascii="Arial" w:cs="Arial" w:eastAsia="Arial" w:hAnsi="Arial"/>
                <w:sz w:val="18"/>
                <w:szCs w:val="18"/>
                <w:color w:val="auto"/>
              </w:rPr>
              <w:t>by unitholders:</w:t>
            </w:r>
          </w:p>
        </w:tc>
        <w:tc>
          <w:tcPr>
            <w:tcW w:w="200" w:type="dxa"/>
            <w:vAlign w:val="bottom"/>
            <w:tcBorders>
              <w:bottom w:val="single" w:sz="8" w:color="424E6A"/>
              <w:right w:val="single" w:sz="8" w:color="424E6A"/>
            </w:tcBorders>
            <w:shd w:val="clear" w:color="auto" w:fill="D9DCE1"/>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424E6A"/>
            </w:tcBorders>
            <w:shd w:val="clear" w:color="auto" w:fill="D9DCE1"/>
          </w:tcPr>
          <w:p>
            <w:pPr>
              <w:ind w:lef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424E6A"/>
            </w:tcBorders>
            <w:shd w:val="clear" w:color="auto" w:fill="D9DCE1"/>
          </w:tcPr>
          <w:p>
            <w:pPr>
              <w:spacing w:after="0"/>
              <w:rPr>
                <w:sz w:val="22"/>
                <w:szCs w:val="22"/>
                <w:color w:val="auto"/>
              </w:rPr>
            </w:pPr>
          </w:p>
        </w:tc>
        <w:tc>
          <w:tcPr>
            <w:tcW w:w="26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shd w:val="clear" w:color="auto" w:fill="D9DCE1"/>
          </w:tcPr>
          <w:p>
            <w:pPr>
              <w:ind w:left="6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shd w:val="clear" w:color="auto" w:fill="D9DCE1"/>
          </w:tcPr>
          <w:p>
            <w:pPr>
              <w:ind w:left="2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424E6A"/>
            </w:tcBorders>
            <w:shd w:val="clear" w:color="auto" w:fill="D9DCE1"/>
          </w:tcPr>
          <w:p>
            <w:pPr>
              <w:spacing w:after="0"/>
              <w:rPr>
                <w:sz w:val="22"/>
                <w:szCs w:val="22"/>
                <w:color w:val="auto"/>
              </w:rPr>
            </w:pPr>
          </w:p>
        </w:tc>
        <w:tc>
          <w:tcPr>
            <w:tcW w:w="140" w:type="dxa"/>
            <w:vAlign w:val="bottom"/>
            <w:tcBorders>
              <w:bottom w:val="single" w:sz="8" w:color="424E6A"/>
            </w:tcBorders>
            <w:shd w:val="clear" w:color="auto" w:fill="D9DCE1"/>
          </w:tcPr>
          <w:p>
            <w:pPr>
              <w:spacing w:after="0"/>
              <w:rPr>
                <w:sz w:val="22"/>
                <w:szCs w:val="22"/>
                <w:color w:val="auto"/>
              </w:rPr>
            </w:pPr>
          </w:p>
        </w:tc>
        <w:tc>
          <w:tcPr>
            <w:tcW w:w="28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3100" w:type="dxa"/>
            <w:vAlign w:val="bottom"/>
            <w:tcBorders>
              <w:left w:val="single" w:sz="8" w:color="424E6A"/>
            </w:tcBorders>
            <w:vMerge w:val="restart"/>
          </w:tcPr>
          <w:p>
            <w:pPr>
              <w:ind w:left="60"/>
              <w:spacing w:after="0"/>
              <w:rPr>
                <w:sz w:val="20"/>
                <w:szCs w:val="20"/>
                <w:color w:val="auto"/>
              </w:rPr>
            </w:pPr>
            <w:r>
              <w:rPr>
                <w:rFonts w:ascii="Arial" w:cs="Arial" w:eastAsia="Arial" w:hAnsi="Arial"/>
                <w:sz w:val="18"/>
                <w:szCs w:val="18"/>
                <w:color w:val="auto"/>
              </w:rPr>
              <w:t>2021 Long Term Incentive Plan</w:t>
            </w:r>
          </w:p>
        </w:tc>
        <w:tc>
          <w:tcPr>
            <w:tcW w:w="200" w:type="dxa"/>
            <w:vAlign w:val="bottom"/>
            <w:tcBorders>
              <w:right w:val="single" w:sz="8" w:color="424E6A"/>
            </w:tcBorders>
            <w:vMerge w:val="restart"/>
          </w:tcPr>
          <w:p>
            <w:pPr>
              <w:ind w:left="14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ind w:left="1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8,987,645</w:t>
            </w:r>
          </w:p>
        </w:tc>
        <w:tc>
          <w:tcPr>
            <w:tcW w:w="280" w:type="dxa"/>
            <w:vAlign w:val="bottom"/>
          </w:tcPr>
          <w:p>
            <w:pPr>
              <w:jc w:val="right"/>
              <w:ind w:right="53"/>
              <w:spacing w:after="0" w:line="115" w:lineRule="exact"/>
              <w:rPr>
                <w:sz w:val="20"/>
                <w:szCs w:val="20"/>
                <w:color w:val="auto"/>
              </w:rPr>
            </w:pPr>
            <w:r>
              <w:rPr>
                <w:rFonts w:ascii="Arial" w:cs="Arial" w:eastAsia="Arial" w:hAnsi="Arial"/>
                <w:sz w:val="13"/>
                <w:szCs w:val="13"/>
                <w:color w:val="auto"/>
                <w:w w:val="87"/>
              </w:rPr>
              <w:t>(1)</w:t>
            </w:r>
          </w:p>
        </w:tc>
        <w:tc>
          <w:tcPr>
            <w:tcW w:w="26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w:t>
            </w:r>
          </w:p>
        </w:tc>
        <w:tc>
          <w:tcPr>
            <w:tcW w:w="1460" w:type="dxa"/>
            <w:vAlign w:val="bottom"/>
          </w:tcPr>
          <w:p>
            <w:pPr>
              <w:ind w:left="940"/>
              <w:spacing w:after="0" w:line="115" w:lineRule="exact"/>
              <w:rPr>
                <w:sz w:val="20"/>
                <w:szCs w:val="20"/>
                <w:color w:val="auto"/>
              </w:rPr>
            </w:pPr>
            <w:r>
              <w:rPr>
                <w:rFonts w:ascii="Arial" w:cs="Arial" w:eastAsia="Arial" w:hAnsi="Arial"/>
                <w:sz w:val="13"/>
                <w:szCs w:val="13"/>
                <w:color w:val="auto"/>
              </w:rPr>
              <w:t>(2)</w:t>
            </w:r>
          </w:p>
        </w:tc>
        <w:tc>
          <w:tcPr>
            <w:tcW w:w="26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ind w:left="2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12,152,519</w:t>
            </w:r>
          </w:p>
        </w:tc>
        <w:tc>
          <w:tcPr>
            <w:tcW w:w="420" w:type="dxa"/>
            <w:vAlign w:val="bottom"/>
            <w:tcBorders>
              <w:right w:val="single" w:sz="8" w:color="424E6A"/>
            </w:tcBorders>
            <w:gridSpan w:val="2"/>
          </w:tcPr>
          <w:p>
            <w:pPr>
              <w:jc w:val="right"/>
              <w:ind w:right="13"/>
              <w:spacing w:after="0" w:line="115" w:lineRule="exact"/>
              <w:rPr>
                <w:sz w:val="20"/>
                <w:szCs w:val="20"/>
                <w:color w:val="auto"/>
              </w:rPr>
            </w:pPr>
            <w:r>
              <w:rPr>
                <w:rFonts w:ascii="Arial" w:cs="Arial" w:eastAsia="Arial" w:hAnsi="Arial"/>
                <w:sz w:val="13"/>
                <w:szCs w:val="13"/>
                <w:color w:val="auto"/>
                <w:w w:val="94"/>
              </w:rPr>
              <w:t>(3)(4)</w:t>
            </w:r>
          </w:p>
        </w:tc>
        <w:tc>
          <w:tcPr>
            <w:tcW w:w="0" w:type="dxa"/>
            <w:vAlign w:val="bottom"/>
          </w:tcPr>
          <w:p>
            <w:pPr>
              <w:spacing w:after="0"/>
              <w:rPr>
                <w:sz w:val="1"/>
                <w:szCs w:val="1"/>
                <w:color w:val="auto"/>
              </w:rPr>
            </w:pPr>
          </w:p>
        </w:tc>
      </w:tr>
      <w:tr>
        <w:trPr>
          <w:trHeight w:val="148"/>
        </w:trPr>
        <w:tc>
          <w:tcPr>
            <w:tcW w:w="3100" w:type="dxa"/>
            <w:vAlign w:val="bottom"/>
            <w:tcBorders>
              <w:left w:val="single" w:sz="8" w:color="424E6A"/>
              <w:bottom w:val="single" w:sz="8" w:color="424E6A"/>
            </w:tcBorders>
            <w:vMerge w:val="continue"/>
          </w:tcPr>
          <w:p>
            <w:pPr>
              <w:spacing w:after="0"/>
              <w:rPr>
                <w:sz w:val="12"/>
                <w:szCs w:val="12"/>
                <w:color w:val="auto"/>
              </w:rPr>
            </w:pPr>
          </w:p>
        </w:tc>
        <w:tc>
          <w:tcPr>
            <w:tcW w:w="200" w:type="dxa"/>
            <w:vAlign w:val="bottom"/>
            <w:tcBorders>
              <w:bottom w:val="single" w:sz="8" w:color="424E6A"/>
              <w:right w:val="single" w:sz="8" w:color="424E6A"/>
            </w:tcBorders>
            <w:vMerge w:val="continue"/>
          </w:tcPr>
          <w:p>
            <w:pPr>
              <w:spacing w:after="0"/>
              <w:rPr>
                <w:sz w:val="12"/>
                <w:szCs w:val="12"/>
                <w:color w:val="auto"/>
              </w:rPr>
            </w:pPr>
          </w:p>
        </w:tc>
        <w:tc>
          <w:tcPr>
            <w:tcW w:w="100" w:type="dxa"/>
            <w:vAlign w:val="bottom"/>
            <w:tcBorders>
              <w:bottom w:val="single" w:sz="8" w:color="424E6A"/>
            </w:tcBorders>
            <w:vMerge w:val="continue"/>
          </w:tcPr>
          <w:p>
            <w:pPr>
              <w:spacing w:after="0"/>
              <w:rPr>
                <w:sz w:val="12"/>
                <w:szCs w:val="12"/>
                <w:color w:val="auto"/>
              </w:rPr>
            </w:pPr>
          </w:p>
        </w:tc>
        <w:tc>
          <w:tcPr>
            <w:tcW w:w="960" w:type="dxa"/>
            <w:vAlign w:val="bottom"/>
            <w:tcBorders>
              <w:bottom w:val="single" w:sz="8" w:color="424E6A"/>
            </w:tcBorders>
            <w:vMerge w:val="continue"/>
          </w:tcPr>
          <w:p>
            <w:pPr>
              <w:spacing w:after="0"/>
              <w:rPr>
                <w:sz w:val="12"/>
                <w:szCs w:val="12"/>
                <w:color w:val="auto"/>
              </w:rPr>
            </w:pPr>
          </w:p>
        </w:tc>
        <w:tc>
          <w:tcPr>
            <w:tcW w:w="280" w:type="dxa"/>
            <w:vAlign w:val="bottom"/>
            <w:tcBorders>
              <w:bottom w:val="single" w:sz="8" w:color="424E6A"/>
            </w:tcBorders>
          </w:tcPr>
          <w:p>
            <w:pPr>
              <w:spacing w:after="0"/>
              <w:rPr>
                <w:sz w:val="12"/>
                <w:szCs w:val="12"/>
                <w:color w:val="auto"/>
              </w:rPr>
            </w:pPr>
          </w:p>
        </w:tc>
        <w:tc>
          <w:tcPr>
            <w:tcW w:w="260" w:type="dxa"/>
            <w:vAlign w:val="bottom"/>
            <w:tcBorders>
              <w:bottom w:val="single" w:sz="8" w:color="424E6A"/>
              <w:right w:val="single" w:sz="8" w:color="424E6A"/>
            </w:tcBorders>
            <w:vMerge w:val="continue"/>
          </w:tcPr>
          <w:p>
            <w:pPr>
              <w:spacing w:after="0"/>
              <w:rPr>
                <w:sz w:val="12"/>
                <w:szCs w:val="12"/>
                <w:color w:val="auto"/>
              </w:rPr>
            </w:pPr>
          </w:p>
        </w:tc>
        <w:tc>
          <w:tcPr>
            <w:tcW w:w="1460" w:type="dxa"/>
            <w:vAlign w:val="bottom"/>
            <w:tcBorders>
              <w:bottom w:val="single" w:sz="8" w:color="424E6A"/>
            </w:tcBorders>
          </w:tcPr>
          <w:p>
            <w:pPr>
              <w:ind w:left="62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11"/>
                <w:szCs w:val="11"/>
                <w:color w:val="auto"/>
              </w:rPr>
              <w:t>N/A</w:t>
            </w:r>
          </w:p>
        </w:tc>
        <w:tc>
          <w:tcPr>
            <w:tcW w:w="260" w:type="dxa"/>
            <w:vAlign w:val="bottom"/>
            <w:tcBorders>
              <w:bottom w:val="single" w:sz="8" w:color="424E6A"/>
              <w:right w:val="single" w:sz="8" w:color="424E6A"/>
            </w:tcBorders>
            <w:vMerge w:val="continue"/>
          </w:tcPr>
          <w:p>
            <w:pPr>
              <w:spacing w:after="0"/>
              <w:rPr>
                <w:sz w:val="12"/>
                <w:szCs w:val="12"/>
                <w:color w:val="auto"/>
              </w:rPr>
            </w:pPr>
          </w:p>
        </w:tc>
        <w:tc>
          <w:tcPr>
            <w:tcW w:w="1180" w:type="dxa"/>
            <w:vAlign w:val="bottom"/>
            <w:tcBorders>
              <w:bottom w:val="single" w:sz="8" w:color="424E6A"/>
            </w:tcBorders>
            <w:gridSpan w:val="2"/>
            <w:vMerge w:val="continue"/>
          </w:tcPr>
          <w:p>
            <w:pPr>
              <w:spacing w:after="0"/>
              <w:rPr>
                <w:sz w:val="12"/>
                <w:szCs w:val="12"/>
                <w:color w:val="auto"/>
              </w:rPr>
            </w:pPr>
          </w:p>
        </w:tc>
        <w:tc>
          <w:tcPr>
            <w:tcW w:w="140" w:type="dxa"/>
            <w:vAlign w:val="bottom"/>
            <w:tcBorders>
              <w:bottom w:val="single" w:sz="8" w:color="424E6A"/>
            </w:tcBorders>
          </w:tcPr>
          <w:p>
            <w:pPr>
              <w:spacing w:after="0"/>
              <w:rPr>
                <w:sz w:val="12"/>
                <w:szCs w:val="12"/>
                <w:color w:val="auto"/>
              </w:rPr>
            </w:pPr>
          </w:p>
        </w:tc>
        <w:tc>
          <w:tcPr>
            <w:tcW w:w="280" w:type="dxa"/>
            <w:vAlign w:val="bottom"/>
            <w:tcBorders>
              <w:bottom w:val="single" w:sz="8" w:color="424E6A"/>
              <w:right w:val="single" w:sz="8" w:color="424E6A"/>
            </w:tcBorders>
          </w:tcPr>
          <w:p>
            <w:pPr>
              <w:ind w:left="20"/>
              <w:spacing w:after="0" w:line="14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3100" w:type="dxa"/>
            <w:vAlign w:val="bottom"/>
            <w:tcBorders>
              <w:left w:val="single" w:sz="8" w:color="424E6A"/>
            </w:tcBorders>
            <w:shd w:val="clear" w:color="auto" w:fill="D9DCE1"/>
          </w:tcPr>
          <w:p>
            <w:pPr>
              <w:ind w:left="60"/>
              <w:spacing w:after="0" w:line="204" w:lineRule="exact"/>
              <w:rPr>
                <w:sz w:val="20"/>
                <w:szCs w:val="20"/>
                <w:color w:val="auto"/>
              </w:rPr>
            </w:pPr>
            <w:r>
              <w:rPr>
                <w:rFonts w:ascii="Arial" w:cs="Arial" w:eastAsia="Arial" w:hAnsi="Arial"/>
                <w:sz w:val="18"/>
                <w:szCs w:val="18"/>
                <w:color w:val="auto"/>
              </w:rPr>
              <w:t>Equity compensation plans not</w:t>
            </w:r>
          </w:p>
        </w:tc>
        <w:tc>
          <w:tcPr>
            <w:tcW w:w="200" w:type="dxa"/>
            <w:vAlign w:val="bottom"/>
            <w:tcBorders>
              <w:right w:val="single" w:sz="8" w:color="424E6A"/>
            </w:tcBorders>
            <w:shd w:val="clear" w:color="auto" w:fill="D9DCE1"/>
          </w:tcPr>
          <w:p>
            <w:pPr>
              <w:spacing w:after="0"/>
              <w:rPr>
                <w:sz w:val="17"/>
                <w:szCs w:val="17"/>
                <w:color w:val="auto"/>
              </w:rPr>
            </w:pPr>
          </w:p>
        </w:tc>
        <w:tc>
          <w:tcPr>
            <w:tcW w:w="100" w:type="dxa"/>
            <w:vAlign w:val="bottom"/>
            <w:shd w:val="clear" w:color="auto" w:fill="D9DCE1"/>
          </w:tcPr>
          <w:p>
            <w:pPr>
              <w:spacing w:after="0"/>
              <w:rPr>
                <w:sz w:val="17"/>
                <w:szCs w:val="17"/>
                <w:color w:val="auto"/>
              </w:rPr>
            </w:pPr>
          </w:p>
        </w:tc>
        <w:tc>
          <w:tcPr>
            <w:tcW w:w="960" w:type="dxa"/>
            <w:vAlign w:val="bottom"/>
            <w:shd w:val="clear" w:color="auto" w:fill="D9DCE1"/>
          </w:tcPr>
          <w:p>
            <w:pPr>
              <w:spacing w:after="0"/>
              <w:rPr>
                <w:sz w:val="17"/>
                <w:szCs w:val="17"/>
                <w:color w:val="auto"/>
              </w:rPr>
            </w:pPr>
          </w:p>
        </w:tc>
        <w:tc>
          <w:tcPr>
            <w:tcW w:w="280" w:type="dxa"/>
            <w:vAlign w:val="bottom"/>
            <w:shd w:val="clear" w:color="auto" w:fill="D9DCE1"/>
          </w:tcPr>
          <w:p>
            <w:pPr>
              <w:spacing w:after="0"/>
              <w:rPr>
                <w:sz w:val="17"/>
                <w:szCs w:val="17"/>
                <w:color w:val="auto"/>
              </w:rPr>
            </w:pPr>
          </w:p>
        </w:tc>
        <w:tc>
          <w:tcPr>
            <w:tcW w:w="260" w:type="dxa"/>
            <w:vAlign w:val="bottom"/>
            <w:tcBorders>
              <w:right w:val="single" w:sz="8" w:color="424E6A"/>
            </w:tcBorders>
            <w:shd w:val="clear" w:color="auto" w:fill="D9DCE1"/>
          </w:tcPr>
          <w:p>
            <w:pPr>
              <w:spacing w:after="0"/>
              <w:rPr>
                <w:sz w:val="17"/>
                <w:szCs w:val="17"/>
                <w:color w:val="auto"/>
              </w:rPr>
            </w:pPr>
          </w:p>
        </w:tc>
        <w:tc>
          <w:tcPr>
            <w:tcW w:w="1460" w:type="dxa"/>
            <w:vAlign w:val="bottom"/>
            <w:shd w:val="clear" w:color="auto" w:fill="D9DCE1"/>
          </w:tcPr>
          <w:p>
            <w:pPr>
              <w:spacing w:after="0"/>
              <w:rPr>
                <w:sz w:val="17"/>
                <w:szCs w:val="17"/>
                <w:color w:val="auto"/>
              </w:rPr>
            </w:pPr>
          </w:p>
        </w:tc>
        <w:tc>
          <w:tcPr>
            <w:tcW w:w="260" w:type="dxa"/>
            <w:vAlign w:val="bottom"/>
            <w:tcBorders>
              <w:right w:val="single" w:sz="8" w:color="424E6A"/>
            </w:tcBorders>
            <w:shd w:val="clear" w:color="auto" w:fill="D9DCE1"/>
          </w:tcPr>
          <w:p>
            <w:pPr>
              <w:spacing w:after="0"/>
              <w:rPr>
                <w:sz w:val="17"/>
                <w:szCs w:val="17"/>
                <w:color w:val="auto"/>
              </w:rPr>
            </w:pPr>
          </w:p>
        </w:tc>
        <w:tc>
          <w:tcPr>
            <w:tcW w:w="320" w:type="dxa"/>
            <w:vAlign w:val="bottom"/>
            <w:shd w:val="clear" w:color="auto" w:fill="D9DCE1"/>
          </w:tcPr>
          <w:p>
            <w:pPr>
              <w:spacing w:after="0"/>
              <w:rPr>
                <w:sz w:val="17"/>
                <w:szCs w:val="17"/>
                <w:color w:val="auto"/>
              </w:rPr>
            </w:pPr>
          </w:p>
        </w:tc>
        <w:tc>
          <w:tcPr>
            <w:tcW w:w="860" w:type="dxa"/>
            <w:vAlign w:val="bottom"/>
            <w:shd w:val="clear" w:color="auto" w:fill="D9DCE1"/>
          </w:tcPr>
          <w:p>
            <w:pPr>
              <w:spacing w:after="0"/>
              <w:rPr>
                <w:sz w:val="17"/>
                <w:szCs w:val="17"/>
                <w:color w:val="auto"/>
              </w:rPr>
            </w:pPr>
          </w:p>
        </w:tc>
        <w:tc>
          <w:tcPr>
            <w:tcW w:w="140" w:type="dxa"/>
            <w:vAlign w:val="bottom"/>
            <w:shd w:val="clear" w:color="auto" w:fill="D9DCE1"/>
          </w:tcPr>
          <w:p>
            <w:pPr>
              <w:spacing w:after="0"/>
              <w:rPr>
                <w:sz w:val="17"/>
                <w:szCs w:val="17"/>
                <w:color w:val="auto"/>
              </w:rPr>
            </w:pPr>
          </w:p>
        </w:tc>
        <w:tc>
          <w:tcPr>
            <w:tcW w:w="280" w:type="dxa"/>
            <w:vAlign w:val="bottom"/>
            <w:tcBorders>
              <w:right w:val="single" w:sz="8" w:color="424E6A"/>
            </w:tcBorders>
            <w:shd w:val="clear" w:color="auto" w:fill="D9DCE1"/>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3100" w:type="dxa"/>
            <w:vAlign w:val="bottom"/>
            <w:tcBorders>
              <w:left w:val="single" w:sz="8" w:color="424E6A"/>
              <w:bottom w:val="single" w:sz="8" w:color="424E6A"/>
            </w:tcBorders>
            <w:shd w:val="clear" w:color="auto" w:fill="D9DCE1"/>
          </w:tcPr>
          <w:p>
            <w:pPr>
              <w:ind w:left="240"/>
              <w:spacing w:after="0"/>
              <w:rPr>
                <w:sz w:val="20"/>
                <w:szCs w:val="20"/>
                <w:color w:val="auto"/>
              </w:rPr>
            </w:pPr>
            <w:r>
              <w:rPr>
                <w:rFonts w:ascii="Arial" w:cs="Arial" w:eastAsia="Arial" w:hAnsi="Arial"/>
                <w:sz w:val="18"/>
                <w:szCs w:val="18"/>
                <w:color w:val="auto"/>
              </w:rPr>
              <w:t>approved by unitholders:</w:t>
            </w:r>
          </w:p>
        </w:tc>
        <w:tc>
          <w:tcPr>
            <w:tcW w:w="200" w:type="dxa"/>
            <w:vAlign w:val="bottom"/>
            <w:tcBorders>
              <w:bottom w:val="single" w:sz="8" w:color="424E6A"/>
              <w:right w:val="single" w:sz="8" w:color="424E6A"/>
            </w:tcBorders>
            <w:shd w:val="clear" w:color="auto" w:fill="D9DCE1"/>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424E6A"/>
            </w:tcBorders>
            <w:shd w:val="clear" w:color="auto" w:fill="D9DCE1"/>
          </w:tcPr>
          <w:p>
            <w:pPr>
              <w:ind w:lef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424E6A"/>
            </w:tcBorders>
            <w:shd w:val="clear" w:color="auto" w:fill="D9DCE1"/>
          </w:tcPr>
          <w:p>
            <w:pPr>
              <w:spacing w:after="0"/>
              <w:rPr>
                <w:sz w:val="22"/>
                <w:szCs w:val="22"/>
                <w:color w:val="auto"/>
              </w:rPr>
            </w:pPr>
          </w:p>
        </w:tc>
        <w:tc>
          <w:tcPr>
            <w:tcW w:w="26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shd w:val="clear" w:color="auto" w:fill="D9DCE1"/>
          </w:tcPr>
          <w:p>
            <w:pPr>
              <w:ind w:left="6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shd w:val="clear" w:color="auto" w:fill="D9DCE1"/>
          </w:tcPr>
          <w:p>
            <w:pPr>
              <w:ind w:left="2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424E6A"/>
            </w:tcBorders>
            <w:shd w:val="clear" w:color="auto" w:fill="D9DCE1"/>
          </w:tcPr>
          <w:p>
            <w:pPr>
              <w:spacing w:after="0"/>
              <w:rPr>
                <w:sz w:val="22"/>
                <w:szCs w:val="22"/>
                <w:color w:val="auto"/>
              </w:rPr>
            </w:pPr>
          </w:p>
        </w:tc>
        <w:tc>
          <w:tcPr>
            <w:tcW w:w="140" w:type="dxa"/>
            <w:vAlign w:val="bottom"/>
            <w:tcBorders>
              <w:bottom w:val="single" w:sz="8" w:color="424E6A"/>
            </w:tcBorders>
            <w:shd w:val="clear" w:color="auto" w:fill="D9DCE1"/>
          </w:tcPr>
          <w:p>
            <w:pPr>
              <w:spacing w:after="0"/>
              <w:rPr>
                <w:sz w:val="22"/>
                <w:szCs w:val="22"/>
                <w:color w:val="auto"/>
              </w:rPr>
            </w:pPr>
          </w:p>
        </w:tc>
        <w:tc>
          <w:tcPr>
            <w:tcW w:w="28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3100" w:type="dxa"/>
            <w:vAlign w:val="bottom"/>
            <w:tcBorders>
              <w:left w:val="single" w:sz="8" w:color="424E6A"/>
            </w:tcBorders>
            <w:vMerge w:val="restart"/>
          </w:tcPr>
          <w:p>
            <w:pPr>
              <w:ind w:left="60"/>
              <w:spacing w:after="0"/>
              <w:rPr>
                <w:sz w:val="20"/>
                <w:szCs w:val="20"/>
                <w:color w:val="auto"/>
              </w:rPr>
            </w:pPr>
            <w:r>
              <w:rPr>
                <w:rFonts w:ascii="Arial" w:cs="Arial" w:eastAsia="Arial" w:hAnsi="Arial"/>
                <w:sz w:val="18"/>
                <w:szCs w:val="18"/>
                <w:color w:val="auto"/>
              </w:rPr>
              <w:t>PNG Successor Plan</w:t>
            </w:r>
          </w:p>
        </w:tc>
        <w:tc>
          <w:tcPr>
            <w:tcW w:w="200" w:type="dxa"/>
            <w:vAlign w:val="bottom"/>
            <w:tcBorders>
              <w:right w:val="single" w:sz="8" w:color="424E6A"/>
            </w:tcBorders>
            <w:vMerge w:val="restart"/>
          </w:tcPr>
          <w:p>
            <w:pPr>
              <w:ind w:left="14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ind w:left="1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154,650</w:t>
            </w:r>
          </w:p>
        </w:tc>
        <w:tc>
          <w:tcPr>
            <w:tcW w:w="280" w:type="dxa"/>
            <w:vAlign w:val="bottom"/>
          </w:tcPr>
          <w:p>
            <w:pPr>
              <w:jc w:val="right"/>
              <w:ind w:right="53"/>
              <w:spacing w:after="0" w:line="115" w:lineRule="exact"/>
              <w:rPr>
                <w:sz w:val="20"/>
                <w:szCs w:val="20"/>
                <w:color w:val="auto"/>
              </w:rPr>
            </w:pPr>
            <w:r>
              <w:rPr>
                <w:rFonts w:ascii="Arial" w:cs="Arial" w:eastAsia="Arial" w:hAnsi="Arial"/>
                <w:sz w:val="13"/>
                <w:szCs w:val="13"/>
                <w:color w:val="auto"/>
                <w:w w:val="87"/>
              </w:rPr>
              <w:t>(4)</w:t>
            </w:r>
          </w:p>
        </w:tc>
        <w:tc>
          <w:tcPr>
            <w:tcW w:w="26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w:t>
            </w:r>
          </w:p>
        </w:tc>
        <w:tc>
          <w:tcPr>
            <w:tcW w:w="1460" w:type="dxa"/>
            <w:vAlign w:val="bottom"/>
          </w:tcPr>
          <w:p>
            <w:pPr>
              <w:ind w:left="940"/>
              <w:spacing w:after="0" w:line="115" w:lineRule="exact"/>
              <w:rPr>
                <w:sz w:val="20"/>
                <w:szCs w:val="20"/>
                <w:color w:val="auto"/>
              </w:rPr>
            </w:pPr>
            <w:r>
              <w:rPr>
                <w:rFonts w:ascii="Arial" w:cs="Arial" w:eastAsia="Arial" w:hAnsi="Arial"/>
                <w:sz w:val="13"/>
                <w:szCs w:val="13"/>
                <w:color w:val="auto"/>
              </w:rPr>
              <w:t>(2)</w:t>
            </w:r>
          </w:p>
        </w:tc>
        <w:tc>
          <w:tcPr>
            <w:tcW w:w="26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320" w:type="dxa"/>
            <w:vAlign w:val="bottom"/>
            <w:vMerge w:val="restart"/>
          </w:tcPr>
          <w:p>
            <w:pPr>
              <w:ind w:left="26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131</w:t>
            </w:r>
          </w:p>
        </w:tc>
        <w:tc>
          <w:tcPr>
            <w:tcW w:w="420" w:type="dxa"/>
            <w:vAlign w:val="bottom"/>
            <w:tcBorders>
              <w:right w:val="single" w:sz="8" w:color="424E6A"/>
            </w:tcBorders>
            <w:gridSpan w:val="2"/>
          </w:tcPr>
          <w:p>
            <w:pPr>
              <w:jc w:val="right"/>
              <w:ind w:right="13"/>
              <w:spacing w:after="0" w:line="115" w:lineRule="exact"/>
              <w:rPr>
                <w:sz w:val="20"/>
                <w:szCs w:val="20"/>
                <w:color w:val="auto"/>
              </w:rPr>
            </w:pPr>
            <w:r>
              <w:rPr>
                <w:rFonts w:ascii="Arial" w:cs="Arial" w:eastAsia="Arial" w:hAnsi="Arial"/>
                <w:sz w:val="13"/>
                <w:szCs w:val="13"/>
                <w:color w:val="auto"/>
                <w:w w:val="94"/>
              </w:rPr>
              <w:t>(3)(4)</w:t>
            </w:r>
          </w:p>
        </w:tc>
        <w:tc>
          <w:tcPr>
            <w:tcW w:w="0" w:type="dxa"/>
            <w:vAlign w:val="bottom"/>
          </w:tcPr>
          <w:p>
            <w:pPr>
              <w:spacing w:after="0"/>
              <w:rPr>
                <w:sz w:val="1"/>
                <w:szCs w:val="1"/>
                <w:color w:val="auto"/>
              </w:rPr>
            </w:pPr>
          </w:p>
        </w:tc>
      </w:tr>
      <w:tr>
        <w:trPr>
          <w:trHeight w:val="148"/>
        </w:trPr>
        <w:tc>
          <w:tcPr>
            <w:tcW w:w="3100" w:type="dxa"/>
            <w:vAlign w:val="bottom"/>
            <w:tcBorders>
              <w:left w:val="single" w:sz="8" w:color="424E6A"/>
              <w:bottom w:val="single" w:sz="8" w:color="424E6A"/>
            </w:tcBorders>
            <w:vMerge w:val="continue"/>
          </w:tcPr>
          <w:p>
            <w:pPr>
              <w:spacing w:after="0"/>
              <w:rPr>
                <w:sz w:val="12"/>
                <w:szCs w:val="12"/>
                <w:color w:val="auto"/>
              </w:rPr>
            </w:pPr>
          </w:p>
        </w:tc>
        <w:tc>
          <w:tcPr>
            <w:tcW w:w="200" w:type="dxa"/>
            <w:vAlign w:val="bottom"/>
            <w:tcBorders>
              <w:bottom w:val="single" w:sz="8" w:color="424E6A"/>
              <w:right w:val="single" w:sz="8" w:color="424E6A"/>
            </w:tcBorders>
            <w:vMerge w:val="continue"/>
          </w:tcPr>
          <w:p>
            <w:pPr>
              <w:spacing w:after="0"/>
              <w:rPr>
                <w:sz w:val="12"/>
                <w:szCs w:val="12"/>
                <w:color w:val="auto"/>
              </w:rPr>
            </w:pPr>
          </w:p>
        </w:tc>
        <w:tc>
          <w:tcPr>
            <w:tcW w:w="100" w:type="dxa"/>
            <w:vAlign w:val="bottom"/>
            <w:tcBorders>
              <w:bottom w:val="single" w:sz="8" w:color="424E6A"/>
            </w:tcBorders>
            <w:vMerge w:val="continue"/>
          </w:tcPr>
          <w:p>
            <w:pPr>
              <w:spacing w:after="0"/>
              <w:rPr>
                <w:sz w:val="12"/>
                <w:szCs w:val="12"/>
                <w:color w:val="auto"/>
              </w:rPr>
            </w:pPr>
          </w:p>
        </w:tc>
        <w:tc>
          <w:tcPr>
            <w:tcW w:w="960" w:type="dxa"/>
            <w:vAlign w:val="bottom"/>
            <w:tcBorders>
              <w:bottom w:val="single" w:sz="8" w:color="424E6A"/>
            </w:tcBorders>
            <w:vMerge w:val="continue"/>
          </w:tcPr>
          <w:p>
            <w:pPr>
              <w:spacing w:after="0"/>
              <w:rPr>
                <w:sz w:val="12"/>
                <w:szCs w:val="12"/>
                <w:color w:val="auto"/>
              </w:rPr>
            </w:pPr>
          </w:p>
        </w:tc>
        <w:tc>
          <w:tcPr>
            <w:tcW w:w="280" w:type="dxa"/>
            <w:vAlign w:val="bottom"/>
            <w:tcBorders>
              <w:bottom w:val="single" w:sz="8" w:color="424E6A"/>
            </w:tcBorders>
          </w:tcPr>
          <w:p>
            <w:pPr>
              <w:spacing w:after="0"/>
              <w:rPr>
                <w:sz w:val="12"/>
                <w:szCs w:val="12"/>
                <w:color w:val="auto"/>
              </w:rPr>
            </w:pPr>
          </w:p>
        </w:tc>
        <w:tc>
          <w:tcPr>
            <w:tcW w:w="260" w:type="dxa"/>
            <w:vAlign w:val="bottom"/>
            <w:tcBorders>
              <w:bottom w:val="single" w:sz="8" w:color="424E6A"/>
              <w:right w:val="single" w:sz="8" w:color="424E6A"/>
            </w:tcBorders>
            <w:vMerge w:val="continue"/>
          </w:tcPr>
          <w:p>
            <w:pPr>
              <w:spacing w:after="0"/>
              <w:rPr>
                <w:sz w:val="12"/>
                <w:szCs w:val="12"/>
                <w:color w:val="auto"/>
              </w:rPr>
            </w:pPr>
          </w:p>
        </w:tc>
        <w:tc>
          <w:tcPr>
            <w:tcW w:w="1460" w:type="dxa"/>
            <w:vAlign w:val="bottom"/>
            <w:tcBorders>
              <w:bottom w:val="single" w:sz="8" w:color="424E6A"/>
            </w:tcBorders>
          </w:tcPr>
          <w:p>
            <w:pPr>
              <w:ind w:left="62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11"/>
                <w:szCs w:val="11"/>
                <w:color w:val="auto"/>
              </w:rPr>
              <w:t>N/A</w:t>
            </w:r>
          </w:p>
        </w:tc>
        <w:tc>
          <w:tcPr>
            <w:tcW w:w="260" w:type="dxa"/>
            <w:vAlign w:val="bottom"/>
            <w:tcBorders>
              <w:bottom w:val="single" w:sz="8" w:color="424E6A"/>
              <w:right w:val="single" w:sz="8" w:color="424E6A"/>
            </w:tcBorders>
            <w:vMerge w:val="continue"/>
          </w:tcPr>
          <w:p>
            <w:pPr>
              <w:spacing w:after="0"/>
              <w:rPr>
                <w:sz w:val="12"/>
                <w:szCs w:val="12"/>
                <w:color w:val="auto"/>
              </w:rPr>
            </w:pPr>
          </w:p>
        </w:tc>
        <w:tc>
          <w:tcPr>
            <w:tcW w:w="320" w:type="dxa"/>
            <w:vAlign w:val="bottom"/>
            <w:tcBorders>
              <w:bottom w:val="single" w:sz="8" w:color="424E6A"/>
            </w:tcBorders>
            <w:vMerge w:val="continue"/>
          </w:tcPr>
          <w:p>
            <w:pPr>
              <w:spacing w:after="0"/>
              <w:rPr>
                <w:sz w:val="12"/>
                <w:szCs w:val="12"/>
                <w:color w:val="auto"/>
              </w:rPr>
            </w:pPr>
          </w:p>
        </w:tc>
        <w:tc>
          <w:tcPr>
            <w:tcW w:w="860" w:type="dxa"/>
            <w:vAlign w:val="bottom"/>
            <w:tcBorders>
              <w:bottom w:val="single" w:sz="8" w:color="424E6A"/>
            </w:tcBorders>
            <w:vMerge w:val="continue"/>
          </w:tcPr>
          <w:p>
            <w:pPr>
              <w:spacing w:after="0"/>
              <w:rPr>
                <w:sz w:val="12"/>
                <w:szCs w:val="12"/>
                <w:color w:val="auto"/>
              </w:rPr>
            </w:pPr>
          </w:p>
        </w:tc>
        <w:tc>
          <w:tcPr>
            <w:tcW w:w="140" w:type="dxa"/>
            <w:vAlign w:val="bottom"/>
            <w:tcBorders>
              <w:bottom w:val="single" w:sz="8" w:color="424E6A"/>
            </w:tcBorders>
          </w:tcPr>
          <w:p>
            <w:pPr>
              <w:spacing w:after="0"/>
              <w:rPr>
                <w:sz w:val="12"/>
                <w:szCs w:val="12"/>
                <w:color w:val="auto"/>
              </w:rPr>
            </w:pPr>
          </w:p>
        </w:tc>
        <w:tc>
          <w:tcPr>
            <w:tcW w:w="280" w:type="dxa"/>
            <w:vAlign w:val="bottom"/>
            <w:tcBorders>
              <w:bottom w:val="single" w:sz="8" w:color="424E6A"/>
              <w:right w:val="single" w:sz="8" w:color="424E6A"/>
            </w:tcBorders>
          </w:tcPr>
          <w:p>
            <w:pPr>
              <w:ind w:left="20"/>
              <w:spacing w:after="0" w:line="14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248920</wp:posOffset>
            </wp:positionV>
            <wp:extent cx="123444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620" w:right="499" w:hanging="360"/>
        <w:spacing w:after="0" w:line="220" w:lineRule="auto"/>
        <w:tabs>
          <w:tab w:leader="none" w:pos="1620" w:val="left"/>
        </w:tabs>
        <w:numPr>
          <w:ilvl w:val="0"/>
          <w:numId w:val="73"/>
        </w:numPr>
        <w:rPr>
          <w:rFonts w:ascii="Arial" w:cs="Arial" w:eastAsia="Arial" w:hAnsi="Arial"/>
          <w:sz w:val="27"/>
          <w:szCs w:val="27"/>
          <w:color w:val="auto"/>
          <w:vertAlign w:val="superscript"/>
        </w:rPr>
      </w:pPr>
      <w:r>
        <w:rPr>
          <w:rFonts w:ascii="Arial" w:cs="Arial" w:eastAsia="Arial" w:hAnsi="Arial"/>
          <w:sz w:val="18"/>
          <w:szCs w:val="18"/>
          <w:color w:val="auto"/>
        </w:rPr>
        <w:t>The 2021 Long-Term Incentive Plan (the “2021 Plan”), which was approved by our unitholders in May 2021, amended, restated and renamed the 2013 Long-Term Incentive Plan (the “2013 Plan” or “prior plan”). The 2021 Plan contemplates the issuance or delivery of up to</w:t>
      </w:r>
    </w:p>
    <w:p>
      <w:pPr>
        <w:spacing w:after="0" w:line="1" w:lineRule="exact"/>
        <w:rPr>
          <w:rFonts w:ascii="Arial" w:cs="Arial" w:eastAsia="Arial" w:hAnsi="Arial"/>
          <w:sz w:val="27"/>
          <w:szCs w:val="27"/>
          <w:color w:val="auto"/>
          <w:vertAlign w:val="superscript"/>
        </w:rPr>
      </w:pPr>
    </w:p>
    <w:p>
      <w:pPr>
        <w:ind w:left="1620" w:right="859"/>
        <w:spacing w:after="0" w:line="265" w:lineRule="auto"/>
        <w:rPr>
          <w:rFonts w:ascii="Arial" w:cs="Arial" w:eastAsia="Arial" w:hAnsi="Arial"/>
          <w:sz w:val="27"/>
          <w:szCs w:val="27"/>
          <w:color w:val="auto"/>
          <w:vertAlign w:val="superscript"/>
        </w:rPr>
      </w:pPr>
      <w:r>
        <w:rPr>
          <w:rFonts w:ascii="Arial" w:cs="Arial" w:eastAsia="Arial" w:hAnsi="Arial"/>
          <w:sz w:val="17"/>
          <w:szCs w:val="17"/>
          <w:color w:val="auto"/>
        </w:rPr>
        <w:t>28,786,102 common units to satisfy awards under the plan, which amount is net of 9,063,516 common units previously issued under the prior plan. The number of units presented in column</w:t>
      </w:r>
    </w:p>
    <w:p>
      <w:pPr>
        <w:ind w:left="1620" w:right="519"/>
        <w:spacing w:after="0" w:line="255" w:lineRule="auto"/>
        <w:tabs>
          <w:tab w:leader="none" w:pos="1885" w:val="left"/>
        </w:tabs>
        <w:numPr>
          <w:ilvl w:val="1"/>
          <w:numId w:val="73"/>
        </w:numPr>
        <w:rPr>
          <w:rFonts w:ascii="Arial" w:cs="Arial" w:eastAsia="Arial" w:hAnsi="Arial"/>
          <w:sz w:val="18"/>
          <w:szCs w:val="18"/>
          <w:color w:val="auto"/>
        </w:rPr>
      </w:pPr>
      <w:r>
        <w:rPr>
          <w:rFonts w:ascii="Arial" w:cs="Arial" w:eastAsia="Arial" w:hAnsi="Arial"/>
          <w:sz w:val="18"/>
          <w:szCs w:val="18"/>
          <w:color w:val="auto"/>
        </w:rPr>
        <w:t>assumes that all outstanding grants will be satisfied by the issuance of new units upon vesting unless such grants are by their terms payable only in cash. Some portion of the phantom units may be settled in cash or will be withheld for taxes. Any units not issued upon vesting will become “available for future issuance” under column (c).</w:t>
      </w:r>
    </w:p>
    <w:p>
      <w:pPr>
        <w:spacing w:after="0" w:line="33" w:lineRule="exact"/>
        <w:rPr>
          <w:rFonts w:ascii="Arial" w:cs="Arial" w:eastAsia="Arial" w:hAnsi="Arial"/>
          <w:sz w:val="18"/>
          <w:szCs w:val="18"/>
          <w:color w:val="auto"/>
        </w:rPr>
      </w:pPr>
    </w:p>
    <w:p>
      <w:pPr>
        <w:ind w:left="1620" w:right="659" w:hanging="360"/>
        <w:spacing w:after="0" w:line="210" w:lineRule="auto"/>
        <w:tabs>
          <w:tab w:leader="none" w:pos="1620" w:val="left"/>
        </w:tabs>
        <w:numPr>
          <w:ilvl w:val="0"/>
          <w:numId w:val="73"/>
        </w:numPr>
        <w:rPr>
          <w:rFonts w:ascii="Arial" w:cs="Arial" w:eastAsia="Arial" w:hAnsi="Arial"/>
          <w:sz w:val="27"/>
          <w:szCs w:val="27"/>
          <w:color w:val="auto"/>
          <w:vertAlign w:val="superscript"/>
        </w:rPr>
      </w:pPr>
      <w:r>
        <w:rPr>
          <w:rFonts w:ascii="Arial" w:cs="Arial" w:eastAsia="Arial" w:hAnsi="Arial"/>
          <w:sz w:val="18"/>
          <w:szCs w:val="18"/>
          <w:color w:val="auto"/>
        </w:rPr>
        <w:t>Phantom unit awards under the 2021 Plan and PNG Successor Plan (defined below) vest without payment by recipients.</w:t>
      </w:r>
    </w:p>
    <w:p>
      <w:pPr>
        <w:spacing w:after="0" w:line="60" w:lineRule="exact"/>
        <w:rPr>
          <w:rFonts w:ascii="Arial" w:cs="Arial" w:eastAsia="Arial" w:hAnsi="Arial"/>
          <w:sz w:val="27"/>
          <w:szCs w:val="27"/>
          <w:color w:val="auto"/>
          <w:vertAlign w:val="superscript"/>
        </w:rPr>
      </w:pPr>
    </w:p>
    <w:p>
      <w:pPr>
        <w:ind w:left="1620" w:right="659" w:hanging="360"/>
        <w:spacing w:after="0" w:line="233" w:lineRule="auto"/>
        <w:tabs>
          <w:tab w:leader="none" w:pos="1620" w:val="left"/>
        </w:tabs>
        <w:numPr>
          <w:ilvl w:val="0"/>
          <w:numId w:val="73"/>
        </w:numPr>
        <w:rPr>
          <w:rFonts w:ascii="Arial" w:cs="Arial" w:eastAsia="Arial" w:hAnsi="Arial"/>
          <w:sz w:val="26"/>
          <w:szCs w:val="26"/>
          <w:color w:val="auto"/>
          <w:vertAlign w:val="superscript"/>
        </w:rPr>
      </w:pPr>
      <w:r>
        <w:rPr>
          <w:rFonts w:ascii="Arial" w:cs="Arial" w:eastAsia="Arial" w:hAnsi="Arial"/>
          <w:sz w:val="17"/>
          <w:szCs w:val="17"/>
          <w:color w:val="auto"/>
        </w:rPr>
        <w:t>In accordance with Item 201(d) of Regulation S-K, column (c) excludes the securities disclosed in column (a). However, as discussed in footnotes (1) and (4), any phantom units represented in column (a) that are not satisfied by the issuance of units become “available for future issuance.”</w:t>
      </w:r>
    </w:p>
    <w:p>
      <w:pPr>
        <w:spacing w:after="0" w:line="45" w:lineRule="exact"/>
        <w:rPr>
          <w:rFonts w:ascii="Arial" w:cs="Arial" w:eastAsia="Arial" w:hAnsi="Arial"/>
          <w:sz w:val="26"/>
          <w:szCs w:val="26"/>
          <w:color w:val="auto"/>
          <w:vertAlign w:val="superscript"/>
        </w:rPr>
      </w:pPr>
    </w:p>
    <w:p>
      <w:pPr>
        <w:ind w:left="1620" w:right="539" w:hanging="360"/>
        <w:spacing w:after="0" w:line="252" w:lineRule="auto"/>
        <w:tabs>
          <w:tab w:leader="none" w:pos="1620" w:val="left"/>
        </w:tabs>
        <w:numPr>
          <w:ilvl w:val="0"/>
          <w:numId w:val="73"/>
        </w:numPr>
        <w:rPr>
          <w:rFonts w:ascii="Arial" w:cs="Arial" w:eastAsia="Arial" w:hAnsi="Arial"/>
          <w:sz w:val="26"/>
          <w:szCs w:val="26"/>
          <w:color w:val="auto"/>
          <w:vertAlign w:val="superscript"/>
        </w:rPr>
      </w:pPr>
      <w:r>
        <w:rPr>
          <w:rFonts w:ascii="Arial" w:cs="Arial" w:eastAsia="Arial" w:hAnsi="Arial"/>
          <w:sz w:val="17"/>
          <w:szCs w:val="17"/>
          <w:color w:val="auto"/>
        </w:rPr>
        <w:t>In December 2013, in connection with the PNG Merger, we adopted and assumed the PAA Natural Gas Storage, L.P. 2010 Long Term Incentive Plan (the “PNG Legacy Plan”), and all outstanding awards of PNG phantom units were converted into comparable awards of PAA phantom units by applying the merger exchange ratio of 0.445 PAA common units for each PNG common unit and rounding down for any fractions. The GP LLC board of directors amended and restated the PNG Legacy Plan, which is now known as the PNG Successor Long-Term Incentive Plan (the “PNG Successor Plan”). The PNG Successor Plan contemplates the issuance or delivery of up to 1,319,983 units to satisfy awards under the plan, which amount is net of 15,017 common units previously issued under the PNG Legacy Plan. The number of units presented in column</w:t>
      </w:r>
    </w:p>
    <w:p>
      <w:pPr>
        <w:spacing w:after="0" w:line="6" w:lineRule="exact"/>
        <w:rPr>
          <w:rFonts w:ascii="Arial" w:cs="Arial" w:eastAsia="Arial" w:hAnsi="Arial"/>
          <w:sz w:val="26"/>
          <w:szCs w:val="26"/>
          <w:color w:val="auto"/>
          <w:vertAlign w:val="superscript"/>
        </w:rPr>
      </w:pPr>
    </w:p>
    <w:p>
      <w:pPr>
        <w:ind w:left="1620" w:right="559"/>
        <w:spacing w:after="0" w:line="255" w:lineRule="auto"/>
        <w:tabs>
          <w:tab w:leader="none" w:pos="1885" w:val="left"/>
        </w:tabs>
        <w:numPr>
          <w:ilvl w:val="1"/>
          <w:numId w:val="73"/>
        </w:numPr>
        <w:rPr>
          <w:rFonts w:ascii="Arial" w:cs="Arial" w:eastAsia="Arial" w:hAnsi="Arial"/>
          <w:sz w:val="18"/>
          <w:szCs w:val="18"/>
          <w:color w:val="auto"/>
        </w:rPr>
      </w:pPr>
      <w:r>
        <w:rPr>
          <w:rFonts w:ascii="Arial" w:cs="Arial" w:eastAsia="Arial" w:hAnsi="Arial"/>
          <w:sz w:val="18"/>
          <w:szCs w:val="18"/>
          <w:color w:val="auto"/>
        </w:rPr>
        <w:t>assumes that all outstanding grants will be satisfied by the issuance of new units upon vesting unless such LTIPs are by their terms payable only in cash. Some portion of the phantom units may be settled in cash or will be withheld for taxes. Any units not issued upon vesting will become “available for future issuance” under column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General Partner</w:t>
      </w:r>
    </w:p>
    <w:p>
      <w:pPr>
        <w:spacing w:after="0" w:line="158"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Our operations and activities are managed, and our officers and personnel are employed, by our general partner (or, in the case of our Canadian operations, by Plains Midstream Canada ULC). We do not pay our general partner a management fee, but we do reimburse our general partner for all expenses incurred on our behalf (other than expenses related to the AAP Management Units). Total costs reimbursed by us to our general partner for the year ended December 31, 2025 were approximately $570 million.</w:t>
      </w:r>
    </w:p>
    <w:p>
      <w:pPr>
        <w:spacing w:after="0" w:line="115"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Our general partner owns a non-economic general partner interest in us and, as of March 23, 2026, owned approximately 233 million common units (representing approximately 31% of our outstanding common units and Series A preferred units combined). This limited partner interest entitles our general partner to receive quarterly distributions at the same rate as other common unitholders; however, these units are not entitled to vote in the election of directors.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Equity-Based Long-Term Incentive Plans</w:t>
      </w:r>
    </w:p>
    <w:p>
      <w:pPr>
        <w:spacing w:after="0" w:line="22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General</w:t>
      </w:r>
    </w:p>
    <w:p>
      <w:pPr>
        <w:spacing w:after="0" w:line="142"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In May 2021, our unitholders approved the adoption of the 2021 Plan, which amended, restated and renamed the 2013 Plan. In December 2013, in connection with the PNG Merger, we adopted and assumed the PNG Legacy Plan, and all outstanding awards of PNG phantom units were converted into comparable awards of PAA phantom units by applying the merger exchange ratio of 0.445 PAA common units for each PNG common unit and rounding down for any fractions. The Board amended and restated the PNG Legacy Plan, which is now known as the PNG Successor Plan (together with the 2021 Plan, the “Plans”). The provisions of the PNG Successor Plan are substantially the same as the 2013 Plan, except that new awards under the PNG Successor Plan may only be made to employees hired after the date of the PNG Merger. Awards contemplated by the Plans include phantom units, unit appreciation rights, restricted units, options, DERs and cash awards. The 2021 Plan authorizes the grant of awards covering an aggregate of 28,786,102 common units deliverable upon vesting or exercise (as applicable) of such awards. The PNG Successor Plan authorizes the grant of awards covering an aggregate of 1,319,983 common units deliverable upon vesting or exercise (as applicable) of such awards.</w:t>
      </w:r>
    </w:p>
    <w:p>
      <w:pPr>
        <w:spacing w:after="0" w:line="118"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The Plans are administered by the Compensation Committee or other Board committee appointed to administer the Plans, or by the Board. The plan administrator has the right to terminate or amend the Plans from time to time, including, subject to any applicable Nasdaq listing requirements, increasing the number of common units available for awards under the Plans. No change may be made to any outstanding grant that would materially reduce the benefits of the holder of such grant without the consent of such holder.</w:t>
      </w:r>
    </w:p>
    <w:p>
      <w:pPr>
        <w:spacing w:after="0" w:line="115"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Common units to be delivered upon the vesting and settlement of awards may be common units acquired in the open market, newly issued common units, common units acquired from us, any of our affiliates or any other person, or any combination of the foregoing. Our general partner will be entitled to reimbursement by us for the cost incurred in acquiring common units. When we issue new common units upon vesting and settlement of grants, the total number of common units outstanding increases.</w:t>
      </w:r>
    </w:p>
    <w:p>
      <w:pPr>
        <w:spacing w:after="0" w:line="98" w:lineRule="exact"/>
        <w:rPr>
          <w:sz w:val="20"/>
          <w:szCs w:val="20"/>
          <w:color w:val="auto"/>
        </w:rPr>
      </w:pPr>
    </w:p>
    <w:p>
      <w:pPr>
        <w:ind w:left="1260" w:right="439" w:firstLine="360"/>
        <w:spacing w:after="0" w:line="274" w:lineRule="auto"/>
        <w:rPr>
          <w:sz w:val="20"/>
          <w:szCs w:val="20"/>
          <w:color w:val="auto"/>
        </w:rPr>
      </w:pPr>
      <w:r>
        <w:rPr>
          <w:rFonts w:ascii="Arial" w:cs="Arial" w:eastAsia="Arial" w:hAnsi="Arial"/>
          <w:sz w:val="17"/>
          <w:szCs w:val="17"/>
          <w:color w:val="auto"/>
        </w:rPr>
        <w:t>Pursuant to the terms of the 2021 Plan, if any Award is forfeited, canceled, exercised or otherwise terminated without the actual delivery of common units pursuant to such Award, or if any common units under an Award are held back to cover tax withholding, then, in either such case, any common units that are so forfeited, canceled, exercised or otherwise terminated without the actual delivery of common units or held back to cover tax withholding (excluding Restricted Unit Awards) shall be available to satisfy future Awards under the 2021 Plan. Units tendered or withheld in payment of any exercise or purchase price of an Award, units that were subject to an option or unit appreciation right but were</w:t>
      </w:r>
    </w:p>
    <w:p>
      <w:pPr>
        <w:spacing w:after="0" w:line="35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39"/>
        <w:spacing w:after="0" w:line="268" w:lineRule="auto"/>
        <w:rPr>
          <w:sz w:val="20"/>
          <w:szCs w:val="20"/>
          <w:color w:val="auto"/>
        </w:rPr>
      </w:pPr>
      <w:r>
        <w:rPr>
          <w:rFonts w:ascii="Arial" w:cs="Arial" w:eastAsia="Arial" w:hAnsi="Arial"/>
          <w:sz w:val="18"/>
          <w:szCs w:val="18"/>
          <w:color w:val="auto"/>
        </w:rPr>
        <w:t>not issued or delivered as a result of the net settlement of such Award, and units repurchased on the open market with the proceeds of an option’s exercise price, will not, in each case, be available for future Awards under the 2021 Plan.</w:t>
      </w:r>
    </w:p>
    <w:p>
      <w:pPr>
        <w:spacing w:after="0" w:line="103"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As of December 31, 2025, grants of approximately 8,987,645 and 154,650 unvested phantom units were outstanding under the 2021 Plan and PNG Successor Plan, respectively, and approximately 12,152,519 and 131 remained available for future grant, respectively. The plan administrator may, in the future, make additional grants under the Plans to employees and directors containing such terms as the plan administrator shall determine.</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Awards</w:t>
      </w:r>
    </w:p>
    <w:p>
      <w:pPr>
        <w:spacing w:after="0" w:line="156"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i w:val="1"/>
          <w:iCs w:val="1"/>
          <w:color w:val="auto"/>
        </w:rPr>
        <w:t xml:space="preserve">Phantom Units. </w:t>
      </w:r>
      <w:r>
        <w:rPr>
          <w:rFonts w:ascii="Arial" w:cs="Arial" w:eastAsia="Arial" w:hAnsi="Arial"/>
          <w:sz w:val="18"/>
          <w:szCs w:val="18"/>
          <w:color w:val="auto"/>
        </w:rPr>
        <w:t>A phantom unit entitles the grantee to receive, upon the vesting of the phantom unit,</w:t>
      </w:r>
      <w:r>
        <w:rPr>
          <w:rFonts w:ascii="Arial" w:cs="Arial" w:eastAsia="Arial" w:hAnsi="Arial"/>
          <w:sz w:val="18"/>
          <w:szCs w:val="18"/>
          <w:i w:val="1"/>
          <w:iCs w:val="1"/>
          <w:color w:val="auto"/>
        </w:rPr>
        <w:t xml:space="preserve"> </w:t>
      </w:r>
      <w:r>
        <w:rPr>
          <w:rFonts w:ascii="Arial" w:cs="Arial" w:eastAsia="Arial" w:hAnsi="Arial"/>
          <w:sz w:val="18"/>
          <w:szCs w:val="18"/>
          <w:color w:val="auto"/>
        </w:rPr>
        <w:t>a common unit (or cash equivalent, depending on the terms of the grant). The issuance of the common units upon vesting of phantom units is primarily intended to serve as a means of incentive compensation for performance. Therefore, no consideration is paid to us by the plan participants upon receipt of the common units.</w:t>
      </w:r>
    </w:p>
    <w:p>
      <w:pPr>
        <w:spacing w:after="0" w:line="98"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i w:val="1"/>
          <w:iCs w:val="1"/>
          <w:color w:val="auto"/>
        </w:rPr>
        <w:t xml:space="preserve">Unit Appreciation Rights. </w:t>
      </w:r>
      <w:r>
        <w:rPr>
          <w:rFonts w:ascii="Arial" w:cs="Arial" w:eastAsia="Arial" w:hAnsi="Arial"/>
          <w:sz w:val="18"/>
          <w:szCs w:val="18"/>
          <w:color w:val="auto"/>
        </w:rPr>
        <w:t>A unit appreciation right is an award that, upon exercise, entitles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 to receive the excess, if any, of the fair market value of a common unit on the exercise date over the grant price of the unit appreciation right. The excess may be paid in cash and/or common units as determined by the plan administrator in its discretion, provided that unit appreciation rights may not have an exercise price that is less than the fair market value of the common units on the date of grant. No unit appreciation rights have been granted under the Plans to date.</w:t>
      </w:r>
    </w:p>
    <w:p>
      <w:pPr>
        <w:spacing w:after="0" w:line="115" w:lineRule="exact"/>
        <w:rPr>
          <w:sz w:val="20"/>
          <w:szCs w:val="20"/>
          <w:color w:val="auto"/>
        </w:rPr>
      </w:pPr>
    </w:p>
    <w:p>
      <w:pPr>
        <w:ind w:left="1260" w:right="479" w:firstLine="360"/>
        <w:spacing w:after="0" w:line="268" w:lineRule="auto"/>
        <w:rPr>
          <w:sz w:val="20"/>
          <w:szCs w:val="20"/>
          <w:color w:val="auto"/>
        </w:rPr>
      </w:pPr>
      <w:r>
        <w:rPr>
          <w:rFonts w:ascii="Arial" w:cs="Arial" w:eastAsia="Arial" w:hAnsi="Arial"/>
          <w:sz w:val="18"/>
          <w:szCs w:val="18"/>
          <w:i w:val="1"/>
          <w:iCs w:val="1"/>
          <w:color w:val="auto"/>
        </w:rPr>
        <w:t xml:space="preserve">Restricted Unit Awards. </w:t>
      </w:r>
      <w:r>
        <w:rPr>
          <w:rFonts w:ascii="Arial" w:cs="Arial" w:eastAsia="Arial" w:hAnsi="Arial"/>
          <w:sz w:val="18"/>
          <w:szCs w:val="18"/>
          <w:color w:val="auto"/>
        </w:rPr>
        <w:t>A restricted unit is a common unit that is subject to a risk of forfeiture,</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on transferability, and any other restrictions that may be imposed by the plan administrator in its discretion. No restricted unit awards have been granted under the Plans to date.</w:t>
      </w:r>
    </w:p>
    <w:p>
      <w:pPr>
        <w:spacing w:after="0" w:line="103"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Options may be granted to purchase a specific number of common units at a set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price. The exercise price of each option granted under the Plan will be determined by the plan administrator at the time the option is granted, provided no each option may have an exercise price that is less than the fair market value of the common units on the date of grant. No options have been granted under the Plans to date.</w:t>
      </w:r>
    </w:p>
    <w:p>
      <w:pPr>
        <w:spacing w:after="0" w:line="98" w:lineRule="exact"/>
        <w:rPr>
          <w:sz w:val="20"/>
          <w:szCs w:val="20"/>
          <w:color w:val="auto"/>
        </w:rPr>
      </w:pPr>
    </w:p>
    <w:p>
      <w:pPr>
        <w:jc w:val="both"/>
        <w:ind w:left="1260" w:right="459" w:firstLine="360"/>
        <w:spacing w:after="0" w:line="291" w:lineRule="auto"/>
        <w:rPr>
          <w:sz w:val="20"/>
          <w:szCs w:val="20"/>
          <w:color w:val="auto"/>
        </w:rPr>
      </w:pPr>
      <w:r>
        <w:rPr>
          <w:rFonts w:ascii="Arial" w:cs="Arial" w:eastAsia="Arial" w:hAnsi="Arial"/>
          <w:sz w:val="17"/>
          <w:szCs w:val="17"/>
          <w:i w:val="1"/>
          <w:iCs w:val="1"/>
          <w:color w:val="auto"/>
        </w:rPr>
        <w:t xml:space="preserve">Distribution Equivalent Rights. </w:t>
      </w:r>
      <w:r>
        <w:rPr>
          <w:rFonts w:ascii="Arial" w:cs="Arial" w:eastAsia="Arial" w:hAnsi="Arial"/>
          <w:sz w:val="17"/>
          <w:szCs w:val="17"/>
          <w:color w:val="auto"/>
        </w:rPr>
        <w:t>Awards granted under the Plans (other than Restricted Unit Awards)</w:t>
      </w:r>
      <w:r>
        <w:rPr>
          <w:rFonts w:ascii="Arial" w:cs="Arial" w:eastAsia="Arial" w:hAnsi="Arial"/>
          <w:sz w:val="17"/>
          <w:szCs w:val="17"/>
          <w:i w:val="1"/>
          <w:iCs w:val="1"/>
          <w:color w:val="auto"/>
        </w:rPr>
        <w:t xml:space="preserve"> </w:t>
      </w:r>
      <w:r>
        <w:rPr>
          <w:rFonts w:ascii="Arial" w:cs="Arial" w:eastAsia="Arial" w:hAnsi="Arial"/>
          <w:sz w:val="17"/>
          <w:szCs w:val="17"/>
          <w:color w:val="auto"/>
        </w:rPr>
        <w:t>may include DERs. DERs entitle the grantee to a cash payment, either while the Award is outstanding or upon vesting, equal to the cash distributions paid on a unit while the Award is outstanding.</w:t>
      </w:r>
    </w:p>
    <w:p>
      <w:pPr>
        <w:spacing w:after="0" w:line="85" w:lineRule="exact"/>
        <w:rPr>
          <w:sz w:val="20"/>
          <w:szCs w:val="20"/>
          <w:color w:val="auto"/>
        </w:rPr>
      </w:pPr>
    </w:p>
    <w:p>
      <w:pPr>
        <w:ind w:left="1260" w:right="819" w:firstLine="360"/>
        <w:spacing w:after="0" w:line="287" w:lineRule="auto"/>
        <w:rPr>
          <w:sz w:val="20"/>
          <w:szCs w:val="20"/>
          <w:color w:val="auto"/>
        </w:rPr>
      </w:pPr>
      <w:r>
        <w:rPr>
          <w:rFonts w:ascii="Arial" w:cs="Arial" w:eastAsia="Arial" w:hAnsi="Arial"/>
          <w:sz w:val="18"/>
          <w:szCs w:val="18"/>
          <w:i w:val="1"/>
          <w:iCs w:val="1"/>
          <w:color w:val="auto"/>
        </w:rPr>
        <w:t xml:space="preserve">Cash Awards. </w:t>
      </w:r>
      <w:r>
        <w:rPr>
          <w:rFonts w:ascii="Arial" w:cs="Arial" w:eastAsia="Arial" w:hAnsi="Arial"/>
          <w:sz w:val="18"/>
          <w:szCs w:val="18"/>
          <w:color w:val="auto"/>
        </w:rPr>
        <w:t>Cash Awards may be granted on a free-standing basis or as an element of, as a</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 to, or in lieu of any other Award granted under the 2021 Plan.</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Provisions</w:t>
      </w:r>
    </w:p>
    <w:p>
      <w:pPr>
        <w:spacing w:after="0" w:line="156"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8"/>
          <w:szCs w:val="18"/>
          <w:i w:val="1"/>
          <w:iCs w:val="1"/>
          <w:color w:val="auto"/>
        </w:rPr>
        <w:t>Tax Withholding</w:t>
      </w:r>
      <w:r>
        <w:rPr>
          <w:rFonts w:ascii="Arial" w:cs="Arial" w:eastAsia="Arial" w:hAnsi="Arial"/>
          <w:sz w:val="18"/>
          <w:szCs w:val="18"/>
          <w:color w:val="auto"/>
        </w:rPr>
        <w:t>. Our General Partner or one of its affiliates are authorized to withhold from any</w:t>
      </w:r>
      <w:r>
        <w:rPr>
          <w:rFonts w:ascii="Arial" w:cs="Arial" w:eastAsia="Arial" w:hAnsi="Arial"/>
          <w:sz w:val="18"/>
          <w:szCs w:val="18"/>
          <w:i w:val="1"/>
          <w:iCs w:val="1"/>
          <w:color w:val="auto"/>
        </w:rPr>
        <w:t xml:space="preserve"> </w:t>
      </w:r>
      <w:r>
        <w:rPr>
          <w:rFonts w:ascii="Arial" w:cs="Arial" w:eastAsia="Arial" w:hAnsi="Arial"/>
          <w:sz w:val="18"/>
          <w:szCs w:val="18"/>
          <w:color w:val="auto"/>
        </w:rPr>
        <w:t>Award, from any payment due or transfer made under any Award or from any compensation or other amount owing to a plan participant, the amount (in cash, common units, other securities or other property) of any applicable taxes payable with respect to the grant of an Award, its exercise, the lapse of restrictions applicable to an Award or in connection with any payment relating to an Award or the transfer of an Award and to take such other actions as may be necessary to satisfy any tax withholding obligations with respect to an Award.</w:t>
      </w:r>
    </w:p>
    <w:p>
      <w:pPr>
        <w:spacing w:after="0" w:line="102" w:lineRule="exact"/>
        <w:rPr>
          <w:sz w:val="20"/>
          <w:szCs w:val="20"/>
          <w:color w:val="auto"/>
        </w:rPr>
      </w:pPr>
    </w:p>
    <w:p>
      <w:pPr>
        <w:ind w:left="1260" w:right="519" w:firstLine="360"/>
        <w:spacing w:after="0" w:line="287" w:lineRule="auto"/>
        <w:rPr>
          <w:sz w:val="20"/>
          <w:szCs w:val="20"/>
          <w:color w:val="auto"/>
        </w:rPr>
      </w:pPr>
      <w:r>
        <w:rPr>
          <w:rFonts w:ascii="Arial" w:cs="Arial" w:eastAsia="Arial" w:hAnsi="Arial"/>
          <w:sz w:val="18"/>
          <w:szCs w:val="18"/>
          <w:i w:val="1"/>
          <w:iCs w:val="1"/>
          <w:color w:val="auto"/>
        </w:rPr>
        <w:t>Change of Control</w:t>
      </w:r>
      <w:r>
        <w:rPr>
          <w:rFonts w:ascii="Arial" w:cs="Arial" w:eastAsia="Arial" w:hAnsi="Arial"/>
          <w:sz w:val="18"/>
          <w:szCs w:val="18"/>
          <w:color w:val="auto"/>
        </w:rPr>
        <w:t>. Except to the extent specifically provided in an Award agreement, vesting of an</w:t>
      </w:r>
      <w:r>
        <w:rPr>
          <w:rFonts w:ascii="Arial" w:cs="Arial" w:eastAsia="Arial" w:hAnsi="Arial"/>
          <w:sz w:val="18"/>
          <w:szCs w:val="18"/>
          <w:i w:val="1"/>
          <w:iCs w:val="1"/>
          <w:color w:val="auto"/>
        </w:rPr>
        <w:t xml:space="preserve"> </w:t>
      </w:r>
      <w:r>
        <w:rPr>
          <w:rFonts w:ascii="Arial" w:cs="Arial" w:eastAsia="Arial" w:hAnsi="Arial"/>
          <w:sz w:val="18"/>
          <w:szCs w:val="18"/>
          <w:color w:val="auto"/>
        </w:rPr>
        <w:t>Award shall not occur solely upon a change of control.</w:t>
      </w:r>
    </w:p>
    <w:p>
      <w:pPr>
        <w:spacing w:after="0" w:line="85" w:lineRule="exact"/>
        <w:rPr>
          <w:sz w:val="20"/>
          <w:szCs w:val="20"/>
          <w:color w:val="auto"/>
        </w:rPr>
      </w:pPr>
    </w:p>
    <w:p>
      <w:pPr>
        <w:jc w:val="both"/>
        <w:ind w:left="1260" w:right="599" w:firstLine="360"/>
        <w:spacing w:after="0" w:line="291" w:lineRule="auto"/>
        <w:rPr>
          <w:sz w:val="20"/>
          <w:szCs w:val="20"/>
          <w:color w:val="auto"/>
        </w:rPr>
      </w:pPr>
      <w:r>
        <w:rPr>
          <w:rFonts w:ascii="Arial" w:cs="Arial" w:eastAsia="Arial" w:hAnsi="Arial"/>
          <w:sz w:val="17"/>
          <w:szCs w:val="17"/>
          <w:i w:val="1"/>
          <w:iCs w:val="1"/>
          <w:color w:val="auto"/>
        </w:rPr>
        <w:t>Minimum Vesting Requirement</w:t>
      </w:r>
      <w:r>
        <w:rPr>
          <w:rFonts w:ascii="Arial" w:cs="Arial" w:eastAsia="Arial" w:hAnsi="Arial"/>
          <w:sz w:val="17"/>
          <w:szCs w:val="17"/>
          <w:color w:val="auto"/>
        </w:rPr>
        <w:t>. The 2021 Plan provides that Awards that must or may be settled</w:t>
      </w:r>
      <w:r>
        <w:rPr>
          <w:rFonts w:ascii="Arial" w:cs="Arial" w:eastAsia="Arial" w:hAnsi="Arial"/>
          <w:sz w:val="17"/>
          <w:szCs w:val="17"/>
          <w:i w:val="1"/>
          <w:iCs w:val="1"/>
          <w:color w:val="auto"/>
        </w:rPr>
        <w:t xml:space="preserve"> </w:t>
      </w:r>
      <w:r>
        <w:rPr>
          <w:rFonts w:ascii="Arial" w:cs="Arial" w:eastAsia="Arial" w:hAnsi="Arial"/>
          <w:sz w:val="17"/>
          <w:szCs w:val="17"/>
          <w:color w:val="auto"/>
        </w:rPr>
        <w:t>in units shall vest no earlier than the first anniversary of the date the Award is granted. Notwithstanding the foregoing, Awards that result in the issuance of an aggregate of up to 5% of the units available</w:t>
      </w:r>
    </w:p>
    <w:p>
      <w:pPr>
        <w:sectPr>
          <w:pgSz w:w="11900" w:h="16838" w:orient="portrait"/>
          <w:cols w:equalWidth="0" w:num="1">
            <w:col w:w="9879"/>
          </w:cols>
          <w:pgMar w:left="580" w:top="97" w:right="1440" w:bottom="1440" w:gutter="0" w:footer="0" w:header="0"/>
        </w:sectPr>
      </w:pPr>
    </w:p>
    <w:p>
      <w:pPr>
        <w:spacing w:after="0" w:line="32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19"/>
        <w:spacing w:after="0" w:line="287" w:lineRule="auto"/>
        <w:rPr>
          <w:sz w:val="20"/>
          <w:szCs w:val="20"/>
          <w:color w:val="auto"/>
        </w:rPr>
      </w:pPr>
      <w:r>
        <w:rPr>
          <w:rFonts w:ascii="Arial" w:cs="Arial" w:eastAsia="Arial" w:hAnsi="Arial"/>
          <w:sz w:val="18"/>
          <w:szCs w:val="18"/>
          <w:color w:val="auto"/>
        </w:rPr>
        <w:t>for issuance under the 2021 Plan may be granted to one or more plan participants without regard to this minimum vesting requirement.</w:t>
      </w:r>
    </w:p>
    <w:p>
      <w:pPr>
        <w:spacing w:after="0" w:line="85"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8"/>
          <w:szCs w:val="18"/>
          <w:i w:val="1"/>
          <w:iCs w:val="1"/>
          <w:color w:val="auto"/>
        </w:rPr>
        <w:t>Equity Ownership Guidelines</w:t>
      </w:r>
      <w:r>
        <w:rPr>
          <w:rFonts w:ascii="Arial" w:cs="Arial" w:eastAsia="Arial" w:hAnsi="Arial"/>
          <w:sz w:val="18"/>
          <w:szCs w:val="18"/>
          <w:color w:val="auto"/>
        </w:rPr>
        <w:t>. The plan administrator retains the discretion under the 2021 Plan to</w:t>
      </w:r>
      <w:r>
        <w:rPr>
          <w:rFonts w:ascii="Arial" w:cs="Arial" w:eastAsia="Arial" w:hAnsi="Arial"/>
          <w:sz w:val="18"/>
          <w:szCs w:val="18"/>
          <w:i w:val="1"/>
          <w:iCs w:val="1"/>
          <w:color w:val="auto"/>
        </w:rPr>
        <w:t xml:space="preserve"> </w:t>
      </w:r>
      <w:r>
        <w:rPr>
          <w:rFonts w:ascii="Arial" w:cs="Arial" w:eastAsia="Arial" w:hAnsi="Arial"/>
          <w:sz w:val="18"/>
          <w:szCs w:val="18"/>
          <w:color w:val="auto"/>
        </w:rPr>
        <w:t>impose a holding period with respect to an Award or the units received in connection with an Award. Pursuant to the Equity Ownership Guidelines adopted by our Board in November 2020, our executive officers and Directors will be required to hold 100% of any units acquired upon vesting of Awards until the applicable ownership requirements are met.</w:t>
      </w:r>
    </w:p>
    <w:p>
      <w:pPr>
        <w:spacing w:after="0" w:line="112" w:lineRule="exact"/>
        <w:rPr>
          <w:sz w:val="20"/>
          <w:szCs w:val="20"/>
          <w:color w:val="auto"/>
        </w:rPr>
      </w:pPr>
    </w:p>
    <w:p>
      <w:pPr>
        <w:ind w:left="1260" w:right="459" w:firstLine="360"/>
        <w:spacing w:after="0" w:line="262" w:lineRule="auto"/>
        <w:rPr>
          <w:sz w:val="20"/>
          <w:szCs w:val="20"/>
          <w:color w:val="auto"/>
        </w:rPr>
      </w:pPr>
      <w:r>
        <w:rPr>
          <w:rFonts w:ascii="Arial" w:cs="Arial" w:eastAsia="Arial" w:hAnsi="Arial"/>
          <w:sz w:val="18"/>
          <w:szCs w:val="18"/>
          <w:i w:val="1"/>
          <w:iCs w:val="1"/>
          <w:color w:val="auto"/>
        </w:rPr>
        <w:t>Clawback Policy</w:t>
      </w:r>
      <w:r>
        <w:rPr>
          <w:rFonts w:ascii="Arial" w:cs="Arial" w:eastAsia="Arial" w:hAnsi="Arial"/>
          <w:sz w:val="18"/>
          <w:szCs w:val="18"/>
          <w:color w:val="auto"/>
        </w:rPr>
        <w:t>. The 2021 Plan provides that all Awards granted thereunder are subject to any</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clawback policies that we may adopt, including any policy adopted to conform to the Dodd-Frank Wall Street Reform and Consumer Protection Act of 2010 and the rules promulgated thereunder such as our Amended and Restated Clawback Policy adopted in November 2023.</w:t>
      </w:r>
    </w:p>
    <w:p>
      <w:pPr>
        <w:spacing w:after="0" w:line="95"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i w:val="1"/>
          <w:iCs w:val="1"/>
          <w:color w:val="auto"/>
        </w:rPr>
        <w:t>Transferability of Awards</w:t>
      </w:r>
      <w:r>
        <w:rPr>
          <w:rFonts w:ascii="Arial" w:cs="Arial" w:eastAsia="Arial" w:hAnsi="Arial"/>
          <w:sz w:val="18"/>
          <w:szCs w:val="18"/>
          <w:color w:val="auto"/>
        </w:rPr>
        <w:t>. Options and unit appreciation rights are only exercisable by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during the plan participant’s lifetime, or by the person to whom the plan participant’s rights pass by will or the laws of descent and distribution. No Award or right granted under the 2021 Plan may be assigned, alienated, pledged, attached, sold or otherwise transferred or encumbered and any such purported transfer shall be void and unenforceable. Notwithstanding the foregoing, the plan administrator may, in its discretion, allow a plan participant to transfer an option or a unit appreciation right without consideration to an immediate family member or a related family trust, limited partnership, or similar entity on the terms and conditions established by the plan administrator from time to time, provided that no Award may be transferred to a third-party financial institution for value.</w:t>
      </w:r>
    </w:p>
    <w:p>
      <w:pPr>
        <w:spacing w:after="0" w:line="113"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i w:val="1"/>
          <w:iCs w:val="1"/>
          <w:color w:val="auto"/>
        </w:rPr>
        <w:t>Anti-Dilution Adjustments</w:t>
      </w:r>
      <w:r>
        <w:rPr>
          <w:rFonts w:ascii="Arial" w:cs="Arial" w:eastAsia="Arial" w:hAnsi="Arial"/>
          <w:sz w:val="18"/>
          <w:szCs w:val="18"/>
          <w:color w:val="auto"/>
        </w:rPr>
        <w:t>. Upon the occurrence of any “equity restructuring” event that could result</w:t>
      </w:r>
      <w:r>
        <w:rPr>
          <w:rFonts w:ascii="Arial" w:cs="Arial" w:eastAsia="Arial" w:hAnsi="Arial"/>
          <w:sz w:val="18"/>
          <w:szCs w:val="18"/>
          <w:i w:val="1"/>
          <w:iCs w:val="1"/>
          <w:color w:val="auto"/>
        </w:rPr>
        <w:t xml:space="preserve"> </w:t>
      </w:r>
      <w:r>
        <w:rPr>
          <w:rFonts w:ascii="Arial" w:cs="Arial" w:eastAsia="Arial" w:hAnsi="Arial"/>
          <w:sz w:val="18"/>
          <w:szCs w:val="18"/>
          <w:color w:val="auto"/>
        </w:rPr>
        <w:t>in an additional compensation expense under FASB guidance regarding share-based payments if adjustments to Awards with respect to such event were discretionary, the plan administrator will equitably adjust the number and type of common units covered by each outstanding Award and the terms and conditions of such Award to equitably reflect the restructuring event, and the plan administrator will adjust the number and type of common units with respect to which future Awards may be granted under the 2021 Plan. Upon the occurrence of a similar event that would not result in an accounting charge if adjustments to Awards were discretionary, the plan administrator shall have complete discretion to adjust Awards in the manner it deems appropriate. In the event the plan administrator makes any such adjustments, a corresponding and proportionate adjustment shall be made with respect to the maximum number of common units available under the 2021 Plan and the kind of units or other securities available for grant under the 2021 Plan.</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Omnibus Agreement</w:t>
      </w:r>
    </w:p>
    <w:p>
      <w:pPr>
        <w:spacing w:after="0" w:line="158" w:lineRule="exact"/>
        <w:rPr>
          <w:sz w:val="20"/>
          <w:szCs w:val="20"/>
          <w:color w:val="auto"/>
        </w:rPr>
      </w:pPr>
    </w:p>
    <w:p>
      <w:pPr>
        <w:ind w:left="1260" w:right="479" w:firstLine="360"/>
        <w:spacing w:after="0" w:line="268" w:lineRule="auto"/>
        <w:rPr>
          <w:sz w:val="20"/>
          <w:szCs w:val="20"/>
          <w:color w:val="auto"/>
        </w:rPr>
      </w:pPr>
      <w:r>
        <w:rPr>
          <w:rFonts w:ascii="Arial" w:cs="Arial" w:eastAsia="Arial" w:hAnsi="Arial"/>
          <w:sz w:val="17"/>
          <w:szCs w:val="17"/>
          <w:color w:val="auto"/>
        </w:rPr>
        <w:t>In connection with the Simplification Transactions completed in November 2016, we entered into an omnibus agreement (the “Omnibus Agreement”) with PAGP, PAGP GP, Plains AAP, PAA GP LLC and GP LLC (collectively with us, the “Plains Entities”), which provides, among other things, that all direct or indirect expenses of any of the Plains Entities will be paid by us, other than income taxes, if any, of PAGP GP, PAGP, GP LLC, Plains AAP and PAA GP LLC. Such direct or indirect expenses include, but are not limited to, (i) compensation and expense reimbursements for the directors of PAGP GP,</w:t>
      </w:r>
    </w:p>
    <w:p>
      <w:pPr>
        <w:spacing w:after="0" w:line="4" w:lineRule="exact"/>
        <w:rPr>
          <w:sz w:val="20"/>
          <w:szCs w:val="20"/>
          <w:color w:val="auto"/>
        </w:rPr>
      </w:pPr>
    </w:p>
    <w:p>
      <w:pPr>
        <w:ind w:left="1500" w:hanging="240"/>
        <w:spacing w:after="0"/>
        <w:tabs>
          <w:tab w:leader="none" w:pos="15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director and officer liability insurance, (iii) listing exchange fees, (iv) investor relations expenses, and</w:t>
      </w:r>
    </w:p>
    <w:p>
      <w:pPr>
        <w:spacing w:after="0" w:line="20" w:lineRule="exact"/>
        <w:rPr>
          <w:rFonts w:ascii="Arial" w:cs="Arial" w:eastAsia="Arial" w:hAnsi="Arial"/>
          <w:sz w:val="17"/>
          <w:szCs w:val="17"/>
          <w:color w:val="auto"/>
        </w:rPr>
      </w:pPr>
    </w:p>
    <w:p>
      <w:pPr>
        <w:ind w:left="1260" w:right="1199"/>
        <w:spacing w:after="0" w:line="266" w:lineRule="auto"/>
        <w:tabs>
          <w:tab w:leader="none" w:pos="1514" w:val="left"/>
        </w:tabs>
        <w:numPr>
          <w:ilvl w:val="0"/>
          <w:numId w:val="75"/>
        </w:numPr>
        <w:rPr>
          <w:rFonts w:ascii="Arial" w:cs="Arial" w:eastAsia="Arial" w:hAnsi="Arial"/>
          <w:sz w:val="18"/>
          <w:szCs w:val="18"/>
          <w:color w:val="auto"/>
        </w:rPr>
      </w:pPr>
      <w:r>
        <w:rPr>
          <w:rFonts w:ascii="Arial" w:cs="Arial" w:eastAsia="Arial" w:hAnsi="Arial"/>
          <w:sz w:val="18"/>
          <w:szCs w:val="18"/>
          <w:color w:val="auto"/>
        </w:rPr>
        <w:t>fees related to legal, tax, financial advisory and accounting services. We paid approximately $4.6 million of such expenses in 2025.</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w:t>
      </w:r>
    </w:p>
    <w:p>
      <w:pPr>
        <w:spacing w:after="0" w:line="144" w:lineRule="exact"/>
        <w:rPr>
          <w:sz w:val="20"/>
          <w:szCs w:val="20"/>
          <w:color w:val="auto"/>
        </w:rPr>
      </w:pPr>
    </w:p>
    <w:p>
      <w:pPr>
        <w:ind w:left="1260" w:right="459" w:firstLine="360"/>
        <w:spacing w:after="0" w:line="275" w:lineRule="auto"/>
        <w:rPr>
          <w:sz w:val="20"/>
          <w:szCs w:val="20"/>
          <w:color w:val="auto"/>
        </w:rPr>
      </w:pPr>
      <w:r>
        <w:rPr>
          <w:rFonts w:ascii="Arial" w:cs="Arial" w:eastAsia="Arial" w:hAnsi="Arial"/>
          <w:sz w:val="17"/>
          <w:szCs w:val="17"/>
          <w:color w:val="auto"/>
        </w:rPr>
        <w:t>In January 2025, we acquired for approximately $481 million an entity that owns a gathering system in the Eagle Ford Basin from EnCap Flatrock Midstream. Also in January 2025, in a separate transaction, we repurchased from EnCap Flatrock Midstream approximately 12.7 million Series A preferred units for approximately $343 million, which amount included accrued and unpaid distributions. EnCap Flatrock Midstream is associated with EnCap, which is associated with Gary Petersen. Based on information provided by representatives of EnCap, Mr. Petersen is not an executive officer, general</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719"/>
        <w:spacing w:after="0" w:line="287" w:lineRule="auto"/>
        <w:rPr>
          <w:sz w:val="20"/>
          <w:szCs w:val="20"/>
          <w:color w:val="auto"/>
        </w:rPr>
      </w:pPr>
      <w:r>
        <w:rPr>
          <w:rFonts w:ascii="Arial" w:cs="Arial" w:eastAsia="Arial" w:hAnsi="Arial"/>
          <w:sz w:val="18"/>
          <w:szCs w:val="18"/>
          <w:color w:val="auto"/>
        </w:rPr>
        <w:t>partner or controlling shareholder of EnCap Flatrock Midstream, nor did he have a material interest in these transactions.</w:t>
      </w:r>
    </w:p>
    <w:p>
      <w:pPr>
        <w:spacing w:after="0" w:line="85"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8"/>
          <w:szCs w:val="18"/>
          <w:color w:val="auto"/>
        </w:rPr>
        <w:t>An employee in our marketing department, who has been employed by PAA for over 15 years, is the daughter of Willie Chiang, our Chief Executive Officer. Mr. Chiang’s daughter’s total compensation for 2025 was approximately $208,000.</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158"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Pursuant to our Governance Guidelines, a director is expected to bring to the attention of the Chairman of the Board, the CEO or the Board any conflict or potential conflict of interest that may arise between the director, such director’s family members, or any affiliate of the director, on the one hand, and PAGP GP, PAA, PAGP or their respective affiliates, on the other. The resolution of any such conflict or potential conflict should, at the discretion of the Board in light of the circumstances, be determined by a majority of the disinterested directors.</w:t>
      </w:r>
    </w:p>
    <w:p>
      <w:pPr>
        <w:spacing w:after="0" w:line="101"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If a conflict or potential conflict of interest arises between PAA and its limited partners, on the one hand, and our general partner and its owners and affiliates, on the other, the resolution of any such conflict or potential conflict should be addressed by the Board in accordance with the applicable provisions of the partnership agreements of PAA and PAGP. At the discretion of the Board in light of the circumstances, the resolution may be determined by the Board or by a “conflicts committee” meeting the definitional requirements for such a committee under the partnership agreements.</w:t>
      </w:r>
    </w:p>
    <w:p>
      <w:pPr>
        <w:spacing w:after="0" w:line="115"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8"/>
          <w:szCs w:val="18"/>
          <w:color w:val="auto"/>
        </w:rPr>
        <w:t>Pursuant to our Code of Business Conduct, any executive officer must avoid conflicts of interest and must disclose any actual or potential conflicts of interest for review and resolution, which may include a formal waiver of the conflict of interest.</w:t>
      </w:r>
    </w:p>
    <w:p>
      <w:pPr>
        <w:spacing w:after="0" w:line="103"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In the case of any sale of equity by the Partnership in which an owner or affiliate of an owner of our general partner participates, our practice would be to obtain Board approval for the transaction. The Board typically delegates authority to set the specific terms to a pricing committee, consisting of the CEO and one independent director. Actions by the pricing committee require unanimous approval of such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REPORT OF THE AUDIT COMMITTEE</w:t>
      </w:r>
    </w:p>
    <w:p>
      <w:pPr>
        <w:spacing w:after="0" w:line="158" w:lineRule="exact"/>
        <w:rPr>
          <w:sz w:val="20"/>
          <w:szCs w:val="20"/>
          <w:color w:val="auto"/>
        </w:rPr>
      </w:pPr>
    </w:p>
    <w:p>
      <w:pPr>
        <w:jc w:val="both"/>
        <w:ind w:left="1260" w:right="539" w:firstLine="360"/>
        <w:spacing w:after="0" w:line="268" w:lineRule="auto"/>
        <w:rPr>
          <w:sz w:val="20"/>
          <w:szCs w:val="20"/>
          <w:color w:val="auto"/>
        </w:rPr>
      </w:pPr>
      <w:r>
        <w:rPr>
          <w:rFonts w:ascii="Arial" w:cs="Arial" w:eastAsia="Arial" w:hAnsi="Arial"/>
          <w:sz w:val="18"/>
          <w:szCs w:val="18"/>
          <w:color w:val="auto"/>
        </w:rPr>
        <w:t>The Audit Committee of our Board oversees the Partnership’s financial reporting process on behalf of the Board. Management has the primary responsibility for the financial statements and the reporting process, including the systems of internal controls.</w:t>
      </w:r>
    </w:p>
    <w:p>
      <w:pPr>
        <w:spacing w:after="0" w:line="103" w:lineRule="exact"/>
        <w:rPr>
          <w:sz w:val="20"/>
          <w:szCs w:val="20"/>
          <w:color w:val="auto"/>
        </w:rPr>
      </w:pPr>
    </w:p>
    <w:p>
      <w:pPr>
        <w:ind w:left="1260" w:right="479" w:firstLine="360"/>
        <w:spacing w:after="0" w:line="268" w:lineRule="auto"/>
        <w:rPr>
          <w:sz w:val="20"/>
          <w:szCs w:val="20"/>
          <w:color w:val="auto"/>
        </w:rPr>
      </w:pPr>
      <w:r>
        <w:rPr>
          <w:rFonts w:ascii="Arial" w:cs="Arial" w:eastAsia="Arial" w:hAnsi="Arial"/>
          <w:sz w:val="18"/>
          <w:szCs w:val="18"/>
          <w:color w:val="auto"/>
        </w:rPr>
        <w:t>In fulfilling its oversight responsibilities, the Audit Committee reviewed and discussed with management the audited financial statements contained in our Annual Report on Form 10-K for the year ended December 31, 2025.</w:t>
      </w:r>
    </w:p>
    <w:p>
      <w:pPr>
        <w:spacing w:after="0" w:line="90"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The Partnership’s independent registered public accounting firm, PricewaterhouseCoopers LLP, is responsible for expressing an opinion on the conformity of the audited financial statements with accounting principles generally accepted in the United States of America. The Audit Committee reviewed with PricewaterhouseCoopers LLP the firm’s judgment as to the quality, not just the acceptability, of the Partnership’s accounting principles and such other matters as are required to be discussed with the Audit Committee under generally accepted auditing standards.</w:t>
      </w:r>
    </w:p>
    <w:p>
      <w:pPr>
        <w:spacing w:after="0" w:line="115" w:lineRule="exact"/>
        <w:rPr>
          <w:sz w:val="20"/>
          <w:szCs w:val="20"/>
          <w:color w:val="auto"/>
        </w:rPr>
      </w:pPr>
    </w:p>
    <w:p>
      <w:pPr>
        <w:ind w:left="1260" w:right="659" w:firstLine="360"/>
        <w:spacing w:after="0" w:line="256" w:lineRule="auto"/>
        <w:rPr>
          <w:sz w:val="20"/>
          <w:szCs w:val="20"/>
          <w:color w:val="auto"/>
        </w:rPr>
      </w:pPr>
      <w:r>
        <w:rPr>
          <w:rFonts w:ascii="Arial" w:cs="Arial" w:eastAsia="Arial" w:hAnsi="Arial"/>
          <w:sz w:val="18"/>
          <w:szCs w:val="18"/>
          <w:color w:val="auto"/>
        </w:rPr>
        <w:t>The Audit Committee discussed with PricewaterhouseCoopers LLP the matters required to be discussed under applicable requirements of the Public Company Accounting Oversight Board (“PCAOB”). The Audit Committee received written disclosures and the letter from PricewaterhouseCoopers LLP required by applicable requirements of the PCAOB regarding PricewaterhouseCoopers LLP’s communications with the Audit Committee concerning independence, and has discussed with PricewaterhouseCoopers LLP its independence from management and the Partnership.</w:t>
      </w:r>
    </w:p>
    <w:p>
      <w:pPr>
        <w:spacing w:after="0" w:line="115" w:lineRule="exact"/>
        <w:rPr>
          <w:sz w:val="20"/>
          <w:szCs w:val="20"/>
          <w:color w:val="auto"/>
        </w:rPr>
      </w:pPr>
    </w:p>
    <w:p>
      <w:pPr>
        <w:jc w:val="both"/>
        <w:ind w:left="1260" w:right="479" w:firstLine="360"/>
        <w:spacing w:after="0" w:line="268" w:lineRule="auto"/>
        <w:rPr>
          <w:sz w:val="20"/>
          <w:szCs w:val="20"/>
          <w:color w:val="auto"/>
        </w:rPr>
      </w:pPr>
      <w:r>
        <w:rPr>
          <w:rFonts w:ascii="Arial" w:cs="Arial" w:eastAsia="Arial" w:hAnsi="Arial"/>
          <w:sz w:val="18"/>
          <w:szCs w:val="18"/>
          <w:color w:val="auto"/>
        </w:rPr>
        <w:t>Based on the reviews and discussions referred to above, the Audit Committee recommended to the Board that the audited financial statements be included in the Annual Report on Form 10-K for the year ended December 31, 2025 for filing with the SEC.</w:t>
      </w:r>
    </w:p>
    <w:p>
      <w:pPr>
        <w:spacing w:after="0" w:line="13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xml:space="preserve">Alexandra D. Pruner, </w:t>
      </w:r>
      <w:r>
        <w:rPr>
          <w:rFonts w:ascii="Arial" w:cs="Arial" w:eastAsia="Arial" w:hAnsi="Arial"/>
          <w:sz w:val="18"/>
          <w:szCs w:val="18"/>
          <w:i w:val="1"/>
          <w:iCs w:val="1"/>
          <w:color w:val="auto"/>
        </w:rPr>
        <w:t>Chair</w:t>
      </w:r>
    </w:p>
    <w:p>
      <w:pPr>
        <w:spacing w:after="0" w:line="2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Victor Burk</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Ellen R. DeSanctis</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Lawrence M. Ziemba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 and Non-Audit Fees</w:t>
      </w:r>
    </w:p>
    <w:p>
      <w:pPr>
        <w:spacing w:after="0" w:line="158" w:lineRule="exact"/>
        <w:rPr>
          <w:sz w:val="20"/>
          <w:szCs w:val="20"/>
          <w:color w:val="auto"/>
        </w:rPr>
      </w:pPr>
    </w:p>
    <w:p>
      <w:pPr>
        <w:ind w:left="1260" w:right="979" w:firstLine="360"/>
        <w:spacing w:after="0" w:line="287" w:lineRule="auto"/>
        <w:rPr>
          <w:sz w:val="20"/>
          <w:szCs w:val="20"/>
          <w:color w:val="auto"/>
        </w:rPr>
      </w:pPr>
      <w:r>
        <w:rPr>
          <w:rFonts w:ascii="Arial" w:cs="Arial" w:eastAsia="Arial" w:hAnsi="Arial"/>
          <w:sz w:val="18"/>
          <w:szCs w:val="18"/>
          <w:color w:val="auto"/>
        </w:rPr>
        <w:t>The following table details the aggregate fees billed for professional services rendered by our independent auditor for services provided to us and to our subsidiaries (in millions):</w:t>
      </w:r>
    </w:p>
    <w:p>
      <w:pPr>
        <w:spacing w:after="0" w:line="131" w:lineRule="exact"/>
        <w:rPr>
          <w:sz w:val="20"/>
          <w:szCs w:val="20"/>
          <w:color w:val="auto"/>
        </w:rPr>
      </w:pPr>
    </w:p>
    <w:tbl>
      <w:tblPr>
        <w:tblLayout w:type="fixed"/>
        <w:tblInd w:w="1260" w:type="dxa"/>
        <w:tblCellMar>
          <w:top w:w="0" w:type="dxa"/>
          <w:left w:w="0" w:type="dxa"/>
          <w:bottom w:w="0" w:type="dxa"/>
          <w:right w:w="0" w:type="dxa"/>
        </w:tblCellMar>
      </w:tblPr>
      <w:tr>
        <w:trPr>
          <w:trHeight w:val="277"/>
        </w:trPr>
        <w:tc>
          <w:tcPr>
            <w:tcW w:w="100" w:type="dxa"/>
            <w:vAlign w:val="bottom"/>
            <w:tcBorders>
              <w:bottom w:val="single" w:sz="8" w:color="424E6A"/>
            </w:tcBorders>
            <w:shd w:val="clear" w:color="auto" w:fill="424E6A"/>
          </w:tcPr>
          <w:p>
            <w:pPr>
              <w:spacing w:after="0"/>
              <w:rPr>
                <w:sz w:val="24"/>
                <w:szCs w:val="24"/>
                <w:color w:val="auto"/>
              </w:rPr>
            </w:pPr>
          </w:p>
        </w:tc>
        <w:tc>
          <w:tcPr>
            <w:tcW w:w="6200" w:type="dxa"/>
            <w:vAlign w:val="bottom"/>
            <w:tcBorders>
              <w:bottom w:val="single" w:sz="8" w:color="424E6A"/>
            </w:tcBorders>
            <w:shd w:val="clear" w:color="auto" w:fill="424E6A"/>
          </w:tcPr>
          <w:p>
            <w:pPr>
              <w:spacing w:after="0"/>
              <w:rPr>
                <w:sz w:val="24"/>
                <w:szCs w:val="24"/>
                <w:color w:val="auto"/>
              </w:rPr>
            </w:pPr>
          </w:p>
        </w:tc>
        <w:tc>
          <w:tcPr>
            <w:tcW w:w="1780" w:type="dxa"/>
            <w:vAlign w:val="bottom"/>
            <w:tcBorders>
              <w:bottom w:val="single" w:sz="8" w:color="auto"/>
            </w:tcBorders>
            <w:gridSpan w:val="8"/>
            <w:shd w:val="clear" w:color="auto" w:fill="424E6A"/>
          </w:tcPr>
          <w:p>
            <w:pPr>
              <w:ind w:left="20"/>
              <w:spacing w:after="0"/>
              <w:rPr>
                <w:sz w:val="20"/>
                <w:szCs w:val="20"/>
                <w:color w:val="auto"/>
              </w:rPr>
            </w:pPr>
            <w:r>
              <w:rPr>
                <w:rFonts w:ascii="Arial" w:cs="Arial" w:eastAsia="Arial" w:hAnsi="Arial"/>
                <w:sz w:val="14"/>
                <w:szCs w:val="14"/>
                <w:b w:val="1"/>
                <w:bCs w:val="1"/>
                <w:color w:val="FFFFFF"/>
              </w:rPr>
              <w:t>Year Ended December 31,</w:t>
            </w:r>
          </w:p>
        </w:tc>
        <w:tc>
          <w:tcPr>
            <w:tcW w:w="20" w:type="dxa"/>
            <w:vAlign w:val="bottom"/>
            <w:tcBorders>
              <w:bottom w:val="single" w:sz="8" w:color="auto"/>
            </w:tcBorders>
            <w:shd w:val="clear" w:color="auto" w:fill="424E6A"/>
          </w:tcPr>
          <w:p>
            <w:pPr>
              <w:spacing w:after="0"/>
              <w:rPr>
                <w:sz w:val="24"/>
                <w:szCs w:val="24"/>
                <w:color w:val="auto"/>
              </w:rPr>
            </w:pPr>
          </w:p>
        </w:tc>
        <w:tc>
          <w:tcPr>
            <w:tcW w:w="100" w:type="dxa"/>
            <w:vAlign w:val="bottom"/>
            <w:tcBorders>
              <w:bottom w:val="single" w:sz="8" w:color="424E6A"/>
            </w:tcBorders>
            <w:shd w:val="clear" w:color="auto" w:fill="424E6A"/>
          </w:tcPr>
          <w:p>
            <w:pPr>
              <w:spacing w:after="0"/>
              <w:rPr>
                <w:sz w:val="24"/>
                <w:szCs w:val="24"/>
                <w:color w:val="auto"/>
              </w:rPr>
            </w:pPr>
          </w:p>
        </w:tc>
      </w:tr>
      <w:tr>
        <w:trPr>
          <w:trHeight w:val="243"/>
        </w:trPr>
        <w:tc>
          <w:tcPr>
            <w:tcW w:w="100" w:type="dxa"/>
            <w:vAlign w:val="bottom"/>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6200" w:type="dxa"/>
            <w:vAlign w:val="bottom"/>
            <w:shd w:val="clear" w:color="auto" w:fill="424E6A"/>
          </w:tcPr>
          <w:p>
            <w:pPr>
              <w:spacing w:after="0"/>
              <w:rPr>
                <w:sz w:val="21"/>
                <w:szCs w:val="21"/>
                <w:color w:val="auto"/>
              </w:rPr>
            </w:pPr>
          </w:p>
        </w:tc>
        <w:tc>
          <w:tcPr>
            <w:tcW w:w="660" w:type="dxa"/>
            <w:vAlign w:val="bottom"/>
            <w:gridSpan w:val="3"/>
            <w:shd w:val="clear" w:color="auto" w:fill="424E6A"/>
          </w:tcPr>
          <w:p>
            <w:pPr>
              <w:jc w:val="right"/>
              <w:spacing w:after="0"/>
              <w:rPr>
                <w:sz w:val="20"/>
                <w:szCs w:val="20"/>
                <w:color w:val="auto"/>
              </w:rPr>
            </w:pPr>
            <w:r>
              <w:rPr>
                <w:rFonts w:ascii="Arial" w:cs="Arial" w:eastAsia="Arial" w:hAnsi="Arial"/>
                <w:sz w:val="14"/>
                <w:szCs w:val="14"/>
                <w:b w:val="1"/>
                <w:bCs w:val="1"/>
                <w:color w:val="FFFFFF"/>
              </w:rPr>
              <w:t>2025</w:t>
            </w:r>
          </w:p>
        </w:tc>
        <w:tc>
          <w:tcPr>
            <w:tcW w:w="80" w:type="dxa"/>
            <w:vAlign w:val="bottom"/>
            <w:shd w:val="clear" w:color="auto" w:fill="424E6A"/>
          </w:tcPr>
          <w:p>
            <w:pPr>
              <w:spacing w:after="0"/>
              <w:rPr>
                <w:sz w:val="21"/>
                <w:szCs w:val="21"/>
                <w:color w:val="auto"/>
              </w:rPr>
            </w:pPr>
          </w:p>
        </w:tc>
        <w:tc>
          <w:tcPr>
            <w:tcW w:w="500" w:type="dxa"/>
            <w:vAlign w:val="bottom"/>
            <w:shd w:val="clear" w:color="auto" w:fill="424E6A"/>
          </w:tcPr>
          <w:p>
            <w:pPr>
              <w:spacing w:after="0"/>
              <w:rPr>
                <w:sz w:val="21"/>
                <w:szCs w:val="21"/>
                <w:color w:val="auto"/>
              </w:rPr>
            </w:pPr>
          </w:p>
        </w:tc>
        <w:tc>
          <w:tcPr>
            <w:tcW w:w="3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6"/>
              </w:rPr>
              <w:t>2024</w:t>
            </w:r>
          </w:p>
        </w:tc>
        <w:tc>
          <w:tcPr>
            <w:tcW w:w="20" w:type="dxa"/>
            <w:vAlign w:val="bottom"/>
            <w:shd w:val="clear" w:color="auto" w:fill="424E6A"/>
          </w:tcPr>
          <w:p>
            <w:pPr>
              <w:spacing w:after="0"/>
              <w:rPr>
                <w:sz w:val="21"/>
                <w:szCs w:val="21"/>
                <w:color w:val="auto"/>
              </w:rPr>
            </w:pPr>
          </w:p>
        </w:tc>
        <w:tc>
          <w:tcPr>
            <w:tcW w:w="140" w:type="dxa"/>
            <w:vAlign w:val="bottom"/>
            <w:shd w:val="clear" w:color="auto" w:fill="424E6A"/>
          </w:tcPr>
          <w:p>
            <w:pPr>
              <w:spacing w:after="0"/>
              <w:rPr>
                <w:sz w:val="21"/>
                <w:szCs w:val="21"/>
                <w:color w:val="auto"/>
              </w:rPr>
            </w:pPr>
          </w:p>
        </w:tc>
        <w:tc>
          <w:tcPr>
            <w:tcW w:w="20" w:type="dxa"/>
            <w:vAlign w:val="bottom"/>
            <w:shd w:val="clear" w:color="auto" w:fill="424E6A"/>
          </w:tcPr>
          <w:p>
            <w:pPr>
              <w:spacing w:after="0"/>
              <w:rPr>
                <w:sz w:val="21"/>
                <w:szCs w:val="21"/>
                <w:color w:val="auto"/>
              </w:rPr>
            </w:pPr>
          </w:p>
        </w:tc>
        <w:tc>
          <w:tcPr>
            <w:tcW w:w="100" w:type="dxa"/>
            <w:vAlign w:val="bottom"/>
            <w:shd w:val="clear" w:color="auto" w:fill="424E6A"/>
          </w:tcPr>
          <w:p>
            <w:pPr>
              <w:spacing w:after="0"/>
              <w:rPr>
                <w:sz w:val="21"/>
                <w:szCs w:val="21"/>
                <w:color w:val="auto"/>
              </w:rPr>
            </w:pPr>
          </w:p>
        </w:tc>
      </w:tr>
      <w:tr>
        <w:trPr>
          <w:trHeight w:val="284"/>
        </w:trPr>
        <w:tc>
          <w:tcPr>
            <w:tcW w:w="6300" w:type="dxa"/>
            <w:vAlign w:val="bottom"/>
            <w:gridSpan w:val="2"/>
            <w:shd w:val="clear" w:color="auto" w:fill="D9DCE1"/>
          </w:tcPr>
          <w:p>
            <w:pPr>
              <w:ind w:left="4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Audit fees</w:t>
            </w:r>
            <w:r>
              <w:rPr>
                <w:rFonts w:ascii="Arial" w:cs="Arial" w:eastAsia="Arial" w:hAnsi="Arial"/>
                <w:sz w:val="21"/>
                <w:szCs w:val="21"/>
                <w:color w:val="auto"/>
                <w:vertAlign w:val="superscript"/>
              </w:rPr>
              <w:t>(1)</w:t>
            </w:r>
          </w:p>
        </w:tc>
        <w:tc>
          <w:tcPr>
            <w:tcW w:w="360" w:type="dxa"/>
            <w:vAlign w:val="bottom"/>
            <w:gridSpan w:val="2"/>
            <w:shd w:val="clear" w:color="auto" w:fill="D9DCE1"/>
          </w:tcPr>
          <w:p>
            <w:pPr>
              <w:ind w:left="2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D9DCE1"/>
          </w:tcPr>
          <w:p>
            <w:pPr>
              <w:jc w:val="right"/>
              <w:ind w:right="80"/>
              <w:spacing w:after="0"/>
              <w:rPr>
                <w:sz w:val="20"/>
                <w:szCs w:val="20"/>
                <w:color w:val="auto"/>
              </w:rPr>
            </w:pPr>
            <w:r>
              <w:rPr>
                <w:rFonts w:ascii="Arial" w:cs="Arial" w:eastAsia="Arial" w:hAnsi="Arial"/>
                <w:sz w:val="18"/>
                <w:szCs w:val="18"/>
                <w:color w:val="auto"/>
              </w:rPr>
              <w:t>8.1</w:t>
            </w:r>
          </w:p>
        </w:tc>
        <w:tc>
          <w:tcPr>
            <w:tcW w:w="500" w:type="dxa"/>
            <w:vAlign w:val="bottom"/>
            <w:shd w:val="clear" w:color="auto" w:fill="D9DCE1"/>
          </w:tcPr>
          <w:p>
            <w:pPr>
              <w:ind w:left="10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D9DCE1"/>
          </w:tcPr>
          <w:p>
            <w:pPr>
              <w:jc w:val="center"/>
              <w:ind w:right="160"/>
              <w:spacing w:after="0"/>
              <w:rPr>
                <w:sz w:val="20"/>
                <w:szCs w:val="20"/>
                <w:color w:val="auto"/>
              </w:rPr>
            </w:pPr>
            <w:r>
              <w:rPr>
                <w:rFonts w:ascii="Arial" w:cs="Arial" w:eastAsia="Arial" w:hAnsi="Arial"/>
                <w:sz w:val="18"/>
                <w:szCs w:val="18"/>
                <w:color w:val="auto"/>
              </w:rPr>
              <w:t>​$6.5</w:t>
            </w:r>
          </w:p>
        </w:tc>
        <w:tc>
          <w:tcPr>
            <w:tcW w:w="120" w:type="dxa"/>
            <w:vAlign w:val="bottom"/>
            <w:gridSpan w:val="2"/>
            <w:shd w:val="clear" w:color="auto" w:fill="D9DCE1"/>
          </w:tcPr>
          <w:p>
            <w:pPr>
              <w:ind w:left="20"/>
              <w:spacing w:after="0"/>
              <w:rPr>
                <w:sz w:val="20"/>
                <w:szCs w:val="20"/>
                <w:color w:val="auto"/>
              </w:rPr>
            </w:pPr>
            <w:r>
              <w:rPr>
                <w:rFonts w:ascii="Arial" w:cs="Arial" w:eastAsia="Arial" w:hAnsi="Arial"/>
                <w:sz w:val="18"/>
                <w:szCs w:val="18"/>
                <w:color w:val="auto"/>
              </w:rPr>
              <w:t>​</w:t>
            </w:r>
          </w:p>
        </w:tc>
      </w:tr>
      <w:tr>
        <w:trPr>
          <w:trHeight w:val="283"/>
        </w:trPr>
        <w:tc>
          <w:tcPr>
            <w:tcW w:w="6300" w:type="dxa"/>
            <w:vAlign w:val="bottom"/>
            <w:gridSpan w:val="2"/>
          </w:tcPr>
          <w:p>
            <w:pPr>
              <w:ind w:left="4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Audit-related fees</w:t>
            </w:r>
            <w:r>
              <w:rPr>
                <w:rFonts w:ascii="Arial" w:cs="Arial" w:eastAsia="Arial" w:hAnsi="Arial"/>
                <w:sz w:val="21"/>
                <w:szCs w:val="21"/>
                <w:color w:val="auto"/>
                <w:vertAlign w:val="superscript"/>
              </w:rPr>
              <w:t>(2)</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500" w:type="dxa"/>
            <w:vAlign w:val="bottom"/>
          </w:tcPr>
          <w:p>
            <w:pPr>
              <w:ind w:left="10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center"/>
              <w:ind w:right="160"/>
              <w:spacing w:after="0"/>
              <w:rPr>
                <w:sz w:val="20"/>
                <w:szCs w:val="20"/>
                <w:color w:val="auto"/>
              </w:rPr>
            </w:pPr>
            <w:r>
              <w:rPr>
                <w:rFonts w:ascii="Arial" w:cs="Arial" w:eastAsia="Arial" w:hAnsi="Arial"/>
                <w:sz w:val="18"/>
                <w:szCs w:val="18"/>
                <w:color w:val="auto"/>
              </w:rPr>
              <w:t>​ 0.6</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70"/>
        </w:trPr>
        <w:tc>
          <w:tcPr>
            <w:tcW w:w="100" w:type="dxa"/>
            <w:vAlign w:val="bottom"/>
            <w:shd w:val="clear" w:color="auto" w:fill="D9DCE1"/>
          </w:tcPr>
          <w:p>
            <w:pPr>
              <w:ind w:left="40"/>
              <w:spacing w:after="0"/>
              <w:rPr>
                <w:sz w:val="20"/>
                <w:szCs w:val="20"/>
                <w:color w:val="auto"/>
              </w:rPr>
            </w:pPr>
            <w:r>
              <w:rPr>
                <w:rFonts w:ascii="Arial" w:cs="Arial" w:eastAsia="Arial" w:hAnsi="Arial"/>
                <w:sz w:val="18"/>
                <w:szCs w:val="18"/>
                <w:color w:val="auto"/>
              </w:rPr>
              <w:t>​</w:t>
            </w:r>
          </w:p>
        </w:tc>
        <w:tc>
          <w:tcPr>
            <w:tcW w:w="6200" w:type="dxa"/>
            <w:vAlign w:val="bottom"/>
            <w:shd w:val="clear" w:color="auto" w:fill="D9DCE1"/>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23"/>
                <w:szCs w:val="23"/>
                <w:color w:val="auto"/>
                <w:vertAlign w:val="superscript"/>
              </w:rPr>
              <w:t>(3)</w:t>
            </w:r>
          </w:p>
        </w:tc>
        <w:tc>
          <w:tcPr>
            <w:tcW w:w="360" w:type="dxa"/>
            <w:vAlign w:val="bottom"/>
            <w:gridSpan w:val="2"/>
            <w:shd w:val="clear" w:color="auto" w:fill="D9DCE1"/>
          </w:tcPr>
          <w:p>
            <w:pPr>
              <w:ind w:left="2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D9DCE1"/>
          </w:tcPr>
          <w:p>
            <w:pPr>
              <w:jc w:val="right"/>
              <w:ind w:right="8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7</w:t>
            </w:r>
          </w:p>
        </w:tc>
        <w:tc>
          <w:tcPr>
            <w:tcW w:w="500" w:type="dxa"/>
            <w:vAlign w:val="bottom"/>
            <w:shd w:val="clear" w:color="auto" w:fill="D9DCE1"/>
          </w:tcPr>
          <w:p>
            <w:pPr>
              <w:ind w:left="10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D9DCE1"/>
          </w:tcPr>
          <w:p>
            <w:pPr>
              <w:jc w:val="center"/>
              <w:ind w:right="1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1.8</w:t>
            </w:r>
          </w:p>
        </w:tc>
        <w:tc>
          <w:tcPr>
            <w:tcW w:w="120" w:type="dxa"/>
            <w:vAlign w:val="bottom"/>
            <w:gridSpan w:val="2"/>
            <w:shd w:val="clear" w:color="auto" w:fill="D9DCE1"/>
          </w:tcPr>
          <w:p>
            <w:pPr>
              <w:ind w:left="20"/>
              <w:spacing w:after="0"/>
              <w:rPr>
                <w:sz w:val="20"/>
                <w:szCs w:val="20"/>
                <w:color w:val="auto"/>
              </w:rPr>
            </w:pPr>
            <w:r>
              <w:rPr>
                <w:rFonts w:ascii="Arial" w:cs="Arial" w:eastAsia="Arial" w:hAnsi="Arial"/>
                <w:sz w:val="18"/>
                <w:szCs w:val="18"/>
                <w:color w:val="auto"/>
              </w:rPr>
              <w:t>​</w:t>
            </w:r>
          </w:p>
        </w:tc>
      </w:tr>
      <w:tr>
        <w:trPr>
          <w:trHeight w:val="20"/>
        </w:trPr>
        <w:tc>
          <w:tcPr>
            <w:tcW w:w="100" w:type="dxa"/>
            <w:vAlign w:val="bottom"/>
            <w:shd w:val="clear" w:color="auto" w:fill="D9DCE1"/>
          </w:tcPr>
          <w:p>
            <w:pPr>
              <w:spacing w:after="0" w:line="20" w:lineRule="exact"/>
              <w:rPr>
                <w:sz w:val="1"/>
                <w:szCs w:val="1"/>
                <w:color w:val="auto"/>
              </w:rPr>
            </w:pPr>
          </w:p>
        </w:tc>
        <w:tc>
          <w:tcPr>
            <w:tcW w:w="6200" w:type="dxa"/>
            <w:vAlign w:val="bottom"/>
            <w:shd w:val="clear" w:color="auto" w:fill="D9DCE1"/>
          </w:tcPr>
          <w:p>
            <w:pPr>
              <w:spacing w:after="0" w:line="20" w:lineRule="exact"/>
              <w:rPr>
                <w:sz w:val="1"/>
                <w:szCs w:val="1"/>
                <w:color w:val="auto"/>
              </w:rPr>
            </w:pPr>
          </w:p>
        </w:tc>
        <w:tc>
          <w:tcPr>
            <w:tcW w:w="200" w:type="dxa"/>
            <w:vAlign w:val="bottom"/>
            <w:shd w:val="clear" w:color="auto" w:fill="D9DCE1"/>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 w:type="dxa"/>
            <w:vAlign w:val="bottom"/>
            <w:shd w:val="clear" w:color="auto" w:fill="D9DCE1"/>
          </w:tcPr>
          <w:p>
            <w:pPr>
              <w:spacing w:after="0" w:line="20" w:lineRule="exact"/>
              <w:rPr>
                <w:sz w:val="1"/>
                <w:szCs w:val="1"/>
                <w:color w:val="auto"/>
              </w:rPr>
            </w:pPr>
          </w:p>
        </w:tc>
        <w:tc>
          <w:tcPr>
            <w:tcW w:w="500" w:type="dxa"/>
            <w:vAlign w:val="bottom"/>
            <w:shd w:val="clear" w:color="auto" w:fill="D9DCE1"/>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gridSpan w:val="2"/>
            <w:shd w:val="clear" w:color="auto" w:fill="D9DCE1"/>
          </w:tcPr>
          <w:p>
            <w:pPr>
              <w:spacing w:after="0" w:line="20" w:lineRule="exact"/>
              <w:rPr>
                <w:sz w:val="1"/>
                <w:szCs w:val="1"/>
                <w:color w:val="auto"/>
              </w:rPr>
            </w:pPr>
          </w:p>
        </w:tc>
        <w:tc>
          <w:tcPr>
            <w:tcW w:w="20" w:type="dxa"/>
            <w:vAlign w:val="bottom"/>
            <w:shd w:val="clear" w:color="auto" w:fill="D9DCE1"/>
          </w:tcPr>
          <w:p>
            <w:pPr>
              <w:spacing w:after="0" w:line="20" w:lineRule="exact"/>
              <w:rPr>
                <w:sz w:val="1"/>
                <w:szCs w:val="1"/>
                <w:color w:val="auto"/>
              </w:rPr>
            </w:pPr>
          </w:p>
        </w:tc>
        <w:tc>
          <w:tcPr>
            <w:tcW w:w="100" w:type="dxa"/>
            <w:vAlign w:val="bottom"/>
            <w:shd w:val="clear" w:color="auto" w:fill="D9DCE1"/>
          </w:tcPr>
          <w:p>
            <w:pPr>
              <w:spacing w:after="0" w:line="20" w:lineRule="exact"/>
              <w:rPr>
                <w:sz w:val="1"/>
                <w:szCs w:val="1"/>
                <w:color w:val="auto"/>
              </w:rPr>
            </w:pPr>
          </w:p>
        </w:tc>
      </w:tr>
      <w:tr>
        <w:trPr>
          <w:trHeight w:val="263"/>
        </w:trPr>
        <w:tc>
          <w:tcPr>
            <w:tcW w:w="6300" w:type="dxa"/>
            <w:vAlign w:val="bottom"/>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Total</w:t>
            </w:r>
          </w:p>
        </w:tc>
        <w:tc>
          <w:tcPr>
            <w:tcW w:w="740" w:type="dxa"/>
            <w:vAlign w:val="bottom"/>
            <w:gridSpan w:val="4"/>
          </w:tcPr>
          <w:p>
            <w:pPr>
              <w:jc w:val="right"/>
              <w:ind w:righ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u w:val="single" w:color="auto"/>
                <w:color w:val="auto"/>
              </w:rPr>
              <w:t>$</w:t>
            </w:r>
            <w:r>
              <w:rPr>
                <w:rFonts w:ascii="Arial" w:cs="Arial" w:eastAsia="Arial" w:hAnsi="Arial"/>
                <w:sz w:val="15"/>
                <w:szCs w:val="15"/>
                <w:color w:val="auto"/>
              </w:rPr>
              <w:t>12.6</w:t>
            </w:r>
          </w:p>
        </w:tc>
        <w:tc>
          <w:tcPr>
            <w:tcW w:w="500" w:type="dxa"/>
            <w:vAlign w:val="bottom"/>
          </w:tcPr>
          <w:p>
            <w:pPr>
              <w:ind w:left="10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center"/>
              <w:ind w:righ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u w:val="single" w:color="auto"/>
                <w:color w:val="auto"/>
              </w:rPr>
              <w:t>$</w:t>
            </w:r>
            <w:r>
              <w:rPr>
                <w:rFonts w:ascii="Arial" w:cs="Arial" w:eastAsia="Arial" w:hAnsi="Arial"/>
                <w:sz w:val="15"/>
                <w:szCs w:val="15"/>
                <w:color w:val="auto"/>
              </w:rPr>
              <w:t>8.9</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1"/>
        </w:trPr>
        <w:tc>
          <w:tcPr>
            <w:tcW w:w="1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196850</wp:posOffset>
            </wp:positionV>
            <wp:extent cx="123444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620" w:right="799" w:hanging="360"/>
        <w:spacing w:after="0" w:line="222" w:lineRule="auto"/>
        <w:tabs>
          <w:tab w:leader="none" w:pos="1620" w:val="left"/>
        </w:tabs>
        <w:numPr>
          <w:ilvl w:val="0"/>
          <w:numId w:val="76"/>
        </w:numPr>
        <w:rPr>
          <w:rFonts w:ascii="Arial" w:cs="Arial" w:eastAsia="Arial" w:hAnsi="Arial"/>
          <w:sz w:val="27"/>
          <w:szCs w:val="27"/>
          <w:color w:val="auto"/>
          <w:vertAlign w:val="superscript"/>
        </w:rPr>
      </w:pPr>
      <w:r>
        <w:rPr>
          <w:rFonts w:ascii="Arial" w:cs="Arial" w:eastAsia="Arial" w:hAnsi="Arial"/>
          <w:sz w:val="18"/>
          <w:szCs w:val="18"/>
          <w:color w:val="auto"/>
        </w:rPr>
        <w:t>Audit fees include those related to (a) our annual audit (including internal control evaluation and reporting), (b) the audit of certain joint ventures of which we are the operator, and (c) work performed in connection with the registration of publicly held debt and equity.</w:t>
      </w:r>
    </w:p>
    <w:p>
      <w:pPr>
        <w:spacing w:after="0" w:line="58" w:lineRule="exact"/>
        <w:rPr>
          <w:rFonts w:ascii="Arial" w:cs="Arial" w:eastAsia="Arial" w:hAnsi="Arial"/>
          <w:sz w:val="27"/>
          <w:szCs w:val="27"/>
          <w:color w:val="auto"/>
          <w:vertAlign w:val="superscript"/>
        </w:rPr>
      </w:pPr>
    </w:p>
    <w:p>
      <w:pPr>
        <w:ind w:left="1620" w:right="839" w:hanging="360"/>
        <w:spacing w:after="0" w:line="210" w:lineRule="auto"/>
        <w:tabs>
          <w:tab w:leader="none" w:pos="1620" w:val="left"/>
        </w:tabs>
        <w:numPr>
          <w:ilvl w:val="0"/>
          <w:numId w:val="76"/>
        </w:numPr>
        <w:rPr>
          <w:rFonts w:ascii="Arial" w:cs="Arial" w:eastAsia="Arial" w:hAnsi="Arial"/>
          <w:sz w:val="27"/>
          <w:szCs w:val="27"/>
          <w:color w:val="auto"/>
          <w:vertAlign w:val="superscript"/>
        </w:rPr>
      </w:pPr>
      <w:r>
        <w:rPr>
          <w:rFonts w:ascii="Arial" w:cs="Arial" w:eastAsia="Arial" w:hAnsi="Arial"/>
          <w:sz w:val="18"/>
          <w:szCs w:val="18"/>
          <w:color w:val="auto"/>
        </w:rPr>
        <w:t>Audit-related fees primarily related to the assessment of internal controls in connection with the implementation of an information system.</w:t>
      </w:r>
    </w:p>
    <w:p>
      <w:pPr>
        <w:spacing w:after="0" w:line="46" w:lineRule="exact"/>
        <w:rPr>
          <w:rFonts w:ascii="Arial" w:cs="Arial" w:eastAsia="Arial" w:hAnsi="Arial"/>
          <w:sz w:val="27"/>
          <w:szCs w:val="27"/>
          <w:color w:val="auto"/>
          <w:vertAlign w:val="superscript"/>
        </w:rPr>
      </w:pPr>
    </w:p>
    <w:p>
      <w:pPr>
        <w:ind w:left="1620" w:right="899" w:hanging="360"/>
        <w:spacing w:after="0" w:line="222" w:lineRule="auto"/>
        <w:tabs>
          <w:tab w:leader="none" w:pos="1620" w:val="left"/>
        </w:tabs>
        <w:numPr>
          <w:ilvl w:val="0"/>
          <w:numId w:val="76"/>
        </w:numPr>
        <w:rPr>
          <w:rFonts w:ascii="Arial" w:cs="Arial" w:eastAsia="Arial" w:hAnsi="Arial"/>
          <w:sz w:val="27"/>
          <w:szCs w:val="27"/>
          <w:color w:val="auto"/>
          <w:vertAlign w:val="superscript"/>
        </w:rPr>
      </w:pPr>
      <w:r>
        <w:rPr>
          <w:rFonts w:ascii="Arial" w:cs="Arial" w:eastAsia="Arial" w:hAnsi="Arial"/>
          <w:sz w:val="18"/>
          <w:szCs w:val="18"/>
          <w:color w:val="auto"/>
        </w:rPr>
        <w:t>Tax fees are primarily related to tax processing as well as the preparation of Forms K-1 for our unitholders and international tax planning work associated with the structure of our Canadian investment.</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Pre-Approval Policy</w:t>
      </w:r>
    </w:p>
    <w:p>
      <w:pPr>
        <w:spacing w:after="0" w:line="15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Our Audit Committee reviews our external financial reporting, engages our independent auditors and reviews the adequacy of our internal accounting controls. Our Audit Committee performs similar functions on PAGP’s behalf. All services provided by our independent auditor to us or to PAGP are subject to pre-approval by our Audit Committee. The Audit Committee has instituted policies that describe certain pre-approved non-audit services. We believe that the descriptions of services are designed to be sufficiently detailed as to particular services provided, such that (i) management is not required to exercise judgment as to whether a proposed service fits within the description and (ii) the Audit Committee knows what services it is being asked to pre-approve. The Audit Committee is informed of each engagement of the independent auditor to provide services under the respective policy. All services provided by our independent auditor during the years ended December 31, 2025 and 2024 were approved in advance by our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PROPOSAL 2 — RATIFICATION OF APPOINTMENT OF INDEPENDENT REGISTERED PUBLIC</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ACCOUNTING FIRM</w:t>
      </w:r>
    </w:p>
    <w:p>
      <w:pPr>
        <w:spacing w:after="0" w:line="207" w:lineRule="exact"/>
        <w:rPr>
          <w:sz w:val="20"/>
          <w:szCs w:val="20"/>
          <w:color w:val="auto"/>
        </w:rPr>
      </w:pPr>
    </w:p>
    <w:p>
      <w:pPr>
        <w:jc w:val="center"/>
        <w:ind w:left="1800" w:right="280"/>
        <w:spacing w:after="0" w:line="265" w:lineRule="auto"/>
        <w:rPr>
          <w:sz w:val="20"/>
          <w:szCs w:val="20"/>
          <w:color w:val="auto"/>
        </w:rPr>
      </w:pPr>
      <w:r>
        <w:rPr>
          <w:rFonts w:ascii="Arial" w:cs="Arial" w:eastAsia="Arial" w:hAnsi="Arial"/>
          <w:sz w:val="18"/>
          <w:szCs w:val="18"/>
          <w:b w:val="1"/>
          <w:bCs w:val="1"/>
          <w:color w:val="auto"/>
        </w:rPr>
        <w:t>THE BOARD OF DIRECTORS UNANIMOUSLY RECOMMENDS THAT YOU VOTE “FOR” THE RATIFICATION OF THE APPOINTMENT OF PRICEWATERHOUSECOOPERS LLP AS OUR INDEPENDENT REGISTERED PUBLIC ACCOUNTING FIRM FOR THE FISCAL YEAR ENDING DECEMBER 31, 2026.</w:t>
      </w:r>
    </w:p>
    <w:p>
      <w:pPr>
        <w:spacing w:after="0" w:line="98"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The second proposal item to be voted on at the PAA Annual Meeting is ratification of the appointment of PricewaterhouseCoopers LLP as our independent registered public accounting firm for the fiscal year ending December 31, 2026. Votes cast on this proposal by our Unitholders will be “passed through” as instructions to PAA as to how PAA should vote the PAGP Class C shares that it owns at the PAGP Annual Meeting on ratification of the appointment of PricewaterhouseCoopers LLP as our and PAGP’s independent registered public accounting firm for 2026.</w:t>
      </w:r>
    </w:p>
    <w:p>
      <w:pPr>
        <w:spacing w:after="0" w:line="1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Audit Committee of the Board has appointed PricewaterhouseCoopers LLP to continue to act</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 our and PAGP’s independent registered public accounting firm for the fiscal year ending</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2026. The Board has directed that such appointment be submitted to our Unitholders for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ratification at the PAA Annual Meeting.</w:t>
      </w:r>
    </w:p>
    <w:p>
      <w:pPr>
        <w:spacing w:after="0" w:line="126" w:lineRule="exact"/>
        <w:rPr>
          <w:sz w:val="20"/>
          <w:szCs w:val="20"/>
          <w:color w:val="auto"/>
        </w:rPr>
      </w:pPr>
    </w:p>
    <w:p>
      <w:pPr>
        <w:ind w:left="1260" w:right="619" w:firstLine="360"/>
        <w:spacing w:after="0" w:line="257" w:lineRule="auto"/>
        <w:rPr>
          <w:sz w:val="20"/>
          <w:szCs w:val="20"/>
          <w:color w:val="auto"/>
        </w:rPr>
      </w:pPr>
      <w:r>
        <w:rPr>
          <w:rFonts w:ascii="Arial" w:cs="Arial" w:eastAsia="Arial" w:hAnsi="Arial"/>
          <w:sz w:val="18"/>
          <w:szCs w:val="18"/>
          <w:color w:val="auto"/>
        </w:rPr>
        <w:t>Ratification of the appointment of PricewaterhouseCoopers LLP as our and PAGP’s independent registered public accounting firm is not required. The Board, however, is submitting the appointment to our Unitholders for ratification as a good corporate governance practice. Representatives of PricewaterhouseCoopers LLP are expected to be present at the PAA Annual Meeting and will have an opportunity to make a statement if they so desire. They will also be available to respond to appropriate questions.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PROPOSAL 3 — ADVISORY VOTE TO APPROVE OUR 2025 NAMED EXECUTIVE OFFICER</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COMPENSATION</w:t>
      </w:r>
    </w:p>
    <w:p>
      <w:pPr>
        <w:spacing w:after="0" w:line="72" w:lineRule="exact"/>
        <w:rPr>
          <w:sz w:val="20"/>
          <w:szCs w:val="20"/>
          <w:color w:val="auto"/>
        </w:rPr>
      </w:pPr>
    </w:p>
    <w:p>
      <w:pPr>
        <w:jc w:val="center"/>
        <w:ind w:left="1800" w:right="140"/>
        <w:spacing w:after="0" w:line="257" w:lineRule="auto"/>
        <w:rPr>
          <w:sz w:val="20"/>
          <w:szCs w:val="20"/>
          <w:color w:val="auto"/>
        </w:rPr>
      </w:pPr>
      <w:r>
        <w:rPr>
          <w:rFonts w:ascii="Arial" w:cs="Arial" w:eastAsia="Arial" w:hAnsi="Arial"/>
          <w:sz w:val="18"/>
          <w:szCs w:val="18"/>
          <w:b w:val="1"/>
          <w:bCs w:val="1"/>
          <w:color w:val="auto"/>
        </w:rPr>
        <w:t>THE BOARD UNANIMOUSLY RECOMMENDS THAT YOU VOTE, ON A NON-BINDING ADVISORY BASIS, “FOR” THE RESOLUTION APPROVING THE 2025 COMPENSATION OF THE NAMED EXECUTIVE OFFICERS AS DESCRIBED IN THIS PROXY STATEMENT.</w:t>
      </w:r>
    </w:p>
    <w:p>
      <w:pPr>
        <w:spacing w:after="0" w:line="24" w:lineRule="exact"/>
        <w:rPr>
          <w:sz w:val="20"/>
          <w:szCs w:val="20"/>
          <w:color w:val="auto"/>
        </w:rPr>
      </w:pPr>
    </w:p>
    <w:p>
      <w:pPr>
        <w:jc w:val="both"/>
        <w:ind w:left="1260" w:right="819" w:firstLine="360"/>
        <w:spacing w:after="0" w:line="261" w:lineRule="auto"/>
        <w:rPr>
          <w:sz w:val="20"/>
          <w:szCs w:val="20"/>
          <w:color w:val="auto"/>
        </w:rPr>
      </w:pPr>
      <w:r>
        <w:rPr>
          <w:rFonts w:ascii="Arial" w:cs="Arial" w:eastAsia="Arial" w:hAnsi="Arial"/>
          <w:sz w:val="18"/>
          <w:szCs w:val="18"/>
          <w:color w:val="auto"/>
        </w:rPr>
        <w:t>This proposal, commonly known as a “say-on-pay” proposal, provides our Unitholders with the opportunity to cast a pass-through advisory vote on the approval of the compensation of our Named Executive Officers.</w:t>
      </w:r>
    </w:p>
    <w:p>
      <w:pPr>
        <w:spacing w:after="0" w:line="13"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7"/>
          <w:szCs w:val="17"/>
          <w:color w:val="auto"/>
        </w:rPr>
        <w:t>The Board recognizes that executive compensation is an important matter for our Unitholders. As described in detail in the “Executive Compensation” section and elsewhere in this proxy statement, the Compensation Committee is tasked with the implementation of our executive compensation philosophy, and the core of that philosophy has been, and continues to be, to pay our executive officers based on performance. In particular, the Compensation Committee strives to attract, retain and motivate exceptional executives, to reward past performance measured against established goals and provide incentives for future performance, and to align executives’ long-term interests with the interests of our Unitholders. To do so, the Compensation Committee uses a combination of short- and long-term incentive compensation to reward near-term performance and to encourage executives’ commitment to our long-range, strategic business goals. It is the intention of the Compensation Committee that our executive officers be compensated competitively and consistently with our strategy, sound corporate governance principles and Unitholder interests and concerns.</w:t>
      </w:r>
    </w:p>
    <w:p>
      <w:pPr>
        <w:spacing w:after="0" w:line="34"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As described in the Compensation Discussion and Analysis section of this proxy statement, we believe our compensation program is effective, appropriate and strongly aligned with the long-term interests of our Unitholders and that the total compensation provided to the Named Executive Officers (including potential payouts upon a termination or change of control) is reasonable and not excessive. As you consider this Proposal 3, we urge you to read the Compensation Discussion and Analysis section of this proxy statement for additional details on executive compensation, including the more detailed information about our compensation philosophy and objectives, and to review the tabular disclosures regarding Named Executive Officer compensation together with the accompanying narrative disclosures in the Executive Compensation section of this proxy statement.</w:t>
      </w:r>
    </w:p>
    <w:p>
      <w:pPr>
        <w:spacing w:after="0" w:line="44"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The Dodd-Frank Wall Street Reform and Consumer Protection Act of 2010, as well as Section 14A of the Exchange Act, and the rules promulgated thereunder, provides our Unitholders with the opportunity to express their views, on an advisory basis, on the compensation of the Named Executive Officers. In accordance with the preference expressed by our Unitholders at our 2024 Annual Meeting, the Board determined in 2024 that we would provide this opportunity annually until the next advisory vote on the frequency of future advisory votes to approve the compensation of our Named Executive Officers, which will occur at the 2030 Annual Meeting. This vote is not intended to address any specific item of compensation, but rather the overall compensation of the Named Executive Officers and the philosophy, policies and practices described in this proxy statement.</w:t>
      </w:r>
    </w:p>
    <w:p>
      <w:pPr>
        <w:spacing w:after="0" w:line="44" w:lineRule="exact"/>
        <w:rPr>
          <w:sz w:val="20"/>
          <w:szCs w:val="20"/>
          <w:color w:val="auto"/>
        </w:rPr>
      </w:pPr>
    </w:p>
    <w:p>
      <w:pPr>
        <w:ind w:left="1260" w:right="499" w:firstLine="360"/>
        <w:spacing w:after="0" w:line="272" w:lineRule="auto"/>
        <w:rPr>
          <w:sz w:val="20"/>
          <w:szCs w:val="20"/>
          <w:color w:val="auto"/>
        </w:rPr>
      </w:pPr>
      <w:r>
        <w:rPr>
          <w:rFonts w:ascii="Arial" w:cs="Arial" w:eastAsia="Arial" w:hAnsi="Arial"/>
          <w:sz w:val="17"/>
          <w:szCs w:val="17"/>
          <w:color w:val="auto"/>
        </w:rPr>
        <w:t>As an advisory vote, this Proposal 3 is not binding on the Board or the Compensation Committee, will not overrule any decisions made by the Board or the Compensation Committee or require the Board or the Compensation Committee to take any action. Although the vote is non-binding, the Board and the Compensation Committee value the opinions of our Unitholders and will carefully consider the outcome of the vote when making future compensation decisions for executive officers. In particular, to the extent there is any significant vote against the Named Executive Officers’ compensation as disclosed in this proxy statement, we will consider our Unitholders’ concerns, and the Compensation Committee will evaluate whether any actions are necessary to address those concerns.</w:t>
      </w:r>
    </w:p>
    <w:p>
      <w:pPr>
        <w:spacing w:after="0" w:line="23" w:lineRule="exact"/>
        <w:rPr>
          <w:sz w:val="20"/>
          <w:szCs w:val="20"/>
          <w:color w:val="auto"/>
        </w:rPr>
      </w:pPr>
    </w:p>
    <w:p>
      <w:pPr>
        <w:ind w:left="1260" w:right="679" w:firstLine="360"/>
        <w:spacing w:after="0" w:line="287" w:lineRule="auto"/>
        <w:rPr>
          <w:sz w:val="20"/>
          <w:szCs w:val="20"/>
          <w:color w:val="auto"/>
        </w:rPr>
      </w:pPr>
      <w:r>
        <w:rPr>
          <w:rFonts w:ascii="Arial" w:cs="Arial" w:eastAsia="Arial" w:hAnsi="Arial"/>
          <w:sz w:val="18"/>
          <w:szCs w:val="18"/>
          <w:color w:val="auto"/>
        </w:rPr>
        <w:t>For the reasons set forth above, the following resolution will be submitted for approval at the PAA Annual Meeting:</w:t>
      </w:r>
    </w:p>
    <w:p>
      <w:pPr>
        <w:spacing w:after="0" w:line="18"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compensation paid to the Named Executive Officers during and with respect to the calendar year ended December 31, 2025, as disclosed pursuant to Item 402 of Regulation S-K in PAA’s proxy statement for its 2026 Annual Meeting of Unitholders, including the Compensation Discussion and Analysis, compensation tables and accompanying narrative discussion, is hereby approved.”</w:t>
      </w:r>
    </w:p>
    <w:p>
      <w:pPr>
        <w:spacing w:after="0" w:line="35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OTHER MATTERS FOR THE PAA ANNUAL MEETING</w:t>
      </w:r>
    </w:p>
    <w:p>
      <w:pPr>
        <w:spacing w:after="0" w:line="158" w:lineRule="exact"/>
        <w:rPr>
          <w:sz w:val="20"/>
          <w:szCs w:val="20"/>
          <w:color w:val="auto"/>
        </w:rPr>
      </w:pPr>
    </w:p>
    <w:p>
      <w:pPr>
        <w:ind w:left="1260" w:right="519" w:firstLine="360"/>
        <w:spacing w:after="0" w:line="246" w:lineRule="auto"/>
        <w:rPr>
          <w:sz w:val="20"/>
          <w:szCs w:val="20"/>
          <w:color w:val="auto"/>
        </w:rPr>
      </w:pPr>
      <w:r>
        <w:rPr>
          <w:rFonts w:ascii="Arial" w:cs="Arial" w:eastAsia="Arial" w:hAnsi="Arial"/>
          <w:sz w:val="18"/>
          <w:szCs w:val="18"/>
          <w:color w:val="auto"/>
        </w:rPr>
        <w:t>We know of no matters to be acted upon at the PAA Annual Meeting other than the proposals included in the accompanying notice and described in this proxy statement. If any other matter requiring a vote of Unitholders arises, including a question of adjourning the PAA Annual Meeting, the persons named as proxies in the proxy card will have the discretion to vote thereon according to their best judgment of what they consider to be in the best interests of PAA. The proxy card confers discretionary authority to take action with respect to any additional matters that may come before the meeting or any adjournment thereof.</w:t>
      </w:r>
    </w:p>
    <w:p>
      <w:pPr>
        <w:spacing w:after="0" w:line="175" w:lineRule="exact"/>
        <w:rPr>
          <w:sz w:val="20"/>
          <w:szCs w:val="20"/>
          <w:color w:val="auto"/>
        </w:rPr>
      </w:pPr>
    </w:p>
    <w:p>
      <w:pPr>
        <w:ind w:left="1420"/>
        <w:spacing w:after="0"/>
        <w:rPr>
          <w:sz w:val="20"/>
          <w:szCs w:val="20"/>
          <w:color w:val="auto"/>
        </w:rPr>
      </w:pPr>
      <w:r>
        <w:rPr>
          <w:rFonts w:ascii="Arial" w:cs="Arial" w:eastAsia="Arial" w:hAnsi="Arial"/>
          <w:sz w:val="17"/>
          <w:szCs w:val="17"/>
          <w:b w:val="1"/>
          <w:bCs w:val="1"/>
          <w:color w:val="auto"/>
        </w:rPr>
        <w:t>DIRECTOR NOMINATIONS AND UNITHOLDER PROPOSALS FOR THE 2027 ANNUAL MEETING</w:t>
      </w:r>
    </w:p>
    <w:p>
      <w:pPr>
        <w:spacing w:after="0" w:line="23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PAGP GP Director Nominations</w:t>
      </w:r>
    </w:p>
    <w:p>
      <w:pPr>
        <w:spacing w:after="0" w:line="158" w:lineRule="exact"/>
        <w:rPr>
          <w:sz w:val="20"/>
          <w:szCs w:val="20"/>
          <w:color w:val="auto"/>
        </w:rPr>
      </w:pPr>
    </w:p>
    <w:p>
      <w:pPr>
        <w:ind w:left="1260" w:right="519" w:firstLine="360"/>
        <w:spacing w:after="0" w:line="256" w:lineRule="auto"/>
        <w:rPr>
          <w:sz w:val="20"/>
          <w:szCs w:val="20"/>
          <w:color w:val="auto"/>
        </w:rPr>
      </w:pPr>
      <w:r>
        <w:rPr>
          <w:rFonts w:ascii="Arial" w:cs="Arial" w:eastAsia="Arial" w:hAnsi="Arial"/>
          <w:sz w:val="17"/>
          <w:szCs w:val="17"/>
          <w:color w:val="auto"/>
        </w:rPr>
        <w:t>Pursuant to Section 13.13 of our partnership agreement, any eligible Unitholder who owns common units or Series A preferred units equal in number to 10% or more of the outstanding Class A, Class B and Class C shares of PAGP, taken together as a single class, is entitled to direct our general partner to cause us to nominate one person for election as a PAGP Eligible Director in accordance with Section 13.4(c)(ii) of PAGP’s partnership agreement. Eligible Unitholders who wish to submit a director nomination for our 2027 annual meeting must deliver written notice thereof to our principal executive offices in care of the Corporate Secretary by mail to 333 Clay Street, Suite 1600, Houston, Texas 77002 no later than the close of business on February 18, 2027, nor earlier than the close of business on January 19, 2027. In the event that the date of the 2027 annual meeting is changed by more than</w:t>
      </w:r>
    </w:p>
    <w:p>
      <w:pPr>
        <w:spacing w:after="0" w:line="4" w:lineRule="exact"/>
        <w:rPr>
          <w:sz w:val="20"/>
          <w:szCs w:val="20"/>
          <w:color w:val="auto"/>
        </w:rPr>
      </w:pPr>
    </w:p>
    <w:p>
      <w:pPr>
        <w:ind w:left="1260" w:right="519"/>
        <w:spacing w:after="0" w:line="244" w:lineRule="auto"/>
        <w:rPr>
          <w:sz w:val="20"/>
          <w:szCs w:val="20"/>
          <w:color w:val="auto"/>
        </w:rPr>
      </w:pPr>
      <w:r>
        <w:rPr>
          <w:rFonts w:ascii="Arial" w:cs="Arial" w:eastAsia="Arial" w:hAnsi="Arial"/>
          <w:sz w:val="18"/>
          <w:szCs w:val="18"/>
          <w:color w:val="auto"/>
        </w:rPr>
        <w:t>30 days before or more than 60 days after the one-year anniversary of the 2026 annual meeting, Unitholder notice of a director nomination must be received no earlier than the close of business on the 120th day prior to the 2027 annual meeting and not later than the close of business on the date that is the later of the (i) 90th day prior to the 2027 annual meeting or (ii) if the first public announcement of the 2027 annual meeting is less than 100 days prior to such meeting, the 10th day following the day on which public announcement of the date of the 2027 annual meeting is first made.</w:t>
      </w:r>
    </w:p>
    <w:p>
      <w:pPr>
        <w:spacing w:after="0" w:line="110" w:lineRule="exact"/>
        <w:rPr>
          <w:sz w:val="20"/>
          <w:szCs w:val="20"/>
          <w:color w:val="auto"/>
        </w:rPr>
      </w:pPr>
    </w:p>
    <w:p>
      <w:pPr>
        <w:ind w:left="1260" w:right="419" w:firstLine="360"/>
        <w:spacing w:after="0" w:line="244" w:lineRule="auto"/>
        <w:rPr>
          <w:sz w:val="20"/>
          <w:szCs w:val="20"/>
          <w:color w:val="auto"/>
        </w:rPr>
      </w:pPr>
      <w:r>
        <w:rPr>
          <w:rFonts w:ascii="Arial" w:cs="Arial" w:eastAsia="Arial" w:hAnsi="Arial"/>
          <w:sz w:val="18"/>
          <w:szCs w:val="18"/>
          <w:color w:val="auto"/>
        </w:rPr>
        <w:t>The written notice must comply with Section 13.13 of our partnership agreement and the procedures set forth in Section 13.4(c)(ii) of PAGP’s partnership agreement, including the informational requirements included in Section 13.4(c)(ii)(A)(3). We will not consider any nomination at the PAA Annual Meeting that does not meet the requirements set forth in our partnership agreement and PAGP’s partnership agreement. Our partnership agreement is filed as Exhibit 3.1 to our Current Report on Form 8-K filed on October 12, 2017, and PAGP’s partnership agreement is filed as Exhibit 3.2 to our Current Report on Form 8-K filed on November 21, 2016, as amended by Amendment No. 1, filed as Exhibit 3.1 to PAGP’s Current Report on Form 8-K filed on April 9, 2020.</w:t>
      </w:r>
    </w:p>
    <w:p>
      <w:pPr>
        <w:spacing w:after="0" w:line="112"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In addition to satisfying the requirements under our partnership agreement and PAGP’s partnership agreement as described in the immediately preceding paragraph, to comply with the universal proxy rules under the Exchange Act, any eligible Unitholder who intends to solicit proxies in support of director nominees other than our nominees must provide written notice that sets forth the information required by Rule 14a-19 under the Exchange Act no later than March 20, 2027. However, if the date of the 2027 annual meeting is more than 30 days before or after the anniversary of the date of the 2026 annual meeting, then such written notice must be delivered by the later of (i) the 10th day following the public announcement of the date of the 2027 annual meeting is first made and (ii) the date that is 60 days prior to the date of the 2027 annual meeting.</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Unitholder Proposals</w:t>
      </w:r>
    </w:p>
    <w:p>
      <w:pPr>
        <w:spacing w:after="0" w:line="144"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7"/>
          <w:szCs w:val="17"/>
          <w:color w:val="auto"/>
        </w:rPr>
        <w:t>Any Unitholder who, in accordance with Rule 14a-8 under the Exchange Act, wishes to submit a proposal for inclusion in our proxy statement for the 2027 annual meeting must submit their proposal in writing, along with proof of eligibility, to our principal executive offices in care of the Corporate Secretary at 333 Clay Street, Suite 1600, Houston, Texas 77002. Proposal submissions must be received no later than December 11, 2026 to be considered timely. SEC rules set forth standards as to what proposals are required to be included in a proxy statement for a meeting. In no event are Unitholders allowed to vote on matters that would cause the Unitholders to be deemed to take part in the management and</w:t>
      </w:r>
    </w:p>
    <w:p>
      <w:pPr>
        <w:spacing w:after="0" w:line="35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639"/>
        <w:spacing w:after="0" w:line="318" w:lineRule="auto"/>
        <w:rPr>
          <w:sz w:val="20"/>
          <w:szCs w:val="20"/>
          <w:color w:val="auto"/>
        </w:rPr>
      </w:pPr>
      <w:r>
        <w:rPr>
          <w:rFonts w:ascii="Arial" w:cs="Arial" w:eastAsia="Arial" w:hAnsi="Arial"/>
          <w:sz w:val="17"/>
          <w:szCs w:val="17"/>
          <w:color w:val="auto"/>
        </w:rPr>
        <w:t>control of our business and affairs so as to jeopardize such Unitholder’s limited liability under the Delaware limited partnership act or the law of any other state in which we are qualified to do business.</w:t>
      </w:r>
    </w:p>
    <w:p>
      <w:pPr>
        <w:spacing w:after="0" w:line="130"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HOUSEHOLDING MATTERS</w:t>
      </w:r>
    </w:p>
    <w:p>
      <w:pPr>
        <w:spacing w:after="0" w:line="158"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In some cases, Unitholders who share a single address will receive only one annual report and one proxy statement at that address unless we have received instructions to the contrary from any Unitholder at that address. This practice, known as “householding,” is designed to reduce our printing and postage costs. However, if a Unitholder of record residing at such an address wishes to receive a separate copy of our annual report or proxy statement or future annual reports or proxy statements (as applicable), he or she may contact our Corporate Secretary at (713) 646-4100, or write to Plains All American Pipeline, L.P., 333 Clay Street, Suite 1600, Houston, Texas 77002, attention: Corporate Secretary. We will deliver separate copies of our annual report or proxy statement promptly upon written or oral request. If you are a Unitholder of record receiving multiple copies of our annual report or proxy statement, you can request householding by contacting us in the same manner. If you own your Units through a bank, broker or other Unitholder of record, you can request additional copies of the annual report or proxy statement or request householding by contacting the Unitholder of record (i.e., your bank or broker).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92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8595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31965" cy="885952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1."/>
      <w:numFmt w:val="decimal"/>
      <w:start w:val="1"/>
    </w:lvl>
  </w:abstractNum>
  <w:abstractNum w:abstractNumId="5">
    <w:nsid w:val="153EA438"/>
    <w:multiLevelType w:val="hybridMultilevel"/>
    <w:lvl w:ilvl="0">
      <w:lvlJc w:val="left"/>
      <w:lvlText w:val="%1:"/>
      <w:numFmt w:val="upperLetter"/>
      <w:start w:val="1"/>
    </w:lvl>
  </w:abstractNum>
  <w:abstractNum w:abstractNumId="6">
    <w:nsid w:val="3855585C"/>
    <w:multiLevelType w:val="hybridMultilevel"/>
    <w:lvl w:ilvl="0">
      <w:lvlJc w:val="left"/>
      <w:lvlText w:val="%1:"/>
      <w:numFmt w:val="upperLetter"/>
      <w:start w:val="1"/>
    </w:lvl>
    <w:lvl w:ilvl="1">
      <w:lvlJc w:val="left"/>
      <w:lvlText w:val="•"/>
      <w:numFmt w:val="bullet"/>
      <w:start w:val="1"/>
    </w:lvl>
  </w:abstractNum>
  <w:abstractNum w:abstractNumId="7">
    <w:nsid w:val="70A64E2A"/>
    <w:multiLevelType w:val="hybridMultilevel"/>
    <w:lvl w:ilvl="0">
      <w:lvlJc w:val="left"/>
      <w:lvlText w:val="%1:"/>
      <w:numFmt w:val="upperLetter"/>
      <w:start w:val="1"/>
    </w:lvl>
  </w:abstractNum>
  <w:abstractNum w:abstractNumId="8">
    <w:nsid w:val="6A2342EC"/>
    <w:multiLevelType w:val="hybridMultilevel"/>
    <w:lvl w:ilvl="0">
      <w:lvlJc w:val="left"/>
      <w:lvlText w:val="%1:"/>
      <w:numFmt w:val="upperLetter"/>
      <w:start w:val="1"/>
    </w:lvl>
  </w:abstractNum>
  <w:abstractNum w:abstractNumId="9">
    <w:nsid w:val="2A487CB0"/>
    <w:multiLevelType w:val="hybridMultilevel"/>
    <w:lvl w:ilvl="0">
      <w:lvlJc w:val="left"/>
      <w:lvlText w:val="%1:"/>
      <w:numFmt w:val="upperLetter"/>
      <w:start w:val="1"/>
    </w:lvl>
  </w:abstractNum>
  <w:abstractNum w:abstractNumId="10">
    <w:nsid w:val="1D4ED43B"/>
    <w:multiLevelType w:val="hybridMultilevel"/>
    <w:lvl w:ilvl="0">
      <w:lvlJc w:val="left"/>
      <w:lvlText w:val="%1:"/>
      <w:numFmt w:val="upperLetter"/>
      <w:start w:val="17"/>
    </w:lvl>
  </w:abstractNum>
  <w:abstractNum w:abstractNumId="11">
    <w:nsid w:val="725A06FB"/>
    <w:multiLevelType w:val="hybridMultilevel"/>
    <w:lvl w:ilvl="0">
      <w:lvlJc w:val="left"/>
      <w:lvlText w:val="%1:"/>
      <w:numFmt w:val="upperLetter"/>
      <w:start w:val="1"/>
    </w:lvl>
  </w:abstractNum>
  <w:abstractNum w:abstractNumId="12">
    <w:nsid w:val="2CD89A32"/>
    <w:multiLevelType w:val="hybridMultilevel"/>
    <w:lvl w:ilvl="0">
      <w:lvlJc w:val="left"/>
      <w:lvlText w:val="%1:"/>
      <w:numFmt w:val="upperLetter"/>
      <w:start w:val="1"/>
    </w:lvl>
    <w:lvl w:ilvl="1">
      <w:lvlJc w:val="left"/>
      <w:lvlText w:val="•"/>
      <w:numFmt w:val="bullet"/>
      <w:start w:val="1"/>
    </w:lvl>
  </w:abstractNum>
  <w:abstractNum w:abstractNumId="13">
    <w:nsid w:val="57E4CCAF"/>
    <w:multiLevelType w:val="hybridMultilevel"/>
    <w:lvl w:ilvl="0">
      <w:lvlJc w:val="left"/>
      <w:lvlText w:val="%1:"/>
      <w:numFmt w:val="upperLetter"/>
      <w:start w:val="1"/>
    </w:lvl>
    <w:lvl w:ilvl="1">
      <w:lvlJc w:val="left"/>
      <w:lvlText w:val="•"/>
      <w:numFmt w:val="bullet"/>
      <w:start w:val="1"/>
    </w:lvl>
  </w:abstractNum>
  <w:abstractNum w:abstractNumId="14">
    <w:nsid w:val="7A6D8D3C"/>
    <w:multiLevelType w:val="hybridMultilevel"/>
    <w:lvl w:ilvl="0">
      <w:lvlJc w:val="left"/>
      <w:lvlText w:val="%1:"/>
      <w:numFmt w:val="upperLetter"/>
      <w:start w:val="1"/>
    </w:lvl>
  </w:abstractNum>
  <w:abstractNum w:abstractNumId="15">
    <w:nsid w:val="4B588F54"/>
    <w:multiLevelType w:val="hybridMultilevel"/>
    <w:lvl w:ilvl="0">
      <w:lvlJc w:val="left"/>
      <w:lvlText w:val="%1:"/>
      <w:numFmt w:val="upperLetter"/>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1:"/>
      <w:numFmt w:val="upperLetter"/>
      <w:start w:val="17"/>
    </w:lvl>
  </w:abstractNum>
  <w:abstractNum w:abstractNumId="18">
    <w:nsid w:val="38437FDB"/>
    <w:multiLevelType w:val="hybridMultilevel"/>
    <w:lvl w:ilvl="0">
      <w:lvlJc w:val="left"/>
      <w:lvlText w:val="%1:"/>
      <w:numFmt w:val="upperLetter"/>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1:"/>
      <w:numFmt w:val="upperLetter"/>
      <w:start w:val="1"/>
    </w:lvl>
  </w:abstractNum>
  <w:abstractNum w:abstractNumId="23">
    <w:nsid w:val="749ABB43"/>
    <w:multiLevelType w:val="hybridMultilevel"/>
    <w:lvl w:ilvl="0">
      <w:lvlJc w:val="left"/>
      <w:lvlText w:val="%1:"/>
      <w:numFmt w:val="upperLetter"/>
      <w:start w:val="1"/>
    </w:lvl>
  </w:abstractNum>
  <w:abstractNum w:abstractNumId="24">
    <w:nsid w:val="3DC240FB"/>
    <w:multiLevelType w:val="hybridMultilevel"/>
    <w:lvl w:ilvl="0">
      <w:lvlJc w:val="left"/>
      <w:lvlText w:val="%1:"/>
      <w:numFmt w:val="upperLetter"/>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1"/>
      <w:numFmt w:val="decimal"/>
      <w:start w:val="1"/>
    </w:lvl>
    <w:lvl w:ilvl="1">
      <w:lvlJc w:val="left"/>
      <w:lvlText w:val="•"/>
      <w:numFmt w:val="bullet"/>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1"/>
      <w:numFmt w:val="bullet"/>
      <w:start w:val="1"/>
    </w:lvl>
  </w:abstractNum>
  <w:abstractNum w:abstractNumId="34">
    <w:nsid w:val="649BB77C"/>
    <w:multiLevelType w:val="hybridMultilevel"/>
    <w:lvl w:ilvl="0">
      <w:lvlJc w:val="left"/>
      <w:lvlText w:val="•"/>
      <w:numFmt w:val="bullet"/>
      <w:start w:val="1"/>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
      <w:numFmt w:val="bullet"/>
      <w:start w:val="1"/>
    </w:lvl>
    <w:lvl w:ilvl="1">
      <w:lvlJc w:val="left"/>
      <w:lvlText w:val="(%2)"/>
      <w:numFmt w:val="decimal"/>
      <w:start w:val="1"/>
    </w:lvl>
  </w:abstractNum>
  <w:abstractNum w:abstractNumId="38">
    <w:nsid w:val="180115BE"/>
    <w:multiLevelType w:val="hybridMultilevel"/>
    <w:lvl w:ilvl="0">
      <w:lvlJc w:val="left"/>
      <w:lvlText w:val="•"/>
      <w:numFmt w:val="bullet"/>
      <w:start w:val="1"/>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1)"/>
      <w:numFmt w:val="decimal"/>
      <w:start w:val="1"/>
    </w:lvl>
  </w:abstractNum>
  <w:abstractNum w:abstractNumId="41">
    <w:nsid w:val="354FE9F9"/>
    <w:multiLevelType w:val="hybridMultilevel"/>
    <w:lvl w:ilvl="0">
      <w:lvlJc w:val="left"/>
      <w:lvlText w:val="•"/>
      <w:numFmt w:val="bullet"/>
      <w:start w:val="1"/>
    </w:lvl>
  </w:abstractNum>
  <w:abstractNum w:abstractNumId="42">
    <w:nsid w:val="15B5AF5C"/>
    <w:multiLevelType w:val="hybridMultilevel"/>
    <w:lvl w:ilvl="0">
      <w:lvlJc w:val="left"/>
      <w:lvlText w:val="(%1)"/>
      <w:numFmt w:val="decimal"/>
      <w:start w:val="1"/>
    </w:lvl>
  </w:abstractNum>
  <w:abstractNum w:abstractNumId="43">
    <w:nsid w:val="741226BB"/>
    <w:multiLevelType w:val="hybridMultilevel"/>
    <w:lvl w:ilvl="0">
      <w:lvlJc w:val="left"/>
      <w:lvlText w:val="(%1)"/>
      <w:numFmt w:val="decimal"/>
      <w:start w:val="1"/>
    </w:lvl>
  </w:abstractNum>
  <w:abstractNum w:abstractNumId="44">
    <w:nsid w:val="D34B6A8"/>
    <w:multiLevelType w:val="hybridMultilevel"/>
    <w:lvl w:ilvl="0">
      <w:lvlJc w:val="left"/>
      <w:lvlText w:val="(%1)"/>
      <w:numFmt w:val="lowerRoman"/>
      <w:start w:val="1"/>
    </w:lvl>
  </w:abstractNum>
  <w:abstractNum w:abstractNumId="45">
    <w:nsid w:val="10233C99"/>
    <w:multiLevelType w:val="hybridMultilevel"/>
    <w:lvl w:ilvl="0">
      <w:lvlJc w:val="left"/>
      <w:lvlText w:val="•"/>
      <w:numFmt w:val="bullet"/>
      <w:start w:val="1"/>
    </w:lvl>
    <w:lvl w:ilvl="1">
      <w:lvlJc w:val="left"/>
      <w:lvlText w:val="•"/>
      <w:numFmt w:val="bullet"/>
      <w:start w:val="1"/>
    </w:lvl>
  </w:abstractNum>
  <w:abstractNum w:abstractNumId="46">
    <w:nsid w:val="3F6AB60F"/>
    <w:multiLevelType w:val="hybridMultilevel"/>
    <w:lvl w:ilvl="0">
      <w:lvlJc w:val="left"/>
      <w:lvlText w:val="•"/>
      <w:numFmt w:val="bullet"/>
      <w:start w:val="1"/>
    </w:lvl>
  </w:abstractNum>
  <w:abstractNum w:abstractNumId="47">
    <w:nsid w:val="61574095"/>
    <w:multiLevelType w:val="hybridMultilevel"/>
    <w:lvl w:ilvl="0">
      <w:lvlJc w:val="left"/>
      <w:lvlText w:val="(%1)"/>
      <w:numFmt w:val="decimal"/>
      <w:start w:val="1"/>
    </w:lvl>
  </w:abstractNum>
  <w:abstractNum w:abstractNumId="48">
    <w:nsid w:val="7E0C57B1"/>
    <w:multiLevelType w:val="hybridMultilevel"/>
    <w:lvl w:ilvl="0">
      <w:lvlJc w:val="left"/>
      <w:lvlText w:val="(%1)"/>
      <w:numFmt w:val="decimal"/>
      <w:start w:val="3"/>
    </w:lvl>
  </w:abstractNum>
  <w:abstractNum w:abstractNumId="49">
    <w:nsid w:val="77AE35EB"/>
    <w:multiLevelType w:val="hybridMultilevel"/>
    <w:lvl w:ilvl="0">
      <w:lvlJc w:val="left"/>
      <w:lvlText w:val="(%1)"/>
      <w:numFmt w:val="decimal"/>
      <w:start w:val="1"/>
    </w:lvl>
  </w:abstractNum>
  <w:abstractNum w:abstractNumId="50">
    <w:nsid w:val="579BE4F1"/>
    <w:multiLevelType w:val="hybridMultilevel"/>
    <w:lvl w:ilvl="0">
      <w:lvlJc w:val="left"/>
      <w:lvlText w:val="(%1)"/>
      <w:numFmt w:val="decimal"/>
      <w:start w:val="5"/>
    </w:lvl>
  </w:abstractNum>
  <w:abstractNum w:abstractNumId="51">
    <w:nsid w:val="310C50B3"/>
    <w:multiLevelType w:val="hybridMultilevel"/>
    <w:lvl w:ilvl="0">
      <w:lvlJc w:val="left"/>
      <w:lvlText w:val="(%1)"/>
      <w:numFmt w:val="decimal"/>
      <w:start w:val="1"/>
    </w:lvl>
  </w:abstractNum>
  <w:abstractNum w:abstractNumId="52">
    <w:nsid w:val="5FF87E05"/>
    <w:multiLevelType w:val="hybridMultilevel"/>
    <w:lvl w:ilvl="0">
      <w:lvlJc w:val="left"/>
      <w:lvlText w:val="(%1)"/>
      <w:numFmt w:val="decimal"/>
      <w:start w:val="3"/>
    </w:lvl>
  </w:abstractNum>
  <w:abstractNum w:abstractNumId="53">
    <w:nsid w:val="2F305DEF"/>
    <w:multiLevelType w:val="hybridMultilevel"/>
    <w:lvl w:ilvl="0">
      <w:lvlJc w:val="left"/>
      <w:lvlText w:val="(%1)"/>
      <w:numFmt w:val="decimal"/>
      <w:start w:val="8"/>
    </w:lvl>
  </w:abstractNum>
  <w:abstractNum w:abstractNumId="54">
    <w:nsid w:val="25A70BF7"/>
    <w:multiLevelType w:val="hybridMultilevel"/>
    <w:lvl w:ilvl="0">
      <w:lvlJc w:val="left"/>
      <w:lvlText w:val="(%1)"/>
      <w:numFmt w:val="decimal"/>
      <w:start w:val="1"/>
    </w:lvl>
  </w:abstractNum>
  <w:abstractNum w:abstractNumId="55">
    <w:nsid w:val="1DBABF00"/>
    <w:multiLevelType w:val="hybridMultilevel"/>
    <w:lvl w:ilvl="0">
      <w:lvlJc w:val="left"/>
      <w:lvlText w:val="(%1)"/>
      <w:numFmt w:val="decimal"/>
      <w:start w:val="1"/>
    </w:lvl>
  </w:abstractNum>
  <w:abstractNum w:abstractNumId="56">
    <w:nsid w:val="4AD084E9"/>
    <w:multiLevelType w:val="hybridMultilevel"/>
    <w:lvl w:ilvl="0">
      <w:lvlJc w:val="left"/>
      <w:lvlText w:val="(%1)"/>
      <w:numFmt w:val="decimal"/>
      <w:start w:val="2"/>
    </w:lvl>
  </w:abstractNum>
  <w:abstractNum w:abstractNumId="57">
    <w:nsid w:val="1F48EAA1"/>
    <w:multiLevelType w:val="hybridMultilevel"/>
    <w:lvl w:ilvl="0">
      <w:lvlJc w:val="left"/>
      <w:lvlText w:val="(%1)"/>
      <w:numFmt w:val="decimal"/>
      <w:start w:val="4"/>
    </w:lvl>
  </w:abstractNum>
  <w:abstractNum w:abstractNumId="58">
    <w:nsid w:val="1381823A"/>
    <w:multiLevelType w:val="hybridMultilevel"/>
    <w:lvl w:ilvl="0">
      <w:lvlJc w:val="left"/>
      <w:lvlText w:val="•"/>
      <w:numFmt w:val="bullet"/>
      <w:start w:val="1"/>
    </w:lvl>
  </w:abstractNum>
  <w:abstractNum w:abstractNumId="59">
    <w:nsid w:val="5DB70AE5"/>
    <w:multiLevelType w:val="hybridMultilevel"/>
    <w:lvl w:ilvl="0">
      <w:lvlJc w:val="left"/>
      <w:lvlText w:val="•"/>
      <w:numFmt w:val="bullet"/>
      <w:start w:val="1"/>
    </w:lvl>
  </w:abstractNum>
  <w:abstractNum w:abstractNumId="60">
    <w:nsid w:val="100F8FCA"/>
    <w:multiLevelType w:val="hybridMultilevel"/>
    <w:lvl w:ilvl="0">
      <w:lvlJc w:val="left"/>
      <w:lvlText w:val="(%1)"/>
      <w:numFmt w:val="decimal"/>
      <w:start w:val="1"/>
    </w:lvl>
  </w:abstractNum>
  <w:abstractNum w:abstractNumId="61">
    <w:nsid w:val="6590700B"/>
    <w:multiLevelType w:val="hybridMultilevel"/>
    <w:lvl w:ilvl="0">
      <w:lvlJc w:val="left"/>
      <w:lvlText w:val="(%1)"/>
      <w:numFmt w:val="lowerLetter"/>
      <w:start w:val="1"/>
    </w:lvl>
  </w:abstractNum>
  <w:abstractNum w:abstractNumId="62">
    <w:nsid w:val="15014ACB"/>
    <w:multiLevelType w:val="hybridMultilevel"/>
    <w:lvl w:ilvl="0">
      <w:lvlJc w:val="left"/>
      <w:lvlText w:val="(%1)"/>
      <w:numFmt w:val="lowerLetter"/>
      <w:start w:val="1"/>
    </w:lvl>
  </w:abstractNum>
  <w:abstractNum w:abstractNumId="63">
    <w:nsid w:val="5F5E7FD0"/>
    <w:multiLevelType w:val="hybridMultilevel"/>
    <w:lvl w:ilvl="0">
      <w:lvlJc w:val="left"/>
      <w:lvlText w:val="(%1)"/>
      <w:numFmt w:val="lowerLetter"/>
      <w:start w:val="1"/>
    </w:lvl>
  </w:abstractNum>
  <w:abstractNum w:abstractNumId="64">
    <w:nsid w:val="98A3148"/>
    <w:multiLevelType w:val="hybridMultilevel"/>
    <w:lvl w:ilvl="0">
      <w:lvlJc w:val="left"/>
      <w:lvlText w:val="(%1)"/>
      <w:numFmt w:val="lowerLetter"/>
      <w:start w:val="1"/>
    </w:lvl>
  </w:abstractNum>
  <w:abstractNum w:abstractNumId="65">
    <w:nsid w:val="799D0247"/>
    <w:multiLevelType w:val="hybridMultilevel"/>
    <w:lvl w:ilvl="0">
      <w:lvlJc w:val="left"/>
      <w:lvlText w:val="(%1)"/>
      <w:numFmt w:val="decimal"/>
      <w:start w:val="1"/>
    </w:lvl>
  </w:abstractNum>
  <w:abstractNum w:abstractNumId="66">
    <w:nsid w:val="6B94764"/>
    <w:multiLevelType w:val="hybridMultilevel"/>
    <w:lvl w:ilvl="0">
      <w:lvlJc w:val="left"/>
      <w:lvlText w:val="*"/>
      <w:numFmt w:val="bullet"/>
      <w:start w:val="1"/>
    </w:lvl>
  </w:abstractNum>
  <w:abstractNum w:abstractNumId="67">
    <w:nsid w:val="42C296BD"/>
    <w:multiLevelType w:val="hybridMultilevel"/>
    <w:lvl w:ilvl="0">
      <w:lvlJc w:val="left"/>
      <w:lvlText w:val="**"/>
      <w:numFmt w:val="bullet"/>
      <w:start w:val="1"/>
    </w:lvl>
  </w:abstractNum>
  <w:abstractNum w:abstractNumId="68">
    <w:nsid w:val="168E121F"/>
    <w:multiLevelType w:val="hybridMultilevel"/>
    <w:lvl w:ilvl="0">
      <w:lvlJc w:val="left"/>
      <w:lvlText w:val="(%1)"/>
      <w:numFmt w:val="decimal"/>
      <w:start w:val="1"/>
    </w:lvl>
  </w:abstractNum>
  <w:abstractNum w:abstractNumId="69">
    <w:nsid w:val="1EBA5D23"/>
    <w:multiLevelType w:val="hybridMultilevel"/>
    <w:lvl w:ilvl="0">
      <w:lvlJc w:val="left"/>
      <w:lvlText w:val="*"/>
      <w:numFmt w:val="bullet"/>
      <w:start w:val="1"/>
    </w:lvl>
  </w:abstractNum>
  <w:abstractNum w:abstractNumId="70">
    <w:nsid w:val="661E3F1E"/>
    <w:multiLevelType w:val="hybridMultilevel"/>
    <w:lvl w:ilvl="0">
      <w:lvlJc w:val="left"/>
      <w:lvlText w:val="*"/>
      <w:numFmt w:val="bullet"/>
      <w:start w:val="1"/>
    </w:lvl>
  </w:abstractNum>
  <w:abstractNum w:abstractNumId="71">
    <w:nsid w:val="5DC79EA8"/>
    <w:multiLevelType w:val="hybridMultilevel"/>
    <w:lvl w:ilvl="0">
      <w:lvlJc w:val="left"/>
      <w:lvlText w:val="(%1)"/>
      <w:numFmt w:val="decimal"/>
      <w:start w:val="1"/>
    </w:lvl>
  </w:abstractNum>
  <w:abstractNum w:abstractNumId="72">
    <w:nsid w:val="540A471C"/>
    <w:multiLevelType w:val="hybridMultilevel"/>
    <w:lvl w:ilvl="0">
      <w:lvlJc w:val="left"/>
      <w:lvlText w:val="(%1)"/>
      <w:numFmt w:val="decimal"/>
      <w:start w:val="1"/>
    </w:lvl>
    <w:lvl w:ilvl="1">
      <w:lvlJc w:val="left"/>
      <w:lvlText w:val="(%2)"/>
      <w:numFmt w:val="lowerLetter"/>
      <w:start w:val="1"/>
    </w:lvl>
  </w:abstractNum>
  <w:abstractNum w:abstractNumId="73">
    <w:nsid w:val="7BD3EE7B"/>
    <w:multiLevelType w:val="hybridMultilevel"/>
    <w:lvl w:ilvl="0">
      <w:lvlJc w:val="left"/>
      <w:lvlText w:val="(%1)"/>
      <w:numFmt w:val="lowerRoman"/>
      <w:start w:val="2"/>
    </w:lvl>
  </w:abstractNum>
  <w:abstractNum w:abstractNumId="74">
    <w:nsid w:val="51D9C564"/>
    <w:multiLevelType w:val="hybridMultilevel"/>
    <w:lvl w:ilvl="0">
      <w:lvlJc w:val="left"/>
      <w:lvlText w:val="(%1)"/>
      <w:numFmt w:val="lowerRoman"/>
      <w:start w:val="5"/>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2026-04-10T05:11:55Z</dcterms:created>
  <dcterms:modified xsi:type="dcterms:W3CDTF">2026-04-10T05:11:55Z</dcterms:modified>
</cp:coreProperties>
</file>