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32"/>
          <w:szCs w:val="32"/>
          <w:color w:val="auto"/>
        </w:rPr>
        <w:t>SCHEDULE 13G</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(Rule 13d-102)</w:t>
      </w:r>
    </w:p>
    <w:p>
      <w:pPr>
        <w:spacing w:after="0" w:line="23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INFORMATION TO BE INCLUDED</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IN STATEMENTS FILED PURSUANT</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TO RULES 13d-1(b), (c), AND</w:t>
      </w:r>
    </w:p>
    <w:p>
      <w:pPr>
        <w:spacing w:after="0" w:line="9" w:lineRule="exact"/>
        <w:rPr>
          <w:sz w:val="24"/>
          <w:szCs w:val="24"/>
          <w:color w:val="auto"/>
        </w:rPr>
      </w:pPr>
    </w:p>
    <w:p>
      <w:pPr>
        <w:jc w:val="both"/>
        <w:ind w:left="4340" w:right="4240" w:hanging="37"/>
        <w:spacing w:after="0" w:line="290" w:lineRule="auto"/>
        <w:tabs>
          <w:tab w:leader="none" w:pos="4568" w:val="left"/>
        </w:tabs>
        <w:numPr>
          <w:ilvl w:val="0"/>
          <w:numId w:val="1"/>
        </w:numPr>
        <w:rPr>
          <w:rFonts w:ascii="Arial" w:cs="Arial" w:eastAsia="Arial" w:hAnsi="Arial"/>
          <w:sz w:val="17"/>
          <w:szCs w:val="17"/>
          <w:color w:val="auto"/>
        </w:rPr>
      </w:pPr>
      <w:r>
        <w:rPr>
          <w:rFonts w:ascii="Arial" w:cs="Arial" w:eastAsia="Arial" w:hAnsi="Arial"/>
          <w:sz w:val="17"/>
          <w:szCs w:val="17"/>
          <w:color w:val="auto"/>
        </w:rPr>
        <w:t>AND AMENDMENTS THERETO FILED PURSUANT TO RULE 13d-2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Plains All American Pipeline, L.P.</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Common Units Representing Limited Partner Interests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726503105</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December 31, 2018</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33" w:lineRule="exact"/>
        <w:rPr>
          <w:sz w:val="24"/>
          <w:szCs w:val="24"/>
          <w:color w:val="auto"/>
        </w:rPr>
      </w:pPr>
    </w:p>
    <w:p>
      <w:pPr>
        <w:ind w:right="9720" w:firstLine="8"/>
        <w:spacing w:after="0" w:line="271" w:lineRule="exact"/>
        <w:tabs>
          <w:tab w:leader="none" w:pos="126"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x ] Rule 13d-1(b)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13d-1(c)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13d-1(d)</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2720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680720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41" w:right="2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2"/>
        </w:trPr>
        <w:tc>
          <w:tcPr>
            <w:tcW w:w="1400" w:type="dxa"/>
            <w:vAlign w:val="bottom"/>
            <w:tcBorders>
              <w:top w:val="single" w:sz="8" w:color="auto"/>
              <w:left w:val="single" w:sz="8" w:color="auto"/>
              <w:right w:val="single" w:sz="8" w:color="auto"/>
            </w:tcBorders>
          </w:tcPr>
          <w:p>
            <w:pPr>
              <w:spacing w:after="0"/>
              <w:rPr>
                <w:sz w:val="21"/>
                <w:szCs w:val="21"/>
                <w:color w:val="auto"/>
              </w:rPr>
            </w:pP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gridSpan w:val="5"/>
          </w:tcPr>
          <w:p>
            <w:pPr>
              <w:ind w:left="20"/>
              <w:spacing w:after="0"/>
              <w:rPr>
                <w:sz w:val="20"/>
                <w:szCs w:val="20"/>
                <w:color w:val="auto"/>
              </w:rPr>
            </w:pPr>
            <w:r>
              <w:rPr>
                <w:rFonts w:ascii="Arial" w:cs="Arial" w:eastAsia="Arial" w:hAnsi="Arial"/>
                <w:sz w:val="18"/>
                <w:szCs w:val="18"/>
                <w:color w:val="auto"/>
              </w:rPr>
              <w:t>Tortoise Capital Advisors, L.L.C.</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I.R.S. IDENTIFICATION NOS. OF ABOVE PERSONS (ENTITIES ONLY)</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9800" w:type="dxa"/>
            <w:vAlign w:val="bottom"/>
            <w:tcBorders>
              <w:bottom w:val="single" w:sz="8" w:color="auto"/>
            </w:tcBorders>
            <w:gridSpan w:val="4"/>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(b) [ X ]</w:t>
            </w:r>
          </w:p>
        </w:tc>
        <w:tc>
          <w:tcPr>
            <w:tcW w:w="5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8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46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46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20" w:type="dxa"/>
            <w:vAlign w:val="bottom"/>
            <w:tcBorders>
              <w:bottom w:val="single" w:sz="8" w:color="auto"/>
              <w:right w:val="single" w:sz="8" w:color="BFBFBF"/>
            </w:tcBorders>
            <w:shd w:val="clear" w:color="auto" w:fill="BFBFBF"/>
          </w:tcPr>
          <w:p>
            <w:pPr>
              <w:spacing w:after="0"/>
              <w:rPr>
                <w:sz w:val="23"/>
                <w:szCs w:val="23"/>
                <w:color w:val="auto"/>
              </w:rPr>
            </w:pPr>
          </w:p>
        </w:tc>
        <w:tc>
          <w:tcPr>
            <w:tcW w:w="846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9"/>
              </w:rPr>
              <w:t>Delaware</w:t>
            </w:r>
          </w:p>
        </w:tc>
        <w:tc>
          <w:tcPr>
            <w:tcW w:w="5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60" w:type="dxa"/>
            <w:vAlign w:val="bottom"/>
          </w:tcPr>
          <w:p>
            <w:pPr>
              <w:ind w:left="40"/>
              <w:spacing w:after="0"/>
              <w:rPr>
                <w:sz w:val="20"/>
                <w:szCs w:val="20"/>
                <w:color w:val="auto"/>
              </w:rPr>
            </w:pPr>
            <w:r>
              <w:rPr>
                <w:rFonts w:ascii="Arial" w:cs="Arial" w:eastAsia="Arial" w:hAnsi="Arial"/>
                <w:sz w:val="18"/>
                <w:szCs w:val="18"/>
                <w:color w:val="auto"/>
              </w:rPr>
              <w:t>1,406,514</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560" w:type="dxa"/>
            <w:vAlign w:val="bottom"/>
            <w:gridSpan w:val="2"/>
            <w:vMerge w:val="restart"/>
          </w:tcPr>
          <w:p>
            <w:pPr>
              <w:ind w:left="40"/>
              <w:spacing w:after="0"/>
              <w:rPr>
                <w:sz w:val="20"/>
                <w:szCs w:val="20"/>
                <w:color w:val="auto"/>
              </w:rPr>
            </w:pPr>
            <w:r>
              <w:rPr>
                <w:rFonts w:ascii="Arial" w:cs="Arial" w:eastAsia="Arial" w:hAnsi="Arial"/>
                <w:sz w:val="18"/>
                <w:szCs w:val="18"/>
                <w:color w:val="auto"/>
              </w:rPr>
              <w:t>32,612,856 (see Item 4)</w:t>
            </w: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56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6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6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8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continue"/>
          </w:tcPr>
          <w:p>
            <w:pPr>
              <w:spacing w:after="0"/>
              <w:rPr>
                <w:sz w:val="20"/>
                <w:szCs w:val="20"/>
                <w:color w:val="auto"/>
              </w:rPr>
            </w:pPr>
          </w:p>
        </w:tc>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1,406,514</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560" w:type="dxa"/>
            <w:vAlign w:val="bottom"/>
            <w:gridSpan w:val="2"/>
          </w:tcPr>
          <w:p>
            <w:pPr>
              <w:ind w:left="40"/>
              <w:spacing w:after="0"/>
              <w:rPr>
                <w:sz w:val="20"/>
                <w:szCs w:val="20"/>
                <w:color w:val="auto"/>
              </w:rPr>
            </w:pPr>
            <w:r>
              <w:rPr>
                <w:rFonts w:ascii="Arial" w:cs="Arial" w:eastAsia="Arial" w:hAnsi="Arial"/>
                <w:sz w:val="18"/>
                <w:szCs w:val="18"/>
                <w:color w:val="auto"/>
              </w:rPr>
              <w:t>37,475,995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40"/>
              <w:spacing w:after="0"/>
              <w:rPr>
                <w:sz w:val="20"/>
                <w:szCs w:val="20"/>
                <w:color w:val="auto"/>
              </w:rPr>
            </w:pPr>
            <w:r>
              <w:rPr>
                <w:rFonts w:ascii="Arial" w:cs="Arial" w:eastAsia="Arial" w:hAnsi="Arial"/>
                <w:sz w:val="18"/>
                <w:szCs w:val="18"/>
                <w:color w:val="auto"/>
              </w:rPr>
              <w:t>38,882,509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Not Applicable</w:t>
            </w: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w w:val="88"/>
              </w:rPr>
              <w:t>5.4% (see Item 4)</w:t>
            </w: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IA</w:t>
            </w:r>
          </w:p>
        </w:tc>
        <w:tc>
          <w:tcPr>
            <w:tcW w:w="5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3" w:right="2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Name of Issuer:</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Plains All American Pipeline, L.P.</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333 Clay Street, Suite 1600, Houston, TX 77002</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u w:val="single" w:color="auto"/>
          <w:color w:val="auto"/>
        </w:rPr>
        <w:t>Name of Person Filing:</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This 13G is being filed by Tortoise Capital Advisors, L.L.C., a Delaware limited liability company ("TCA").</w:t>
      </w:r>
    </w:p>
    <w:p>
      <w:pPr>
        <w:spacing w:after="0" w:line="2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principal business address is 11550 Ash Street, Suite 300, Leawood, Kansas 66211.</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TCA is a Delaware limited liability company.</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Units Representing Limited Partner Interests</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Number:</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726503105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Sections 240.13d-1(b) or</w:t>
      </w:r>
    </w:p>
    <w:p>
      <w:pPr>
        <w:spacing w:after="0" w:line="24"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240.13d-2(b) or (c), Check Whether the Person Filing Is a(n):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TCA is an investment adviser in accordance with Rule 13d-1(b)(1)(ii)(E).</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p>
    <w:p>
      <w:pPr>
        <w:spacing w:after="0" w:line="200" w:lineRule="exact"/>
        <w:rPr>
          <w:sz w:val="20"/>
          <w:szCs w:val="20"/>
          <w:color w:val="auto"/>
        </w:rPr>
      </w:pPr>
    </w:p>
    <w:p>
      <w:pPr>
        <w:spacing w:after="0" w:line="295"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color w:val="auto"/>
        </w:rPr>
        <w:t>TCA acts as an investment adviser to certain investment companies registered under the Investment Company Act of 1940. TCA, by virtue of investment advisory agreements</w:t>
      </w:r>
    </w:p>
    <w:p>
      <w:pPr>
        <w:ind w:right="320"/>
        <w:spacing w:after="0" w:line="250" w:lineRule="auto"/>
        <w:rPr>
          <w:sz w:val="20"/>
          <w:szCs w:val="20"/>
          <w:color w:val="auto"/>
        </w:rPr>
      </w:pPr>
      <w:r>
        <w:rPr>
          <w:rFonts w:ascii="Arial" w:cs="Arial" w:eastAsia="Arial" w:hAnsi="Arial"/>
          <w:sz w:val="18"/>
          <w:szCs w:val="18"/>
          <w:b w:val="1"/>
          <w:bCs w:val="1"/>
          <w:color w:val="auto"/>
        </w:rPr>
        <w:t>with these investment companies, has all investment and voting power over securities owned of record by these investment companies. However, despite their delegation of</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b w:val="1"/>
          <w:bCs w:val="1"/>
          <w:color w:val="auto"/>
        </w:rPr>
        <w:t>investment and voting power to TCA, these investment companies may be deemed to be the beneficial owners under Rule 13d-3 of the Act, of the securities they own of record</w:t>
      </w:r>
    </w:p>
    <w:p>
      <w:pPr>
        <w:spacing w:after="0" w:line="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b w:val="1"/>
          <w:bCs w:val="1"/>
          <w:color w:val="auto"/>
        </w:rPr>
        <w:t>because they have the right to acquire investment and voting power through termination of their investment advisory agreement with TCA. Thus, TCA has reported that it shares</w:t>
      </w:r>
    </w:p>
    <w:p>
      <w:pPr>
        <w:spacing w:after="0" w:line="1"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b w:val="1"/>
          <w:bCs w:val="1"/>
          <w:color w:val="auto"/>
        </w:rPr>
        <w:t>voting power and dispositive power over the securities owned of record by these investment companies. TCA also acts as an investment adviser to certain managed accounts. Under</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b w:val="1"/>
          <w:bCs w:val="1"/>
          <w:color w:val="auto"/>
        </w:rPr>
        <w:t>contractual agreements with these managed account clients, TCA, with respect to the securities held in these client accounts, has investment and voting power with respect to</w:t>
      </w:r>
    </w:p>
    <w:p>
      <w:pPr>
        <w:spacing w:after="0" w:line="1"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b w:val="1"/>
          <w:bCs w:val="1"/>
          <w:color w:val="auto"/>
        </w:rPr>
        <w:t>certain of these client accounts, and has investment power but no voting power with respect to certain other of these client accounts. TCA has reported that it shares voting and/or</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b w:val="1"/>
          <w:bCs w:val="1"/>
          <w:color w:val="auto"/>
        </w:rPr>
        <w:t>investment power over the securities held by these client managed accounts despite a delegation of voting and/or investment power to TCA because the clients have the right to</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acquire investment and voting power through termination of their agreements with TCA. TCA may be deemed the beneficial owner of the securities covered by this statement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 Rule 13d-3 of the Act that are held by its clients.</w:t>
      </w:r>
    </w:p>
    <w:p>
      <w:pPr>
        <w:spacing w:after="0" w:line="238" w:lineRule="exact"/>
        <w:rPr>
          <w:sz w:val="20"/>
          <w:szCs w:val="20"/>
          <w:color w:val="auto"/>
        </w:rPr>
      </w:pPr>
    </w:p>
    <w:p>
      <w:pPr>
        <w:ind w:left="1300" w:right="80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38,882,509</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5.4%</w:t>
      </w:r>
    </w:p>
    <w:p>
      <w:pPr>
        <w:spacing w:after="0" w:line="23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620" w:right="6880" w:hanging="315"/>
        <w:spacing w:after="0" w:line="277"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1,406,514</w:t>
      </w:r>
    </w:p>
    <w:p>
      <w:pPr>
        <w:spacing w:after="0" w:line="197" w:lineRule="exact"/>
        <w:rPr>
          <w:rFonts w:ascii="Arial" w:cs="Arial" w:eastAsia="Arial" w:hAnsi="Arial"/>
          <w:sz w:val="18"/>
          <w:szCs w:val="18"/>
          <w:color w:val="auto"/>
        </w:rPr>
      </w:pPr>
    </w:p>
    <w:p>
      <w:pPr>
        <w:ind w:left="1620" w:right="6700" w:hanging="315"/>
        <w:spacing w:after="0" w:line="277"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32,612,856</w:t>
      </w:r>
    </w:p>
    <w:p>
      <w:pPr>
        <w:spacing w:after="0" w:line="197" w:lineRule="exact"/>
        <w:rPr>
          <w:rFonts w:ascii="Arial" w:cs="Arial" w:eastAsia="Arial" w:hAnsi="Arial"/>
          <w:sz w:val="18"/>
          <w:szCs w:val="18"/>
          <w:color w:val="auto"/>
        </w:rPr>
      </w:pPr>
    </w:p>
    <w:p>
      <w:pPr>
        <w:ind w:left="1620" w:right="5960" w:hanging="315"/>
        <w:spacing w:after="0" w:line="277"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1,406,514</w:t>
      </w:r>
    </w:p>
    <w:p>
      <w:pPr>
        <w:spacing w:after="0" w:line="197" w:lineRule="exact"/>
        <w:rPr>
          <w:rFonts w:ascii="Arial" w:cs="Arial" w:eastAsia="Arial" w:hAnsi="Arial"/>
          <w:sz w:val="18"/>
          <w:szCs w:val="18"/>
          <w:color w:val="auto"/>
        </w:rPr>
      </w:pPr>
    </w:p>
    <w:p>
      <w:pPr>
        <w:ind w:left="1620" w:right="5780" w:hanging="315"/>
        <w:spacing w:after="0" w:line="277"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37,475,995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p>
    <w:p>
      <w:pPr>
        <w:spacing w:after="0" w:line="256" w:lineRule="exact"/>
        <w:rPr>
          <w:sz w:val="20"/>
          <w:szCs w:val="20"/>
          <w:color w:val="auto"/>
        </w:rPr>
      </w:pPr>
    </w:p>
    <w:p>
      <w:pPr>
        <w:ind w:left="980"/>
        <w:spacing w:after="0" w:line="258" w:lineRule="auto"/>
        <w:rPr>
          <w:sz w:val="20"/>
          <w:szCs w:val="20"/>
          <w:color w:val="auto"/>
        </w:rPr>
      </w:pPr>
      <w:r>
        <w:rPr>
          <w:rFonts w:ascii="Arial" w:cs="Arial" w:eastAsia="Arial" w:hAnsi="Arial"/>
          <w:sz w:val="18"/>
          <w:szCs w:val="18"/>
          <w:color w:val="auto"/>
        </w:rPr>
        <w:t>TCA's clients have the right to receive all dividends from, and the proceeds from the sale of, the securities held in their respective accounts. The interest of any one such</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person does not exceed 5% of the class of securities.</w:t>
      </w:r>
    </w:p>
    <w:p>
      <w:pPr>
        <w:spacing w:after="0" w:line="200" w:lineRule="exact"/>
        <w:rPr>
          <w:sz w:val="20"/>
          <w:szCs w:val="20"/>
          <w:color w:val="auto"/>
        </w:rPr>
      </w:pPr>
    </w:p>
    <w:p>
      <w:pPr>
        <w:spacing w:after="0" w:line="2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Identification and Classification of the Subsidiary Which Acquired the Security Being Reported on by the Parent Holding Company.</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p>
    <w:p>
      <w:pPr>
        <w:spacing w:after="0" w:line="249" w:lineRule="exact"/>
        <w:rPr>
          <w:sz w:val="20"/>
          <w:szCs w:val="20"/>
          <w:color w:val="auto"/>
        </w:rPr>
      </w:pPr>
    </w:p>
    <w:p>
      <w:pPr>
        <w:jc w:val="center"/>
        <w:ind w:right="80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w:t>
      </w:r>
    </w:p>
    <w:p>
      <w:pPr>
        <w:spacing w:after="0" w:line="249" w:lineRule="exact"/>
        <w:rPr>
          <w:sz w:val="20"/>
          <w:szCs w:val="20"/>
          <w:color w:val="auto"/>
        </w:rPr>
      </w:pPr>
    </w:p>
    <w:p>
      <w:pPr>
        <w:ind w:right="80" w:firstLine="972"/>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5" w:name="page6"/>
    <w:bookmarkEnd w:id="5"/>
    <w:p>
      <w:pPr>
        <w:jc w:val="center"/>
        <w:ind w:right="-61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972"/>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12, 2019</w:t>
      </w:r>
    </w:p>
    <w:p>
      <w:pPr>
        <w:spacing w:after="0" w:line="23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TORTOISE CAPITAL ADVISORS, L.L.C.</w:t>
      </w: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Diane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Diane Bono</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Managing Director and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0800"/>
      </w:cols>
      <w:pgMar w:left="240" w:top="111"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2020-01-09T20:00:27Z</dcterms:created>
  <dcterms:modified xsi:type="dcterms:W3CDTF">2020-01-09T20:00:27Z</dcterms:modified>
</cp:coreProperties>
</file>