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50"/>
        <w:gridCol w:w="915"/>
        <w:gridCol w:w="784"/>
        <w:gridCol w:w="661"/>
        <w:gridCol w:w="291"/>
        <w:gridCol w:w="1013"/>
        <w:gridCol w:w="435"/>
        <w:gridCol w:w="601"/>
        <w:gridCol w:w="1451"/>
        <w:gridCol w:w="98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5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9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1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5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5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03/31/2023</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181,916</w:t>
            </w:r>
          </w:p>
        </w:tc>
        <w:tc>
          <w:tcPr>
            <w:tcW w:w="4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240,820,512</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if applicable,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March 31, 2023, KAFU Holdings (QP), L.P. exercised the Redemption Right with respect to 181,916 AAP Class A units, resulting in the cancellation of such AAP Class A units and the distribution of 181,916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862</Words>
  <CharactersWithSpaces>5283</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