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314176d424b2.htm"/>
        <w:bookmarkStart w:id="1" w:name="ksd314176d424b2"/>
        <w:bookmarkEnd w:id="0"/>
        <w:bookmarkEnd w:id="1"/>
        <w:r>
          <w:rPr>
            <w:rStyle w:val="InternetLink"/>
          </w:rPr>
          <w:t>Table of Contents</w:t>
        </w:r>
      </w:hyperlink>
    </w:p>
    <w:p>
      <w:pPr>
        <w:pStyle w:val="TextBody"/>
        <w:spacing w:before="0" w:after="0"/>
        <w:rPr>
          <w:rFonts w:ascii="Arial Narrow" w:hAnsi="Arial Narrow"/>
          <w:b/>
          <w:color w:val="DE1A1E"/>
          <w:sz w:val="20"/>
        </w:rPr>
      </w:pPr>
      <w:r>
        <w:rPr>
          <w:rFonts w:ascii="Arial Narrow" w:hAnsi="Arial Narrow"/>
          <w:b/>
          <w:color w:val="DE1A1E"/>
          <w:sz w:val="20"/>
        </w:rPr>
        <w:t xml:space="preserve">The information in this preliminary prospectus supplement is not complete and may be changed. This preliminary prospectus supplement and the accompanying prospectus are not an offer to sell and are not soliciting an offer to buy these securities in any jurisdiction where the offer or sale is not permitted. </w:t>
      </w:r>
    </w:p>
    <w:p>
      <w:pPr>
        <w:pStyle w:val="TextBody"/>
        <w:spacing w:before="0" w:after="0"/>
        <w:rPr/>
      </w:pPr>
      <w:r>
        <w:rPr/>
        <w:t> </w:t>
      </w:r>
    </w:p>
    <w:p>
      <w:pPr>
        <w:pStyle w:val="TextBody"/>
        <w:spacing w:before="0" w:after="0"/>
        <w:jc w:val="right"/>
        <w:rPr>
          <w:rFonts w:ascii="Times New Roman" w:hAnsi="Times New Roman"/>
          <w:b/>
          <w:sz w:val="20"/>
        </w:rPr>
      </w:pPr>
      <w:r>
        <w:rPr>
          <w:rFonts w:ascii="Times New Roman" w:hAnsi="Times New Roman"/>
          <w:b/>
          <w:sz w:val="20"/>
        </w:rPr>
        <w:t xml:space="preserve">Filed Pursuant to Rule 424(b)(2) </w:t>
        <w:br/>
        <w:t xml:space="preserve">Registration No. 333-162475 </w:t>
      </w:r>
    </w:p>
    <w:p>
      <w:pPr>
        <w:pStyle w:val="TextBody"/>
        <w:spacing w:before="180" w:after="0"/>
        <w:jc w:val="center"/>
        <w:rPr>
          <w:rFonts w:ascii="Times New Roman" w:hAnsi="Times New Roman"/>
          <w:b/>
          <w:color w:val="DE1A1E"/>
          <w:sz w:val="20"/>
        </w:rPr>
      </w:pPr>
      <w:r>
        <w:rPr>
          <w:rFonts w:ascii="Times New Roman" w:hAnsi="Times New Roman"/>
          <w:b/>
          <w:color w:val="DE1A1E"/>
          <w:sz w:val="20"/>
        </w:rPr>
        <w:t xml:space="preserve">SUBJECT TO COMPLETION, DATED MARCH 13, 2012 </w:t>
      </w:r>
    </w:p>
    <w:p>
      <w:pPr>
        <w:pStyle w:val="TextBody"/>
        <w:spacing w:before="90" w:after="0"/>
        <w:rPr>
          <w:rFonts w:ascii="Times New Roman" w:hAnsi="Times New Roman"/>
          <w:b/>
          <w:sz w:val="20"/>
        </w:rPr>
      </w:pPr>
      <w:r>
        <w:rPr>
          <w:rFonts w:ascii="Times New Roman" w:hAnsi="Times New Roman"/>
          <w:b/>
          <w:sz w:val="20"/>
        </w:rPr>
        <w:t xml:space="preserve">PRELIMINARY PROSPECTUS SUPPLEMENT </w:t>
      </w:r>
    </w:p>
    <w:p>
      <w:pPr>
        <w:pStyle w:val="TextBody"/>
        <w:spacing w:before="0" w:after="0"/>
        <w:rPr>
          <w:rFonts w:ascii="Times New Roman" w:hAnsi="Times New Roman"/>
          <w:b/>
          <w:sz w:val="20"/>
        </w:rPr>
      </w:pPr>
      <w:r>
        <w:rPr>
          <w:rFonts w:ascii="Times New Roman" w:hAnsi="Times New Roman"/>
          <w:b/>
          <w:sz w:val="20"/>
        </w:rPr>
        <w:t xml:space="preserve">To prospectus dated October 14, 2009 </w:t>
      </w:r>
    </w:p>
    <w:p>
      <w:pPr>
        <w:pStyle w:val="TextBody"/>
        <w:spacing w:before="0" w:after="0"/>
        <w:rPr/>
      </w:pPr>
      <w:r>
        <w:rPr/>
        <w:t> </w:t>
      </w:r>
    </w:p>
    <w:p>
      <w:pPr>
        <w:pStyle w:val="TextBody"/>
        <w:spacing w:before="90" w:after="0"/>
        <w:jc w:val="center"/>
        <w:rPr/>
      </w:pPr>
      <w:r>
        <w:rPr/>
        <w:drawing>
          <wp:inline distT="0" distB="0" distL="0" distR="0">
            <wp:extent cx="1924050"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24050" cy="590550"/>
                    </a:xfrm>
                    <a:prstGeom prst="rect">
                      <a:avLst/>
                    </a:prstGeom>
                  </pic:spPr>
                </pic:pic>
              </a:graphicData>
            </a:graphic>
          </wp:inline>
        </w:drawing>
      </w:r>
      <w:r>
        <w:rPr/>
        <w:t xml:space="preserve"> </w:t>
      </w:r>
    </w:p>
    <w:p>
      <w:pPr>
        <w:pStyle w:val="TextBody"/>
        <w:spacing w:before="90" w:after="0"/>
        <w:jc w:val="center"/>
        <w:rPr>
          <w:rFonts w:ascii="Times New Roman" w:hAnsi="Times New Roman"/>
          <w:b/>
          <w:sz w:val="48"/>
        </w:rPr>
      </w:pPr>
      <w:r>
        <w:rPr>
          <w:rFonts w:ascii="Times New Roman" w:hAnsi="Times New Roman"/>
          <w:b/>
          <w:sz w:val="48"/>
        </w:rPr>
        <w:t xml:space="preserve">Plains All American Pipeline, L.P. </w:t>
      </w:r>
    </w:p>
    <w:p>
      <w:pPr>
        <w:pStyle w:val="TextBody"/>
        <w:spacing w:before="0" w:after="0"/>
        <w:jc w:val="center"/>
        <w:rPr>
          <w:rFonts w:ascii="Times New Roman" w:hAnsi="Times New Roman"/>
          <w:b/>
          <w:sz w:val="48"/>
        </w:rPr>
      </w:pPr>
      <w:r>
        <w:rPr>
          <w:rFonts w:ascii="Times New Roman" w:hAnsi="Times New Roman"/>
          <w:b/>
          <w:sz w:val="48"/>
        </w:rPr>
        <w:t xml:space="preserve">PAA Finance Corp. </w:t>
      </w:r>
    </w:p>
    <w:p>
      <w:pPr>
        <w:pStyle w:val="TextBody"/>
        <w:spacing w:before="90" w:after="0"/>
        <w:jc w:val="center"/>
        <w:rPr>
          <w:rFonts w:ascii="Times New Roman" w:hAnsi="Times New Roman"/>
          <w:b/>
          <w:sz w:val="24"/>
        </w:rPr>
      </w:pPr>
      <w:r>
        <w:rPr>
          <w:rFonts w:ascii="Times New Roman" w:hAnsi="Times New Roman"/>
          <w:b/>
          <w:sz w:val="24"/>
        </w:rPr>
        <w:t xml:space="preserve">$                     % Senior Notes due 2022 </w:t>
      </w:r>
    </w:p>
    <w:p>
      <w:pPr>
        <w:pStyle w:val="TextBody"/>
        <w:spacing w:before="0" w:after="0"/>
        <w:jc w:val="center"/>
        <w:rPr>
          <w:rFonts w:ascii="Times New Roman" w:hAnsi="Times New Roman"/>
          <w:b/>
          <w:sz w:val="24"/>
        </w:rPr>
      </w:pPr>
      <w:r>
        <w:rPr>
          <w:rFonts w:ascii="Times New Roman" w:hAnsi="Times New Roman"/>
          <w:b/>
          <w:sz w:val="24"/>
        </w:rPr>
        <w:t xml:space="preserve">$                     % Senior Notes due 2042 </w:t>
      </w:r>
    </w:p>
    <w:p>
      <w:pPr>
        <w:pStyle w:val="TextBody"/>
        <w:spacing w:before="90" w:after="0"/>
        <w:rPr>
          <w:rFonts w:ascii="Times New Roman" w:hAnsi="Times New Roman"/>
          <w:sz w:val="20"/>
        </w:rPr>
      </w:pPr>
      <w:r>
        <w:rPr>
          <w:rFonts w:ascii="Times New Roman" w:hAnsi="Times New Roman"/>
          <w:sz w:val="20"/>
        </w:rPr>
        <w:t xml:space="preserve">Plains All American Pipeline, L.P. and PAA Finance Corp. are offering $             aggregate principal amount of debt securities, consisting of $             million aggregate principal amount of         % Senior Notes due 2022 and $             million aggregate principal amount of         % Senior Notes due 2042. We refer to each such series of notes as the 2022 Notes and the 2042 Notes, respectively, and, collectively, as the Notes. </w:t>
      </w:r>
    </w:p>
    <w:p>
      <w:pPr>
        <w:pStyle w:val="TextBody"/>
        <w:spacing w:before="180" w:after="0"/>
        <w:rPr>
          <w:rFonts w:ascii="Times New Roman" w:hAnsi="Times New Roman"/>
          <w:sz w:val="20"/>
        </w:rPr>
      </w:pPr>
      <w:r>
        <w:rPr>
          <w:rFonts w:ascii="Times New Roman" w:hAnsi="Times New Roman"/>
          <w:sz w:val="20"/>
        </w:rPr>
        <w:t xml:space="preserve">We will pay interest on the Notes semi-annually in arrears on                      and                      of each year, beginning on                     , 2012. The 2022 Notes will mature on                     , 2022, and the 2042 Notes will mature on                     , 2042, in either case unless redeemed prior to the respective maturity dates. </w:t>
      </w:r>
    </w:p>
    <w:p>
      <w:pPr>
        <w:pStyle w:val="TextBody"/>
        <w:spacing w:before="180" w:after="0"/>
        <w:rPr>
          <w:rFonts w:ascii="Times New Roman" w:hAnsi="Times New Roman"/>
          <w:sz w:val="20"/>
        </w:rPr>
      </w:pPr>
      <w:r>
        <w:rPr>
          <w:rFonts w:ascii="Times New Roman" w:hAnsi="Times New Roman"/>
          <w:sz w:val="20"/>
        </w:rPr>
        <w:t xml:space="preserve">We may, at our option, redeem the Notes of either series at any time in whole or from time to time in part, prior to maturity, at the redemption prices as described herein under Description of NotesOptional Redemption. In addition, if the BP NGL Acquisition (as defined herein) is not closed on or prior to June 1, 2012 or the acquisition agreement relating to the acquisition is terminated earlier, we may redeem all, but not less than all, of either or both series of Notes at a redemption price equal to 101% of the aggregate principal amount of such series of Notes, plus accrued and unpaid interest to the date of redemption. See Prospectus Supplement SummaryPending BP NGL Acquisition and Description of NotesSpecial Optional Redemption. </w:t>
      </w:r>
    </w:p>
    <w:p>
      <w:pPr>
        <w:pStyle w:val="TextBody"/>
        <w:spacing w:before="180" w:after="0"/>
        <w:rPr>
          <w:rFonts w:ascii="Times New Roman" w:hAnsi="Times New Roman"/>
          <w:sz w:val="20"/>
        </w:rPr>
      </w:pPr>
      <w:r>
        <w:rPr>
          <w:rFonts w:ascii="Times New Roman" w:hAnsi="Times New Roman"/>
          <w:sz w:val="20"/>
        </w:rPr>
        <w:t xml:space="preserve">The Notes will be the unsecured senior obligations of Plains All American Pipeline, L.P. and PAA Finance Corp. and will rank equally in right of payment with their other senior indebtedness from time to time outstanding. </w:t>
      </w:r>
    </w:p>
    <w:p>
      <w:pPr>
        <w:pStyle w:val="TextBody"/>
        <w:spacing w:before="180" w:after="0"/>
        <w:rPr>
          <w:rFonts w:ascii="Times New Roman" w:hAnsi="Times New Roman"/>
          <w:sz w:val="20"/>
        </w:rPr>
      </w:pPr>
      <w:r>
        <w:rPr>
          <w:rFonts w:ascii="Times New Roman" w:hAnsi="Times New Roman"/>
          <w:sz w:val="20"/>
        </w:rPr>
        <w:t xml:space="preserve">The Notes will not be listed on any securities exchange. Currently, there is no public market for the Notes. </w:t>
      </w:r>
    </w:p>
    <w:p>
      <w:pPr>
        <w:pStyle w:val="TextBody"/>
        <w:spacing w:before="180" w:after="0"/>
        <w:rPr/>
      </w:pPr>
      <w:r>
        <w:rPr>
          <w:rFonts w:ascii="Times New Roman" w:hAnsi="Times New Roman"/>
          <w:b/>
          <w:sz w:val="24"/>
        </w:rPr>
        <w:t>Investing in the Notes involves risks. See </w:t>
      </w:r>
      <w:hyperlink w:anchor="supp314176_5">
        <w:r>
          <w:rPr>
            <w:rStyle w:val="InternetLink"/>
            <w:rFonts w:ascii="Times New Roman" w:hAnsi="Times New Roman"/>
            <w:b/>
            <w:sz w:val="24"/>
          </w:rPr>
          <w:t>Risk Factors</w:t>
        </w:r>
      </w:hyperlink>
      <w:r>
        <w:rPr>
          <w:rFonts w:ascii="Times New Roman" w:hAnsi="Times New Roman"/>
          <w:b/>
          <w:sz w:val="24"/>
        </w:rPr>
        <w:t xml:space="preserve"> on page S-7 of this prospectus supplement and beginning on page 6 of the accompanying prospectus. </w:t>
      </w:r>
    </w:p>
    <w:p>
      <w:pPr>
        <w:pStyle w:val="TextBody"/>
        <w:spacing w:before="180" w:after="0"/>
        <w:rPr>
          <w:rFonts w:ascii="Times New Roman" w:hAnsi="Times New Roman"/>
          <w:sz w:val="20"/>
        </w:rPr>
      </w:pPr>
      <w:r>
        <w:rPr>
          <w:rFonts w:ascii="Times New Roman" w:hAnsi="Times New Roman"/>
          <w:sz w:val="20"/>
        </w:rPr>
        <w:t xml:space="preserve">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628"/>
        <w:gridCol w:w="429"/>
        <w:gridCol w:w="95"/>
        <w:gridCol w:w="1207"/>
        <w:gridCol w:w="155"/>
        <w:gridCol w:w="386"/>
        <w:gridCol w:w="95"/>
        <w:gridCol w:w="1207"/>
        <w:gridCol w:w="155"/>
        <w:gridCol w:w="386"/>
        <w:gridCol w:w="95"/>
        <w:gridCol w:w="1207"/>
        <w:gridCol w:w="160"/>
      </w:tblGrid>
      <w:tr>
        <w:trPr/>
        <w:tc>
          <w:tcPr>
            <w:tcW w:w="4628"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628"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302"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Public  Offering</w:t>
            </w:r>
            <w:r>
              <w:rPr/>
              <w:br/>
            </w:r>
            <w:r>
              <w:rPr>
                <w:rFonts w:ascii="Times New Roman" w:hAnsi="Times New Roman"/>
                <w:b/>
                <w:sz w:val="14"/>
              </w:rPr>
              <w:t>Price(1)</w:t>
            </w:r>
          </w:p>
        </w:tc>
        <w:tc>
          <w:tcPr>
            <w:tcW w:w="155"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302"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Underwriting</w:t>
            </w:r>
            <w:r>
              <w:rPr/>
              <w:br/>
            </w:r>
            <w:r>
              <w:rPr>
                <w:rFonts w:ascii="Times New Roman" w:hAnsi="Times New Roman"/>
                <w:b/>
                <w:sz w:val="14"/>
              </w:rPr>
              <w:t>Discount</w:t>
            </w:r>
          </w:p>
        </w:tc>
        <w:tc>
          <w:tcPr>
            <w:tcW w:w="155"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30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Proceeds,</w:t>
              <w:br/>
              <w:t>Before</w:t>
              <w:br/>
              <w:t>Expenses, to Us</w:t>
            </w:r>
          </w:p>
        </w:tc>
        <w:tc>
          <w:tcPr>
            <w:tcW w:w="160" w:type="dxa"/>
            <w:tcBorders/>
            <w:shd w:fill="auto" w:val="clear"/>
            <w:vAlign w:val="bottom"/>
          </w:tcPr>
          <w:p>
            <w:pPr>
              <w:pStyle w:val="TableContents"/>
              <w:spacing w:before="0" w:after="283"/>
              <w:rPr/>
            </w:pPr>
            <w:r>
              <w:rPr/>
              <w:t> </w:t>
            </w:r>
          </w:p>
        </w:tc>
      </w:tr>
      <w:tr>
        <w:trPr/>
        <w:tc>
          <w:tcPr>
            <w:tcW w:w="4628" w:type="dxa"/>
            <w:tcBorders/>
            <w:shd w:fill="auto" w:val="clear"/>
          </w:tcPr>
          <w:p>
            <w:pPr>
              <w:pStyle w:val="TableContents"/>
              <w:spacing w:before="0" w:after="283"/>
              <w:rPr>
                <w:rFonts w:ascii="Times New Roman" w:hAnsi="Times New Roman"/>
                <w:sz w:val="14"/>
              </w:rPr>
            </w:pPr>
            <w:r>
              <w:rPr>
                <w:rFonts w:ascii="Times New Roman" w:hAnsi="Times New Roman"/>
                <w:sz w:val="14"/>
              </w:rPr>
              <w:t>Per 2022 Note</w:t>
            </w:r>
          </w:p>
        </w:tc>
        <w:tc>
          <w:tcPr>
            <w:tcW w:w="42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20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38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20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38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207"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4628" w:type="dxa"/>
            <w:tcBorders/>
            <w:shd w:fill="auto" w:val="clear"/>
          </w:tcPr>
          <w:p>
            <w:pPr>
              <w:pStyle w:val="TableContents"/>
              <w:spacing w:before="0" w:after="283"/>
              <w:rPr>
                <w:rFonts w:ascii="Times New Roman" w:hAnsi="Times New Roman"/>
                <w:sz w:val="14"/>
              </w:rPr>
            </w:pPr>
            <w:r>
              <w:rPr>
                <w:rFonts w:ascii="Times New Roman" w:hAnsi="Times New Roman"/>
                <w:sz w:val="14"/>
              </w:rPr>
              <w:t>Total</w:t>
            </w:r>
          </w:p>
        </w:tc>
        <w:tc>
          <w:tcPr>
            <w:tcW w:w="42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20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20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207"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rPr/>
            </w:pPr>
            <w:r>
              <w:rPr/>
              <w:t>  </w:t>
            </w:r>
          </w:p>
        </w:tc>
      </w:tr>
      <w:tr>
        <w:trPr/>
        <w:tc>
          <w:tcPr>
            <w:tcW w:w="4628" w:type="dxa"/>
            <w:tcBorders/>
            <w:shd w:fill="auto" w:val="clear"/>
          </w:tcPr>
          <w:p>
            <w:pPr>
              <w:pStyle w:val="TableContents"/>
              <w:spacing w:before="0" w:after="283"/>
              <w:rPr>
                <w:rFonts w:ascii="Times New Roman" w:hAnsi="Times New Roman"/>
                <w:sz w:val="14"/>
              </w:rPr>
            </w:pPr>
            <w:r>
              <w:rPr>
                <w:rFonts w:ascii="Times New Roman" w:hAnsi="Times New Roman"/>
                <w:sz w:val="14"/>
              </w:rPr>
              <w:t>Per 2042 Note</w:t>
            </w:r>
          </w:p>
        </w:tc>
        <w:tc>
          <w:tcPr>
            <w:tcW w:w="42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20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38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20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38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207"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4628" w:type="dxa"/>
            <w:tcBorders/>
            <w:shd w:fill="auto" w:val="clear"/>
          </w:tcPr>
          <w:p>
            <w:pPr>
              <w:pStyle w:val="TableContents"/>
              <w:spacing w:before="0" w:after="283"/>
              <w:rPr>
                <w:rFonts w:ascii="Times New Roman" w:hAnsi="Times New Roman"/>
                <w:sz w:val="14"/>
              </w:rPr>
            </w:pPr>
            <w:r>
              <w:rPr>
                <w:rFonts w:ascii="Times New Roman" w:hAnsi="Times New Roman"/>
                <w:sz w:val="14"/>
              </w:rPr>
              <w:t>Total</w:t>
            </w:r>
          </w:p>
        </w:tc>
        <w:tc>
          <w:tcPr>
            <w:tcW w:w="42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20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20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207"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(1)</w:t>
            </w:r>
          </w:p>
        </w:tc>
        <w:tc>
          <w:tcPr>
            <w:tcW w:w="9900"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 xml:space="preserve">Plus accrued interest, if any, from March     , 2012 if settlement occurs after that date. </w:t>
            </w:r>
          </w:p>
        </w:tc>
      </w:tr>
    </w:tbl>
    <w:p>
      <w:pPr>
        <w:pStyle w:val="TextBody"/>
        <w:spacing w:before="180" w:after="0"/>
        <w:rPr>
          <w:rFonts w:ascii="Times New Roman" w:hAnsi="Times New Roman"/>
          <w:sz w:val="20"/>
        </w:rPr>
      </w:pPr>
      <w:r>
        <w:rPr>
          <w:rFonts w:ascii="Times New Roman" w:hAnsi="Times New Roman"/>
          <w:sz w:val="20"/>
        </w:rPr>
        <w:t xml:space="preserve">The underwriters expect to deliver the Notes in book-entry form only through facilities of The Depository Trust Company for the account of its participants, including Clearstream Banking, société anonyme, and Euroclear Bank S.A./N.V., as operator of the Euroclear System, against payment in New York, New York on or about March     , 2012, the seventh trading day after the date of this prospectus supplement. </w:t>
      </w:r>
    </w:p>
    <w:p>
      <w:pPr>
        <w:pStyle w:val="TextBody"/>
        <w:spacing w:before="180" w:after="0"/>
        <w:jc w:val="center"/>
        <w:rPr>
          <w:rFonts w:ascii="Times New Roman" w:hAnsi="Times New Roman"/>
          <w:i/>
          <w:sz w:val="20"/>
        </w:rPr>
      </w:pPr>
      <w:r>
        <w:rPr>
          <w:rFonts w:ascii="Times New Roman" w:hAnsi="Times New Roman"/>
          <w:i/>
          <w:sz w:val="20"/>
        </w:rPr>
        <w:t xml:space="preserve">Joint Book-Running Managers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522"/>
        <w:gridCol w:w="159"/>
        <w:gridCol w:w="2572"/>
        <w:gridCol w:w="159"/>
        <w:gridCol w:w="1355"/>
        <w:gridCol w:w="767"/>
        <w:gridCol w:w="768"/>
        <w:gridCol w:w="159"/>
        <w:gridCol w:w="2744"/>
      </w:tblGrid>
      <w:tr>
        <w:trPr/>
        <w:tc>
          <w:tcPr>
            <w:tcW w:w="1522"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c>
          <w:tcPr>
            <w:tcW w:w="2572"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c>
          <w:tcPr>
            <w:tcW w:w="1355"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bottom"/>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c>
          <w:tcPr>
            <w:tcW w:w="2744" w:type="dxa"/>
            <w:tcBorders/>
            <w:shd w:fill="auto" w:val="clear"/>
            <w:vAlign w:val="center"/>
          </w:tcPr>
          <w:p>
            <w:pPr>
              <w:pStyle w:val="TableContents"/>
              <w:spacing w:before="0" w:after="283"/>
              <w:rPr>
                <w:sz w:val="4"/>
                <w:szCs w:val="4"/>
              </w:rPr>
            </w:pPr>
            <w:r>
              <w:rPr>
                <w:sz w:val="4"/>
                <w:szCs w:val="4"/>
              </w:rPr>
            </w:r>
          </w:p>
        </w:tc>
      </w:tr>
      <w:tr>
        <w:trPr/>
        <w:tc>
          <w:tcPr>
            <w:tcW w:w="1522" w:type="dxa"/>
            <w:tcBorders/>
            <w:shd w:fill="auto" w:val="clear"/>
          </w:tcPr>
          <w:p>
            <w:pPr>
              <w:pStyle w:val="TableContents"/>
              <w:spacing w:before="0" w:after="283"/>
              <w:rPr>
                <w:rFonts w:ascii="Times New Roman" w:hAnsi="Times New Roman"/>
                <w:b/>
                <w:sz w:val="24"/>
              </w:rPr>
            </w:pPr>
            <w:r>
              <w:rPr>
                <w:rFonts w:ascii="Times New Roman" w:hAnsi="Times New Roman"/>
                <w:b/>
                <w:sz w:val="24"/>
              </w:rPr>
              <w:t>J.P. Morgan</w:t>
            </w:r>
          </w:p>
        </w:tc>
        <w:tc>
          <w:tcPr>
            <w:tcW w:w="159" w:type="dxa"/>
            <w:tcBorders/>
            <w:shd w:fill="auto" w:val="clear"/>
            <w:vAlign w:val="bottom"/>
          </w:tcPr>
          <w:p>
            <w:pPr>
              <w:pStyle w:val="TableContents"/>
              <w:spacing w:before="0" w:after="283"/>
              <w:rPr/>
            </w:pPr>
            <w:r>
              <w:rPr/>
              <w:t>  </w:t>
            </w:r>
          </w:p>
        </w:tc>
        <w:tc>
          <w:tcPr>
            <w:tcW w:w="2572" w:type="dxa"/>
            <w:tcBorders/>
            <w:shd w:fill="auto" w:val="clear"/>
          </w:tcPr>
          <w:p>
            <w:pPr>
              <w:pStyle w:val="TableContents"/>
              <w:spacing w:before="0" w:after="283"/>
              <w:jc w:val="center"/>
              <w:rPr>
                <w:rFonts w:ascii="Times New Roman" w:hAnsi="Times New Roman"/>
                <w:b/>
                <w:sz w:val="24"/>
              </w:rPr>
            </w:pPr>
            <w:r>
              <w:rPr>
                <w:rFonts w:ascii="Times New Roman" w:hAnsi="Times New Roman"/>
                <w:b/>
                <w:sz w:val="24"/>
              </w:rPr>
              <w:t>BofA Merrill Lynch</w:t>
            </w:r>
          </w:p>
        </w:tc>
        <w:tc>
          <w:tcPr>
            <w:tcW w:w="159" w:type="dxa"/>
            <w:tcBorders/>
            <w:shd w:fill="auto" w:val="clear"/>
            <w:vAlign w:val="bottom"/>
          </w:tcPr>
          <w:p>
            <w:pPr>
              <w:pStyle w:val="TableContents"/>
              <w:spacing w:before="0" w:after="283"/>
              <w:rPr/>
            </w:pPr>
            <w:r>
              <w:rPr/>
              <w:t>  </w:t>
            </w:r>
          </w:p>
        </w:tc>
        <w:tc>
          <w:tcPr>
            <w:tcW w:w="2890" w:type="dxa"/>
            <w:gridSpan w:val="3"/>
            <w:tcBorders/>
            <w:shd w:fill="auto" w:val="clear"/>
          </w:tcPr>
          <w:p>
            <w:pPr>
              <w:pStyle w:val="TableContents"/>
              <w:spacing w:before="0" w:after="283"/>
              <w:jc w:val="center"/>
              <w:rPr>
                <w:rFonts w:ascii="Times New Roman" w:hAnsi="Times New Roman"/>
                <w:b/>
                <w:sz w:val="24"/>
              </w:rPr>
            </w:pPr>
            <w:r>
              <w:rPr>
                <w:rFonts w:ascii="Times New Roman" w:hAnsi="Times New Roman"/>
                <w:b/>
                <w:sz w:val="24"/>
              </w:rPr>
              <w:t>UBS Investment Bank</w:t>
            </w:r>
          </w:p>
        </w:tc>
        <w:tc>
          <w:tcPr>
            <w:tcW w:w="159" w:type="dxa"/>
            <w:tcBorders/>
            <w:shd w:fill="auto" w:val="clear"/>
            <w:vAlign w:val="bottom"/>
          </w:tcPr>
          <w:p>
            <w:pPr>
              <w:pStyle w:val="TableContents"/>
              <w:spacing w:before="0" w:after="283"/>
              <w:rPr/>
            </w:pPr>
            <w:r>
              <w:rPr/>
              <w:t>  </w:t>
            </w:r>
          </w:p>
        </w:tc>
        <w:tc>
          <w:tcPr>
            <w:tcW w:w="2744" w:type="dxa"/>
            <w:tcBorders/>
            <w:shd w:fill="auto" w:val="clear"/>
          </w:tcPr>
          <w:p>
            <w:pPr>
              <w:pStyle w:val="TableContents"/>
              <w:spacing w:before="0" w:after="283"/>
              <w:jc w:val="right"/>
              <w:rPr>
                <w:rFonts w:ascii="Times New Roman" w:hAnsi="Times New Roman"/>
                <w:b/>
                <w:sz w:val="24"/>
              </w:rPr>
            </w:pPr>
            <w:r>
              <w:rPr>
                <w:rFonts w:ascii="Times New Roman" w:hAnsi="Times New Roman"/>
                <w:b/>
                <w:sz w:val="24"/>
              </w:rPr>
              <w:t>Wells Fargo Securities</w:t>
            </w:r>
          </w:p>
        </w:tc>
      </w:tr>
    </w:tbl>
    <w:tbl>
      <w:tblPr>
        <w:tblW w:w="5000" w:type="pct"/>
        <w:jc w:val="center"/>
        <w:tblInd w:w="0" w:type="dxa"/>
        <w:tblCellMar>
          <w:top w:w="0" w:type="dxa"/>
          <w:left w:w="0" w:type="dxa"/>
          <w:bottom w:w="0" w:type="dxa"/>
          <w:right w:w="0" w:type="dxa"/>
        </w:tblCellMar>
      </w:tblPr>
      <w:tblGrid>
        <w:gridCol w:w="5205"/>
        <w:gridCol w:w="202"/>
        <w:gridCol w:w="4798"/>
      </w:tblGrid>
      <w:tr>
        <w:trPr/>
        <w:tc>
          <w:tcPr>
            <w:tcW w:w="5205"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sz w:val="4"/>
                <w:szCs w:val="4"/>
              </w:rPr>
            </w:pPr>
            <w:r>
              <w:rPr>
                <w:sz w:val="4"/>
                <w:szCs w:val="4"/>
              </w:rPr>
            </w:r>
          </w:p>
        </w:tc>
        <w:tc>
          <w:tcPr>
            <w:tcW w:w="4798"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jc w:val="center"/>
              <w:rPr>
                <w:rFonts w:ascii="Times New Roman" w:hAnsi="Times New Roman"/>
                <w:b/>
                <w:sz w:val="24"/>
              </w:rPr>
            </w:pPr>
            <w:r>
              <w:rPr>
                <w:rFonts w:ascii="Times New Roman" w:hAnsi="Times New Roman"/>
                <w:b/>
                <w:sz w:val="24"/>
              </w:rPr>
              <w:t>DNB Markets</w:t>
            </w:r>
          </w:p>
        </w:tc>
        <w:tc>
          <w:tcPr>
            <w:tcW w:w="202"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jc w:val="center"/>
              <w:rPr>
                <w:rFonts w:ascii="Times New Roman" w:hAnsi="Times New Roman"/>
                <w:b/>
                <w:sz w:val="24"/>
              </w:rPr>
            </w:pPr>
            <w:r>
              <w:rPr>
                <w:rFonts w:ascii="Times New Roman" w:hAnsi="Times New Roman"/>
                <w:b/>
                <w:sz w:val="24"/>
              </w:rPr>
              <w:t>Mizuho Securities</w:t>
            </w:r>
          </w:p>
        </w:tc>
      </w:tr>
    </w:tbl>
    <w:p>
      <w:pPr>
        <w:pStyle w:val="TextBody"/>
        <w:spacing w:before="180" w:after="0"/>
        <w:jc w:val="center"/>
        <w:rPr>
          <w:rFonts w:ascii="Times New Roman" w:hAnsi="Times New Roman"/>
          <w:i/>
          <w:sz w:val="20"/>
        </w:rPr>
      </w:pPr>
      <w:r>
        <w:rPr>
          <w:rFonts w:ascii="Times New Roman" w:hAnsi="Times New Roman"/>
          <w:i/>
          <w:sz w:val="20"/>
        </w:rPr>
        <w:t xml:space="preserve">The date of this prospectus supplement is March     , 2012.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spacing w:before="180" w:after="0"/>
        <w:jc w:val="center"/>
        <w:rPr>
          <w:rFonts w:ascii="Times New Roman" w:hAnsi="Times New Roman"/>
          <w:b/>
          <w:sz w:val="20"/>
        </w:rPr>
      </w:pPr>
      <w:r>
        <w:rPr>
          <w:rFonts w:ascii="Times New Roman" w:hAnsi="Times New Roman"/>
          <w:b/>
          <w:sz w:val="20"/>
        </w:rPr>
        <w:t xml:space="preserve">Prospectus Supplement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364"/>
        <w:gridCol w:w="250"/>
        <w:gridCol w:w="60"/>
        <w:gridCol w:w="408"/>
        <w:gridCol w:w="123"/>
      </w:tblGrid>
      <w:tr>
        <w:trPr/>
        <w:tc>
          <w:tcPr>
            <w:tcW w:w="9364"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9364"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468"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Page</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314176_1">
              <w:r>
                <w:rPr>
                  <w:rStyle w:val="InternetLink"/>
                  <w:rFonts w:ascii="Times New Roman" w:hAnsi="Times New Roman"/>
                  <w:sz w:val="20"/>
                </w:rPr>
                <w:t>Important Notice About Information in this Prospectus Supplement and the Accompanying Prospectus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S-ii</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314176_2">
              <w:r>
                <w:rPr>
                  <w:rStyle w:val="InternetLink"/>
                  <w:rFonts w:ascii="Times New Roman" w:hAnsi="Times New Roman"/>
                  <w:sz w:val="20"/>
                </w:rPr>
                <w:t>Forward-Looking Statements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S-ii</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314176_3">
              <w:r>
                <w:rPr>
                  <w:rStyle w:val="InternetLink"/>
                  <w:rFonts w:ascii="Times New Roman" w:hAnsi="Times New Roman"/>
                  <w:sz w:val="20"/>
                </w:rPr>
                <w:t>Prospectus Supplement Summary</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S-1</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314176_4">
              <w:r>
                <w:rPr>
                  <w:rStyle w:val="InternetLink"/>
                  <w:rFonts w:ascii="Times New Roman" w:hAnsi="Times New Roman"/>
                  <w:sz w:val="20"/>
                </w:rPr>
                <w:t>The Offering</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S-4</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314176_5">
              <w:r>
                <w:rPr>
                  <w:rStyle w:val="InternetLink"/>
                  <w:rFonts w:ascii="Times New Roman" w:hAnsi="Times New Roman"/>
                  <w:sz w:val="20"/>
                </w:rPr>
                <w:t>Risk Factors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S-7</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314176_6">
              <w:r>
                <w:rPr>
                  <w:rStyle w:val="InternetLink"/>
                  <w:rFonts w:ascii="Times New Roman" w:hAnsi="Times New Roman"/>
                  <w:sz w:val="20"/>
                </w:rPr>
                <w:t>Use of Proceeds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S-9</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314176_7">
              <w:r>
                <w:rPr>
                  <w:rStyle w:val="InternetLink"/>
                  <w:rFonts w:ascii="Times New Roman" w:hAnsi="Times New Roman"/>
                  <w:sz w:val="20"/>
                </w:rPr>
                <w:t>Ratio of Earnings to Fixed Charges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S-10</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314176_8">
              <w:r>
                <w:rPr>
                  <w:rStyle w:val="InternetLink"/>
                  <w:rFonts w:ascii="Times New Roman" w:hAnsi="Times New Roman"/>
                  <w:sz w:val="20"/>
                </w:rPr>
                <w:t>Capitalization</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S-11</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314176_9">
              <w:r>
                <w:rPr>
                  <w:rStyle w:val="InternetLink"/>
                  <w:rFonts w:ascii="Times New Roman" w:hAnsi="Times New Roman"/>
                  <w:sz w:val="20"/>
                </w:rPr>
                <w:t>Description of Notes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S-13</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314176_10">
              <w:r>
                <w:rPr>
                  <w:rStyle w:val="InternetLink"/>
                  <w:rFonts w:ascii="Times New Roman" w:hAnsi="Times New Roman"/>
                  <w:sz w:val="20"/>
                </w:rPr>
                <w:t>Book Entry, Delivery and Form</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S-26</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314176_11">
              <w:r>
                <w:rPr>
                  <w:rStyle w:val="InternetLink"/>
                  <w:rFonts w:ascii="Times New Roman" w:hAnsi="Times New Roman"/>
                  <w:sz w:val="20"/>
                </w:rPr>
                <w:t>Material U.S. Federal Income and Estate Tax Consequences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S-29</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314176_12">
              <w:r>
                <w:rPr>
                  <w:rStyle w:val="InternetLink"/>
                  <w:rFonts w:ascii="Times New Roman" w:hAnsi="Times New Roman"/>
                  <w:sz w:val="20"/>
                </w:rPr>
                <w:t>Underwriting</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S-34</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314176_13">
              <w:r>
                <w:rPr>
                  <w:rStyle w:val="InternetLink"/>
                  <w:rFonts w:ascii="Times New Roman" w:hAnsi="Times New Roman"/>
                  <w:sz w:val="20"/>
                </w:rPr>
                <w:t>Legal Matters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S-38</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314176_14">
              <w:r>
                <w:rPr>
                  <w:rStyle w:val="InternetLink"/>
                  <w:rFonts w:ascii="Times New Roman" w:hAnsi="Times New Roman"/>
                  <w:sz w:val="20"/>
                </w:rPr>
                <w:t>Experts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S-38</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314176_15">
              <w:r>
                <w:rPr>
                  <w:rStyle w:val="InternetLink"/>
                  <w:rFonts w:ascii="Times New Roman" w:hAnsi="Times New Roman"/>
                  <w:sz w:val="20"/>
                </w:rPr>
                <w:t>Where You Can Find More Information</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S-38</w:t>
            </w:r>
          </w:p>
        </w:tc>
        <w:tc>
          <w:tcPr>
            <w:tcW w:w="123" w:type="dxa"/>
            <w:tcBorders/>
            <w:shd w:fill="auto" w:val="clear"/>
            <w:vAlign w:val="bottom"/>
          </w:tcPr>
          <w:p>
            <w:pPr>
              <w:pStyle w:val="TableContents"/>
              <w:spacing w:before="0" w:after="283"/>
              <w:rPr/>
            </w:pPr>
            <w:r>
              <w:rPr/>
              <w:t>  </w:t>
            </w:r>
          </w:p>
        </w:tc>
      </w:tr>
    </w:tbl>
    <w:p>
      <w:pPr>
        <w:pStyle w:val="TextBody"/>
        <w:spacing w:before="180" w:after="0"/>
        <w:jc w:val="center"/>
        <w:rPr>
          <w:rFonts w:ascii="Times New Roman" w:hAnsi="Times New Roman"/>
          <w:b/>
          <w:sz w:val="20"/>
        </w:rPr>
      </w:pPr>
      <w:bookmarkStart w:id="3" w:name="toca"/>
      <w:bookmarkEnd w:id="3"/>
      <w:r>
        <w:rPr>
          <w:rFonts w:ascii="Times New Roman" w:hAnsi="Times New Roman"/>
          <w:b/>
          <w:sz w:val="20"/>
        </w:rPr>
        <w:t xml:space="preserve">Prospectus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532"/>
        <w:gridCol w:w="255"/>
        <w:gridCol w:w="60"/>
        <w:gridCol w:w="235"/>
        <w:gridCol w:w="123"/>
      </w:tblGrid>
      <w:tr>
        <w:trPr/>
        <w:tc>
          <w:tcPr>
            <w:tcW w:w="9532"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9532" w:type="dxa"/>
            <w:tcBorders/>
            <w:shd w:fill="auto" w:val="clear"/>
          </w:tcPr>
          <w:p>
            <w:pPr>
              <w:pStyle w:val="TableContents"/>
              <w:spacing w:before="0" w:after="283"/>
              <w:rPr/>
            </w:pPr>
            <w:hyperlink w:anchor="rom314176_111">
              <w:r>
                <w:rPr>
                  <w:rStyle w:val="InternetLink"/>
                  <w:rFonts w:ascii="Times New Roman" w:hAnsi="Times New Roman"/>
                  <w:sz w:val="20"/>
                </w:rPr>
                <w:t>About This Prospectus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314176_112">
              <w:r>
                <w:rPr>
                  <w:rStyle w:val="InternetLink"/>
                  <w:rFonts w:ascii="Times New Roman" w:hAnsi="Times New Roman"/>
                  <w:sz w:val="20"/>
                </w:rPr>
                <w:t>Where You Can Find More Information</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314176_113">
              <w:r>
                <w:rPr>
                  <w:rStyle w:val="InternetLink"/>
                  <w:rFonts w:ascii="Times New Roman" w:hAnsi="Times New Roman"/>
                  <w:sz w:val="20"/>
                </w:rPr>
                <w:t>Forward-Looking Statements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314176_114">
              <w:r>
                <w:rPr>
                  <w:rStyle w:val="InternetLink"/>
                  <w:rFonts w:ascii="Times New Roman" w:hAnsi="Times New Roman"/>
                  <w:sz w:val="20"/>
                </w:rPr>
                <w:t>Who We Are</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314176_115">
              <w:r>
                <w:rPr>
                  <w:rStyle w:val="InternetLink"/>
                  <w:rFonts w:ascii="Times New Roman" w:hAnsi="Times New Roman"/>
                  <w:sz w:val="20"/>
                </w:rPr>
                <w:t>Risk Factors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314176_116">
              <w:r>
                <w:rPr>
                  <w:rStyle w:val="InternetLink"/>
                  <w:rFonts w:ascii="Times New Roman" w:hAnsi="Times New Roman"/>
                  <w:sz w:val="20"/>
                </w:rPr>
                <w:t>Use of Proceeds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314176_117">
              <w:r>
                <w:rPr>
                  <w:rStyle w:val="InternetLink"/>
                  <w:rFonts w:ascii="Times New Roman" w:hAnsi="Times New Roman"/>
                  <w:sz w:val="20"/>
                </w:rPr>
                <w:t>Ratio of Earnings to Fixed Charges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314176_118">
              <w:r>
                <w:rPr>
                  <w:rStyle w:val="InternetLink"/>
                  <w:rFonts w:ascii="Times New Roman" w:hAnsi="Times New Roman"/>
                  <w:sz w:val="20"/>
                </w:rPr>
                <w:t>Description of Our Debt Securities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314176_119">
              <w:r>
                <w:rPr>
                  <w:rStyle w:val="InternetLink"/>
                  <w:rFonts w:ascii="Times New Roman" w:hAnsi="Times New Roman"/>
                  <w:sz w:val="20"/>
                </w:rPr>
                <w:t>Description of Our Common Units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314176_120">
              <w:r>
                <w:rPr>
                  <w:rStyle w:val="InternetLink"/>
                  <w:rFonts w:ascii="Times New Roman" w:hAnsi="Times New Roman"/>
                  <w:sz w:val="20"/>
                </w:rPr>
                <w:t>Cash Distribution Policy</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314176_121">
              <w:r>
                <w:rPr>
                  <w:rStyle w:val="InternetLink"/>
                  <w:rFonts w:ascii="Times New Roman" w:hAnsi="Times New Roman"/>
                  <w:sz w:val="20"/>
                </w:rPr>
                <w:t>Description of Our Partnership Agreement</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314176_122">
              <w:r>
                <w:rPr>
                  <w:rStyle w:val="InternetLink"/>
                  <w:rFonts w:ascii="Times New Roman" w:hAnsi="Times New Roman"/>
                  <w:sz w:val="20"/>
                </w:rPr>
                <w:t>Material Income Tax Considerations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314176_123">
              <w:r>
                <w:rPr>
                  <w:rStyle w:val="InternetLink"/>
                  <w:rFonts w:ascii="Times New Roman" w:hAnsi="Times New Roman"/>
                  <w:sz w:val="20"/>
                </w:rPr>
                <w:t>Legal Matters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314176_124">
              <w:r>
                <w:rPr>
                  <w:rStyle w:val="InternetLink"/>
                  <w:rFonts w:ascii="Times New Roman" w:hAnsi="Times New Roman"/>
                  <w:sz w:val="20"/>
                </w:rPr>
                <w:t>Experts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w:t>
            </w:r>
          </w:p>
        </w:tc>
        <w:tc>
          <w:tcPr>
            <w:tcW w:w="123"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4" w:name="supp314176_1"/>
      <w:bookmarkEnd w:id="4"/>
      <w:r>
        <w:rPr>
          <w:rFonts w:ascii="Times New Roman" w:hAnsi="Times New Roman"/>
          <w:b/>
          <w:sz w:val="20"/>
        </w:rPr>
        <w:t xml:space="preserve">IMPORTANT NOTICE ABOUT INFORMATION IN THIS </w:t>
      </w:r>
    </w:p>
    <w:p>
      <w:pPr>
        <w:pStyle w:val="TextBody"/>
        <w:spacing w:before="0" w:after="0"/>
        <w:jc w:val="center"/>
        <w:rPr>
          <w:rFonts w:ascii="Times New Roman" w:hAnsi="Times New Roman"/>
          <w:b/>
          <w:sz w:val="20"/>
        </w:rPr>
      </w:pPr>
      <w:r>
        <w:rPr>
          <w:rFonts w:ascii="Times New Roman" w:hAnsi="Times New Roman"/>
          <w:b/>
          <w:sz w:val="20"/>
        </w:rPr>
        <w:t xml:space="preserve">PROSPECTUS SUPPLEMENT AND THE ACCOMPANYING PROSPECTUS </w:t>
      </w:r>
    </w:p>
    <w:p>
      <w:pPr>
        <w:pStyle w:val="TextBody"/>
        <w:spacing w:before="180" w:after="0"/>
        <w:rPr>
          <w:rFonts w:ascii="Times New Roman" w:hAnsi="Times New Roman"/>
          <w:b/>
          <w:sz w:val="20"/>
        </w:rPr>
      </w:pPr>
      <w:r>
        <w:rPr>
          <w:rFonts w:ascii="Times New Roman" w:hAnsi="Times New Roman"/>
          <w:b/>
          <w:sz w:val="20"/>
        </w:rPr>
        <w:t xml:space="preserve">This document is in two parts. The first part is the prospectus supplement, which describes our business and the specific terms of this offering. The second part, the accompanying prospectus, gives more general information and includes disclosures regarding the Notes and additional disclosures that would pertain if at some time in the future we were to offer other series of our debt securities or our common units. Accordingly, the accompanying prospectus may contain information that does not apply to this offering. Generally, when we refer only to the prospectus, we are referring to both parts combined. </w:t>
      </w:r>
    </w:p>
    <w:p>
      <w:pPr>
        <w:pStyle w:val="TextBody"/>
        <w:spacing w:before="180" w:after="0"/>
        <w:rPr>
          <w:rFonts w:ascii="Times New Roman" w:hAnsi="Times New Roman"/>
          <w:b/>
          <w:sz w:val="20"/>
        </w:rPr>
      </w:pPr>
      <w:r>
        <w:rPr>
          <w:rFonts w:ascii="Times New Roman" w:hAnsi="Times New Roman"/>
          <w:b/>
          <w:sz w:val="20"/>
        </w:rPr>
        <w:t xml:space="preserve">If the description of the offering varies between the prospectus supplement and the accompanying prospectus, you should rely on the information in the prospectus supplement. </w:t>
      </w:r>
    </w:p>
    <w:p>
      <w:pPr>
        <w:pStyle w:val="TextBody"/>
        <w:spacing w:before="180" w:after="0"/>
        <w:rPr>
          <w:rFonts w:ascii="Times New Roman" w:hAnsi="Times New Roman"/>
          <w:b/>
          <w:sz w:val="20"/>
        </w:rPr>
      </w:pPr>
      <w:r>
        <w:rPr>
          <w:rFonts w:ascii="Times New Roman" w:hAnsi="Times New Roman"/>
          <w:b/>
          <w:sz w:val="20"/>
        </w:rPr>
        <w:t xml:space="preserve">You should rely only on the information contained in or incorporated by reference in this prospectus or any free writing prospectus relating to this offering of Notes. Neither we nor the underwriters have authorized anyone to provide you with different information. Neither we nor the underwriters are making an offer of the Notes in any jurisdiction where the offer is not permitted. You should not assume that the information contained in this prospectus, any free writing prospectus or in the documents incorporated by reference in this prospectus is accurate as of any date other than the date on the front of those documents. Our business, financial condition, results of operations and prospects may have changed since those dates. </w:t>
      </w:r>
    </w:p>
    <w:p>
      <w:pPr>
        <w:pStyle w:val="TextBody"/>
        <w:spacing w:before="180" w:after="0"/>
        <w:rPr>
          <w:rFonts w:ascii="Times New Roman" w:hAnsi="Times New Roman"/>
          <w:b/>
          <w:sz w:val="20"/>
        </w:rPr>
      </w:pPr>
      <w:r>
        <w:rPr>
          <w:rFonts w:ascii="Times New Roman" w:hAnsi="Times New Roman"/>
          <w:b/>
          <w:sz w:val="20"/>
        </w:rPr>
        <w:t xml:space="preserve">The information in this prospectus supplement is not complete. You should review carefully all of the detailed information appearing in this prospectus supplement, the accompanying prospectus and the documents we have incorporated by reference before making any investment decision. </w:t>
      </w:r>
    </w:p>
    <w:p>
      <w:pPr>
        <w:pStyle w:val="TextBody"/>
        <w:spacing w:before="180" w:after="0"/>
        <w:rPr>
          <w:rFonts w:ascii="Times New Roman" w:hAnsi="Times New Roman"/>
          <w:sz w:val="20"/>
        </w:rPr>
      </w:pPr>
      <w:r>
        <w:rPr>
          <w:rFonts w:ascii="Times New Roman" w:hAnsi="Times New Roman"/>
          <w:sz w:val="20"/>
        </w:rPr>
        <w:t xml:space="preserve">We expect delivery of the Notes will be made against payment therefor on or about March     , 2012, which is the seventh business day following the date of pricing of the Notes (such settlement being referred to as T+7). Under Rule 15c6-1 of the Securities Exchange Act of 1934, as amended (the Exchange Act), trades in the secondary market generally are required to settle in three business days unless the parties to any such trade expressly agree otherwise. Accordingly, purchasers who wish to trade the Notes on the date of pricing of the Notes or the next succeeding three business days will be required, by virtue of the fact that the Notes initially will settle in T+7, to specify an alternate settlement cycle at the time of any such trade to prevent failed settlement and should consult their own advisers. </w:t>
      </w:r>
    </w:p>
    <w:p>
      <w:pPr>
        <w:pStyle w:val="TextBody"/>
        <w:spacing w:before="180" w:after="0"/>
        <w:jc w:val="center"/>
        <w:rPr>
          <w:rFonts w:ascii="Times New Roman" w:hAnsi="Times New Roman"/>
          <w:b/>
          <w:sz w:val="20"/>
        </w:rPr>
      </w:pPr>
      <w:bookmarkStart w:id="5" w:name="supp314176_2"/>
      <w:bookmarkEnd w:id="5"/>
      <w:r>
        <w:rPr>
          <w:rFonts w:ascii="Times New Roman" w:hAnsi="Times New Roman"/>
          <w:b/>
          <w:sz w:val="20"/>
        </w:rPr>
        <w:t xml:space="preserve">FORWARD-LOOKING STATEMENTS </w:t>
      </w:r>
    </w:p>
    <w:p>
      <w:pPr>
        <w:pStyle w:val="TextBody"/>
        <w:spacing w:before="180" w:after="0"/>
        <w:rPr>
          <w:rFonts w:ascii="Times New Roman" w:hAnsi="Times New Roman"/>
          <w:sz w:val="20"/>
        </w:rPr>
      </w:pPr>
      <w:r>
        <w:rPr>
          <w:rFonts w:ascii="Times New Roman" w:hAnsi="Times New Roman"/>
          <w:sz w:val="20"/>
        </w:rPr>
        <w:t xml:space="preserve">All statements included or incorporated by reference in this prospectus supplement, other than statements of historical fact, are forward-looking statements, including but not limited to statements identified by the words anticipate, believe, estimate, expect, plan, intend and forecast, as well as similar expressions and statements regarding our business strategy, plans and objectives for future operations. The absence of these words, however, does not mean that the statements are not forward-looking. These statements reflect our current views with respect to future events, based on what we believe to be reasonable assumptions. Certain factors could cause actual results to differ materially from results anticipated in the forward-looking statements. The most important of these factors include, but are not limited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consummate and integrate the BP NGL Acquisition;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implement or capitalize on planned internal growth projects;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maintenance of our credit rating and ability to receive open credit from our suppliers and trade counterparties;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continued creditworthiness of, and performance by, our counterparties, including financial institutions and trading companies with which we do business;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effectiveness of our risk management activities;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unanticipated changes in crude oil market structure, grade differentials and volatility (or lack thereof);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environmental liabilities or events that are not covered by an indemnity, insurance or existing reserves;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abrupt or severe declines or interruptions in outer continental shelf production located offshore California and transported on our pipeline systems;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shortages or cost increases of supplies, materials or labor;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fluctuations in refinery capacity in areas supplied by our mainlines and other factors affecting demand for various grades of crude oil, refined products and natural gas and resulting changes in pricing conditions or transportation throughput requirements;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availability of, and our ability to consummate, acquisition or combination opportunities;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obtain debt or equity financing on satisfactory terms to fund additional acquisitions, expansion projects, working capital requirements and the repayment or refinancing of indebtedness;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successful integration and future performance of acquired assets or businesses and the risks associated with operating in lines of business that are distinct and separate from our historical operations;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impact of current and future laws, rulings, governmental regulations, accounting standards and statements and related interpretations;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effects of competition;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interruptions in service on third-party pipelines;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increased costs or lack of availability of insurance;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fluctuations in the debt and equity markets, including the price of our units at the time of vesting under our long-term incentive plans;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currency exchange rate of the Canadian dollar;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weather interference with business operations or project construction;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risks related to the development and operation of natural gas storage facilities;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factors affecting demand for natural gas and natural gas storage services and rates;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general economic, market or business conditions and the amplification of other risks caused by volatile financial markets, capital constraints and pervasive liquidity concerns;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other factors and uncertainties inherent in the transportation, storage, terminalling and marketing of crude oil and refined products, as well as in the storage of natural gas and the processing, transportation, fractionation, storage and marketing of natural gas liquids. </w:t>
            </w:r>
          </w:p>
        </w:tc>
      </w:tr>
    </w:tbl>
    <w:p>
      <w:pPr>
        <w:pStyle w:val="TextBody"/>
        <w:spacing w:before="180" w:after="0"/>
        <w:rPr>
          <w:rFonts w:ascii="Times New Roman" w:hAnsi="Times New Roman"/>
          <w:sz w:val="20"/>
        </w:rPr>
      </w:pPr>
      <w:r>
        <w:rPr>
          <w:rFonts w:ascii="Times New Roman" w:hAnsi="Times New Roman"/>
          <w:sz w:val="20"/>
        </w:rPr>
        <w:t xml:space="preserve">Other factors described herein or incorporated by reference, as well as factors that are unknown or unpredictable, could also have a material adverse effect on future results. Such factors are described in Risk Factors on page S-7 of this prospectus supplement and in Item 1A. Risk Factors in our Annual Report on Form 10-K for the year ended December 31, 2011 (File No. 001-14569), which is incorporated in this prospectus supplement by reference. Except as required by applicable securities laws, we do not intend to update these forward-looking statements and information.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20"/>
          <w:bdr w:val="single" w:sz="8" w:space="1" w:color="000000"/>
        </w:rPr>
      </w:pPr>
      <w:bookmarkStart w:id="6" w:name="supp314176_3"/>
      <w:bookmarkEnd w:id="6"/>
      <w:r>
        <w:rPr>
          <w:rFonts w:ascii="Times New Roman" w:hAnsi="Times New Roman"/>
          <w:b/>
          <w:sz w:val="20"/>
          <w:bdr w:val="single" w:sz="8" w:space="1" w:color="000000"/>
        </w:rPr>
        <w:t xml:space="preserve">PROSPECTUS SUPPLEMENT SUMMARY </w:t>
      </w:r>
    </w:p>
    <w:p>
      <w:pPr>
        <w:pStyle w:val="TextBody"/>
        <w:spacing w:before="180" w:after="0"/>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information contained elsewhere, or incorporated by reference, in this prospectus supplement and the accompanying prospectus. It does not contain all of the information that you should consider before making an investment decision. You should read this entire prospectus supplement, the accompanying prospectus and the documents incorporated herein by reference for a more complete understanding of this offering of Notes. Please read Risk Factors on page S-7 of this prospectus supplement and in our Annual Report on Form 10-K for the year ended December 31, 2011, which is incorporated into this prospectus supplement by reference, for information regarding risks you should consider before making a decision to purchase any Notes in this offering. </w:t>
      </w:r>
    </w:p>
    <w:p>
      <w:pPr>
        <w:pStyle w:val="TextBody"/>
        <w:spacing w:before="180" w:after="0"/>
        <w:rPr>
          <w:rFonts w:ascii="Times New Roman" w:hAnsi="Times New Roman"/>
          <w:i/>
          <w:sz w:val="20"/>
          <w:bdr w:val="single" w:sz="8" w:space="1" w:color="000000"/>
        </w:rPr>
      </w:pPr>
      <w:r>
        <w:rPr>
          <w:rFonts w:ascii="Times New Roman" w:hAnsi="Times New Roman"/>
          <w:i/>
          <w:sz w:val="20"/>
          <w:bdr w:val="single" w:sz="8" w:space="1" w:color="000000"/>
        </w:rPr>
        <w:t xml:space="preserve">For purposes of this prospectus supplement and the accompanying prospectus, except as set forth in Description of Notes and unless the context clearly indicates otherwise, we, us, our and the Partnership refer to Plains All American Pipeline, L.P. and its subsidiaries. References to our general partner, as the context requires, include any or all of PAA GP LLC, Plains AAP, L.P. and Plains All American GP LLC. </w:t>
      </w:r>
    </w:p>
    <w:p>
      <w:pPr>
        <w:pStyle w:val="TextBody"/>
        <w:spacing w:before="1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Plains All American Pipeline, L.P. </w:t>
      </w:r>
    </w:p>
    <w:p>
      <w:pPr>
        <w:pStyle w:val="TextBody"/>
        <w:spacing w:before="180" w:after="0"/>
        <w:rPr>
          <w:rFonts w:ascii="Times New Roman" w:hAnsi="Times New Roman"/>
          <w:sz w:val="20"/>
          <w:bdr w:val="single" w:sz="8" w:space="1" w:color="000000"/>
        </w:rPr>
      </w:pPr>
      <w:r>
        <w:rPr>
          <w:rFonts w:ascii="Times New Roman" w:hAnsi="Times New Roman"/>
          <w:sz w:val="20"/>
          <w:bdr w:val="single" w:sz="8" w:space="1" w:color="000000"/>
        </w:rPr>
        <w:t xml:space="preserve">We are a Delaware limited partnership formed in September 1998. Our operations are conducted directly and indirectly through our primary operating subsidiaries. We engage in the transportation, storage, terminalling and marketing of crude oil and refined products, as well as in the processing, transportation, fractionation, storage and marketing of natural gas liquids (NGL). The term NGL includes ethane and natural gasoline products as well as propane and butane, products which are commonly referred to as liquefied petroleum gas (LPG). </w:t>
      </w:r>
    </w:p>
    <w:p>
      <w:pPr>
        <w:pStyle w:val="TextBody"/>
        <w:spacing w:before="180" w:after="0"/>
        <w:rPr>
          <w:rFonts w:ascii="Times New Roman" w:hAnsi="Times New Roman"/>
          <w:sz w:val="20"/>
          <w:bdr w:val="single" w:sz="8" w:space="1" w:color="000000"/>
        </w:rPr>
      </w:pPr>
      <w:r>
        <w:rPr>
          <w:rFonts w:ascii="Times New Roman" w:hAnsi="Times New Roman"/>
          <w:sz w:val="20"/>
          <w:bdr w:val="single" w:sz="8" w:space="1" w:color="000000"/>
        </w:rPr>
        <w:t xml:space="preserve">We also own and operate natural gas storage facilities through our direct and indirect ownership of PAA Natural Gas Storage, L.P. (PNG), which is a fee-based, growth-oriented Delaware limited partnership engaged in the ownership, acquisition, development, operation and commercial management of natural gas storage facilities. We own PNGs general partner, PNGS GP LLC, which holds a 2% general partner interest in PNG and all of its incentive distributions rights. We also currently own an approximate 62% limited partner interest in PNG. </w:t>
      </w:r>
    </w:p>
    <w:p>
      <w:pPr>
        <w:pStyle w:val="TextBody"/>
        <w:spacing w:before="180" w:after="0"/>
        <w:rPr>
          <w:rFonts w:ascii="Times New Roman" w:hAnsi="Times New Roman"/>
          <w:sz w:val="20"/>
          <w:bdr w:val="single" w:sz="8" w:space="1" w:color="000000"/>
        </w:rPr>
      </w:pPr>
      <w:r>
        <w:rPr>
          <w:rFonts w:ascii="Times New Roman" w:hAnsi="Times New Roman"/>
          <w:sz w:val="20"/>
          <w:bdr w:val="single" w:sz="8" w:space="1" w:color="000000"/>
        </w:rPr>
        <w:t xml:space="preserve">We are one of the largest midstream crude oil companies in North America. We have an extensive network of pipeline transportation, terminalling, storage and gathering assets in key oil-producing basins and transportation corridors, and at major market hubs in the United States and Canada. We manage our operations through three primary operating segments: transportation, facilities and supply and logistics. </w:t>
      </w:r>
    </w:p>
    <w:p>
      <w:pPr>
        <w:pStyle w:val="TextBody"/>
        <w:spacing w:before="1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Business Strategy </w:t>
      </w:r>
    </w:p>
    <w:p>
      <w:pPr>
        <w:pStyle w:val="TextBody"/>
        <w:spacing w:before="180" w:after="0"/>
        <w:rPr>
          <w:rFonts w:ascii="Times New Roman" w:hAnsi="Times New Roman"/>
          <w:sz w:val="20"/>
          <w:bdr w:val="single" w:sz="8" w:space="1" w:color="000000"/>
        </w:rPr>
      </w:pPr>
      <w:r>
        <w:rPr>
          <w:rFonts w:ascii="Times New Roman" w:hAnsi="Times New Roman"/>
          <w:sz w:val="20"/>
          <w:bdr w:val="single" w:sz="8" w:space="1" w:color="000000"/>
        </w:rPr>
        <w:t xml:space="preserve">Our principal business strategy is to provide competitive and efficient midstream transportation, terminalling, storage, processing, fractionation and supply and logistics services to our producer, refiner and other customers. Toward this end, we endeavor to address regional supply and demand imbalances for crude oil, refined products, NGL and natural gas in the United States and Canada by combining the strategic location and capabilities of our transportation, terminalling, storage, processing and fractionation assets with our extensive supply, logistics and distribution expertise. </w:t>
      </w:r>
    </w:p>
    <w:p>
      <w:pPr>
        <w:pStyle w:val="TextBody"/>
        <w:spacing w:before="180" w:after="0"/>
        <w:rPr>
          <w:rFonts w:ascii="Times New Roman" w:hAnsi="Times New Roman"/>
          <w:sz w:val="20"/>
          <w:bdr w:val="single" w:sz="8" w:space="1" w:color="000000"/>
        </w:rPr>
      </w:pPr>
      <w:r>
        <w:rPr>
          <w:rFonts w:ascii="Times New Roman" w:hAnsi="Times New Roman"/>
          <w:sz w:val="20"/>
          <w:bdr w:val="single" w:sz="8" w:space="1" w:color="000000"/>
        </w:rPr>
        <w:t xml:space="preserve">We believe successful execution of this strategy will enable us to generate sustainable earnings and cash flow. We intend to manage and grow our business by: </w:t>
      </w:r>
    </w:p>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optimizing our existing assets and realizing cost efficiencies through operational improvements; </w:t>
            </w:r>
          </w:p>
        </w:tc>
      </w:tr>
    </w:tbl>
    <w:p>
      <w:pPr>
        <w:pStyle w:val="TextBody"/>
        <w:spacing w:before="0" w:after="0"/>
        <w:rPr>
          <w:bdr w:val="single" w:sz="8" w:space="1" w:color="000000"/>
        </w:rPr>
      </w:pPr>
      <w:r>
        <w:rPr>
          <w:bdr w:val="single" w:sz="8" w:space="1" w:color="000000"/>
        </w:rPr>
        <w:t> </w:t>
      </w:r>
    </w:p>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using our transportation, terminalling, storage, processing and fractionation assets in conjunction with our supply and logistics activities to capitalize on inefficient energy markets and to address physical market imbalances, mitigate inherent risks and increase margin;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developing and implementing internal growth projects that (i) address evolving crude oil, refined products, natural gas and NGL needs in the midstream transportation and infrastructure sector and (ii) are well-positioned to benefit from long-term industry trends and opportunities;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selectively pursuing strategic and accretive acquisitions that complement our existing asset base and distribution capabilities; and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capitalizing on the anticipated long-term growth in demand for natural gas storage services in North America by owning and operating high-quality natural gas storage facilities and providing our current and future customers reliable, competitive and flexible natural gas storage and related services through our ownership interest in PNG. </w:t>
            </w:r>
          </w:p>
        </w:tc>
      </w:tr>
    </w:tbl>
    <w:p>
      <w:pPr>
        <w:pStyle w:val="TextBody"/>
        <w:spacing w:before="1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Ongoing Acquisition Activities </w:t>
      </w:r>
    </w:p>
    <w:p>
      <w:pPr>
        <w:pStyle w:val="TextBody"/>
        <w:spacing w:before="180" w:after="0"/>
        <w:rPr>
          <w:rFonts w:ascii="Times New Roman" w:hAnsi="Times New Roman"/>
          <w:sz w:val="20"/>
          <w:bdr w:val="single" w:sz="8" w:space="1" w:color="000000"/>
        </w:rPr>
      </w:pPr>
      <w:r>
        <w:rPr>
          <w:rFonts w:ascii="Times New Roman" w:hAnsi="Times New Roman"/>
          <w:sz w:val="20"/>
          <w:bdr w:val="single" w:sz="8" w:space="1" w:color="000000"/>
        </w:rPr>
        <w:t xml:space="preserve">Consistent with our business strategy, we are continuously engaged in discussions with potential sellers regarding the possible purchase of assets and operations that are strategic and complementary to our existing operations. In addition, we have in the past evaluated and pursued, and intend in the future to evaluate and pursue, other energy-related assets that have characteristics and opportunities similar to our existing business lines and enable us to leverage our asset base, knowledge base and skill sets. Such acquisition efforts may involve participation by us in processes that have been made public and involve a number of potential buyers, commonly referred to as auction processes, as well as situations in which we believe we are the only party or one of a limited number of potential buyers in negotiations with the potential seller. These acquisition efforts often involve assets which, if acquired, could have a material effect on our financial condition and results of operations. </w:t>
      </w:r>
    </w:p>
    <w:p>
      <w:pPr>
        <w:pStyle w:val="TextBody"/>
        <w:spacing w:before="180" w:after="0"/>
        <w:rPr>
          <w:rFonts w:ascii="Times New Roman" w:hAnsi="Times New Roman"/>
          <w:sz w:val="20"/>
          <w:bdr w:val="single" w:sz="8" w:space="1" w:color="000000"/>
        </w:rPr>
      </w:pPr>
      <w:r>
        <w:rPr>
          <w:rFonts w:ascii="Times New Roman" w:hAnsi="Times New Roman"/>
          <w:sz w:val="20"/>
          <w:bdr w:val="single" w:sz="8" w:space="1" w:color="000000"/>
        </w:rPr>
        <w:t xml:space="preserve">We typically do not announce a transaction until after we have executed a definitive acquisition agreement. However, in certain cases in order to protect our business interests or for other reasons, we may defer public announcement of an acquisition until closing or a later date. Past experience has demonstrated that discussions and negotiations regarding a potential acquisition can advance or terminate in a short period of time. Moreover, the closing of any transaction for which we have entered into a definitive acquisition agreement will be subject to customary and other closing conditions, which may not ultimately be satisfied or waived. Accordingly, we can give no assurance that our current or future acquisition efforts will be successful. Although we expect the acquisitions we make to be accretive in the long term, we can provide no assurance that our expectations will ultimately be realized. </w:t>
      </w:r>
    </w:p>
    <w:p>
      <w:pPr>
        <w:pStyle w:val="TextBody"/>
        <w:spacing w:before="1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Pending BP NGL Acquisition </w:t>
      </w:r>
    </w:p>
    <w:p>
      <w:pPr>
        <w:pStyle w:val="TextBody"/>
        <w:spacing w:before="180" w:after="0"/>
        <w:rPr>
          <w:rFonts w:ascii="Times New Roman" w:hAnsi="Times New Roman"/>
          <w:sz w:val="20"/>
          <w:bdr w:val="single" w:sz="8" w:space="1" w:color="000000"/>
        </w:rPr>
      </w:pPr>
      <w:r>
        <w:rPr>
          <w:rFonts w:ascii="Times New Roman" w:hAnsi="Times New Roman"/>
          <w:sz w:val="20"/>
          <w:bdr w:val="single" w:sz="8" w:space="1" w:color="000000"/>
        </w:rPr>
        <w:t xml:space="preserve">On December 1, 2011, we entered into a definitive agreement to acquire (the BP NGL Acquisition) all outstanding shares of BP Canada Energy Company, a wholly owned subsidiary of BP Corporation North America Inc. (BP North America). Total consideration for the acquisition, which will be based on an October 1, 2011 effective date, is approximately $1.67 billion, subject to working capital and other adjustments. A cash deposit of $50 million was paid upon signing, and the balance, plus 2% interest from October 1, 2011, is payable in cash upon closing. As of March 7, 2012, all of our regulatory closing conditions under the definitive acquisition agreement had been satisfied; subject to the continued satisfaction of such regulatory conditions and the satisfaction of other customary closing conditions, the acquisition is expected to close early in the second quarter of 2012. </w:t>
      </w:r>
    </w:p>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rPr>
          <w:rFonts w:ascii="Times New Roman" w:hAnsi="Times New Roman"/>
          <w:sz w:val="20"/>
          <w:bdr w:val="single" w:sz="8" w:space="1" w:color="000000"/>
        </w:rPr>
      </w:pPr>
      <w:r>
        <w:rPr>
          <w:rFonts w:ascii="Times New Roman" w:hAnsi="Times New Roman"/>
          <w:sz w:val="20"/>
          <w:bdr w:val="single" w:sz="8" w:space="1" w:color="000000"/>
        </w:rPr>
        <w:t xml:space="preserve">Upon completion of this acquisition, we will become the indirect owner of all of BP North Americas Canadian-based NGL business and certain of BP North Americas NGL assets located in the upper-Midwest United States (collectively the BP NGL Assets). The BP NGL Assets to be acquired include varying ownership interests and contractual rights relating to approximately 2,600 miles of NGL pipelines; approximately 20 million barrels of NGL storage capacity; seven fractionation plants with an aggregate net capacity of approximately 232,000 barrels per day; four straddle plants and two field gas processing plants with an aggregate net capacity of approximately six billion cubic feet (Bcf) per day; and long-term and seasonal NGL inventories of approximately 10 million barrels as of October 1, 2011. Certain of these pipelines and storage assets are currently inactive. The acquired business also includes various third party supply contracts at other field gas processing plants and a supply contract relating to a third-party owned straddle plant with throughput capacity of 2.5 Bcf per day, shipping arrangements on third-party NGL pipelines and long-term leases on 720 rail cars used to move product among various locations. Collectively, these assets and activities provide access to approximately 140,000 to 150,000 barrels per day of NGL supply that are transported through an integrated network to fractionation facilities and markets in Western and Eastern Canada and in the United States. Subject to closing the transaction, we have also entered into an Integrated Supply and Trading Agreement, pursuant to which an affiliate of BP North America will, for a period of two years following the closing of the acquisition, continue to provide sourcing services for gas supply to feed certain of the straddle plants to be acquired as a result of the acquisition. </w:t>
      </w:r>
    </w:p>
    <w:p>
      <w:pPr>
        <w:pStyle w:val="TextBody"/>
        <w:spacing w:before="180" w:after="0"/>
        <w:rPr>
          <w:rFonts w:ascii="Times New Roman" w:hAnsi="Times New Roman"/>
          <w:sz w:val="20"/>
          <w:bdr w:val="single" w:sz="8" w:space="1" w:color="000000"/>
        </w:rPr>
      </w:pPr>
      <w:r>
        <w:rPr>
          <w:rFonts w:ascii="Times New Roman" w:hAnsi="Times New Roman"/>
          <w:sz w:val="20"/>
          <w:bdr w:val="single" w:sz="8" w:space="1" w:color="000000"/>
        </w:rPr>
        <w:t xml:space="preserve">There can be no assurance that the BP NGL Acquisition will be completed in the anticipated time frame, or at all, or that the anticipated benefits of the BP NGL Acquisition will be realized. </w:t>
      </w:r>
    </w:p>
    <w:p>
      <w:pPr>
        <w:pStyle w:val="TextBody"/>
        <w:spacing w:before="180" w:after="0"/>
        <w:rPr>
          <w:rFonts w:ascii="Times New Roman" w:hAnsi="Times New Roman"/>
          <w:sz w:val="20"/>
          <w:bdr w:val="single" w:sz="8" w:space="1" w:color="000000"/>
        </w:rPr>
      </w:pPr>
      <w:r>
        <w:rPr>
          <w:rFonts w:ascii="Times New Roman" w:hAnsi="Times New Roman"/>
          <w:sz w:val="20"/>
          <w:bdr w:val="single" w:sz="8" w:space="1" w:color="000000"/>
        </w:rPr>
        <w:t xml:space="preserve">We intend to use the net proceeds of this offering to fund a portion of the consideration for the BP NGL Acquisition. Pending the application of the net proceeds to fund the BP NGL Acquisition, we intend to use the net proceeds for general partnership purposes. If the BP NGL Acquisition is not consummated for any reason, we may use the net proceeds for general partnership purposes, including future acquisitions and capital program expenditures. Alternatively, if the BP NGL Acquisition is not closed on or prior to June 1, 2012 or the acquisition agreement relating thereto is terminated on an earlier date, we may use all or a portion of the net proceeds, together with any additional funds we may provide, as necessary, to fund the special optional redemption of either or both series of Notes. See Description of NotesSpecial Optional Redemption. </w:t>
      </w:r>
    </w:p>
    <w:p>
      <w:pPr>
        <w:pStyle w:val="TextBody"/>
        <w:spacing w:before="180" w:after="0"/>
        <w:rPr>
          <w:rFonts w:ascii="Times New Roman" w:hAnsi="Times New Roman"/>
          <w:sz w:val="20"/>
          <w:bdr w:val="single" w:sz="8" w:space="1" w:color="000000"/>
        </w:rPr>
      </w:pPr>
      <w:r>
        <w:rPr>
          <w:rFonts w:ascii="Times New Roman" w:hAnsi="Times New Roman"/>
          <w:sz w:val="20"/>
          <w:bdr w:val="single" w:sz="8" w:space="1" w:color="000000"/>
        </w:rPr>
        <w:t xml:space="preserve">We currently have sufficient available borrowing capacity under our revolving credit facilities to fund all of the consideration required to close the BP NGL Acquisition. </w:t>
      </w:r>
    </w:p>
    <w:p>
      <w:pPr>
        <w:pStyle w:val="TextBody"/>
        <w:spacing w:before="1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Our Principal Executive Offices </w:t>
      </w:r>
    </w:p>
    <w:p>
      <w:pPr>
        <w:pStyle w:val="TextBody"/>
        <w:spacing w:before="180" w:after="0"/>
        <w:rPr>
          <w:rFonts w:ascii="Times New Roman" w:hAnsi="Times New Roman"/>
          <w:sz w:val="20"/>
          <w:bdr w:val="single" w:sz="8" w:space="1" w:color="000000"/>
        </w:rPr>
      </w:pPr>
      <w:r>
        <w:rPr>
          <w:rFonts w:ascii="Times New Roman" w:hAnsi="Times New Roman"/>
          <w:sz w:val="20"/>
          <w:bdr w:val="single" w:sz="8" w:space="1" w:color="000000"/>
        </w:rPr>
        <w:t xml:space="preserve">Our executive offices are located at 333 Clay Street, Suite 1600, Houston, Texas 77002. Our telephone number is (713) 646-4100. We maintain a website at </w:t>
      </w:r>
      <w:r>
        <w:rPr>
          <w:rFonts w:ascii="Times New Roman" w:hAnsi="Times New Roman"/>
          <w:i/>
          <w:sz w:val="20"/>
          <w:u w:val="single"/>
          <w:bdr w:val="single" w:sz="8" w:space="1" w:color="000000"/>
        </w:rPr>
        <w:t>www.paalp.com</w:t>
      </w:r>
      <w:r>
        <w:rPr>
          <w:rFonts w:ascii="Times New Roman" w:hAnsi="Times New Roman"/>
          <w:i/>
          <w:sz w:val="20"/>
          <w:bdr w:val="single" w:sz="8" w:space="1" w:color="000000"/>
        </w:rPr>
        <w:t xml:space="preserve"> </w:t>
      </w:r>
      <w:r>
        <w:rPr>
          <w:rFonts w:ascii="Times New Roman" w:hAnsi="Times New Roman"/>
          <w:sz w:val="20"/>
          <w:bdr w:val="single" w:sz="8" w:space="1" w:color="000000"/>
        </w:rPr>
        <w:t xml:space="preserve">that provides information about our business and operations. Information contained on or available through our website is not incorporated into or otherwise a part of this prospectus supplement or the accompanying prospectus. </w:t>
      </w:r>
    </w:p>
    <w:p>
      <w:pPr>
        <w:pStyle w:val="TextBody"/>
        <w:spacing w:before="1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Additional Information </w:t>
      </w:r>
    </w:p>
    <w:p>
      <w:pPr>
        <w:pStyle w:val="TextBody"/>
        <w:spacing w:before="180" w:after="0"/>
        <w:rPr>
          <w:rFonts w:ascii="Times New Roman" w:hAnsi="Times New Roman"/>
          <w:sz w:val="20"/>
          <w:bdr w:val="single" w:sz="8" w:space="1" w:color="000000"/>
        </w:rPr>
      </w:pPr>
      <w:r>
        <w:rPr>
          <w:rFonts w:ascii="Times New Roman" w:hAnsi="Times New Roman"/>
          <w:sz w:val="20"/>
          <w:bdr w:val="single" w:sz="8" w:space="1" w:color="000000"/>
        </w:rPr>
        <w:t xml:space="preserve">For additional information about us, including our partnership structure and management, please see our Annual Report on Form 10-K for the year ended December 31, 2011, which is incorporated by reference herein. Please refer to the section in this prospectus supplement entitled Where You Can Find More Information. </w:t>
      </w:r>
    </w:p>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20"/>
          <w:bdr w:val="single" w:sz="8" w:space="1" w:color="000000"/>
        </w:rPr>
      </w:pPr>
      <w:bookmarkStart w:id="7" w:name="supp314176_4"/>
      <w:bookmarkEnd w:id="7"/>
      <w:r>
        <w:rPr>
          <w:rFonts w:ascii="Times New Roman" w:hAnsi="Times New Roman"/>
          <w:b/>
          <w:sz w:val="20"/>
          <w:bdr w:val="single" w:sz="8" w:space="1" w:color="000000"/>
        </w:rPr>
        <w:t xml:space="preserve">THE OFFERING </w:t>
      </w:r>
    </w:p>
    <w:p>
      <w:pPr>
        <w:pStyle w:val="TextBody"/>
        <w:spacing w:before="180" w:after="0"/>
        <w:rPr>
          <w:rFonts w:ascii="Times New Roman" w:hAnsi="Times New Roman"/>
          <w:sz w:val="20"/>
          <w:bdr w:val="single" w:sz="8" w:space="1" w:color="000000"/>
        </w:rPr>
      </w:pPr>
      <w:r>
        <w:rPr>
          <w:rFonts w:ascii="Times New Roman" w:hAnsi="Times New Roman"/>
          <w:sz w:val="20"/>
          <w:bdr w:val="single" w:sz="8" w:space="1" w:color="000000"/>
        </w:rPr>
        <w:t xml:space="preserve">The summary below describes the principal terms of the Notes. Certain of the terms described below are subject to important limitations and exceptions. The Description of Notes section of this prospectus supplement and the Description of Our Debt Securities section of the accompanying prospectus contain a more detailed description of the terms of the Notes. </w:t>
      </w:r>
    </w:p>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Issuers </w:t>
            </w:r>
          </w:p>
        </w:tc>
        <w:tc>
          <w:tcPr>
            <w:tcW w:w="6329"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Plains All American Pipeline, L.P. and PAA Finance Corp.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vAlign w:val="center"/>
          </w:tcPr>
          <w:p>
            <w:pPr>
              <w:pStyle w:val="TableContents"/>
              <w:spacing w:before="0" w:after="283"/>
              <w:rPr/>
            </w:pPr>
            <w:r>
              <w:rPr/>
              <w:t> </w:t>
            </w:r>
          </w:p>
        </w:tc>
        <w:tc>
          <w:tcPr>
            <w:tcW w:w="632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PAA Finance Corp., a Delaware corporation, is a wholly owned subsidiary of Plains All American Pipeline, L.P. that has been organized for the purpose of co-issuing our existing notes, the Notes offered hereby and the notes issued in any future offerings. PAA Finance Corp. does not have operations of any kind and will not have any revenue other than as may be incidental to its activities as a co-issuer of our debt securities.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Future Guarantees </w:t>
            </w:r>
          </w:p>
        </w:tc>
        <w:tc>
          <w:tcPr>
            <w:tcW w:w="6328"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Initially, the Notes will not be guaranteed by any subsidiaries of the issuers. In the future, however, if any subsidiaries guarantee any of the issuers other debt, then those subsidiaries will, jointly and severally, fully and unconditionally guarantee the issuers payment obligations under the Notes. Please read Description of NotesPossible Future Guarantees.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Notes offered </w:t>
            </w:r>
          </w:p>
        </w:tc>
        <w:tc>
          <w:tcPr>
            <w:tcW w:w="6327"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              aggregate principal amount of     % Senior Notes due 2022.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5"/>
        <w:gridCol w:w="6330"/>
      </w:tblGrid>
      <w:tr>
        <w:trPr/>
        <w:tc>
          <w:tcPr>
            <w:tcW w:w="3875" w:type="dxa"/>
            <w:tcBorders/>
            <w:shd w:fill="auto" w:val="clear"/>
            <w:vAlign w:val="center"/>
          </w:tcPr>
          <w:p>
            <w:pPr>
              <w:pStyle w:val="TableContents"/>
              <w:spacing w:before="0" w:after="283"/>
              <w:rPr/>
            </w:pPr>
            <w:r>
              <w:rPr/>
              <w:t> </w:t>
            </w:r>
          </w:p>
        </w:tc>
        <w:tc>
          <w:tcPr>
            <w:tcW w:w="633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              aggregate principal amount of     % Senior Notes due 2042.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Maturity date </w:t>
            </w:r>
          </w:p>
        </w:tc>
        <w:tc>
          <w:tcPr>
            <w:tcW w:w="6328"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For the 2022 Notes:                     , 2022.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vAlign w:val="center"/>
          </w:tcPr>
          <w:p>
            <w:pPr>
              <w:pStyle w:val="TableContents"/>
              <w:spacing w:before="0" w:after="283"/>
              <w:rPr/>
            </w:pPr>
            <w:r>
              <w:rPr/>
              <w:t> </w:t>
            </w:r>
          </w:p>
        </w:tc>
        <w:tc>
          <w:tcPr>
            <w:tcW w:w="632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 the 2042 Notes:                     , 2042.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Interest rate </w:t>
            </w:r>
          </w:p>
        </w:tc>
        <w:tc>
          <w:tcPr>
            <w:tcW w:w="6329"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For the 2022 Notes:     %.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9"/>
        <w:gridCol w:w="6326"/>
      </w:tblGrid>
      <w:tr>
        <w:trPr/>
        <w:tc>
          <w:tcPr>
            <w:tcW w:w="3879" w:type="dxa"/>
            <w:tcBorders/>
            <w:shd w:fill="auto" w:val="clear"/>
            <w:vAlign w:val="center"/>
          </w:tcPr>
          <w:p>
            <w:pPr>
              <w:pStyle w:val="TableContents"/>
              <w:spacing w:before="0" w:after="283"/>
              <w:rPr/>
            </w:pPr>
            <w:r>
              <w:rPr/>
              <w:t> </w:t>
            </w:r>
          </w:p>
        </w:tc>
        <w:tc>
          <w:tcPr>
            <w:tcW w:w="632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 the 2042 Notes:     %.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Interest payment dates </w:t>
            </w:r>
          </w:p>
        </w:tc>
        <w:tc>
          <w:tcPr>
            <w:tcW w:w="6328"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We will pay interest on the Notes of each series semi-annually in arrears on                      and                      of each year, beginning on                     , 2012.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Optional redemption </w:t>
            </w:r>
          </w:p>
        </w:tc>
        <w:tc>
          <w:tcPr>
            <w:tcW w:w="6327"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We may redeem either or both series of Notes, in whole or in part, at any time and from time to time prior to maturity. If we redeem the 2022 Notes before                     , 2022 (three months prior to their maturity date) or the 2042 Notes before                     , 2041 (six months prior to their maturity date), such Notes may be redeemed at a price equal to the greater of (i) 100% of the principal amount of the Notes to be redeemed or (ii) the sum of the present values of the remaining scheduled payments of principal of and interest on the Notes to be redeemed, discounted to the redemption date on a semiannual basis at the Adjusted Treasury Rate (as defined herein) </w:t>
            </w:r>
          </w:p>
        </w:tc>
      </w:tr>
    </w:tbl>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vAlign w:val="center"/>
          </w:tcPr>
          <w:p>
            <w:pPr>
              <w:pStyle w:val="TableContents"/>
              <w:spacing w:before="0" w:after="283"/>
              <w:rPr/>
            </w:pPr>
            <w:r>
              <w:rPr/>
              <w:t> </w:t>
            </w:r>
          </w:p>
        </w:tc>
        <w:tc>
          <w:tcPr>
            <w:tcW w:w="6329" w:type="dxa"/>
            <w:tcBorders/>
            <w:shd w:fill="auto" w:val="clear"/>
          </w:tcPr>
          <w:p>
            <w:pPr>
              <w:pStyle w:val="TableContents"/>
              <w:spacing w:before="0" w:after="15"/>
              <w:jc w:val="left"/>
              <w:rPr>
                <w:rFonts w:ascii="Times New Roman" w:hAnsi="Times New Roman"/>
                <w:sz w:val="20"/>
              </w:rPr>
            </w:pPr>
            <w:r>
              <w:rPr>
                <w:rFonts w:ascii="Times New Roman" w:hAnsi="Times New Roman"/>
                <w:sz w:val="20"/>
              </w:rPr>
              <w:t xml:space="preserve">plus          basis points for the 2022 Notes and          basis points for the 2042 Notes, together with accrued interest to the date of redemption. If we redeem the 2022 Notes on or after                     , 2022 (three months prior to their maturity date) or the 2042 Notes on or after                     , 2041 (six months prior to their maturity date), the redemption price will equal 100% of the principal amount of the Notes to be redeemed plus accrued interest to the redemption date. See Description of NotesOptional Redemption.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Special Optional Redemption </w:t>
            </w:r>
          </w:p>
        </w:tc>
        <w:tc>
          <w:tcPr>
            <w:tcW w:w="6328"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If the BP NGL Acquisition is not closed on or prior to June 1, 2012 or the acquisition agreement relating to the acquisition is terminated earlier, we have the option to redeem all, but not less than all, of either or both series of Notes at a redemption price equal to 101% of the aggregate principal amount of such series of Notes, plus accrued and unpaid interest to the date of redemption. See Description of NotesSpecial Optional Redemption.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Ranking </w:t>
            </w:r>
          </w:p>
        </w:tc>
        <w:tc>
          <w:tcPr>
            <w:tcW w:w="6328"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The Notes will be general senior unsecured obligations of the issuers and will rank equally in right of payment with the existing and future senior indebtedness of the issuers.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Certain covenants </w:t>
            </w:r>
          </w:p>
        </w:tc>
        <w:tc>
          <w:tcPr>
            <w:tcW w:w="6329"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The Notes will be issued under an indenture containing covenants for your benefit. These covenants restrict our ability, with certain exceptions, to: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700"/>
        <w:gridCol w:w="178"/>
        <w:gridCol w:w="125"/>
        <w:gridCol w:w="6202"/>
      </w:tblGrid>
      <w:tr>
        <w:trPr/>
        <w:tc>
          <w:tcPr>
            <w:tcW w:w="3700" w:type="dxa"/>
            <w:tcBorders/>
            <w:shd w:fill="auto" w:val="clear"/>
            <w:vAlign w:val="center"/>
          </w:tcPr>
          <w:p>
            <w:pPr>
              <w:pStyle w:val="TableContents"/>
              <w:spacing w:before="0" w:after="283"/>
              <w:rPr/>
            </w:pPr>
            <w:r>
              <w:rPr/>
              <w:t> </w:t>
            </w:r>
          </w:p>
        </w:tc>
        <w:tc>
          <w:tcPr>
            <w:tcW w:w="178"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tcPr>
          <w:p>
            <w:pPr>
              <w:pStyle w:val="TableContents"/>
              <w:spacing w:before="0" w:after="283"/>
              <w:rPr/>
            </w:pPr>
            <w:r>
              <w:rPr/>
              <w:t> </w:t>
            </w:r>
          </w:p>
        </w:tc>
        <w:tc>
          <w:tcPr>
            <w:tcW w:w="620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incur liens on principal properties to secure debt;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632"/>
        <w:gridCol w:w="177"/>
        <w:gridCol w:w="124"/>
        <w:gridCol w:w="6272"/>
      </w:tblGrid>
      <w:tr>
        <w:trPr/>
        <w:tc>
          <w:tcPr>
            <w:tcW w:w="3632" w:type="dxa"/>
            <w:tcBorders/>
            <w:shd w:fill="auto" w:val="clear"/>
            <w:vAlign w:val="center"/>
          </w:tcPr>
          <w:p>
            <w:pPr>
              <w:pStyle w:val="TableContents"/>
              <w:spacing w:before="0" w:after="283"/>
              <w:rPr/>
            </w:pPr>
            <w:r>
              <w:rPr/>
              <w:t> </w:t>
            </w:r>
          </w:p>
        </w:tc>
        <w:tc>
          <w:tcPr>
            <w:tcW w:w="177"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auto" w:val="clear"/>
          </w:tcPr>
          <w:p>
            <w:pPr>
              <w:pStyle w:val="TableContents"/>
              <w:spacing w:before="0" w:after="283"/>
              <w:rPr/>
            </w:pPr>
            <w:r>
              <w:rPr/>
              <w:t> </w:t>
            </w:r>
          </w:p>
        </w:tc>
        <w:tc>
          <w:tcPr>
            <w:tcW w:w="627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engage in sale-leaseback transactions; and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678"/>
        <w:gridCol w:w="170"/>
        <w:gridCol w:w="122"/>
        <w:gridCol w:w="6235"/>
      </w:tblGrid>
      <w:tr>
        <w:trPr/>
        <w:tc>
          <w:tcPr>
            <w:tcW w:w="3678" w:type="dxa"/>
            <w:tcBorders/>
            <w:shd w:fill="auto" w:val="clear"/>
            <w:vAlign w:val="center"/>
          </w:tcPr>
          <w:p>
            <w:pPr>
              <w:pStyle w:val="TableContents"/>
              <w:spacing w:before="0" w:after="283"/>
              <w:rPr/>
            </w:pPr>
            <w:r>
              <w:rPr/>
              <w:t> </w:t>
            </w:r>
          </w:p>
        </w:tc>
        <w:tc>
          <w:tcPr>
            <w:tcW w:w="17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w:t>
            </w:r>
          </w:p>
        </w:tc>
        <w:tc>
          <w:tcPr>
            <w:tcW w:w="122" w:type="dxa"/>
            <w:tcBorders/>
            <w:shd w:fill="auto" w:val="clear"/>
          </w:tcPr>
          <w:p>
            <w:pPr>
              <w:pStyle w:val="TableContents"/>
              <w:spacing w:before="0" w:after="283"/>
              <w:rPr/>
            </w:pPr>
            <w:r>
              <w:rPr/>
              <w:t> </w:t>
            </w:r>
          </w:p>
        </w:tc>
        <w:tc>
          <w:tcPr>
            <w:tcW w:w="623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merge or consolidate with another entity or sell, lease or transfer substantially all of our properties or assets to another entity.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vAlign w:val="center"/>
          </w:tcPr>
          <w:p>
            <w:pPr>
              <w:pStyle w:val="TableContents"/>
              <w:spacing w:before="0" w:after="283"/>
              <w:rPr/>
            </w:pPr>
            <w:r>
              <w:rPr/>
              <w:t> </w:t>
            </w:r>
          </w:p>
        </w:tc>
        <w:tc>
          <w:tcPr>
            <w:tcW w:w="632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See Description of NotesCovenants.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Use of proceeds </w:t>
            </w:r>
          </w:p>
        </w:tc>
        <w:tc>
          <w:tcPr>
            <w:tcW w:w="6329"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The net proceeds of this offering are expected to be approximately $             million after deducting the underwriting discount and our estimated offering expenses. We expect to use the net proceeds from this offering to fund a portion of the consideration for the BP NGL Acquisition. Pending the application of the net proceeds to fund the BP NGL Acquisition, we intend to use the net proceeds for general partnership purposes. If the BP NGL Acquisition is not consummated for any reason, we may use the net proceeds for general partnership purposes, including future acquisitions and capital program expenditures. Alternatively, if the BP NGL Acquisition is not closed on or prior to June 1, 2012 or the acquisition agreement relating thereto is terminated on an earlier date, we may use all or a portion of the net proceeds, together with any additional funds we may provide, as necessary, to fund the special optional redemption of either or both series of Notes.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Book entry, delivery and form </w:t>
            </w:r>
          </w:p>
        </w:tc>
        <w:tc>
          <w:tcPr>
            <w:tcW w:w="6327"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The Notes of each series will be represented by one or more permanent global certificates in fully registered form deposited with a custodian for, and registered in the name of, a nominee of The Depository Trust Company. </w:t>
            </w:r>
          </w:p>
        </w:tc>
      </w:tr>
    </w:tbl>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Further issuances </w:t>
            </w:r>
          </w:p>
        </w:tc>
        <w:tc>
          <w:tcPr>
            <w:tcW w:w="6327"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We may create and issue additional Notes of either series ranking equally and ratably with that same series of Notes offered by this prospectus supplement in all respects, so that such additional Notes will be consolidated and form a single series with such Notes and will have the same terms, as to status, redemption or otherwise except for the issue date, the initial interest payment date, if applicable, and the payment of interest accruing prior to the issue date of such additional Notes.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No listing </w:t>
            </w:r>
          </w:p>
        </w:tc>
        <w:tc>
          <w:tcPr>
            <w:tcW w:w="6327"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The Notes will not be listed on any securities exchange. Currently, there is no public market for the Notes. See Risk FactorsYour ability to transfer the Notes may be limited by the absence of an organized trading market.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9"/>
        <w:gridCol w:w="6326"/>
      </w:tblGrid>
      <w:tr>
        <w:trPr/>
        <w:tc>
          <w:tcPr>
            <w:tcW w:w="3879"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Governing law </w:t>
            </w:r>
          </w:p>
        </w:tc>
        <w:tc>
          <w:tcPr>
            <w:tcW w:w="6326"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New York.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Trustee </w:t>
            </w:r>
          </w:p>
        </w:tc>
        <w:tc>
          <w:tcPr>
            <w:tcW w:w="6329"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U.S. Bank National Association.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Risk factors </w:t>
            </w:r>
          </w:p>
        </w:tc>
        <w:tc>
          <w:tcPr>
            <w:tcW w:w="6329"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Investing in the Notes involves risks. You should consider carefully all of the information in this prospectus supplement, the accompanying prospectus and the documents incorporated by reference herein and therein. In particular, you should consider carefully the specific risks set forth in Risk Factors beginning on page S-7 of this prospectus supplement and beginning on page 6 of the accompanying prospectus. </w:t>
            </w:r>
          </w:p>
        </w:tc>
      </w:tr>
    </w:tbl>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8" w:name="supp314176_5"/>
      <w:bookmarkEnd w:id="8"/>
      <w:r>
        <w:rPr>
          <w:rFonts w:ascii="Times New Roman" w:hAnsi="Times New Roman"/>
          <w:b/>
          <w:sz w:val="20"/>
        </w:rPr>
        <w:t xml:space="preserve">RISK FACTORS </w:t>
      </w:r>
    </w:p>
    <w:p>
      <w:pPr>
        <w:pStyle w:val="TextBody"/>
        <w:spacing w:before="180" w:after="0"/>
        <w:rPr>
          <w:rFonts w:ascii="Times New Roman" w:hAnsi="Times New Roman"/>
          <w:i/>
          <w:sz w:val="20"/>
        </w:rPr>
      </w:pPr>
      <w:r>
        <w:rPr>
          <w:rFonts w:ascii="Times New Roman" w:hAnsi="Times New Roman"/>
          <w:i/>
          <w:sz w:val="20"/>
        </w:rPr>
        <w:t xml:space="preserve">Before making an investment in the Notes offered hereby, you should carefully consider the risk factors included below, as well as the risk factors beginning on page 6 of the accompanying prospectus and those included in Item 1A. Risk Factors in our Annual Report on Form 10-K for the year ended December 31, 2011 (File No. 001-14569), which is incorporated into this prospectus supplement by reference, together with all of the other information included or incorporated by reference in this prospectus. If any of these risks were to occur, our business, financial condition or results of operations could be materially adversely affected. In such case, the value of the Notes could decline, and you could lose all or part of your investment. </w:t>
      </w:r>
    </w:p>
    <w:p>
      <w:pPr>
        <w:pStyle w:val="TextBody"/>
        <w:spacing w:before="180" w:after="0"/>
        <w:rPr>
          <w:rFonts w:ascii="Times New Roman" w:hAnsi="Times New Roman"/>
          <w:b/>
          <w:sz w:val="20"/>
        </w:rPr>
      </w:pPr>
      <w:r>
        <w:rPr>
          <w:rFonts w:ascii="Times New Roman" w:hAnsi="Times New Roman"/>
          <w:b/>
          <w:sz w:val="20"/>
        </w:rPr>
        <w:t xml:space="preserve">Risks Related to the Notes </w:t>
      </w:r>
    </w:p>
    <w:p>
      <w:pPr>
        <w:pStyle w:val="TextBody"/>
        <w:spacing w:before="180" w:after="0"/>
        <w:rPr>
          <w:rFonts w:ascii="Times New Roman" w:hAnsi="Times New Roman"/>
          <w:b/>
          <w:i/>
          <w:sz w:val="20"/>
        </w:rPr>
      </w:pPr>
      <w:r>
        <w:rPr>
          <w:rFonts w:ascii="Times New Roman" w:hAnsi="Times New Roman"/>
          <w:b/>
          <w:i/>
          <w:sz w:val="20"/>
        </w:rPr>
        <w:t xml:space="preserve">Your right to receive payments on the Notes is unsecured and will be effectively subordinated to our existing and future secured indebtedness and will be structurally subordinated as to any existing and future indebtedness and other obligations of our subsidiaries, other than subsidiaries that may guarantee the Notes in the future. </w:t>
      </w:r>
    </w:p>
    <w:p>
      <w:pPr>
        <w:pStyle w:val="TextBody"/>
        <w:spacing w:before="180" w:after="0"/>
        <w:rPr>
          <w:rFonts w:ascii="Times New Roman" w:hAnsi="Times New Roman"/>
          <w:sz w:val="20"/>
        </w:rPr>
      </w:pPr>
      <w:r>
        <w:rPr>
          <w:rFonts w:ascii="Times New Roman" w:hAnsi="Times New Roman"/>
          <w:sz w:val="20"/>
        </w:rPr>
        <w:t xml:space="preserve">The Notes are effectively subordinated to claims of our secured creditors and to any existing and future indebtedness and other obligations of our subsidiaries, including trade payables, other than subsidiaries that may guarantee the Notes in the future. As of December 31, 2011, on an as adjusted basis as described under Capitalization, the Notes would have been effectively subordinated to $75 million of our short-term secured indebtedness and structurally subordinated to all of our subsidiaries indebtedness, which totaled approximately $326 million at that date, and other obligations, including trade payables. In the event of the insolvency, bankruptcy, liquidation, reorganization, dissolution or winding up of the business of a subsidiary, other than a subsidiary that may guarantee the Notes in the future, creditors of that subsidiary would generally have the right to be paid in full before any distribution is made to us or the holders of the Notes. </w:t>
      </w:r>
    </w:p>
    <w:p>
      <w:pPr>
        <w:pStyle w:val="TextBody"/>
        <w:spacing w:before="180" w:after="0"/>
        <w:rPr>
          <w:rFonts w:ascii="Times New Roman" w:hAnsi="Times New Roman"/>
          <w:b/>
          <w:i/>
          <w:sz w:val="20"/>
        </w:rPr>
      </w:pPr>
      <w:r>
        <w:rPr>
          <w:rFonts w:ascii="Times New Roman" w:hAnsi="Times New Roman"/>
          <w:b/>
          <w:i/>
          <w:sz w:val="20"/>
        </w:rPr>
        <w:t xml:space="preserve">Our leverage may limit our ability to borrow additional funds, comply with the terms of our indebtedness or capitalize on business opportunities. </w:t>
      </w:r>
    </w:p>
    <w:p>
      <w:pPr>
        <w:pStyle w:val="TextBody"/>
        <w:spacing w:before="180" w:after="0"/>
        <w:rPr>
          <w:rFonts w:ascii="Times New Roman" w:hAnsi="Times New Roman"/>
          <w:sz w:val="20"/>
        </w:rPr>
      </w:pPr>
      <w:r>
        <w:rPr>
          <w:rFonts w:ascii="Times New Roman" w:hAnsi="Times New Roman"/>
          <w:sz w:val="20"/>
        </w:rPr>
        <w:t xml:space="preserve">Our leverage is significant in relation to our partners capital. As of December 31, 2011, on an as adjusted basis as described under Capitalization, our total outstanding long-term debt was approximately $5.4 billion, and our total outstanding short-term debt was approximately $1.0 billion. See Capitalization. Various limitations in our credit facilities and other debt instruments may reduce our ability to incur additional debt, to engage in some transactions and to capitalize on business opportunities. Any subsequent refinancing of our current indebtedness or any new indebtedness could have similar or greater restrictions. </w:t>
      </w:r>
    </w:p>
    <w:p>
      <w:pPr>
        <w:pStyle w:val="TextBody"/>
        <w:spacing w:before="180" w:after="0"/>
        <w:rPr>
          <w:rFonts w:ascii="Times New Roman" w:hAnsi="Times New Roman"/>
          <w:sz w:val="20"/>
        </w:rPr>
      </w:pPr>
      <w:r>
        <w:rPr>
          <w:rFonts w:ascii="Times New Roman" w:hAnsi="Times New Roman"/>
          <w:sz w:val="20"/>
        </w:rPr>
        <w:t xml:space="preserve">Our leverage could have important consequences to investors in the Notes. We will require substantial cash flow to meet our principal and interest obligations with respect to the Notes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bank credit facility to service our indebtedness, although the principal amount of the Notes of each series will likely need to be refinanced at maturity in whole or in part.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a portion of our debt or sell assets. We can give no assurance that we would be able to refinance our existing indebtedness or sell assets on terms that are commercially reasonable. </w:t>
      </w:r>
    </w:p>
    <w:p>
      <w:pPr>
        <w:pStyle w:val="TextBody"/>
        <w:spacing w:before="180" w:after="0"/>
        <w:rPr>
          <w:rFonts w:ascii="Times New Roman" w:hAnsi="Times New Roman"/>
          <w:sz w:val="20"/>
        </w:rPr>
      </w:pPr>
      <w:r>
        <w:rPr>
          <w:rFonts w:ascii="Times New Roman" w:hAnsi="Times New Roman"/>
          <w:sz w:val="20"/>
        </w:rPr>
        <w:t xml:space="preserve">Our leverage may adversely affect our ability to fund future working capital, capital expenditures and other general partnership requirements, future acquisition, construction or development activities, or to otherwise fully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 </w:t>
      </w:r>
    </w:p>
    <w:p>
      <w:pPr>
        <w:pStyle w:val="TextBody"/>
        <w:spacing w:before="180" w:after="0"/>
        <w:rPr>
          <w:rFonts w:ascii="Times New Roman" w:hAnsi="Times New Roman"/>
          <w:b/>
          <w:i/>
          <w:sz w:val="20"/>
        </w:rPr>
      </w:pPr>
      <w:r>
        <w:rPr>
          <w:rFonts w:ascii="Times New Roman" w:hAnsi="Times New Roman"/>
          <w:b/>
          <w:i/>
          <w:sz w:val="20"/>
        </w:rPr>
        <w:t xml:space="preserve">Your ability to transfer the Notes may be limited by the absence of an organized trading market. </w:t>
      </w:r>
    </w:p>
    <w:p>
      <w:pPr>
        <w:pStyle w:val="TextBody"/>
        <w:spacing w:before="180" w:after="0"/>
        <w:rPr>
          <w:rFonts w:ascii="Times New Roman" w:hAnsi="Times New Roman"/>
          <w:sz w:val="20"/>
        </w:rPr>
      </w:pPr>
      <w:r>
        <w:rPr>
          <w:rFonts w:ascii="Times New Roman" w:hAnsi="Times New Roman"/>
          <w:sz w:val="20"/>
        </w:rPr>
        <w:t xml:space="preserve">The Notes of each series will be new securities for which currently there is no organized trading market. We do not currently intend to apply for listing of the Notes on any securities exchange or other market. Although certain of the underwriters have informed us that they currently intend to make a market in the Notes of each series, they are not obligated to do so. In addition, the underwriters may discontinue any such market making at any time without notice. The liquidity of any market for the Notes of either series will depend on the number of holders of the Notes, the interest of securities dealers in making a market in those Notes and other factors. Accordingly, we can give no assurance as to the development, continuation or liquidity of any market for the Notes of either series. </w:t>
      </w:r>
    </w:p>
    <w:p>
      <w:pPr>
        <w:pStyle w:val="TextBody"/>
        <w:spacing w:before="180" w:after="0"/>
        <w:rPr>
          <w:rFonts w:ascii="Times New Roman" w:hAnsi="Times New Roman"/>
          <w:b/>
          <w:i/>
          <w:sz w:val="20"/>
        </w:rPr>
      </w:pPr>
      <w:r>
        <w:rPr>
          <w:rFonts w:ascii="Times New Roman" w:hAnsi="Times New Roman"/>
          <w:b/>
          <w:i/>
          <w:sz w:val="20"/>
        </w:rPr>
        <w:t xml:space="preserve">We have a holding company structure in which our subsidiaries conduct our operations and own our operating assets. </w:t>
      </w:r>
    </w:p>
    <w:p>
      <w:pPr>
        <w:pStyle w:val="TextBody"/>
        <w:spacing w:before="180" w:after="0"/>
        <w:rPr>
          <w:rFonts w:ascii="Times New Roman" w:hAnsi="Times New Roman"/>
          <w:sz w:val="20"/>
        </w:rPr>
      </w:pPr>
      <w:r>
        <w:rPr>
          <w:rFonts w:ascii="Times New Roman" w:hAnsi="Times New Roman"/>
          <w:sz w:val="20"/>
        </w:rPr>
        <w:t xml:space="preserve">We are a holding company, and our subsidiaries conduct all of our operations and own all of our operating assets. We have no significant assets other than the ownership interests in our subsidiaries. As a result, our ability to make required payments on the Notes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our credit facilities, we may be required to establish cash reserves for the future payment of principal and interest on the amounts outstanding under our credit facilities. If we are unable to obtain the funds necessary to pay the principal amount at maturity of the Notes of either series, we may be required to adopt one or more alternatives, such as a refinancing of such Notes. We cannot assure you that we would be able to refinance the Notes of either series. </w:t>
      </w:r>
    </w:p>
    <w:p>
      <w:pPr>
        <w:pStyle w:val="TextBody"/>
        <w:spacing w:before="180" w:after="0"/>
        <w:rPr>
          <w:rFonts w:ascii="Times New Roman" w:hAnsi="Times New Roman"/>
          <w:b/>
          <w:i/>
          <w:sz w:val="20"/>
        </w:rPr>
      </w:pPr>
      <w:r>
        <w:rPr>
          <w:rFonts w:ascii="Times New Roman" w:hAnsi="Times New Roman"/>
          <w:b/>
          <w:i/>
          <w:sz w:val="20"/>
        </w:rPr>
        <w:t xml:space="preserve">We do not have the same flexibility as other types of organizations to accumulate cash, which may limit cash available to service the Notes of either series or to repay them at maturity. </w:t>
      </w:r>
    </w:p>
    <w:p>
      <w:pPr>
        <w:pStyle w:val="TextBody"/>
        <w:spacing w:before="180" w:after="0"/>
        <w:rPr>
          <w:rFonts w:ascii="Times New Roman" w:hAnsi="Times New Roman"/>
          <w:sz w:val="20"/>
        </w:rPr>
      </w:pPr>
      <w:r>
        <w:rPr>
          <w:rFonts w:ascii="Times New Roman" w:hAnsi="Times New Roman"/>
          <w:sz w:val="20"/>
        </w:rPr>
        <w:t xml:space="preserve">Unlike a corporation, our partnership agreement requires us to distribute, on a quarterly basis, 100% of our available cash to our unitholders of record and our general partner. Available cash is generally all of our cash receipts adjusted for cash distributions and net changes to reserves.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provide for the proper conduct of our business and the businesses of our operating partnerships (including reserves for future capital expenditures and for our anticipated future credit needs);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provide funds for distributions to our unitholders and the general partner for any one or more of the next four calendar quarters;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comply with applicable law or any of our loan or other agreements. </w:t>
            </w:r>
          </w:p>
        </w:tc>
      </w:tr>
    </w:tbl>
    <w:p>
      <w:pPr>
        <w:pStyle w:val="TextBody"/>
        <w:spacing w:before="180" w:after="0"/>
        <w:rPr>
          <w:rFonts w:ascii="Times New Roman" w:hAnsi="Times New Roman"/>
          <w:sz w:val="20"/>
        </w:rPr>
      </w:pPr>
      <w:r>
        <w:rPr>
          <w:rFonts w:ascii="Times New Roman" w:hAnsi="Times New Roman"/>
          <w:sz w:val="20"/>
        </w:rPr>
        <w:t xml:space="preserve">Although our payment obligations to our unitholders are subordinate to our payment obligations to you, the value of our units will decrease in direct correlation with decreases in the amount we distribute per unit. Accordingly, if we experience a liquidity problem in the future, we may not be able to issue equity to recapitalize.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9" w:name="supp314176_6"/>
      <w:bookmarkEnd w:id="9"/>
      <w:r>
        <w:rPr>
          <w:rFonts w:ascii="Times New Roman" w:hAnsi="Times New Roman"/>
          <w:b/>
          <w:sz w:val="20"/>
        </w:rPr>
        <w:t xml:space="preserve">USE OF PROCEEDS </w:t>
      </w:r>
    </w:p>
    <w:p>
      <w:pPr>
        <w:pStyle w:val="TextBody"/>
        <w:spacing w:before="180" w:after="0"/>
        <w:rPr>
          <w:rFonts w:ascii="Times New Roman" w:hAnsi="Times New Roman"/>
          <w:sz w:val="20"/>
        </w:rPr>
      </w:pPr>
      <w:r>
        <w:rPr>
          <w:rFonts w:ascii="Times New Roman" w:hAnsi="Times New Roman"/>
          <w:sz w:val="20"/>
        </w:rPr>
        <w:t xml:space="preserve">The net proceeds of this offering are expected to be approximately $             million after deducting the underwriting discount and our estimated offering expenses. We intend to use the net proceeds of this offering to fund a portion of the consideration for the BP NGL Acquisition. Pending the application of the net proceeds to fund the BP NGL Acquisition, we intend to use the net proceeds for general partnership purposes. If the BP NGL Acquisition is not consummated for any reason, we may use the net proceeds for general partnership purposes, including future acquisitions and capital program expenditures. Alternatively, if the BP NGL Acquisition is not closed on or prior to June 1, 2012 or the acquisition agreement relating thereto is terminated on an earlier date, we may use all or a portion of the net proceeds, together with any additional funds we may provide, as necessary, to fund the special optional redemption of either or both series of Notes. See Description of NotesSpecial Optional Redemption.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0" w:name="supp314176_7"/>
      <w:bookmarkEnd w:id="10"/>
      <w:r>
        <w:rPr>
          <w:rFonts w:ascii="Times New Roman" w:hAnsi="Times New Roman"/>
          <w:b/>
          <w:sz w:val="20"/>
        </w:rPr>
        <w:t xml:space="preserve">RATIO OF EARNINGS TO FIXED CHARGES </w:t>
      </w:r>
    </w:p>
    <w:p>
      <w:pPr>
        <w:pStyle w:val="TextBody"/>
        <w:spacing w:before="180" w:after="0"/>
        <w:rPr>
          <w:rFonts w:ascii="Times New Roman" w:hAnsi="Times New Roman"/>
          <w:sz w:val="20"/>
        </w:rPr>
      </w:pPr>
      <w:r>
        <w:rPr>
          <w:rFonts w:ascii="Times New Roman" w:hAnsi="Times New Roman"/>
          <w:sz w:val="20"/>
        </w:rPr>
        <w:t xml:space="preserve">The following table sets forth our ratio of earnings to fixed charges for the periods indicated on a consolidated historical basis.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operating leases deemed to be the equivalent of interest.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744"/>
        <w:gridCol w:w="437"/>
        <w:gridCol w:w="687"/>
        <w:gridCol w:w="395"/>
        <w:gridCol w:w="687"/>
        <w:gridCol w:w="395"/>
        <w:gridCol w:w="687"/>
        <w:gridCol w:w="395"/>
        <w:gridCol w:w="687"/>
        <w:gridCol w:w="394"/>
        <w:gridCol w:w="697"/>
      </w:tblGrid>
      <w:tr>
        <w:trPr/>
        <w:tc>
          <w:tcPr>
            <w:tcW w:w="4744"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bottom"/>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bottom"/>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r>
      <w:tr>
        <w:trPr/>
        <w:tc>
          <w:tcPr>
            <w:tcW w:w="4744"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5024" w:type="dxa"/>
            <w:gridSpan w:val="9"/>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Years Ended December 31,</w:t>
            </w:r>
          </w:p>
        </w:tc>
      </w:tr>
      <w:tr>
        <w:trPr/>
        <w:tc>
          <w:tcPr>
            <w:tcW w:w="4744"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687" w:type="dxa"/>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2011    </w:t>
            </w:r>
          </w:p>
        </w:tc>
        <w:tc>
          <w:tcPr>
            <w:tcW w:w="395" w:type="dxa"/>
            <w:tcBorders/>
            <w:shd w:fill="auto" w:val="clear"/>
            <w:vAlign w:val="bottom"/>
          </w:tcPr>
          <w:p>
            <w:pPr>
              <w:pStyle w:val="TableContents"/>
              <w:spacing w:before="0" w:after="283"/>
              <w:rPr/>
            </w:pPr>
            <w:r>
              <w:rPr/>
              <w:t> </w:t>
            </w:r>
          </w:p>
        </w:tc>
        <w:tc>
          <w:tcPr>
            <w:tcW w:w="687" w:type="dxa"/>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2010    </w:t>
            </w:r>
          </w:p>
        </w:tc>
        <w:tc>
          <w:tcPr>
            <w:tcW w:w="395" w:type="dxa"/>
            <w:tcBorders/>
            <w:shd w:fill="auto" w:val="clear"/>
            <w:vAlign w:val="bottom"/>
          </w:tcPr>
          <w:p>
            <w:pPr>
              <w:pStyle w:val="TableContents"/>
              <w:spacing w:before="0" w:after="283"/>
              <w:rPr/>
            </w:pPr>
            <w:r>
              <w:rPr/>
              <w:t> </w:t>
            </w:r>
          </w:p>
        </w:tc>
        <w:tc>
          <w:tcPr>
            <w:tcW w:w="687" w:type="dxa"/>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2009    </w:t>
            </w:r>
          </w:p>
        </w:tc>
        <w:tc>
          <w:tcPr>
            <w:tcW w:w="395" w:type="dxa"/>
            <w:tcBorders/>
            <w:shd w:fill="auto" w:val="clear"/>
            <w:vAlign w:val="bottom"/>
          </w:tcPr>
          <w:p>
            <w:pPr>
              <w:pStyle w:val="TableContents"/>
              <w:spacing w:before="0" w:after="283"/>
              <w:rPr/>
            </w:pPr>
            <w:r>
              <w:rPr/>
              <w:t> </w:t>
            </w:r>
          </w:p>
        </w:tc>
        <w:tc>
          <w:tcPr>
            <w:tcW w:w="687" w:type="dxa"/>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2008    </w:t>
            </w:r>
          </w:p>
        </w:tc>
        <w:tc>
          <w:tcPr>
            <w:tcW w:w="394" w:type="dxa"/>
            <w:tcBorders/>
            <w:shd w:fill="auto" w:val="clear"/>
            <w:vAlign w:val="bottom"/>
          </w:tcPr>
          <w:p>
            <w:pPr>
              <w:pStyle w:val="TableContents"/>
              <w:spacing w:before="0" w:after="283"/>
              <w:rPr/>
            </w:pPr>
            <w:r>
              <w:rPr/>
              <w:t> </w:t>
            </w:r>
          </w:p>
        </w:tc>
        <w:tc>
          <w:tcPr>
            <w:tcW w:w="697" w:type="dxa"/>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2007    </w:t>
            </w:r>
          </w:p>
        </w:tc>
      </w:tr>
      <w:tr>
        <w:trPr/>
        <w:tc>
          <w:tcPr>
            <w:tcW w:w="4744" w:type="dxa"/>
            <w:tcBorders/>
            <w:shd w:fill="CCEEFF" w:val="clear"/>
          </w:tcPr>
          <w:p>
            <w:pPr>
              <w:pStyle w:val="TableContents"/>
              <w:spacing w:before="0" w:after="283"/>
              <w:rPr>
                <w:rFonts w:ascii="Times New Roman" w:hAnsi="Times New Roman"/>
                <w:sz w:val="20"/>
              </w:rPr>
            </w:pPr>
            <w:r>
              <w:rPr>
                <w:rFonts w:ascii="Times New Roman" w:hAnsi="Times New Roman"/>
                <w:sz w:val="20"/>
              </w:rPr>
              <w:t>Ratio of earnings to fixed charges(1)</w:t>
            </w:r>
          </w:p>
        </w:tc>
        <w:tc>
          <w:tcPr>
            <w:tcW w:w="437" w:type="dxa"/>
            <w:tcBorders/>
            <w:shd w:fill="CCEEFF" w:val="clear"/>
            <w:vAlign w:val="bottom"/>
          </w:tcPr>
          <w:p>
            <w:pPr>
              <w:pStyle w:val="TableContents"/>
              <w:spacing w:before="0" w:after="283"/>
              <w:rPr/>
            </w:pPr>
            <w:r>
              <w:rPr/>
              <w:t>  </w:t>
            </w:r>
          </w:p>
        </w:tc>
        <w:tc>
          <w:tcPr>
            <w:tcW w:w="687"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4.13x</w:t>
            </w:r>
          </w:p>
        </w:tc>
        <w:tc>
          <w:tcPr>
            <w:tcW w:w="395" w:type="dxa"/>
            <w:tcBorders/>
            <w:shd w:fill="CCEEFF" w:val="clear"/>
            <w:vAlign w:val="bottom"/>
          </w:tcPr>
          <w:p>
            <w:pPr>
              <w:pStyle w:val="TableContents"/>
              <w:spacing w:before="0" w:after="283"/>
              <w:rPr/>
            </w:pPr>
            <w:r>
              <w:rPr/>
              <w:t> </w:t>
            </w:r>
          </w:p>
        </w:tc>
        <w:tc>
          <w:tcPr>
            <w:tcW w:w="687"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2.57x</w:t>
            </w:r>
          </w:p>
        </w:tc>
        <w:tc>
          <w:tcPr>
            <w:tcW w:w="395" w:type="dxa"/>
            <w:tcBorders/>
            <w:shd w:fill="CCEEFF" w:val="clear"/>
            <w:vAlign w:val="bottom"/>
          </w:tcPr>
          <w:p>
            <w:pPr>
              <w:pStyle w:val="TableContents"/>
              <w:spacing w:before="0" w:after="283"/>
              <w:rPr/>
            </w:pPr>
            <w:r>
              <w:rPr/>
              <w:t> </w:t>
            </w:r>
          </w:p>
        </w:tc>
        <w:tc>
          <w:tcPr>
            <w:tcW w:w="687"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3.00x</w:t>
            </w:r>
          </w:p>
        </w:tc>
        <w:tc>
          <w:tcPr>
            <w:tcW w:w="395" w:type="dxa"/>
            <w:tcBorders/>
            <w:shd w:fill="CCEEFF" w:val="clear"/>
            <w:vAlign w:val="bottom"/>
          </w:tcPr>
          <w:p>
            <w:pPr>
              <w:pStyle w:val="TableContents"/>
              <w:spacing w:before="0" w:after="283"/>
              <w:rPr/>
            </w:pPr>
            <w:r>
              <w:rPr/>
              <w:t> </w:t>
            </w:r>
          </w:p>
        </w:tc>
        <w:tc>
          <w:tcPr>
            <w:tcW w:w="687"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2.60x</w:t>
            </w:r>
          </w:p>
        </w:tc>
        <w:tc>
          <w:tcPr>
            <w:tcW w:w="394"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2.45x</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(1)</w:t>
            </w:r>
          </w:p>
        </w:tc>
        <w:tc>
          <w:tcPr>
            <w:tcW w:w="9900"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 xml:space="preserve">Includes interest costs attributable to borrowings for hedged inventory purchases of $20 million, $17 million, $11 million, $21 million and $44 million for the years ended December 31, 2011, 2010, 2009, 2008 and 2007, respectively.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1" w:name="supp314176_8"/>
      <w:bookmarkEnd w:id="11"/>
      <w:r>
        <w:rPr>
          <w:rFonts w:ascii="Times New Roman" w:hAnsi="Times New Roman"/>
          <w:b/>
          <w:sz w:val="20"/>
        </w:rPr>
        <w:t xml:space="preserve">CAPITALIZATION </w:t>
      </w:r>
    </w:p>
    <w:p>
      <w:pPr>
        <w:pStyle w:val="TextBody"/>
        <w:spacing w:before="90" w:after="0"/>
        <w:rPr>
          <w:rFonts w:ascii="Times New Roman" w:hAnsi="Times New Roman"/>
          <w:sz w:val="20"/>
        </w:rPr>
      </w:pPr>
      <w:r>
        <w:rPr>
          <w:rFonts w:ascii="Times New Roman" w:hAnsi="Times New Roman"/>
          <w:sz w:val="20"/>
        </w:rPr>
        <w:t xml:space="preserve">The following table sets forth our capitalization as of December 31, 2011: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on a historical basis;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on an as adjusted basis to give effect to (i) the closing of the BP NGL Acquisition, assuming such acquisition is funded in part by borrowings under our credit facilities, and (ii) the application of our March 2012 offering of 5,750,000 common units, including 750,000 common units issued pursuant to the exercise of the underwriters option to purchase additional common units and the application of the net proceeds therefrom to fund a portion of the consideration for the BP NGL Acquisition;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on an as further adjusted basis to give effect to the sale of the Notes offered hereby and the application of the net proceeds therefrom as described under Use of Proceeds in this prospectus supplement. </w:t>
            </w:r>
          </w:p>
        </w:tc>
      </w:tr>
    </w:tbl>
    <w:p>
      <w:pPr>
        <w:pStyle w:val="TextBody"/>
        <w:spacing w:before="180" w:after="0"/>
        <w:rPr>
          <w:rFonts w:ascii="Times New Roman" w:hAnsi="Times New Roman"/>
          <w:sz w:val="20"/>
        </w:rPr>
      </w:pPr>
      <w:r>
        <w:rPr>
          <w:rFonts w:ascii="Times New Roman" w:hAnsi="Times New Roman"/>
          <w:sz w:val="20"/>
        </w:rPr>
        <w:t xml:space="preserve">This table should also be read in conjunction with our financial statements and the notes thereto that are incorporated by reference into this prospectus supplement. As of March 12, 2012, including the effect of repayments using a portion of the net proceeds of our March 2012 equity offering (pending their final use to fund a portion of the BP NGL Acquisition), we had approximately $30.2 million, no borrowings and $328.2 million outstanding under our PAA revolving credit facility, our PAA senior secured hedged inventory facility and the PNG senior unsecured credit facility, respectively.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271"/>
        <w:gridCol w:w="455"/>
        <w:gridCol w:w="125"/>
        <w:gridCol w:w="647"/>
        <w:gridCol w:w="120"/>
        <w:gridCol w:w="455"/>
        <w:gridCol w:w="126"/>
        <w:gridCol w:w="653"/>
        <w:gridCol w:w="120"/>
        <w:gridCol w:w="454"/>
        <w:gridCol w:w="133"/>
        <w:gridCol w:w="520"/>
        <w:gridCol w:w="126"/>
      </w:tblGrid>
      <w:tr>
        <w:trPr/>
        <w:tc>
          <w:tcPr>
            <w:tcW w:w="6271"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r>
      <w:tr>
        <w:trPr/>
        <w:tc>
          <w:tcPr>
            <w:tcW w:w="6271"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3353" w:type="dxa"/>
            <w:gridSpan w:val="10"/>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As of December 31, 2011</w:t>
            </w:r>
          </w:p>
        </w:tc>
        <w:tc>
          <w:tcPr>
            <w:tcW w:w="126" w:type="dxa"/>
            <w:tcBorders/>
            <w:shd w:fill="auto" w:val="clear"/>
            <w:vAlign w:val="bottom"/>
          </w:tcPr>
          <w:p>
            <w:pPr>
              <w:pStyle w:val="TableContents"/>
              <w:spacing w:before="0" w:after="283"/>
              <w:rPr/>
            </w:pPr>
            <w:r>
              <w:rPr/>
              <w:t> </w:t>
            </w:r>
          </w:p>
        </w:tc>
      </w:tr>
      <w:tr>
        <w:trPr/>
        <w:tc>
          <w:tcPr>
            <w:tcW w:w="6271"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77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Historical</w:t>
            </w:r>
          </w:p>
        </w:tc>
        <w:tc>
          <w:tcPr>
            <w:tcW w:w="120"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77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As Adjusted</w:t>
            </w:r>
          </w:p>
        </w:tc>
        <w:tc>
          <w:tcPr>
            <w:tcW w:w="120"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65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As Further</w:t>
              <w:br/>
              <w:t>Adjusted</w:t>
            </w:r>
          </w:p>
        </w:tc>
        <w:tc>
          <w:tcPr>
            <w:tcW w:w="126" w:type="dxa"/>
            <w:tcBorders/>
            <w:shd w:fill="auto" w:val="clear"/>
            <w:vAlign w:val="bottom"/>
          </w:tcPr>
          <w:p>
            <w:pPr>
              <w:pStyle w:val="TableContents"/>
              <w:spacing w:before="0" w:after="283"/>
              <w:rPr/>
            </w:pPr>
            <w:r>
              <w:rPr/>
              <w:t> </w:t>
            </w:r>
          </w:p>
        </w:tc>
      </w:tr>
      <w:tr>
        <w:trPr/>
        <w:tc>
          <w:tcPr>
            <w:tcW w:w="6271"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3353" w:type="dxa"/>
            <w:gridSpan w:val="10"/>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millions)</w:t>
            </w:r>
          </w:p>
        </w:tc>
        <w:tc>
          <w:tcPr>
            <w:tcW w:w="126" w:type="dxa"/>
            <w:tcBorders/>
            <w:shd w:fill="auto" w:val="clear"/>
            <w:vAlign w:val="bottom"/>
          </w:tcPr>
          <w:p>
            <w:pPr>
              <w:pStyle w:val="TableContents"/>
              <w:spacing w:before="0" w:after="283"/>
              <w:rPr/>
            </w:pPr>
            <w:r>
              <w:rPr/>
              <w:t> </w:t>
            </w:r>
          </w:p>
        </w:tc>
      </w:tr>
      <w:tr>
        <w:trPr/>
        <w:tc>
          <w:tcPr>
            <w:tcW w:w="6271" w:type="dxa"/>
            <w:tcBorders/>
            <w:shd w:fill="CCEEFF" w:val="clear"/>
          </w:tcPr>
          <w:p>
            <w:pPr>
              <w:pStyle w:val="TableContents"/>
              <w:spacing w:before="0" w:after="283"/>
              <w:rPr>
                <w:rFonts w:ascii="Times New Roman" w:hAnsi="Times New Roman"/>
                <w:b/>
                <w:sz w:val="20"/>
              </w:rPr>
            </w:pPr>
            <w:r>
              <w:rPr>
                <w:rFonts w:ascii="Times New Roman" w:hAnsi="Times New Roman"/>
                <w:b/>
                <w:sz w:val="20"/>
              </w:rPr>
              <w:t>CASH AND CASH EQUIVALENTS</w:t>
            </w:r>
          </w:p>
        </w:tc>
        <w:tc>
          <w:tcPr>
            <w:tcW w:w="4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120"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120" w:type="dxa"/>
            <w:tcBorders/>
            <w:shd w:fill="CCEEFF" w:val="clear"/>
            <w:vAlign w:val="bottom"/>
          </w:tcPr>
          <w:p>
            <w:pPr>
              <w:pStyle w:val="TableContents"/>
              <w:spacing w:before="0" w:after="283"/>
              <w:rPr/>
            </w:pPr>
            <w:r>
              <w:rPr/>
              <w:t>  </w:t>
            </w:r>
          </w:p>
        </w:tc>
        <w:tc>
          <w:tcPr>
            <w:tcW w:w="45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126" w:type="dxa"/>
            <w:tcBorders/>
            <w:shd w:fill="CCEEFF" w:val="clear"/>
            <w:vAlign w:val="bottom"/>
          </w:tcPr>
          <w:p>
            <w:pPr>
              <w:pStyle w:val="TableContents"/>
              <w:spacing w:before="0" w:after="283"/>
              <w:rPr/>
            </w:pPr>
            <w:r>
              <w:rPr/>
              <w:t>  </w:t>
            </w:r>
          </w:p>
        </w:tc>
      </w:tr>
      <w:tr>
        <w:trPr/>
        <w:tc>
          <w:tcPr>
            <w:tcW w:w="6271" w:type="dxa"/>
            <w:tcBorders/>
            <w:shd w:fill="auto" w:val="clear"/>
            <w:vAlign w:val="bottom"/>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47"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double" w:sz="6" w:space="1" w:color="000000"/>
              </w:pBdr>
              <w:spacing w:before="0" w:after="283"/>
              <w:rPr/>
            </w:pPr>
            <w:r>
              <w:rPr/>
              <w:t> </w:t>
            </w:r>
          </w:p>
        </w:tc>
        <w:tc>
          <w:tcPr>
            <w:tcW w:w="653"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pBdr>
                <w:top w:val="double" w:sz="6" w:space="1" w:color="000000"/>
              </w:pBdr>
              <w:spacing w:before="0" w:after="283"/>
              <w:rPr/>
            </w:pPr>
            <w:r>
              <w:rPr/>
              <w:t> </w:t>
            </w:r>
          </w:p>
        </w:tc>
        <w:tc>
          <w:tcPr>
            <w:tcW w:w="520" w:type="dxa"/>
            <w:tcBorders/>
            <w:shd w:fill="auto" w:val="clear"/>
            <w:vAlign w:val="bottom"/>
          </w:tcPr>
          <w:p>
            <w:pPr>
              <w:pStyle w:val="TableContents"/>
              <w:pBdr>
                <w:top w:val="double" w:sz="6" w:space="1" w:color="000000"/>
              </w:pBdr>
              <w:spacing w:before="0" w:after="283"/>
              <w:rPr/>
            </w:pPr>
            <w:r>
              <w:rPr/>
              <w:t> </w:t>
            </w:r>
          </w:p>
        </w:tc>
        <w:tc>
          <w:tcPr>
            <w:tcW w:w="126" w:type="dxa"/>
            <w:tcBorders/>
            <w:shd w:fill="auto" w:val="clear"/>
            <w:vAlign w:val="center"/>
          </w:tcPr>
          <w:p>
            <w:pPr>
              <w:pStyle w:val="TableContents"/>
              <w:spacing w:before="0" w:after="283"/>
              <w:rPr/>
            </w:pPr>
            <w:r>
              <w:rPr/>
              <w:t> </w:t>
            </w:r>
          </w:p>
        </w:tc>
      </w:tr>
      <w:tr>
        <w:trPr>
          <w:trHeight w:val="120" w:hRule="atLeast"/>
        </w:trPr>
        <w:tc>
          <w:tcPr>
            <w:tcW w:w="6271" w:type="dxa"/>
            <w:tcBorders/>
            <w:shd w:fill="auto" w:val="clear"/>
            <w:vAlign w:val="center"/>
          </w:tcPr>
          <w:p>
            <w:pPr>
              <w:pStyle w:val="TableContents"/>
              <w:spacing w:before="0" w:after="283"/>
              <w:rPr>
                <w:sz w:val="4"/>
                <w:szCs w:val="4"/>
              </w:rPr>
            </w:pPr>
            <w:r>
              <w:rPr>
                <w:sz w:val="4"/>
                <w:szCs w:val="4"/>
              </w:rPr>
            </w:r>
          </w:p>
        </w:tc>
        <w:tc>
          <w:tcPr>
            <w:tcW w:w="1347" w:type="dxa"/>
            <w:gridSpan w:val="4"/>
            <w:tcBorders/>
            <w:shd w:fill="auto" w:val="clear"/>
            <w:vAlign w:val="center"/>
          </w:tcPr>
          <w:p>
            <w:pPr>
              <w:pStyle w:val="TableContents"/>
              <w:spacing w:before="0" w:after="283"/>
              <w:rPr>
                <w:sz w:val="4"/>
                <w:szCs w:val="4"/>
              </w:rPr>
            </w:pPr>
            <w:r>
              <w:rPr>
                <w:sz w:val="4"/>
                <w:szCs w:val="4"/>
              </w:rPr>
            </w:r>
          </w:p>
        </w:tc>
        <w:tc>
          <w:tcPr>
            <w:tcW w:w="1354" w:type="dxa"/>
            <w:gridSpan w:val="4"/>
            <w:tcBorders/>
            <w:shd w:fill="auto" w:val="clear"/>
            <w:vAlign w:val="center"/>
          </w:tcPr>
          <w:p>
            <w:pPr>
              <w:pStyle w:val="TableContents"/>
              <w:spacing w:before="0" w:after="283"/>
              <w:rPr>
                <w:sz w:val="4"/>
                <w:szCs w:val="4"/>
              </w:rPr>
            </w:pPr>
            <w:r>
              <w:rPr>
                <w:sz w:val="4"/>
                <w:szCs w:val="4"/>
              </w:rPr>
            </w:r>
          </w:p>
        </w:tc>
        <w:tc>
          <w:tcPr>
            <w:tcW w:w="1233" w:type="dxa"/>
            <w:gridSpan w:val="4"/>
            <w:tcBorders/>
            <w:shd w:fill="auto" w:val="clear"/>
            <w:vAlign w:val="center"/>
          </w:tcPr>
          <w:p>
            <w:pPr>
              <w:pStyle w:val="TableContents"/>
              <w:spacing w:before="0" w:after="283"/>
              <w:rPr>
                <w:sz w:val="4"/>
                <w:szCs w:val="4"/>
              </w:rPr>
            </w:pPr>
            <w:r>
              <w:rPr>
                <w:sz w:val="4"/>
                <w:szCs w:val="4"/>
              </w:rPr>
            </w:r>
          </w:p>
        </w:tc>
      </w:tr>
      <w:tr>
        <w:trPr/>
        <w:tc>
          <w:tcPr>
            <w:tcW w:w="6271" w:type="dxa"/>
            <w:tcBorders/>
            <w:shd w:fill="auto" w:val="clear"/>
          </w:tcPr>
          <w:p>
            <w:pPr>
              <w:pStyle w:val="TableContents"/>
              <w:spacing w:before="0" w:after="283"/>
              <w:rPr>
                <w:rFonts w:ascii="Times New Roman" w:hAnsi="Times New Roman"/>
                <w:b/>
                <w:sz w:val="20"/>
              </w:rPr>
            </w:pPr>
            <w:r>
              <w:rPr>
                <w:rFonts w:ascii="Times New Roman" w:hAnsi="Times New Roman"/>
                <w:b/>
                <w:sz w:val="20"/>
              </w:rPr>
              <w:t>SHORT-TERM DEBT</w:t>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47"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653"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5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sz w:val="4"/>
                <w:szCs w:val="4"/>
              </w:rPr>
            </w:pPr>
            <w:r>
              <w:rPr>
                <w:sz w:val="4"/>
                <w:szCs w:val="4"/>
              </w:rPr>
            </w:r>
          </w:p>
        </w:tc>
        <w:tc>
          <w:tcPr>
            <w:tcW w:w="520"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r>
      <w:tr>
        <w:trPr/>
        <w:tc>
          <w:tcPr>
            <w:tcW w:w="6271" w:type="dxa"/>
            <w:tcBorders/>
            <w:shd w:fill="CCEEFF" w:val="clear"/>
          </w:tcPr>
          <w:p>
            <w:pPr>
              <w:pStyle w:val="TableContents"/>
              <w:spacing w:before="0" w:after="283"/>
              <w:rPr>
                <w:rFonts w:ascii="Times New Roman" w:hAnsi="Times New Roman"/>
                <w:sz w:val="20"/>
              </w:rPr>
            </w:pPr>
            <w:r>
              <w:rPr>
                <w:rFonts w:ascii="Times New Roman" w:hAnsi="Times New Roman"/>
                <w:sz w:val="20"/>
              </w:rPr>
              <w:t>PAA senior secured hedged inventory facility</w:t>
            </w:r>
          </w:p>
        </w:tc>
        <w:tc>
          <w:tcPr>
            <w:tcW w:w="4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w:t>
            </w:r>
          </w:p>
        </w:tc>
        <w:tc>
          <w:tcPr>
            <w:tcW w:w="120"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w:t>
            </w:r>
          </w:p>
        </w:tc>
        <w:tc>
          <w:tcPr>
            <w:tcW w:w="120" w:type="dxa"/>
            <w:tcBorders/>
            <w:shd w:fill="CCEEFF" w:val="clear"/>
            <w:vAlign w:val="bottom"/>
          </w:tcPr>
          <w:p>
            <w:pPr>
              <w:pStyle w:val="TableContents"/>
              <w:spacing w:before="0" w:after="283"/>
              <w:rPr/>
            </w:pPr>
            <w:r>
              <w:rPr/>
              <w:t>  </w:t>
            </w:r>
          </w:p>
        </w:tc>
        <w:tc>
          <w:tcPr>
            <w:tcW w:w="45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w:t>
            </w:r>
          </w:p>
        </w:tc>
        <w:tc>
          <w:tcPr>
            <w:tcW w:w="126" w:type="dxa"/>
            <w:tcBorders/>
            <w:shd w:fill="CCEEFF" w:val="clear"/>
            <w:vAlign w:val="bottom"/>
          </w:tcPr>
          <w:p>
            <w:pPr>
              <w:pStyle w:val="TableContents"/>
              <w:spacing w:before="0" w:after="283"/>
              <w:rPr/>
            </w:pPr>
            <w:r>
              <w:rPr/>
              <w:t>  </w:t>
            </w:r>
          </w:p>
        </w:tc>
      </w:tr>
      <w:tr>
        <w:trPr/>
        <w:tc>
          <w:tcPr>
            <w:tcW w:w="6271" w:type="dxa"/>
            <w:tcBorders/>
            <w:shd w:fill="auto" w:val="clear"/>
          </w:tcPr>
          <w:p>
            <w:pPr>
              <w:pStyle w:val="TableContents"/>
              <w:spacing w:before="0" w:after="283"/>
              <w:rPr>
                <w:rFonts w:ascii="Times New Roman" w:hAnsi="Times New Roman"/>
                <w:sz w:val="20"/>
              </w:rPr>
            </w:pPr>
            <w:r>
              <w:rPr>
                <w:rFonts w:ascii="Times New Roman" w:hAnsi="Times New Roman"/>
                <w:sz w:val="20"/>
              </w:rPr>
              <w:t>PAA senior unsecured revolving credit facility (1)</w:t>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120"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332</w:t>
            </w:r>
          </w:p>
        </w:tc>
        <w:tc>
          <w:tcPr>
            <w:tcW w:w="120"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5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332</w:t>
            </w:r>
          </w:p>
        </w:tc>
        <w:tc>
          <w:tcPr>
            <w:tcW w:w="126" w:type="dxa"/>
            <w:tcBorders/>
            <w:shd w:fill="auto" w:val="clear"/>
            <w:vAlign w:val="bottom"/>
          </w:tcPr>
          <w:p>
            <w:pPr>
              <w:pStyle w:val="TableContents"/>
              <w:spacing w:before="0" w:after="283"/>
              <w:rPr/>
            </w:pPr>
            <w:r>
              <w:rPr/>
              <w:t>  </w:t>
            </w:r>
          </w:p>
        </w:tc>
      </w:tr>
      <w:tr>
        <w:trPr/>
        <w:tc>
          <w:tcPr>
            <w:tcW w:w="6271" w:type="dxa"/>
            <w:tcBorders/>
            <w:shd w:fill="CCEEFF" w:val="clear"/>
          </w:tcPr>
          <w:p>
            <w:pPr>
              <w:pStyle w:val="TableContents"/>
              <w:spacing w:before="0" w:after="283"/>
              <w:rPr>
                <w:rFonts w:ascii="Times New Roman" w:hAnsi="Times New Roman"/>
                <w:sz w:val="20"/>
              </w:rPr>
            </w:pPr>
            <w:r>
              <w:rPr>
                <w:rFonts w:ascii="Times New Roman" w:hAnsi="Times New Roman"/>
                <w:sz w:val="20"/>
              </w:rPr>
              <w:t>PNG senior unsecured revolving credit facility (2)</w:t>
            </w:r>
          </w:p>
        </w:tc>
        <w:tc>
          <w:tcPr>
            <w:tcW w:w="4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w:t>
            </w:r>
          </w:p>
        </w:tc>
        <w:tc>
          <w:tcPr>
            <w:tcW w:w="120"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w:t>
            </w:r>
          </w:p>
        </w:tc>
        <w:tc>
          <w:tcPr>
            <w:tcW w:w="120" w:type="dxa"/>
            <w:tcBorders/>
            <w:shd w:fill="CCEEFF" w:val="clear"/>
            <w:vAlign w:val="bottom"/>
          </w:tcPr>
          <w:p>
            <w:pPr>
              <w:pStyle w:val="TableContents"/>
              <w:spacing w:before="0" w:after="283"/>
              <w:rPr/>
            </w:pPr>
            <w:r>
              <w:rPr/>
              <w:t>  </w:t>
            </w:r>
          </w:p>
        </w:tc>
        <w:tc>
          <w:tcPr>
            <w:tcW w:w="45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5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w:t>
            </w:r>
          </w:p>
        </w:tc>
        <w:tc>
          <w:tcPr>
            <w:tcW w:w="126" w:type="dxa"/>
            <w:tcBorders/>
            <w:shd w:fill="CCEEFF" w:val="clear"/>
            <w:vAlign w:val="bottom"/>
          </w:tcPr>
          <w:p>
            <w:pPr>
              <w:pStyle w:val="TableContents"/>
              <w:spacing w:before="0" w:after="283"/>
              <w:rPr/>
            </w:pPr>
            <w:r>
              <w:rPr/>
              <w:t>  </w:t>
            </w:r>
          </w:p>
        </w:tc>
      </w:tr>
      <w:tr>
        <w:trPr/>
        <w:tc>
          <w:tcPr>
            <w:tcW w:w="6271" w:type="dxa"/>
            <w:tcBorders/>
            <w:shd w:fill="auto" w:val="clear"/>
          </w:tcPr>
          <w:p>
            <w:pPr>
              <w:pStyle w:val="TableContents"/>
              <w:spacing w:before="0" w:after="283"/>
              <w:rPr>
                <w:rFonts w:ascii="Times New Roman" w:hAnsi="Times New Roman"/>
                <w:sz w:val="20"/>
              </w:rPr>
            </w:pPr>
            <w:r>
              <w:rPr>
                <w:rFonts w:ascii="Times New Roman" w:hAnsi="Times New Roman"/>
                <w:sz w:val="20"/>
              </w:rPr>
              <w:t>4.25% senior notes due September 2012</w:t>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20"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20"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5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26" w:type="dxa"/>
            <w:tcBorders/>
            <w:shd w:fill="auto" w:val="clear"/>
            <w:vAlign w:val="bottom"/>
          </w:tcPr>
          <w:p>
            <w:pPr>
              <w:pStyle w:val="TableContents"/>
              <w:spacing w:before="0" w:after="283"/>
              <w:rPr/>
            </w:pPr>
            <w:r>
              <w:rPr/>
              <w:t>  </w:t>
            </w:r>
          </w:p>
        </w:tc>
      </w:tr>
      <w:tr>
        <w:trPr/>
        <w:tc>
          <w:tcPr>
            <w:tcW w:w="6271" w:type="dxa"/>
            <w:tcBorders/>
            <w:shd w:fill="CCEEFF" w:val="clear"/>
          </w:tcPr>
          <w:p>
            <w:pPr>
              <w:pStyle w:val="TableContents"/>
              <w:spacing w:before="0" w:after="283"/>
              <w:rPr>
                <w:rFonts w:ascii="Times New Roman" w:hAnsi="Times New Roman"/>
                <w:sz w:val="20"/>
              </w:rPr>
            </w:pPr>
            <w:r>
              <w:rPr>
                <w:rFonts w:ascii="Times New Roman" w:hAnsi="Times New Roman"/>
                <w:sz w:val="20"/>
              </w:rPr>
              <w:t>Other</w:t>
            </w:r>
          </w:p>
        </w:tc>
        <w:tc>
          <w:tcPr>
            <w:tcW w:w="4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0"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0" w:type="dxa"/>
            <w:tcBorders/>
            <w:shd w:fill="CCEEFF" w:val="clear"/>
            <w:vAlign w:val="bottom"/>
          </w:tcPr>
          <w:p>
            <w:pPr>
              <w:pStyle w:val="TableContents"/>
              <w:spacing w:before="0" w:after="283"/>
              <w:rPr/>
            </w:pPr>
            <w:r>
              <w:rPr/>
              <w:t>  </w:t>
            </w:r>
          </w:p>
        </w:tc>
        <w:tc>
          <w:tcPr>
            <w:tcW w:w="45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5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6" w:type="dxa"/>
            <w:tcBorders/>
            <w:shd w:fill="CCEEFF" w:val="clear"/>
            <w:vAlign w:val="bottom"/>
          </w:tcPr>
          <w:p>
            <w:pPr>
              <w:pStyle w:val="TableContents"/>
              <w:spacing w:before="0" w:after="283"/>
              <w:rPr/>
            </w:pPr>
            <w:r>
              <w:rPr/>
              <w:t>  </w:t>
            </w:r>
          </w:p>
        </w:tc>
      </w:tr>
      <w:tr>
        <w:trPr/>
        <w:tc>
          <w:tcPr>
            <w:tcW w:w="6271" w:type="dxa"/>
            <w:tcBorders/>
            <w:shd w:fill="auto" w:val="clear"/>
            <w:vAlign w:val="bottom"/>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4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65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pBdr>
                <w:top w:val="single" w:sz="2" w:space="1" w:color="000000"/>
              </w:pBdr>
              <w:spacing w:before="0" w:after="283"/>
              <w:rPr/>
            </w:pPr>
            <w:r>
              <w:rPr/>
              <w:t> </w:t>
            </w:r>
          </w:p>
        </w:tc>
        <w:tc>
          <w:tcPr>
            <w:tcW w:w="520" w:type="dxa"/>
            <w:tcBorders/>
            <w:shd w:fill="auto" w:val="clear"/>
            <w:vAlign w:val="bottom"/>
          </w:tcPr>
          <w:p>
            <w:pPr>
              <w:pStyle w:val="TableContents"/>
              <w:pBdr>
                <w:top w:val="single" w:sz="2" w:space="1" w:color="000000"/>
              </w:pBdr>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6271" w:type="dxa"/>
            <w:tcBorders/>
            <w:shd w:fill="auto" w:val="clear"/>
          </w:tcPr>
          <w:p>
            <w:pPr>
              <w:pStyle w:val="TableContents"/>
              <w:spacing w:before="0" w:after="283"/>
              <w:rPr>
                <w:rFonts w:ascii="Times New Roman" w:hAnsi="Times New Roman"/>
                <w:sz w:val="20"/>
              </w:rPr>
            </w:pPr>
            <w:r>
              <w:rPr>
                <w:rFonts w:ascii="Times New Roman" w:hAnsi="Times New Roman"/>
                <w:sz w:val="20"/>
              </w:rPr>
              <w:t>Total short-term debt</w:t>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679</w:t>
            </w:r>
          </w:p>
        </w:tc>
        <w:tc>
          <w:tcPr>
            <w:tcW w:w="120"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979</w:t>
            </w:r>
          </w:p>
        </w:tc>
        <w:tc>
          <w:tcPr>
            <w:tcW w:w="120"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979</w:t>
            </w:r>
          </w:p>
        </w:tc>
        <w:tc>
          <w:tcPr>
            <w:tcW w:w="126" w:type="dxa"/>
            <w:tcBorders/>
            <w:shd w:fill="auto" w:val="clear"/>
            <w:vAlign w:val="bottom"/>
          </w:tcPr>
          <w:p>
            <w:pPr>
              <w:pStyle w:val="TableContents"/>
              <w:spacing w:before="0" w:after="283"/>
              <w:rPr/>
            </w:pPr>
            <w:r>
              <w:rPr/>
              <w:t>  </w:t>
            </w:r>
          </w:p>
        </w:tc>
      </w:tr>
      <w:tr>
        <w:trPr/>
        <w:tc>
          <w:tcPr>
            <w:tcW w:w="6271" w:type="dxa"/>
            <w:tcBorders/>
            <w:shd w:fill="auto" w:val="clear"/>
            <w:vAlign w:val="bottom"/>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47"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double" w:sz="6" w:space="1" w:color="000000"/>
              </w:pBdr>
              <w:spacing w:before="0" w:after="283"/>
              <w:rPr/>
            </w:pPr>
            <w:r>
              <w:rPr/>
              <w:t> </w:t>
            </w:r>
          </w:p>
        </w:tc>
        <w:tc>
          <w:tcPr>
            <w:tcW w:w="653"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pBdr>
                <w:top w:val="double" w:sz="6" w:space="1" w:color="000000"/>
              </w:pBdr>
              <w:spacing w:before="0" w:after="283"/>
              <w:rPr/>
            </w:pPr>
            <w:r>
              <w:rPr/>
              <w:t> </w:t>
            </w:r>
          </w:p>
        </w:tc>
        <w:tc>
          <w:tcPr>
            <w:tcW w:w="520" w:type="dxa"/>
            <w:tcBorders/>
            <w:shd w:fill="auto" w:val="clear"/>
            <w:vAlign w:val="bottom"/>
          </w:tcPr>
          <w:p>
            <w:pPr>
              <w:pStyle w:val="TableContents"/>
              <w:pBdr>
                <w:top w:val="double" w:sz="6" w:space="1" w:color="000000"/>
              </w:pBdr>
              <w:spacing w:before="0" w:after="283"/>
              <w:rPr/>
            </w:pPr>
            <w:r>
              <w:rPr/>
              <w:t> </w:t>
            </w:r>
          </w:p>
        </w:tc>
        <w:tc>
          <w:tcPr>
            <w:tcW w:w="126" w:type="dxa"/>
            <w:tcBorders/>
            <w:shd w:fill="auto" w:val="clear"/>
            <w:vAlign w:val="center"/>
          </w:tcPr>
          <w:p>
            <w:pPr>
              <w:pStyle w:val="TableContents"/>
              <w:spacing w:before="0" w:after="283"/>
              <w:rPr/>
            </w:pPr>
            <w:r>
              <w:rPr/>
              <w:t> </w:t>
            </w:r>
          </w:p>
        </w:tc>
      </w:tr>
      <w:tr>
        <w:trPr>
          <w:trHeight w:val="120" w:hRule="atLeast"/>
        </w:trPr>
        <w:tc>
          <w:tcPr>
            <w:tcW w:w="6271" w:type="dxa"/>
            <w:tcBorders/>
            <w:shd w:fill="auto" w:val="clear"/>
            <w:vAlign w:val="center"/>
          </w:tcPr>
          <w:p>
            <w:pPr>
              <w:pStyle w:val="TableContents"/>
              <w:spacing w:before="0" w:after="283"/>
              <w:rPr>
                <w:sz w:val="4"/>
                <w:szCs w:val="4"/>
              </w:rPr>
            </w:pPr>
            <w:r>
              <w:rPr>
                <w:sz w:val="4"/>
                <w:szCs w:val="4"/>
              </w:rPr>
            </w:r>
          </w:p>
        </w:tc>
        <w:tc>
          <w:tcPr>
            <w:tcW w:w="1347" w:type="dxa"/>
            <w:gridSpan w:val="4"/>
            <w:tcBorders/>
            <w:shd w:fill="auto" w:val="clear"/>
            <w:vAlign w:val="center"/>
          </w:tcPr>
          <w:p>
            <w:pPr>
              <w:pStyle w:val="TableContents"/>
              <w:spacing w:before="0" w:after="283"/>
              <w:rPr>
                <w:sz w:val="4"/>
                <w:szCs w:val="4"/>
              </w:rPr>
            </w:pPr>
            <w:r>
              <w:rPr>
                <w:sz w:val="4"/>
                <w:szCs w:val="4"/>
              </w:rPr>
            </w:r>
          </w:p>
        </w:tc>
        <w:tc>
          <w:tcPr>
            <w:tcW w:w="1354" w:type="dxa"/>
            <w:gridSpan w:val="4"/>
            <w:tcBorders/>
            <w:shd w:fill="auto" w:val="clear"/>
            <w:vAlign w:val="center"/>
          </w:tcPr>
          <w:p>
            <w:pPr>
              <w:pStyle w:val="TableContents"/>
              <w:spacing w:before="0" w:after="283"/>
              <w:rPr>
                <w:sz w:val="4"/>
                <w:szCs w:val="4"/>
              </w:rPr>
            </w:pPr>
            <w:r>
              <w:rPr>
                <w:sz w:val="4"/>
                <w:szCs w:val="4"/>
              </w:rPr>
            </w:r>
          </w:p>
        </w:tc>
        <w:tc>
          <w:tcPr>
            <w:tcW w:w="1233" w:type="dxa"/>
            <w:gridSpan w:val="4"/>
            <w:tcBorders/>
            <w:shd w:fill="auto" w:val="clear"/>
            <w:vAlign w:val="center"/>
          </w:tcPr>
          <w:p>
            <w:pPr>
              <w:pStyle w:val="TableContents"/>
              <w:spacing w:before="0" w:after="283"/>
              <w:rPr>
                <w:sz w:val="4"/>
                <w:szCs w:val="4"/>
              </w:rPr>
            </w:pPr>
            <w:r>
              <w:rPr>
                <w:sz w:val="4"/>
                <w:szCs w:val="4"/>
              </w:rPr>
            </w:r>
          </w:p>
        </w:tc>
      </w:tr>
      <w:tr>
        <w:trPr/>
        <w:tc>
          <w:tcPr>
            <w:tcW w:w="6271" w:type="dxa"/>
            <w:tcBorders/>
            <w:shd w:fill="CCEEFF" w:val="clear"/>
          </w:tcPr>
          <w:p>
            <w:pPr>
              <w:pStyle w:val="TableContents"/>
              <w:spacing w:before="0" w:after="283"/>
              <w:rPr>
                <w:rFonts w:ascii="Times New Roman" w:hAnsi="Times New Roman"/>
                <w:b/>
                <w:sz w:val="20"/>
              </w:rPr>
            </w:pPr>
            <w:r>
              <w:rPr>
                <w:rFonts w:ascii="Times New Roman" w:hAnsi="Times New Roman"/>
                <w:b/>
                <w:sz w:val="20"/>
              </w:rPr>
              <w:t>LONG-TERM DEBT</w:t>
            </w:r>
          </w:p>
        </w:tc>
        <w:tc>
          <w:tcPr>
            <w:tcW w:w="4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47"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45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653"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45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520"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sz w:val="4"/>
                <w:szCs w:val="4"/>
              </w:rPr>
            </w:pPr>
            <w:r>
              <w:rPr>
                <w:sz w:val="4"/>
                <w:szCs w:val="4"/>
              </w:rPr>
            </w:r>
          </w:p>
        </w:tc>
      </w:tr>
      <w:tr>
        <w:trPr/>
        <w:tc>
          <w:tcPr>
            <w:tcW w:w="6271" w:type="dxa"/>
            <w:tcBorders/>
            <w:shd w:fill="auto" w:val="clear"/>
          </w:tcPr>
          <w:p>
            <w:pPr>
              <w:pStyle w:val="TableContents"/>
              <w:spacing w:before="0" w:after="283"/>
              <w:rPr>
                <w:rFonts w:ascii="Times New Roman" w:hAnsi="Times New Roman"/>
                <w:sz w:val="20"/>
              </w:rPr>
            </w:pPr>
            <w:r>
              <w:rPr>
                <w:rFonts w:ascii="Times New Roman" w:hAnsi="Times New Roman"/>
                <w:sz w:val="20"/>
              </w:rPr>
              <w:t>Senior notes, net of unamortized discounts</w:t>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4,262</w:t>
            </w:r>
          </w:p>
        </w:tc>
        <w:tc>
          <w:tcPr>
            <w:tcW w:w="120"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4,262</w:t>
            </w:r>
          </w:p>
        </w:tc>
        <w:tc>
          <w:tcPr>
            <w:tcW w:w="120"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4,262</w:t>
            </w:r>
          </w:p>
        </w:tc>
        <w:tc>
          <w:tcPr>
            <w:tcW w:w="126" w:type="dxa"/>
            <w:tcBorders/>
            <w:shd w:fill="auto" w:val="clear"/>
            <w:vAlign w:val="bottom"/>
          </w:tcPr>
          <w:p>
            <w:pPr>
              <w:pStyle w:val="TableContents"/>
              <w:spacing w:before="0" w:after="283"/>
              <w:rPr/>
            </w:pPr>
            <w:r>
              <w:rPr/>
              <w:t>  </w:t>
            </w:r>
          </w:p>
        </w:tc>
      </w:tr>
      <w:tr>
        <w:trPr/>
        <w:tc>
          <w:tcPr>
            <w:tcW w:w="6271" w:type="dxa"/>
            <w:tcBorders/>
            <w:shd w:fill="CCEEFF" w:val="clear"/>
          </w:tcPr>
          <w:p>
            <w:pPr>
              <w:pStyle w:val="TableContents"/>
              <w:spacing w:before="0" w:after="283"/>
              <w:rPr>
                <w:rFonts w:ascii="Times New Roman" w:hAnsi="Times New Roman"/>
                <w:sz w:val="20"/>
              </w:rPr>
            </w:pPr>
            <w:r>
              <w:rPr>
                <w:rFonts w:ascii="Times New Roman" w:hAnsi="Times New Roman"/>
                <w:sz w:val="20"/>
              </w:rPr>
              <w:t>2022 Notes offered hereby</w:t>
            </w:r>
          </w:p>
        </w:tc>
        <w:tc>
          <w:tcPr>
            <w:tcW w:w="4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CCEEFF" w:val="clear"/>
            <w:vAlign w:val="bottom"/>
          </w:tcPr>
          <w:p>
            <w:pPr>
              <w:pStyle w:val="TableContents"/>
              <w:spacing w:before="0" w:after="283"/>
              <w:rPr/>
            </w:pPr>
            <w:r>
              <w:rPr/>
              <w:t>  </w:t>
            </w:r>
          </w:p>
        </w:tc>
        <w:tc>
          <w:tcPr>
            <w:tcW w:w="45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520"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sz w:val="4"/>
                <w:szCs w:val="4"/>
              </w:rPr>
            </w:pPr>
            <w:r>
              <w:rPr>
                <w:sz w:val="4"/>
                <w:szCs w:val="4"/>
              </w:rPr>
            </w:r>
          </w:p>
        </w:tc>
      </w:tr>
      <w:tr>
        <w:trPr/>
        <w:tc>
          <w:tcPr>
            <w:tcW w:w="6271" w:type="dxa"/>
            <w:tcBorders/>
            <w:shd w:fill="auto" w:val="clear"/>
          </w:tcPr>
          <w:p>
            <w:pPr>
              <w:pStyle w:val="TableContents"/>
              <w:spacing w:before="0" w:after="283"/>
              <w:rPr>
                <w:rFonts w:ascii="Times New Roman" w:hAnsi="Times New Roman"/>
                <w:sz w:val="20"/>
              </w:rPr>
            </w:pPr>
            <w:r>
              <w:rPr>
                <w:rFonts w:ascii="Times New Roman" w:hAnsi="Times New Roman"/>
                <w:sz w:val="20"/>
              </w:rPr>
              <w:t>2042 Notes offered hereby</w:t>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sz w:val="4"/>
                <w:szCs w:val="4"/>
              </w:rPr>
            </w:pPr>
            <w:r>
              <w:rPr>
                <w:sz w:val="4"/>
                <w:szCs w:val="4"/>
              </w:rPr>
            </w:r>
          </w:p>
        </w:tc>
        <w:tc>
          <w:tcPr>
            <w:tcW w:w="520"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r>
      <w:tr>
        <w:trPr/>
        <w:tc>
          <w:tcPr>
            <w:tcW w:w="6271" w:type="dxa"/>
            <w:tcBorders/>
            <w:shd w:fill="CCEEFF" w:val="clear"/>
          </w:tcPr>
          <w:p>
            <w:pPr>
              <w:pStyle w:val="TableContents"/>
              <w:spacing w:before="0" w:after="283"/>
              <w:rPr>
                <w:rFonts w:ascii="Times New Roman" w:hAnsi="Times New Roman"/>
                <w:sz w:val="20"/>
              </w:rPr>
            </w:pPr>
            <w:r>
              <w:rPr>
                <w:rFonts w:ascii="Times New Roman" w:hAnsi="Times New Roman"/>
                <w:sz w:val="20"/>
              </w:rPr>
              <w:t>Long-term debt under credit facilities and other (3)</w:t>
            </w:r>
          </w:p>
        </w:tc>
        <w:tc>
          <w:tcPr>
            <w:tcW w:w="4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258</w:t>
            </w:r>
          </w:p>
        </w:tc>
        <w:tc>
          <w:tcPr>
            <w:tcW w:w="120"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1,127</w:t>
            </w:r>
          </w:p>
        </w:tc>
        <w:tc>
          <w:tcPr>
            <w:tcW w:w="120" w:type="dxa"/>
            <w:tcBorders/>
            <w:shd w:fill="CCEEFF" w:val="clear"/>
            <w:vAlign w:val="bottom"/>
          </w:tcPr>
          <w:p>
            <w:pPr>
              <w:pStyle w:val="TableContents"/>
              <w:spacing w:before="0" w:after="283"/>
              <w:rPr/>
            </w:pPr>
            <w:r>
              <w:rPr/>
              <w:t>  </w:t>
            </w:r>
          </w:p>
        </w:tc>
        <w:tc>
          <w:tcPr>
            <w:tcW w:w="45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520"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sz w:val="4"/>
                <w:szCs w:val="4"/>
              </w:rPr>
            </w:pPr>
            <w:r>
              <w:rPr>
                <w:sz w:val="4"/>
                <w:szCs w:val="4"/>
              </w:rPr>
            </w:r>
          </w:p>
        </w:tc>
      </w:tr>
      <w:tr>
        <w:trPr/>
        <w:tc>
          <w:tcPr>
            <w:tcW w:w="6271" w:type="dxa"/>
            <w:tcBorders/>
            <w:shd w:fill="auto" w:val="clear"/>
            <w:vAlign w:val="bottom"/>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4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65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pBdr>
                <w:top w:val="single" w:sz="2" w:space="1" w:color="000000"/>
              </w:pBdr>
              <w:spacing w:before="0" w:after="283"/>
              <w:rPr/>
            </w:pPr>
            <w:r>
              <w:rPr/>
              <w:t> </w:t>
            </w:r>
          </w:p>
        </w:tc>
        <w:tc>
          <w:tcPr>
            <w:tcW w:w="520" w:type="dxa"/>
            <w:tcBorders/>
            <w:shd w:fill="auto" w:val="clear"/>
            <w:vAlign w:val="bottom"/>
          </w:tcPr>
          <w:p>
            <w:pPr>
              <w:pStyle w:val="TableContents"/>
              <w:pBdr>
                <w:top w:val="single" w:sz="2" w:space="1" w:color="000000"/>
              </w:pBdr>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6271" w:type="dxa"/>
            <w:tcBorders/>
            <w:shd w:fill="auto" w:val="clear"/>
          </w:tcPr>
          <w:p>
            <w:pPr>
              <w:pStyle w:val="TableContents"/>
              <w:spacing w:before="0" w:after="283"/>
              <w:rPr>
                <w:rFonts w:ascii="Times New Roman" w:hAnsi="Times New Roman"/>
                <w:sz w:val="20"/>
              </w:rPr>
            </w:pPr>
            <w:r>
              <w:rPr>
                <w:rFonts w:ascii="Times New Roman" w:hAnsi="Times New Roman"/>
                <w:sz w:val="20"/>
              </w:rPr>
              <w:t>Total long-term debt</w:t>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4,520</w:t>
            </w:r>
          </w:p>
        </w:tc>
        <w:tc>
          <w:tcPr>
            <w:tcW w:w="120"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5,389</w:t>
            </w:r>
          </w:p>
        </w:tc>
        <w:tc>
          <w:tcPr>
            <w:tcW w:w="120"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0" w:type="dxa"/>
            <w:tcBorders/>
            <w:shd w:fill="auto" w:val="clear"/>
            <w:vAlign w:val="bottom"/>
          </w:tcPr>
          <w:p>
            <w:pPr>
              <w:pStyle w:val="TableContents"/>
              <w:spacing w:before="0" w:after="283"/>
              <w:jc w:val="right"/>
              <w:rPr/>
            </w:pPr>
            <w:r>
              <w:rPr/>
              <w:t> </w:t>
            </w:r>
          </w:p>
        </w:tc>
        <w:tc>
          <w:tcPr>
            <w:tcW w:w="126" w:type="dxa"/>
            <w:tcBorders/>
            <w:shd w:fill="auto" w:val="clear"/>
            <w:vAlign w:val="bottom"/>
          </w:tcPr>
          <w:p>
            <w:pPr>
              <w:pStyle w:val="TableContents"/>
              <w:spacing w:before="0" w:after="283"/>
              <w:rPr/>
            </w:pPr>
            <w:r>
              <w:rPr/>
              <w:t>  </w:t>
            </w:r>
          </w:p>
        </w:tc>
      </w:tr>
      <w:tr>
        <w:trPr/>
        <w:tc>
          <w:tcPr>
            <w:tcW w:w="6271" w:type="dxa"/>
            <w:tcBorders/>
            <w:shd w:fill="auto" w:val="clear"/>
            <w:vAlign w:val="bottom"/>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47"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double" w:sz="6" w:space="1" w:color="000000"/>
              </w:pBdr>
              <w:spacing w:before="0" w:after="283"/>
              <w:rPr/>
            </w:pPr>
            <w:r>
              <w:rPr/>
              <w:t> </w:t>
            </w:r>
          </w:p>
        </w:tc>
        <w:tc>
          <w:tcPr>
            <w:tcW w:w="653"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pBdr>
                <w:top w:val="double" w:sz="6" w:space="1" w:color="000000"/>
              </w:pBdr>
              <w:spacing w:before="0" w:after="283"/>
              <w:rPr/>
            </w:pPr>
            <w:r>
              <w:rPr/>
              <w:t> </w:t>
            </w:r>
          </w:p>
        </w:tc>
        <w:tc>
          <w:tcPr>
            <w:tcW w:w="520" w:type="dxa"/>
            <w:tcBorders/>
            <w:shd w:fill="auto" w:val="clear"/>
            <w:vAlign w:val="bottom"/>
          </w:tcPr>
          <w:p>
            <w:pPr>
              <w:pStyle w:val="TableContents"/>
              <w:pBdr>
                <w:top w:val="double" w:sz="6" w:space="1" w:color="000000"/>
              </w:pBdr>
              <w:spacing w:before="0" w:after="283"/>
              <w:rPr/>
            </w:pPr>
            <w:r>
              <w:rPr/>
              <w:t> </w:t>
            </w:r>
          </w:p>
        </w:tc>
        <w:tc>
          <w:tcPr>
            <w:tcW w:w="126" w:type="dxa"/>
            <w:tcBorders/>
            <w:shd w:fill="auto" w:val="clear"/>
            <w:vAlign w:val="center"/>
          </w:tcPr>
          <w:p>
            <w:pPr>
              <w:pStyle w:val="TableContents"/>
              <w:spacing w:before="0" w:after="283"/>
              <w:rPr/>
            </w:pPr>
            <w:r>
              <w:rPr/>
              <w:t> </w:t>
            </w:r>
          </w:p>
        </w:tc>
      </w:tr>
      <w:tr>
        <w:trPr>
          <w:trHeight w:val="120" w:hRule="atLeast"/>
        </w:trPr>
        <w:tc>
          <w:tcPr>
            <w:tcW w:w="6271" w:type="dxa"/>
            <w:tcBorders/>
            <w:shd w:fill="auto" w:val="clear"/>
            <w:vAlign w:val="center"/>
          </w:tcPr>
          <w:p>
            <w:pPr>
              <w:pStyle w:val="TableContents"/>
              <w:spacing w:before="0" w:after="283"/>
              <w:rPr>
                <w:sz w:val="4"/>
                <w:szCs w:val="4"/>
              </w:rPr>
            </w:pPr>
            <w:r>
              <w:rPr>
                <w:sz w:val="4"/>
                <w:szCs w:val="4"/>
              </w:rPr>
            </w:r>
          </w:p>
        </w:tc>
        <w:tc>
          <w:tcPr>
            <w:tcW w:w="1347" w:type="dxa"/>
            <w:gridSpan w:val="4"/>
            <w:tcBorders/>
            <w:shd w:fill="auto" w:val="clear"/>
            <w:vAlign w:val="center"/>
          </w:tcPr>
          <w:p>
            <w:pPr>
              <w:pStyle w:val="TableContents"/>
              <w:spacing w:before="0" w:after="283"/>
              <w:rPr>
                <w:sz w:val="4"/>
                <w:szCs w:val="4"/>
              </w:rPr>
            </w:pPr>
            <w:r>
              <w:rPr>
                <w:sz w:val="4"/>
                <w:szCs w:val="4"/>
              </w:rPr>
            </w:r>
          </w:p>
        </w:tc>
        <w:tc>
          <w:tcPr>
            <w:tcW w:w="1354" w:type="dxa"/>
            <w:gridSpan w:val="4"/>
            <w:tcBorders/>
            <w:shd w:fill="auto" w:val="clear"/>
            <w:vAlign w:val="center"/>
          </w:tcPr>
          <w:p>
            <w:pPr>
              <w:pStyle w:val="TableContents"/>
              <w:spacing w:before="0" w:after="283"/>
              <w:rPr>
                <w:sz w:val="4"/>
                <w:szCs w:val="4"/>
              </w:rPr>
            </w:pPr>
            <w:r>
              <w:rPr>
                <w:sz w:val="4"/>
                <w:szCs w:val="4"/>
              </w:rPr>
            </w:r>
          </w:p>
        </w:tc>
        <w:tc>
          <w:tcPr>
            <w:tcW w:w="1233" w:type="dxa"/>
            <w:gridSpan w:val="4"/>
            <w:tcBorders/>
            <w:shd w:fill="auto" w:val="clear"/>
            <w:vAlign w:val="center"/>
          </w:tcPr>
          <w:p>
            <w:pPr>
              <w:pStyle w:val="TableContents"/>
              <w:spacing w:before="0" w:after="283"/>
              <w:rPr>
                <w:sz w:val="4"/>
                <w:szCs w:val="4"/>
              </w:rPr>
            </w:pPr>
            <w:r>
              <w:rPr>
                <w:sz w:val="4"/>
                <w:szCs w:val="4"/>
              </w:rPr>
            </w:r>
          </w:p>
        </w:tc>
      </w:tr>
      <w:tr>
        <w:trPr/>
        <w:tc>
          <w:tcPr>
            <w:tcW w:w="6271" w:type="dxa"/>
            <w:tcBorders/>
            <w:shd w:fill="CCEEFF" w:val="clear"/>
          </w:tcPr>
          <w:p>
            <w:pPr>
              <w:pStyle w:val="TableContents"/>
              <w:spacing w:before="0" w:after="283"/>
              <w:rPr>
                <w:rFonts w:ascii="Times New Roman" w:hAnsi="Times New Roman"/>
                <w:b/>
                <w:sz w:val="20"/>
              </w:rPr>
            </w:pPr>
            <w:r>
              <w:rPr>
                <w:rFonts w:ascii="Times New Roman" w:hAnsi="Times New Roman"/>
                <w:b/>
                <w:sz w:val="20"/>
              </w:rPr>
              <w:t>PARTNERS CAPITAL</w:t>
            </w:r>
          </w:p>
        </w:tc>
        <w:tc>
          <w:tcPr>
            <w:tcW w:w="4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47"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45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653"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45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520"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sz w:val="4"/>
                <w:szCs w:val="4"/>
              </w:rPr>
            </w:pPr>
            <w:r>
              <w:rPr>
                <w:sz w:val="4"/>
                <w:szCs w:val="4"/>
              </w:rPr>
            </w:r>
          </w:p>
        </w:tc>
      </w:tr>
      <w:tr>
        <w:trPr/>
        <w:tc>
          <w:tcPr>
            <w:tcW w:w="6271" w:type="dxa"/>
            <w:tcBorders/>
            <w:shd w:fill="auto" w:val="clear"/>
          </w:tcPr>
          <w:p>
            <w:pPr>
              <w:pStyle w:val="TableContents"/>
              <w:spacing w:before="0" w:after="283"/>
              <w:rPr>
                <w:rFonts w:ascii="Times New Roman" w:hAnsi="Times New Roman"/>
                <w:sz w:val="20"/>
              </w:rPr>
            </w:pPr>
            <w:r>
              <w:rPr>
                <w:rFonts w:ascii="Times New Roman" w:hAnsi="Times New Roman"/>
                <w:sz w:val="20"/>
              </w:rPr>
              <w:t>Common unitholders</w:t>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5,249</w:t>
            </w:r>
          </w:p>
        </w:tc>
        <w:tc>
          <w:tcPr>
            <w:tcW w:w="120"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5,695</w:t>
            </w:r>
          </w:p>
        </w:tc>
        <w:tc>
          <w:tcPr>
            <w:tcW w:w="120"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5,695</w:t>
            </w:r>
          </w:p>
        </w:tc>
        <w:tc>
          <w:tcPr>
            <w:tcW w:w="126" w:type="dxa"/>
            <w:tcBorders/>
            <w:shd w:fill="auto" w:val="clear"/>
            <w:vAlign w:val="bottom"/>
          </w:tcPr>
          <w:p>
            <w:pPr>
              <w:pStyle w:val="TableContents"/>
              <w:spacing w:before="0" w:after="283"/>
              <w:rPr/>
            </w:pPr>
            <w:r>
              <w:rPr/>
              <w:t>  </w:t>
            </w:r>
          </w:p>
        </w:tc>
      </w:tr>
      <w:tr>
        <w:trPr/>
        <w:tc>
          <w:tcPr>
            <w:tcW w:w="6271" w:type="dxa"/>
            <w:tcBorders/>
            <w:shd w:fill="CCEEFF" w:val="clear"/>
          </w:tcPr>
          <w:p>
            <w:pPr>
              <w:pStyle w:val="TableContents"/>
              <w:spacing w:before="0" w:after="283"/>
              <w:rPr>
                <w:rFonts w:ascii="Times New Roman" w:hAnsi="Times New Roman"/>
                <w:sz w:val="20"/>
              </w:rPr>
            </w:pPr>
            <w:r>
              <w:rPr>
                <w:rFonts w:ascii="Times New Roman" w:hAnsi="Times New Roman"/>
                <w:sz w:val="20"/>
              </w:rPr>
              <w:t>General partner</w:t>
            </w:r>
          </w:p>
        </w:tc>
        <w:tc>
          <w:tcPr>
            <w:tcW w:w="4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201</w:t>
            </w:r>
          </w:p>
        </w:tc>
        <w:tc>
          <w:tcPr>
            <w:tcW w:w="120"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210</w:t>
            </w:r>
          </w:p>
        </w:tc>
        <w:tc>
          <w:tcPr>
            <w:tcW w:w="120" w:type="dxa"/>
            <w:tcBorders/>
            <w:shd w:fill="CCEEFF" w:val="clear"/>
            <w:vAlign w:val="bottom"/>
          </w:tcPr>
          <w:p>
            <w:pPr>
              <w:pStyle w:val="TableContents"/>
              <w:spacing w:before="0" w:after="283"/>
              <w:rPr/>
            </w:pPr>
            <w:r>
              <w:rPr/>
              <w:t>  </w:t>
            </w:r>
          </w:p>
        </w:tc>
        <w:tc>
          <w:tcPr>
            <w:tcW w:w="45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5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210</w:t>
            </w:r>
          </w:p>
        </w:tc>
        <w:tc>
          <w:tcPr>
            <w:tcW w:w="126" w:type="dxa"/>
            <w:tcBorders/>
            <w:shd w:fill="CCEEFF" w:val="clear"/>
            <w:vAlign w:val="bottom"/>
          </w:tcPr>
          <w:p>
            <w:pPr>
              <w:pStyle w:val="TableContents"/>
              <w:spacing w:before="0" w:after="283"/>
              <w:rPr/>
            </w:pPr>
            <w:r>
              <w:rPr/>
              <w:t>  </w:t>
            </w:r>
          </w:p>
        </w:tc>
      </w:tr>
      <w:tr>
        <w:trPr/>
        <w:tc>
          <w:tcPr>
            <w:tcW w:w="6271" w:type="dxa"/>
            <w:tcBorders/>
            <w:shd w:fill="auto" w:val="clear"/>
            <w:vAlign w:val="bottom"/>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4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65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pBdr>
                <w:top w:val="single" w:sz="2" w:space="1" w:color="000000"/>
              </w:pBdr>
              <w:spacing w:before="0" w:after="283"/>
              <w:rPr/>
            </w:pPr>
            <w:r>
              <w:rPr/>
              <w:t> </w:t>
            </w:r>
          </w:p>
        </w:tc>
        <w:tc>
          <w:tcPr>
            <w:tcW w:w="520" w:type="dxa"/>
            <w:tcBorders/>
            <w:shd w:fill="auto" w:val="clear"/>
            <w:vAlign w:val="bottom"/>
          </w:tcPr>
          <w:p>
            <w:pPr>
              <w:pStyle w:val="TableContents"/>
              <w:pBdr>
                <w:top w:val="single" w:sz="2" w:space="1" w:color="000000"/>
              </w:pBdr>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6271" w:type="dxa"/>
            <w:tcBorders/>
            <w:shd w:fill="auto" w:val="clear"/>
          </w:tcPr>
          <w:p>
            <w:pPr>
              <w:pStyle w:val="TableContents"/>
              <w:spacing w:before="0" w:after="283"/>
              <w:rPr>
                <w:rFonts w:ascii="Times New Roman" w:hAnsi="Times New Roman"/>
                <w:sz w:val="20"/>
              </w:rPr>
            </w:pPr>
            <w:r>
              <w:rPr>
                <w:rFonts w:ascii="Times New Roman" w:hAnsi="Times New Roman"/>
                <w:sz w:val="20"/>
              </w:rPr>
              <w:t>Total partners capital excluding noncontrolling interests</w:t>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5,450</w:t>
            </w:r>
          </w:p>
        </w:tc>
        <w:tc>
          <w:tcPr>
            <w:tcW w:w="120"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5,905</w:t>
            </w:r>
          </w:p>
        </w:tc>
        <w:tc>
          <w:tcPr>
            <w:tcW w:w="120"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5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5,905</w:t>
            </w:r>
          </w:p>
        </w:tc>
        <w:tc>
          <w:tcPr>
            <w:tcW w:w="126" w:type="dxa"/>
            <w:tcBorders/>
            <w:shd w:fill="auto" w:val="clear"/>
            <w:vAlign w:val="bottom"/>
          </w:tcPr>
          <w:p>
            <w:pPr>
              <w:pStyle w:val="TableContents"/>
              <w:spacing w:before="0" w:after="283"/>
              <w:rPr/>
            </w:pPr>
            <w:r>
              <w:rPr/>
              <w:t>  </w:t>
            </w:r>
          </w:p>
        </w:tc>
      </w:tr>
      <w:tr>
        <w:trPr/>
        <w:tc>
          <w:tcPr>
            <w:tcW w:w="6271" w:type="dxa"/>
            <w:tcBorders/>
            <w:shd w:fill="CCEEFF" w:val="clear"/>
          </w:tcPr>
          <w:p>
            <w:pPr>
              <w:pStyle w:val="TableContents"/>
              <w:spacing w:before="0" w:after="283"/>
              <w:rPr>
                <w:rFonts w:ascii="Times New Roman" w:hAnsi="Times New Roman"/>
                <w:sz w:val="20"/>
              </w:rPr>
            </w:pPr>
            <w:r>
              <w:rPr>
                <w:rFonts w:ascii="Times New Roman" w:hAnsi="Times New Roman"/>
                <w:sz w:val="20"/>
              </w:rPr>
              <w:t>Noncontrolling interests</w:t>
            </w:r>
          </w:p>
        </w:tc>
        <w:tc>
          <w:tcPr>
            <w:tcW w:w="4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524</w:t>
            </w:r>
          </w:p>
        </w:tc>
        <w:tc>
          <w:tcPr>
            <w:tcW w:w="120"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524</w:t>
            </w:r>
          </w:p>
        </w:tc>
        <w:tc>
          <w:tcPr>
            <w:tcW w:w="120" w:type="dxa"/>
            <w:tcBorders/>
            <w:shd w:fill="CCEEFF" w:val="clear"/>
            <w:vAlign w:val="bottom"/>
          </w:tcPr>
          <w:p>
            <w:pPr>
              <w:pStyle w:val="TableContents"/>
              <w:spacing w:before="0" w:after="283"/>
              <w:rPr/>
            </w:pPr>
            <w:r>
              <w:rPr/>
              <w:t>  </w:t>
            </w:r>
          </w:p>
        </w:tc>
        <w:tc>
          <w:tcPr>
            <w:tcW w:w="45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5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524</w:t>
            </w:r>
          </w:p>
        </w:tc>
        <w:tc>
          <w:tcPr>
            <w:tcW w:w="126" w:type="dxa"/>
            <w:tcBorders/>
            <w:shd w:fill="CCEEFF" w:val="clear"/>
            <w:vAlign w:val="bottom"/>
          </w:tcPr>
          <w:p>
            <w:pPr>
              <w:pStyle w:val="TableContents"/>
              <w:spacing w:before="0" w:after="283"/>
              <w:rPr/>
            </w:pPr>
            <w:r>
              <w:rPr/>
              <w:t>  </w:t>
            </w:r>
          </w:p>
        </w:tc>
      </w:tr>
      <w:tr>
        <w:trPr/>
        <w:tc>
          <w:tcPr>
            <w:tcW w:w="6271" w:type="dxa"/>
            <w:tcBorders/>
            <w:shd w:fill="auto" w:val="clear"/>
            <w:vAlign w:val="bottom"/>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4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65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pBdr>
                <w:top w:val="single" w:sz="2" w:space="1" w:color="000000"/>
              </w:pBdr>
              <w:spacing w:before="0" w:after="283"/>
              <w:rPr/>
            </w:pPr>
            <w:r>
              <w:rPr/>
              <w:t> </w:t>
            </w:r>
          </w:p>
        </w:tc>
        <w:tc>
          <w:tcPr>
            <w:tcW w:w="520" w:type="dxa"/>
            <w:tcBorders/>
            <w:shd w:fill="auto" w:val="clear"/>
            <w:vAlign w:val="bottom"/>
          </w:tcPr>
          <w:p>
            <w:pPr>
              <w:pStyle w:val="TableContents"/>
              <w:pBdr>
                <w:top w:val="single" w:sz="2" w:space="1" w:color="000000"/>
              </w:pBdr>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6271" w:type="dxa"/>
            <w:tcBorders/>
            <w:shd w:fill="auto" w:val="clear"/>
          </w:tcPr>
          <w:p>
            <w:pPr>
              <w:pStyle w:val="TableContents"/>
              <w:spacing w:before="0" w:after="283"/>
              <w:rPr>
                <w:rFonts w:ascii="Times New Roman" w:hAnsi="Times New Roman"/>
                <w:sz w:val="20"/>
              </w:rPr>
            </w:pPr>
            <w:r>
              <w:rPr>
                <w:rFonts w:ascii="Times New Roman" w:hAnsi="Times New Roman"/>
                <w:sz w:val="20"/>
              </w:rPr>
              <w:t>Total partners capital</w:t>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5,974</w:t>
            </w:r>
          </w:p>
        </w:tc>
        <w:tc>
          <w:tcPr>
            <w:tcW w:w="120"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6,429</w:t>
            </w:r>
          </w:p>
        </w:tc>
        <w:tc>
          <w:tcPr>
            <w:tcW w:w="120"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6,429</w:t>
            </w:r>
          </w:p>
        </w:tc>
        <w:tc>
          <w:tcPr>
            <w:tcW w:w="126" w:type="dxa"/>
            <w:tcBorders/>
            <w:shd w:fill="auto" w:val="clear"/>
            <w:vAlign w:val="bottom"/>
          </w:tcPr>
          <w:p>
            <w:pPr>
              <w:pStyle w:val="TableContents"/>
              <w:spacing w:before="0" w:after="283"/>
              <w:rPr/>
            </w:pPr>
            <w:r>
              <w:rPr/>
              <w:t>  </w:t>
            </w:r>
          </w:p>
        </w:tc>
      </w:tr>
      <w:tr>
        <w:trPr/>
        <w:tc>
          <w:tcPr>
            <w:tcW w:w="6271" w:type="dxa"/>
            <w:tcBorders/>
            <w:shd w:fill="auto" w:val="clear"/>
            <w:vAlign w:val="bottom"/>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4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65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pBdr>
                <w:top w:val="single" w:sz="2" w:space="1" w:color="000000"/>
              </w:pBdr>
              <w:spacing w:before="0" w:after="283"/>
              <w:rPr/>
            </w:pPr>
            <w:r>
              <w:rPr/>
              <w:t> </w:t>
            </w:r>
          </w:p>
        </w:tc>
        <w:tc>
          <w:tcPr>
            <w:tcW w:w="520" w:type="dxa"/>
            <w:tcBorders/>
            <w:shd w:fill="auto" w:val="clear"/>
            <w:vAlign w:val="bottom"/>
          </w:tcPr>
          <w:p>
            <w:pPr>
              <w:pStyle w:val="TableContents"/>
              <w:pBdr>
                <w:top w:val="single" w:sz="2" w:space="1" w:color="000000"/>
              </w:pBdr>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6271" w:type="dxa"/>
            <w:tcBorders/>
            <w:shd w:fill="CCEEFF" w:val="clear"/>
          </w:tcPr>
          <w:p>
            <w:pPr>
              <w:pStyle w:val="TableContents"/>
              <w:spacing w:before="0" w:after="283"/>
              <w:rPr>
                <w:rFonts w:ascii="Times New Roman" w:hAnsi="Times New Roman"/>
                <w:sz w:val="20"/>
              </w:rPr>
            </w:pPr>
            <w:r>
              <w:rPr>
                <w:rFonts w:ascii="Times New Roman" w:hAnsi="Times New Roman"/>
                <w:sz w:val="20"/>
              </w:rPr>
              <w:t>Total capitalization</w:t>
            </w:r>
          </w:p>
        </w:tc>
        <w:tc>
          <w:tcPr>
            <w:tcW w:w="4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10,494</w:t>
            </w:r>
          </w:p>
        </w:tc>
        <w:tc>
          <w:tcPr>
            <w:tcW w:w="120"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11,818</w:t>
            </w:r>
          </w:p>
        </w:tc>
        <w:tc>
          <w:tcPr>
            <w:tcW w:w="120" w:type="dxa"/>
            <w:tcBorders/>
            <w:shd w:fill="CCEEFF" w:val="clear"/>
            <w:vAlign w:val="bottom"/>
          </w:tcPr>
          <w:p>
            <w:pPr>
              <w:pStyle w:val="TableContents"/>
              <w:spacing w:before="0" w:after="283"/>
              <w:rPr/>
            </w:pPr>
            <w:r>
              <w:rPr/>
              <w:t>  </w:t>
            </w:r>
          </w:p>
        </w:tc>
        <w:tc>
          <w:tcPr>
            <w:tcW w:w="45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0"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rPr/>
            </w:pPr>
            <w:r>
              <w:rPr/>
              <w:t>  </w:t>
            </w:r>
          </w:p>
        </w:tc>
      </w:tr>
      <w:tr>
        <w:trPr/>
        <w:tc>
          <w:tcPr>
            <w:tcW w:w="6271" w:type="dxa"/>
            <w:tcBorders/>
            <w:shd w:fill="auto" w:val="clear"/>
            <w:vAlign w:val="bottom"/>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47"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double" w:sz="6" w:space="1" w:color="000000"/>
              </w:pBdr>
              <w:spacing w:before="0" w:after="283"/>
              <w:rPr/>
            </w:pPr>
            <w:r>
              <w:rPr/>
              <w:t> </w:t>
            </w:r>
          </w:p>
        </w:tc>
        <w:tc>
          <w:tcPr>
            <w:tcW w:w="653"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pBdr>
                <w:top w:val="double" w:sz="6" w:space="1" w:color="000000"/>
              </w:pBdr>
              <w:spacing w:before="0" w:after="283"/>
              <w:rPr/>
            </w:pPr>
            <w:r>
              <w:rPr/>
              <w:t> </w:t>
            </w:r>
          </w:p>
        </w:tc>
        <w:tc>
          <w:tcPr>
            <w:tcW w:w="520" w:type="dxa"/>
            <w:tcBorders/>
            <w:shd w:fill="auto" w:val="clear"/>
            <w:vAlign w:val="bottom"/>
          </w:tcPr>
          <w:p>
            <w:pPr>
              <w:pStyle w:val="TableContents"/>
              <w:pBdr>
                <w:top w:val="double" w:sz="6" w:space="1" w:color="000000"/>
              </w:pBdr>
              <w:spacing w:before="0" w:after="283"/>
              <w:rPr/>
            </w:pPr>
            <w:r>
              <w:rPr/>
              <w:t> </w:t>
            </w:r>
          </w:p>
        </w:tc>
        <w:tc>
          <w:tcPr>
            <w:tcW w:w="126" w:type="dxa"/>
            <w:tcBorders/>
            <w:shd w:fill="auto" w:val="clear"/>
            <w:vAlign w:val="center"/>
          </w:tcPr>
          <w:p>
            <w:pPr>
              <w:pStyle w:val="TableContents"/>
              <w:spacing w:before="0" w:after="283"/>
              <w:rPr/>
            </w:pPr>
            <w:r>
              <w:rPr/>
              <w:t> </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(1)</w:t>
            </w:r>
          </w:p>
        </w:tc>
        <w:tc>
          <w:tcPr>
            <w:tcW w:w="9901"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 xml:space="preserve">We classify as short-term certain borrowings under the PAA senior unsecured revolving credit facility. These borrowings are primarily designated as working capital borrowings, must be repaid within one year and are primarily for hedged LPG and crude oil inventory and NYMEX and ICE margin deposits.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(2)</w:t>
            </w:r>
          </w:p>
        </w:tc>
        <w:tc>
          <w:tcPr>
            <w:tcW w:w="9901"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 xml:space="preserve">PNG classifies as short-term any borrowings under the PNG senior unsecured credit facility that have been designated as working capital borrowings and must be repaid within one year. Such borrowings are primarily related to a portion of PNGs hedged natural gas inventory.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(3)</w:t>
            </w:r>
          </w:p>
        </w:tc>
        <w:tc>
          <w:tcPr>
            <w:tcW w:w="9900"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 xml:space="preserve">In December 2011, we supplemented our existing credit facility by entering into a revolving 364-day credit facility with a borrowing capacity of $1.2 billion. As of December 31, 2011, this facility had not been activated. Pursuant to its terms, we may activate the facility at any time within six months of the closing of the facility, resulting in a maturity date 364 days from the activation date.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2" w:name="supp314176_9"/>
      <w:bookmarkEnd w:id="12"/>
      <w:r>
        <w:rPr>
          <w:rFonts w:ascii="Times New Roman" w:hAnsi="Times New Roman"/>
          <w:b/>
          <w:sz w:val="20"/>
        </w:rPr>
        <w:t xml:space="preserve">DESCRIPTION OF NOTES </w:t>
      </w:r>
    </w:p>
    <w:p>
      <w:pPr>
        <w:pStyle w:val="TextBody"/>
        <w:spacing w:before="180" w:after="0"/>
        <w:rPr>
          <w:rFonts w:ascii="Times New Roman" w:hAnsi="Times New Roman"/>
          <w:sz w:val="20"/>
        </w:rPr>
      </w:pPr>
      <w:r>
        <w:rPr>
          <w:rFonts w:ascii="Times New Roman" w:hAnsi="Times New Roman"/>
          <w:sz w:val="20"/>
        </w:rPr>
        <w:t xml:space="preserve">We will issue the Notes under an indenture (the Base Indenture) dated as of September 25, 2002, among us, the subsidiary guarantors and U.S. Bank National Association, as successor trustee, and a supplemental indenture thereto with respect to each series of the Notes to be dated as of                     , 2012 (each such supplemental indenture, together with the Base Indenture, the Indenture). Each series of the Notes will constitute a new series of debt securities under the Indenture, and 13 other series are now outstanding under the Base Indenture, each issued under a separate supplemental indenture. </w:t>
      </w:r>
    </w:p>
    <w:p>
      <w:pPr>
        <w:pStyle w:val="TextBody"/>
        <w:spacing w:before="180" w:after="0"/>
        <w:rPr>
          <w:rFonts w:ascii="Times New Roman" w:hAnsi="Times New Roman"/>
          <w:sz w:val="20"/>
        </w:rPr>
      </w:pPr>
      <w:r>
        <w:rPr>
          <w:rFonts w:ascii="Times New Roman" w:hAnsi="Times New Roman"/>
          <w:sz w:val="20"/>
        </w:rPr>
        <w:t xml:space="preserve">As used in this description, the terms we, us and our refer to Plains All American Pipeline, L.P. and PAA Finance Corp. as co-issuers of the Notes and not to any of their subsidiaries or affiliates, and references to Plains All American Pipeline are to Plains All American Pipeline, L.P. Other capitalized terms that are used in this section of the prospectus supplement have the meanings assigned to them in the Indenture, and we have included some of those definitions at the end of this section. See Definitions. Also, in this section, the term holders means The Depository Trust Company or its nominee and not the persons who own beneficial interests in the Notes through participants in The Depository Trust Company. Please review the special considerations that apply to beneficial owners under Book Entry, Delivery and Form. </w:t>
      </w:r>
    </w:p>
    <w:p>
      <w:pPr>
        <w:pStyle w:val="TextBody"/>
        <w:spacing w:before="180" w:after="0"/>
        <w:rPr>
          <w:rFonts w:ascii="Times New Roman" w:hAnsi="Times New Roman"/>
          <w:sz w:val="20"/>
        </w:rPr>
      </w:pPr>
      <w:r>
        <w:rPr>
          <w:rFonts w:ascii="Times New Roman" w:hAnsi="Times New Roman"/>
          <w:sz w:val="20"/>
        </w:rPr>
        <w:t xml:space="preserve">The terms of the Notes include those stated in the Indenture and those made part of the Indenture by reference to the Trust Indenture Act of 1939, as amended. We urge you to read the Indenture because it, and not this description, defines your rights as a holder of Notes. You may request copies of the Indenture from us as set forth under Where You Can Find More Information. </w:t>
      </w:r>
    </w:p>
    <w:p>
      <w:pPr>
        <w:pStyle w:val="TextBody"/>
        <w:spacing w:before="180" w:after="0"/>
        <w:rPr>
          <w:rFonts w:ascii="Times New Roman" w:hAnsi="Times New Roman"/>
          <w:sz w:val="20"/>
        </w:rPr>
      </w:pPr>
      <w:r>
        <w:rPr>
          <w:rFonts w:ascii="Times New Roman" w:hAnsi="Times New Roman"/>
          <w:sz w:val="20"/>
        </w:rPr>
        <w:t xml:space="preserve">This description is intended to be an overview of the material provisions of the Notes and is intended to supplement and, to the extent of any inconsistency, replace the description of the general terms and provisions of the debt securities set forth in the accompanying prospectus, to which we refer you. Since this description is only a summary, you should refer to the Indenture for a complete description of our obligations and your rights. </w:t>
      </w:r>
    </w:p>
    <w:p>
      <w:pPr>
        <w:pStyle w:val="TextBody"/>
        <w:spacing w:before="180" w:after="0"/>
        <w:rPr>
          <w:rFonts w:ascii="Times New Roman" w:hAnsi="Times New Roman"/>
          <w:b/>
          <w:sz w:val="20"/>
        </w:rPr>
      </w:pPr>
      <w:r>
        <w:rPr>
          <w:rFonts w:ascii="Times New Roman" w:hAnsi="Times New Roman"/>
          <w:b/>
          <w:sz w:val="20"/>
        </w:rPr>
        <w:t xml:space="preserve">General Description of Each Series of the Notes </w:t>
      </w:r>
    </w:p>
    <w:p>
      <w:pPr>
        <w:pStyle w:val="TextBody"/>
        <w:spacing w:before="180" w:after="0"/>
        <w:rPr>
          <w:rFonts w:ascii="Times New Roman" w:hAnsi="Times New Roman"/>
          <w:sz w:val="20"/>
        </w:rPr>
      </w:pPr>
      <w:r>
        <w:rPr>
          <w:rFonts w:ascii="Times New Roman" w:hAnsi="Times New Roman"/>
          <w:sz w:val="20"/>
        </w:rPr>
        <w:t xml:space="preserve">The Notes of each series will be: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senior unsecured indebtedness ranking equally in right of payment with all of our existing and future unsubordinated indebtedness;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new series of debt securities issued under the Indenture;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non-recourse to our general partner;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senior in right of payment to any of our future subordinated indebtedness;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effectively junior to any of our existing and future secured indebtedness, to the extent of the security for that debt;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effectively junior to existing and future indebtedness and other obligations of our subsidiaries, including trade payables, other than subsidiaries that may guarantee such Notes in the future. </w:t>
            </w:r>
          </w:p>
        </w:tc>
      </w:tr>
    </w:tbl>
    <w:p>
      <w:pPr>
        <w:pStyle w:val="TextBody"/>
        <w:spacing w:before="180" w:after="0"/>
        <w:rPr>
          <w:rFonts w:ascii="Times New Roman" w:hAnsi="Times New Roman"/>
          <w:sz w:val="20"/>
        </w:rPr>
      </w:pPr>
      <w:r>
        <w:rPr>
          <w:rFonts w:ascii="Times New Roman" w:hAnsi="Times New Roman"/>
          <w:sz w:val="20"/>
        </w:rPr>
        <w:t xml:space="preserve">As of December 31, 2011, on an as adjusted basis as described under Capitalization, the Notes would have been effectively subordinated to $75 million of short-term secured indebtedness and structurally subordinated to all of our subsidiaries outstanding indebtedness, which totaled approximately $326 million at that date, and other obligations, including trade payables. See Risk FactorsRisks Related to the NotesYour right to receive payments on the Notes is unsecured and will be effectively subordinated to our existing and future secured indebtedness and will be structurally subordinated as to any existing and future indebtedness and other obligations of our subsidiaries, other than subsidiaries that may guarantee the Notes in the future. </w:t>
      </w:r>
    </w:p>
    <w:p>
      <w:pPr>
        <w:pStyle w:val="TextBody"/>
        <w:spacing w:before="180" w:after="0"/>
        <w:rPr>
          <w:rFonts w:ascii="Times New Roman" w:hAnsi="Times New Roman"/>
          <w:sz w:val="20"/>
        </w:rPr>
      </w:pPr>
      <w:r>
        <w:rPr>
          <w:rFonts w:ascii="Times New Roman" w:hAnsi="Times New Roman"/>
          <w:sz w:val="20"/>
        </w:rPr>
        <w:t xml:space="preserve">The Indenture does not limit the aggregate principal amount of debt securities that may be issued thereunder and provides that debt securities may be issued thereunder from time to time in one or more series. Except to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extent described under Covenants, the Indenture does not limit our ability or the ability of our subsidiaries to incur either secured or unsecured additional indebtedness. </w:t>
      </w:r>
    </w:p>
    <w:p>
      <w:pPr>
        <w:pStyle w:val="TextBody"/>
        <w:spacing w:before="180" w:after="0"/>
        <w:rPr>
          <w:rFonts w:ascii="Times New Roman" w:hAnsi="Times New Roman"/>
          <w:b/>
          <w:sz w:val="20"/>
        </w:rPr>
      </w:pPr>
      <w:r>
        <w:rPr>
          <w:rFonts w:ascii="Times New Roman" w:hAnsi="Times New Roman"/>
          <w:b/>
          <w:sz w:val="20"/>
        </w:rPr>
        <w:t xml:space="preserve">Further Issuances </w:t>
      </w:r>
    </w:p>
    <w:p>
      <w:pPr>
        <w:pStyle w:val="TextBody"/>
        <w:spacing w:before="180" w:after="0"/>
        <w:rPr>
          <w:rFonts w:ascii="Times New Roman" w:hAnsi="Times New Roman"/>
          <w:sz w:val="20"/>
        </w:rPr>
      </w:pPr>
      <w:r>
        <w:rPr>
          <w:rFonts w:ascii="Times New Roman" w:hAnsi="Times New Roman"/>
          <w:sz w:val="20"/>
        </w:rPr>
        <w:t xml:space="preserve">We may, from time to time, without notice to or the consent of the holders of the Notes of either series, create and issue additional Notes of the same series ranking equally and ratably with that same series of Notes in all respects, so that such additional Notes form a single series with such Notes and have the same terms as to status, redemption or otherwise as such Notes (except for the issue date, the initial payment date, if applicable, and the payment of interest accruing prior to the issue date of such additional Notes). </w:t>
      </w:r>
    </w:p>
    <w:p>
      <w:pPr>
        <w:pStyle w:val="TextBody"/>
        <w:spacing w:before="180" w:after="0"/>
        <w:rPr>
          <w:rFonts w:ascii="Times New Roman" w:hAnsi="Times New Roman"/>
          <w:b/>
          <w:sz w:val="20"/>
        </w:rPr>
      </w:pPr>
      <w:r>
        <w:rPr>
          <w:rFonts w:ascii="Times New Roman" w:hAnsi="Times New Roman"/>
          <w:b/>
          <w:sz w:val="20"/>
        </w:rPr>
        <w:t xml:space="preserve">Principal, Maturity and Interest </w:t>
      </w:r>
    </w:p>
    <w:p>
      <w:pPr>
        <w:pStyle w:val="TextBody"/>
        <w:spacing w:before="180" w:after="0"/>
        <w:rPr>
          <w:rFonts w:ascii="Times New Roman" w:hAnsi="Times New Roman"/>
          <w:sz w:val="20"/>
        </w:rPr>
      </w:pPr>
      <w:r>
        <w:rPr>
          <w:rFonts w:ascii="Times New Roman" w:hAnsi="Times New Roman"/>
          <w:sz w:val="20"/>
        </w:rPr>
        <w:t xml:space="preserve">We will issue the Notes in an initial aggregate principal amount of $             million, consisting of $             million aggregate principal amount of the     % Senior Notes due 2022 and $             million aggregate principal amount of the     % Senior Notes due 2042. The 2022 Notes will mature on                     , 2022, and the 2042 Notes will mature on                     , 2042. The 2022 Notes will bear interest at the annual rate              of     %, and the 2042 Notes will bear interest at the annual rate of     %. Interest on each series of the Notes will accrue from                     , 2012 and will be payable semi-annually in arrears on                      and                      of each year, beginning                     , 2012. We will make each interest payment to the holders of record at the close of business on the                      and                      preceding such interest payment dates. Interest will be computed on the basis of a 360-day year consisting of twelve 30-day months. We will issue the Notes in minimum denominations of $2,000 and integral multiples of $1,000 in excess thereof. </w:t>
      </w:r>
    </w:p>
    <w:p>
      <w:pPr>
        <w:pStyle w:val="TextBody"/>
        <w:spacing w:before="180" w:after="0"/>
        <w:rPr>
          <w:rFonts w:ascii="Times New Roman" w:hAnsi="Times New Roman"/>
          <w:b/>
          <w:sz w:val="20"/>
        </w:rPr>
      </w:pPr>
      <w:r>
        <w:rPr>
          <w:rFonts w:ascii="Times New Roman" w:hAnsi="Times New Roman"/>
          <w:b/>
          <w:sz w:val="20"/>
        </w:rPr>
        <w:t xml:space="preserve">No Liability of General Partner </w:t>
      </w:r>
    </w:p>
    <w:p>
      <w:pPr>
        <w:pStyle w:val="TextBody"/>
        <w:spacing w:before="180" w:after="0"/>
        <w:rPr>
          <w:rFonts w:ascii="Times New Roman" w:hAnsi="Times New Roman"/>
          <w:sz w:val="20"/>
        </w:rPr>
      </w:pPr>
      <w:r>
        <w:rPr>
          <w:rFonts w:ascii="Times New Roman" w:hAnsi="Times New Roman"/>
          <w:sz w:val="20"/>
        </w:rPr>
        <w:t xml:space="preserve">Plains All American Pipelines general partner and its directors, officers, employees and member (in their capacities as such) will not have any liability for our obligations under the Notes. In addition, the Managing General Partner, and its directors, officers, employees and members, will not have any liability for our obligations under the Notes. By accepting the Notes, each holder waives and releases all such liability. The waiver and release are part of the consideration for the issuance of the Notes. This waiver may not be effective, however, to waive liabilities under the federal securities laws, and it is the view of the SEC that such a waiver is against public policy. </w:t>
      </w:r>
    </w:p>
    <w:p>
      <w:pPr>
        <w:pStyle w:val="TextBody"/>
        <w:spacing w:before="180" w:after="0"/>
        <w:rPr>
          <w:rFonts w:ascii="Times New Roman" w:hAnsi="Times New Roman"/>
          <w:b/>
          <w:sz w:val="20"/>
        </w:rPr>
      </w:pPr>
      <w:r>
        <w:rPr>
          <w:rFonts w:ascii="Times New Roman" w:hAnsi="Times New Roman"/>
          <w:b/>
          <w:sz w:val="20"/>
        </w:rPr>
        <w:t xml:space="preserve">Possible Future Guarantees </w:t>
      </w:r>
    </w:p>
    <w:p>
      <w:pPr>
        <w:pStyle w:val="TextBody"/>
        <w:spacing w:before="180" w:after="0"/>
        <w:rPr>
          <w:rFonts w:ascii="Times New Roman" w:hAnsi="Times New Roman"/>
          <w:sz w:val="20"/>
        </w:rPr>
      </w:pPr>
      <w:r>
        <w:rPr>
          <w:rFonts w:ascii="Times New Roman" w:hAnsi="Times New Roman"/>
          <w:sz w:val="20"/>
        </w:rPr>
        <w:t xml:space="preserve">Initially, the Notes will not be guaranteed by any of our Subsidiaries. If at any time after the issuance of the Notes, including following any release of a future subsidiary guarantor from its guarantee under the Indenture, a Subsidiary of Plains All American Pipeline (including any future Subsidiary) guarantees any of our debt, we will cause such Subsidiary to guarantee the Notes in accordance with the Indenture by simultaneously executing and delivering a supplemental indenture. </w:t>
      </w:r>
    </w:p>
    <w:p>
      <w:pPr>
        <w:pStyle w:val="TextBody"/>
        <w:spacing w:before="180" w:after="0"/>
        <w:rPr>
          <w:rFonts w:ascii="Times New Roman" w:hAnsi="Times New Roman"/>
          <w:sz w:val="20"/>
        </w:rPr>
      </w:pPr>
      <w:r>
        <w:rPr>
          <w:rFonts w:ascii="Times New Roman" w:hAnsi="Times New Roman"/>
          <w:sz w:val="20"/>
        </w:rPr>
        <w:t xml:space="preserve">Provided that no default shall have occurred and shall be continuing under the Indenture, a future subsidiary guarantor will be unconditionally released and discharged from its guarantee: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upon any sale or other disposition of all or substantially all of the assets of that subsidiary guarantor, including by way of merger, consolidation or otherwise, to any person that is not our affiliate (provided such sale or other disposition is not prohibited by the Indenture);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upon any sale or other disposition of all of our direct or indirect equity interests in that subsidiary guarantor to any person that is not our affiliate;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following delivery of a written notice of the release from the guarantee by us to the trustee, upon the release of all guarantees by the subsidiary guarantor of any debt of ours (other than debt securities issued under the Indenture).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Optional Redemption </w:t>
      </w:r>
    </w:p>
    <w:p>
      <w:pPr>
        <w:pStyle w:val="TextBody"/>
        <w:spacing w:before="180" w:after="0"/>
        <w:rPr>
          <w:rFonts w:ascii="Times New Roman" w:hAnsi="Times New Roman"/>
          <w:sz w:val="20"/>
        </w:rPr>
      </w:pPr>
      <w:r>
        <w:rPr>
          <w:rFonts w:ascii="Times New Roman" w:hAnsi="Times New Roman"/>
          <w:sz w:val="20"/>
        </w:rPr>
        <w:t xml:space="preserve">The Notes will be redeemable, in whole or in part, at our option at any time and from time to time prior to maturity. If we redeem the 2022 Notes before                     , 2022 (three months prior to their maturity date) or the 2042 Notes before                     , 2041 (six months prior to their maturity date), such Notes may be redeemed at a redemption price equal to the greater of (a) 100% of the principal amount of the Notes to be redeemed, and (b) as determined by the Quotation Agent, the sum of the present values of the remaining scheduled payments of principal and interest on the Notes to be redeemed (not including any portion of those payments of interest accrued as of the date of redemption) discounted to the date of redemption on a semiannual basis (assuming 360-day years, each consisting of twelve 30-day months), at the Adjusted Treasury Rate plus              basis points for the 2022 Notes and              basis points for the 2042 Notes, in each case together with accrued interest to the date of redemption. </w:t>
      </w:r>
    </w:p>
    <w:p>
      <w:pPr>
        <w:pStyle w:val="TextBody"/>
        <w:spacing w:before="180" w:after="0"/>
        <w:rPr>
          <w:rFonts w:ascii="Times New Roman" w:hAnsi="Times New Roman"/>
          <w:sz w:val="20"/>
        </w:rPr>
      </w:pPr>
      <w:r>
        <w:rPr>
          <w:rFonts w:ascii="Times New Roman" w:hAnsi="Times New Roman"/>
          <w:sz w:val="20"/>
        </w:rPr>
        <w:t xml:space="preserve">If we redeem the 2022 Notes on or after                     , 2022 (three months prior to their maturity date) or the 2042 Notes on or after                     , 2041 (six months prior to their maturity date), the redemption price will equal 100% of the principal amount of the Notes to be redeemed plus accrued interest to the redemption date.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Adjusted Treasury Rate</w:t>
      </w:r>
      <w:r>
        <w:rPr>
          <w:rFonts w:ascii="Times New Roman" w:hAnsi="Times New Roman"/>
          <w:sz w:val="20"/>
        </w:rPr>
        <w:t xml:space="preserve"> means, with respect to any date of redemption, the rate per annum equal to the semi-annual equivalent yield to maturity of the Comparable Treasury Issue, assuming a price for the Comparable Treasury Issue (expressed as a percentage of its principal amount) equal to the Comparable Treasury Price for the date of redemption.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Comparable Treasury Issue</w:t>
      </w:r>
      <w:r>
        <w:rPr>
          <w:rFonts w:ascii="Times New Roman" w:hAnsi="Times New Roman"/>
          <w:sz w:val="20"/>
        </w:rPr>
        <w:t xml:space="preserv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those Notes.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Comparable Treasury Price</w:t>
      </w:r>
      <w:r>
        <w:rPr>
          <w:rFonts w:ascii="Times New Roman" w:hAnsi="Times New Roman"/>
          <w:sz w:val="20"/>
        </w:rPr>
        <w:t xml:space="preserve"> means, with respect to any date of redemption (a) the average of the Reference Treasury Dealer Quotations for the date of redemption, after excluding the highest and lowest Reference Treasury Dealer Quotations, or (b) if the trustee obtains fewer than four Reference Treasury Dealer Quotations, the average of all such Reference Treasury Dealer Quotations.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Quotation Agent</w:t>
      </w:r>
      <w:r>
        <w:rPr>
          <w:rFonts w:ascii="Times New Roman" w:hAnsi="Times New Roman"/>
          <w:sz w:val="20"/>
        </w:rPr>
        <w:t xml:space="preserve"> means a Primary Treasury Dealer (as defined below) appointed by us.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Reference Treasury Dealer</w:t>
      </w:r>
      <w:r>
        <w:rPr>
          <w:rFonts w:ascii="Times New Roman" w:hAnsi="Times New Roman"/>
          <w:sz w:val="20"/>
        </w:rPr>
        <w:t xml:space="preserve"> means each of J.P. Morgan Securities LLC, Merrill Lynch, Pierce, Fenner &amp; Smith Incorporated, UBS Securities LLC and a Primary Treasury Dealer (as defined below) selected by Wells Fargo Securities, LLC and each of their successors; provided, however, that if any of the foregoing shall cease to be a primary U.S. government securities dealer in the United States (a Primary Treasury Dealer), we shall substitute another Primary Treasury Dealer.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Reference Treasury Dealer Quotations</w:t>
      </w:r>
      <w:r>
        <w:rPr>
          <w:rFonts w:ascii="Times New Roman" w:hAnsi="Times New Roman"/>
          <w:sz w:val="20"/>
        </w:rPr>
        <w:t xml:space="preserve">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that Reference Treasury Dealer at 5:00 p.m., New York City time, on the third business day preceding that date of redemption. </w:t>
      </w:r>
    </w:p>
    <w:p>
      <w:pPr>
        <w:pStyle w:val="TextBody"/>
        <w:spacing w:before="180" w:after="0"/>
        <w:rPr>
          <w:rFonts w:ascii="Times New Roman" w:hAnsi="Times New Roman"/>
          <w:sz w:val="20"/>
        </w:rPr>
      </w:pPr>
      <w:r>
        <w:rPr>
          <w:rFonts w:ascii="Times New Roman" w:hAnsi="Times New Roman"/>
          <w:sz w:val="20"/>
        </w:rPr>
        <w:t xml:space="preserve">Unless we default in payment of the redemption price, on and after the date of redemption, interest will cease to accrue on the Notes or portions thereof called for redemption. </w:t>
      </w:r>
    </w:p>
    <w:p>
      <w:pPr>
        <w:pStyle w:val="TextBody"/>
        <w:spacing w:before="180" w:after="0"/>
        <w:rPr>
          <w:rFonts w:ascii="Times New Roman" w:hAnsi="Times New Roman"/>
          <w:sz w:val="20"/>
        </w:rPr>
      </w:pPr>
      <w:r>
        <w:rPr>
          <w:rFonts w:ascii="Times New Roman" w:hAnsi="Times New Roman"/>
          <w:sz w:val="20"/>
        </w:rPr>
        <w:t xml:space="preserve">On or before a redemption date, we will deposit with a paying agent (or with the trustee) sufficient money to pay the redemption price and accrued interest on the Notes to be redeemed.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If less than all of the Notes of either series are to be redeemed at any time, the trustee will select Notes (or any portion of Notes in integral multiples of $1,000) for redemption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such Notes are listed, in compliance with the requirements of the principal national securities exchange on which such Notes are listed;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such Notes are not so listed or there are no such requirements, on a pro rata basis, by lot or by such method as the trustee shall deem fair and appropriate. </w:t>
            </w:r>
          </w:p>
        </w:tc>
      </w:tr>
    </w:tbl>
    <w:p>
      <w:pPr>
        <w:pStyle w:val="TextBody"/>
        <w:spacing w:before="180" w:after="0"/>
        <w:rPr>
          <w:rFonts w:ascii="Times New Roman" w:hAnsi="Times New Roman"/>
          <w:sz w:val="20"/>
        </w:rPr>
      </w:pPr>
      <w:r>
        <w:rPr>
          <w:rFonts w:ascii="Times New Roman" w:hAnsi="Times New Roman"/>
          <w:sz w:val="20"/>
        </w:rPr>
        <w:t xml:space="preserve">However, no Note with a principal amount of $2,000 or less will be redeemed in part. Notice of any such optional redemption will be mailed by first class mail at least 30 days but not more than 60 days before the redemption date to each holder of Notes to be redeemed at its registered address. If any Note is to be redeemed in part only, the notice of redemption that relates to that Note will state the portion of the principal amount of that Note to be redeemed. </w:t>
      </w:r>
    </w:p>
    <w:p>
      <w:pPr>
        <w:pStyle w:val="TextBody"/>
        <w:spacing w:before="180" w:after="0"/>
        <w:rPr>
          <w:rFonts w:ascii="Times New Roman" w:hAnsi="Times New Roman"/>
          <w:b/>
          <w:sz w:val="20"/>
        </w:rPr>
      </w:pPr>
      <w:r>
        <w:rPr>
          <w:rFonts w:ascii="Times New Roman" w:hAnsi="Times New Roman"/>
          <w:b/>
          <w:sz w:val="20"/>
        </w:rPr>
        <w:t xml:space="preserve">Special Optional Redemption </w:t>
      </w:r>
    </w:p>
    <w:p>
      <w:pPr>
        <w:pStyle w:val="TextBody"/>
        <w:spacing w:before="180" w:after="0"/>
        <w:rPr>
          <w:rFonts w:ascii="Times New Roman" w:hAnsi="Times New Roman"/>
          <w:sz w:val="20"/>
        </w:rPr>
      </w:pPr>
      <w:r>
        <w:rPr>
          <w:rFonts w:ascii="Times New Roman" w:hAnsi="Times New Roman"/>
          <w:sz w:val="20"/>
        </w:rPr>
        <w:t xml:space="preserve">Upon the occurrence of the earlier of the following two events (each a Special Optional Redemption Trigger Event), we will have the option to redeem all, but not less than all, of either or both series of Notes (the Special Optional Redemption) at a redemption price in cash equal to 101% of the aggregate principal amount of such series of Notes plus accrued and unpaid interest thereon to the optional redemption date: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June 1, 2012 if the BP NGL Acquisition has not been consummated by such date;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earlier termination of the BP NGL Acquisition agreement. </w:t>
            </w:r>
          </w:p>
        </w:tc>
      </w:tr>
    </w:tbl>
    <w:p>
      <w:pPr>
        <w:pStyle w:val="TextBody"/>
        <w:spacing w:before="180" w:after="0"/>
        <w:rPr>
          <w:rFonts w:ascii="Times New Roman" w:hAnsi="Times New Roman"/>
          <w:sz w:val="20"/>
        </w:rPr>
      </w:pPr>
      <w:r>
        <w:rPr>
          <w:rFonts w:ascii="Times New Roman" w:hAnsi="Times New Roman"/>
          <w:sz w:val="20"/>
        </w:rPr>
        <w:t xml:space="preserve">Within 10 days of the occurrence of the Special Optional Redemption Trigger Event, if we elect to utilize the Special Optional Redemption, notice of the Special Optional Redemption will be mailed by first-class mail to each holder of Notes to be redeemed at its registered address, stating, among other matters prescribed in the Indenture, that a Special Optional Redemption Trigger Event has occurred and that we have elected to redeem all of either or both series of Notes on the redemption date in the amount set forth in such notice (which shall be no earlier than 15 days and no later than 30 days from the date such notice is mailed). </w:t>
      </w:r>
    </w:p>
    <w:p>
      <w:pPr>
        <w:pStyle w:val="TextBody"/>
        <w:spacing w:before="180" w:after="0"/>
        <w:rPr>
          <w:rFonts w:ascii="Times New Roman" w:hAnsi="Times New Roman"/>
          <w:sz w:val="20"/>
        </w:rPr>
      </w:pPr>
      <w:r>
        <w:rPr>
          <w:rFonts w:ascii="Times New Roman" w:hAnsi="Times New Roman"/>
          <w:sz w:val="20"/>
        </w:rPr>
        <w:t xml:space="preserve">The provisions related to our option to redeem the Notes in a Special Optional Redemption may not be waived or modified without the consent of the holders of all Notes subject to such waiver or modification. </w:t>
      </w:r>
    </w:p>
    <w:p>
      <w:pPr>
        <w:pStyle w:val="TextBody"/>
        <w:spacing w:before="180" w:after="0"/>
        <w:rPr>
          <w:rFonts w:ascii="Times New Roman" w:hAnsi="Times New Roman"/>
          <w:b/>
          <w:sz w:val="20"/>
        </w:rPr>
      </w:pPr>
      <w:r>
        <w:rPr>
          <w:rFonts w:ascii="Times New Roman" w:hAnsi="Times New Roman"/>
          <w:b/>
          <w:sz w:val="20"/>
        </w:rPr>
        <w:t xml:space="preserve">Events of Default </w:t>
      </w:r>
    </w:p>
    <w:p>
      <w:pPr>
        <w:pStyle w:val="TextBody"/>
        <w:spacing w:before="180" w:after="0"/>
        <w:rPr>
          <w:rFonts w:ascii="Times New Roman" w:hAnsi="Times New Roman"/>
          <w:sz w:val="20"/>
        </w:rPr>
      </w:pPr>
      <w:r>
        <w:rPr>
          <w:rFonts w:ascii="Times New Roman" w:hAnsi="Times New Roman"/>
          <w:sz w:val="20"/>
        </w:rPr>
        <w:t xml:space="preserve">Each of the following is an Event of Default with respect to the Notes of either series: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default in payment when due of the principal of or any premium on any Note of that series at maturity, upon redemption or otherwise;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default for 60 days in the payment when due of interest on any Note of that series;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by us or, if and so long as the Notes of that series are guaranteed by a subsidiary guarantor, by such subsidiary guarantor, for 90 days after receipt of notice from the trustee or the holders to comply with any other term, covenant or warranty in the Indenture or such Notes (provided that notice need not be given, and an Event of Default will occur, 90 days after any breach of the covenants described under Consolidation, Merger or Sale);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default under any mortgage, indenture or instrument under which there may be issued or by which there may be secured or evidenced any debt for money borrowed of us or any of the Subsidiaries of Plains All American Pipeline (or the payment of which is guaranteed by Plains All American Pipeline or any of its Subsidiaries), whether such debt or guarantee now exists or is created after the Issue Date, if (a) that default (x) is caused by a failure to pay principal of or premium, if any, or interest on such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811"/>
        <w:gridCol w:w="9394"/>
      </w:tblGrid>
      <w:tr>
        <w:trPr/>
        <w:tc>
          <w:tcPr>
            <w:tcW w:w="811" w:type="dxa"/>
            <w:tcBorders/>
            <w:shd w:fill="auto" w:val="clear"/>
            <w:vAlign w:val="center"/>
          </w:tcPr>
          <w:p>
            <w:pPr>
              <w:pStyle w:val="TableContents"/>
              <w:spacing w:before="0" w:after="283"/>
              <w:rPr/>
            </w:pPr>
            <w:r>
              <w:rPr/>
              <w:t> </w:t>
            </w:r>
          </w:p>
        </w:tc>
        <w:tc>
          <w:tcPr>
            <w:tcW w:w="9394"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debt prior to the expiration of any grace period provided in such debt (a Payment Default), or (y) results in the acceleration of the maturity of such debt to a date prior to its originally stated maturity, and, (b) in each case described in clause (x) or (y) above, the principal amount of any such debt, together with the principal amount of any other such debt under which there has been a Payment Default or the maturity of which has been so accelerated, aggregates $25 million or more; provided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specified events in bankruptcy, insolvency or reorganization of us or, if and so long as the Notes of that series are guaranteed by a subsidiary guarantor, by such subsidiary guarantor;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and so long as the Notes of that series are guaranteed by a subsidiary guarantor: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5"/>
        <w:gridCol w:w="101"/>
        <w:gridCol w:w="8882"/>
      </w:tblGrid>
      <w:tr>
        <w:trPr/>
        <w:tc>
          <w:tcPr>
            <w:tcW w:w="91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88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guarantee by such subsidiary guarantor ceases to be in full force and effect, except as otherwise provided in the Indenture;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5"/>
        <w:gridCol w:w="102"/>
        <w:gridCol w:w="8881"/>
      </w:tblGrid>
      <w:tr>
        <w:trPr/>
        <w:tc>
          <w:tcPr>
            <w:tcW w:w="91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guarantee by such subsidiary guarantor is declared null and void in a judicial proceeding;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306"/>
        <w:gridCol w:w="102"/>
        <w:gridCol w:w="8879"/>
      </w:tblGrid>
      <w:tr>
        <w:trPr/>
        <w:tc>
          <w:tcPr>
            <w:tcW w:w="91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887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such subsidiary guarantor denies or disaffirms its obligations under the Indenture or its guarantee. </w:t>
            </w:r>
          </w:p>
        </w:tc>
      </w:tr>
    </w:tbl>
    <w:p>
      <w:pPr>
        <w:pStyle w:val="TextBody"/>
        <w:spacing w:before="180" w:after="0"/>
        <w:rPr>
          <w:rFonts w:ascii="Times New Roman" w:hAnsi="Times New Roman"/>
          <w:sz w:val="20"/>
        </w:rPr>
      </w:pPr>
      <w:r>
        <w:rPr>
          <w:rFonts w:ascii="Times New Roman" w:hAnsi="Times New Roman"/>
          <w:sz w:val="20"/>
        </w:rPr>
        <w:t xml:space="preserve">An Event of Default regarding the Notes of either series will not necessarily constitute an Event of Default for the Notes of the other series or for any other series of debt securities that may be issued under the Base Indenture. In the case of an Event of Default arising from certain events of bankruptcy, insolvency or reorganization involving us, but not any subsidiary guarantor, all outstanding Notes will become due and payable immediately without further action or notice. If any other Event of Default occurs and is continuing with respect to the Notes of either series, the trustee or the holders of at least 25% in principal amount of the then outstanding Notes of that series may declare all the Notes to be due and payable immediately. </w:t>
      </w:r>
    </w:p>
    <w:p>
      <w:pPr>
        <w:pStyle w:val="TextBody"/>
        <w:spacing w:before="180" w:after="0"/>
        <w:rPr>
          <w:rFonts w:ascii="Times New Roman" w:hAnsi="Times New Roman"/>
          <w:sz w:val="20"/>
        </w:rPr>
      </w:pPr>
      <w:r>
        <w:rPr>
          <w:rFonts w:ascii="Times New Roman" w:hAnsi="Times New Roman"/>
          <w:sz w:val="20"/>
        </w:rPr>
        <w:t xml:space="preserve">Within five days after any of our officers becomes aware of the occurrence of any Default (meaning an event that is, or after the giving of notice or passage of time or both would be, an Event of Default) or Event of Default with respect to the Notes, we are required to give an officers certificate to the trustee specifying the Default or Event of Default and what action we are taking or propose to take to cure it. In addition, we and the subsidiary guarantors, if any, are required to deliver to the trustee, within 90 days after the end of each fiscal year, an officers certificate indicating that we have complied with all covenants contained in the Indenture or whether any Default or Event of Default has occurred during the previous year. </w:t>
      </w:r>
    </w:p>
    <w:p>
      <w:pPr>
        <w:pStyle w:val="TextBody"/>
        <w:spacing w:before="180" w:after="0"/>
        <w:rPr>
          <w:rFonts w:ascii="Times New Roman" w:hAnsi="Times New Roman"/>
          <w:sz w:val="20"/>
        </w:rPr>
      </w:pPr>
      <w:r>
        <w:rPr>
          <w:rFonts w:ascii="Times New Roman" w:hAnsi="Times New Roman"/>
          <w:sz w:val="20"/>
        </w:rPr>
        <w:t xml:space="preserve">If a Default with respect to the Notes of either series occurs and is continuing and is known to the trustee, the trustee must mail to each holder of such series of Notes a notice of the Default within 90 days after the Default occurs. Except in the case of a Default in the payment of principal, premium, if any, or interest with respect to the Notes of either series, the trustee may withhold such notice, but only if and so long as a committee of responsible officers of the trustee in good faith determines that withholding such notice is in the interests of such holders. </w:t>
      </w:r>
    </w:p>
    <w:p>
      <w:pPr>
        <w:pStyle w:val="TextBody"/>
        <w:spacing w:before="180" w:after="0"/>
        <w:rPr>
          <w:rFonts w:ascii="Times New Roman" w:hAnsi="Times New Roman"/>
          <w:b/>
          <w:sz w:val="20"/>
        </w:rPr>
      </w:pPr>
      <w:r>
        <w:rPr>
          <w:rFonts w:ascii="Times New Roman" w:hAnsi="Times New Roman"/>
          <w:b/>
          <w:sz w:val="20"/>
        </w:rPr>
        <w:t xml:space="preserve">Consolidation, Merger or Sale </w:t>
      </w:r>
    </w:p>
    <w:p>
      <w:pPr>
        <w:pStyle w:val="TextBody"/>
        <w:spacing w:before="180" w:after="0"/>
        <w:rPr>
          <w:rFonts w:ascii="Times New Roman" w:hAnsi="Times New Roman"/>
          <w:sz w:val="20"/>
        </w:rPr>
      </w:pPr>
      <w:r>
        <w:rPr>
          <w:rFonts w:ascii="Times New Roman" w:hAnsi="Times New Roman"/>
          <w:sz w:val="20"/>
        </w:rPr>
        <w:t xml:space="preserve">We will not merge, amalgamate or consolidate with or into any other Person or sell, convey, lease, transfer or otherwise dispose of all or substantially all of our assets to any Person, whether in a single transaction or series of related transactions, except in accordance with the provisions of the partnership agreement of Plains All American Pipeline, and unless: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are the surviving Person in the case of a merger, or the surviving Person: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305"/>
        <w:gridCol w:w="101"/>
        <w:gridCol w:w="8881"/>
      </w:tblGrid>
      <w:tr>
        <w:trPr/>
        <w:tc>
          <w:tcPr>
            <w:tcW w:w="91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is a partnership, limited liability company or corporation organized under the laws of the United States, a state thereof or the District of Columbia, provided that PAA Finance Corp. may not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1324"/>
        <w:gridCol w:w="8881"/>
      </w:tblGrid>
      <w:tr>
        <w:trPr/>
        <w:tc>
          <w:tcPr>
            <w:tcW w:w="1324" w:type="dxa"/>
            <w:tcBorders/>
            <w:shd w:fill="auto" w:val="clear"/>
            <w:vAlign w:val="center"/>
          </w:tcPr>
          <w:p>
            <w:pPr>
              <w:pStyle w:val="TableContents"/>
              <w:spacing w:before="0" w:after="283"/>
              <w:rPr/>
            </w:pPr>
            <w:r>
              <w:rPr/>
              <w:t> </w:t>
            </w:r>
          </w:p>
        </w:tc>
        <w:tc>
          <w:tcPr>
            <w:tcW w:w="8881"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merge, amalgamate or consolidate with or into another Person other than a corporation satisfying such requirement for so long as Plains All American Pipeline is not a corporation;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6"/>
        <w:gridCol w:w="101"/>
        <w:gridCol w:w="8881"/>
      </w:tblGrid>
      <w:tr>
        <w:trPr/>
        <w:tc>
          <w:tcPr>
            <w:tcW w:w="91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expressly assumes, by supplemental indenture in form reasonably satisfactory to the trustee, the due and punctual payment of the principal of, premium, if any, and interest on all of the Notes, and the due and punctual performance or observance of all the other obligations under the Indenture to be performed or observed by 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immediately after giving effect to the transaction or series of transactions, no Default or Event of Default has occurred and is continuing;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we are not the surviving Person, then any subsidiary guarantor, unless such subsidiary guarantor is the Person with which we have consummated a transaction under this provision, shall have confirmed that its guarantee of the Notes shall continue to apply to the obligations under the Notes and the Indenture;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have delivered to the trustee an officers certificate and opinion of counsel, each stating that the merger, amalgamation, consolidation, sale, conveyance, transfer, lease or other disposition, and if a supplemental indenture is required, the supplemental indenture, comply with the Indenture and all other conditions precedent to the transaction have been complied with. </w:t>
            </w:r>
          </w:p>
        </w:tc>
      </w:tr>
    </w:tbl>
    <w:p>
      <w:pPr>
        <w:pStyle w:val="TextBody"/>
        <w:spacing w:before="180" w:after="0"/>
        <w:rPr>
          <w:rFonts w:ascii="Times New Roman" w:hAnsi="Times New Roman"/>
          <w:sz w:val="20"/>
        </w:rPr>
      </w:pPr>
      <w:r>
        <w:rPr>
          <w:rFonts w:ascii="Times New Roman" w:hAnsi="Times New Roman"/>
          <w:sz w:val="20"/>
        </w:rPr>
        <w:t xml:space="preserve">Thereafter, the surviving Person will be substituted for us under the Indenture. If we sell or otherwise dispose of (except by lease) all or substantially all of our assets and the above stated requirements are satisfied, we will be released from all our liabilities and obligations under the Indenture. If we lease all or substantially all of our assets, we will not be so released from our obligations under the Indenture. </w:t>
      </w:r>
    </w:p>
    <w:p>
      <w:pPr>
        <w:pStyle w:val="TextBody"/>
        <w:spacing w:before="180" w:after="0"/>
        <w:rPr>
          <w:rFonts w:ascii="Times New Roman" w:hAnsi="Times New Roman"/>
          <w:b/>
          <w:sz w:val="20"/>
        </w:rPr>
      </w:pPr>
      <w:r>
        <w:rPr>
          <w:rFonts w:ascii="Times New Roman" w:hAnsi="Times New Roman"/>
          <w:b/>
          <w:sz w:val="20"/>
        </w:rPr>
        <w:t xml:space="preserve">Modification of the Indenture </w:t>
      </w:r>
    </w:p>
    <w:p>
      <w:pPr>
        <w:pStyle w:val="TextBody"/>
        <w:spacing w:before="180" w:after="0"/>
        <w:rPr>
          <w:rFonts w:ascii="Times New Roman" w:hAnsi="Times New Roman"/>
          <w:sz w:val="20"/>
        </w:rPr>
      </w:pPr>
      <w:r>
        <w:rPr>
          <w:rFonts w:ascii="Times New Roman" w:hAnsi="Times New Roman"/>
          <w:sz w:val="20"/>
        </w:rPr>
        <w:t xml:space="preserve">Generally, we, any subsidiary guarantors and the trustee may amend or supplement the Indenture, any guarantees and the Notes with respect to each series of the Notes with the consent of the holders of at least a majority in principal amount of the then outstanding Notes of the applicable series. However, without the consent of each holder affected, an amendment, supplement or waiver may not (with respect to any Notes held by a nonconsenting holder):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principal amount of Notes whose holders must consent to an amendment, supplement or waiver;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principal of or change the fixed maturity of any Note;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or waive the premium payable upon redemption or alter or waive the other provisions with respect to the redemption of any Notes;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rate of or change the time for payment of interest on any Note;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waive a Default or an Event of Default in the payment of principal of or premium, if any, or interest on, any Notes (except a rescission of acceleration of the Notes by the holders of at least a majority in aggregate principal amount and a waiver of the payment default that resulted from such acceleration);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release any security that may have been granted with respect to the Notes;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any note payable in currency other than that stated in the Notes;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2"/>
        <w:gridCol w:w="9390"/>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any change in the provisions of the Indenture relating to waivers of past Defaults or the rights of holders of Notes to receive payments of principal of or premium, if any, or interest on the Notes;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waive a redemption payment with respect to any Note;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except as otherwise permitted in the Indenture, release any subsidiary guarantor from its obligations under its guarantee or the Indenture or change any guarantee in any manner that would adversely affect the rights of holders;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any change in the preceding amendment, supplement and waiver provisions (except to increase any percentage set forth therein). </w:t>
            </w:r>
          </w:p>
        </w:tc>
      </w:tr>
    </w:tbl>
    <w:p>
      <w:pPr>
        <w:pStyle w:val="TextBody"/>
        <w:spacing w:before="180" w:after="0"/>
        <w:rPr>
          <w:rFonts w:ascii="Times New Roman" w:hAnsi="Times New Roman"/>
          <w:sz w:val="20"/>
        </w:rPr>
      </w:pPr>
      <w:r>
        <w:rPr>
          <w:rFonts w:ascii="Times New Roman" w:hAnsi="Times New Roman"/>
          <w:sz w:val="20"/>
        </w:rPr>
        <w:t xml:space="preserve">Notwithstanding the preceding paragraph, without the consent of any holder of Notes, we, any subsidiary guarantors and the trustee may amend or supplement the Indenture or the Notes with respect to each series of the Notes: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cure any ambiguity, defect or inconsistency;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provide for uncertificated Notes in addition to or in place of certificated Notes;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provide for the assumption of our or the confirmation of any subsidiary guarantors obligations to holders of Notes in the case of a merger or consolidation or sale of all or substantially all of our assets;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add or release any subsidiary guarantors as permitted pursuant to the terms of the Indenture (see Possible Future Guarantees);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make any changes that would provide any additional rights or benefits to the holders of Notes that do not, taken as a whole, adversely affect the rights under the Indenture of any holder of the Notes;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comply with requirements of the SEC in order to effect or maintain the qualification of the Indenture under the Trust Indenture Act;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evidence or provide for the acceptance of appointment under the Indenture of a successor trustee;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add any additional Events of Default;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secure the Notes and/or any guarantees;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establish the form or terms of any other series of debt securities under the Base Indenture. </w:t>
            </w:r>
          </w:p>
        </w:tc>
      </w:tr>
    </w:tbl>
    <w:p>
      <w:pPr>
        <w:pStyle w:val="TextBody"/>
        <w:spacing w:before="180" w:after="0"/>
        <w:rPr>
          <w:rFonts w:ascii="Times New Roman" w:hAnsi="Times New Roman"/>
          <w:b/>
          <w:sz w:val="20"/>
        </w:rPr>
      </w:pPr>
      <w:r>
        <w:rPr>
          <w:rFonts w:ascii="Times New Roman" w:hAnsi="Times New Roman"/>
          <w:b/>
          <w:sz w:val="20"/>
        </w:rPr>
        <w:t xml:space="preserve">Covenants </w:t>
      </w:r>
    </w:p>
    <w:p>
      <w:pPr>
        <w:pStyle w:val="TextBody"/>
        <w:spacing w:before="180" w:after="0"/>
        <w:rPr>
          <w:rFonts w:ascii="Times New Roman" w:hAnsi="Times New Roman"/>
          <w:b/>
          <w:i/>
          <w:sz w:val="20"/>
        </w:rPr>
      </w:pPr>
      <w:r>
        <w:rPr>
          <w:rFonts w:ascii="Times New Roman" w:hAnsi="Times New Roman"/>
          <w:b/>
          <w:i/>
          <w:sz w:val="20"/>
        </w:rPr>
        <w:t xml:space="preserve">Limitations on Liens </w:t>
      </w:r>
    </w:p>
    <w:p>
      <w:pPr>
        <w:pStyle w:val="TextBody"/>
        <w:spacing w:before="180" w:after="0"/>
        <w:rPr>
          <w:rFonts w:ascii="Times New Roman" w:hAnsi="Times New Roman"/>
          <w:sz w:val="20"/>
        </w:rPr>
      </w:pPr>
      <w:r>
        <w:rPr>
          <w:rFonts w:ascii="Times New Roman" w:hAnsi="Times New Roman"/>
          <w:sz w:val="20"/>
        </w:rPr>
        <w:t xml:space="preserve">We will not, nor will we permit any Subsidiary to, create, assume, incur or suffer to exist any lien upon any Principal Property or upon any Capital Interests of any Restricted Subsidiary, whether owned or leased or hereafter acquired, to secure any of our debt or any debt of any other Person (other than debt securities issued under the Indenture), without in any such case making effective provision whereby all of the Notes shall be secured equally and ratably with, or prior to, such debt so long as such debt shall be so secured. The following are excluded from this restriction: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Permitted Liens;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lien upon any property or assets created at the time of acquisition of such property or assets by us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lien upon any property or assets existing thereon at the time of the acquisition thereof by us or any Restricted Subsidiary (whether or not the obligations secured thereby are assumed by us or any Restricted Subsidiary); provided, however, that such lien only encumbers the property or assets so acquired;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lien upon any of our property or assets or the property or assets of any Restricted Subsidiary in existence on December 10, 2003 or provided for pursuant to agreements existing on December 10, 2003;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liens imposed by law or order as a result of any proceeding before any court or regulatory body that is being contested in good faith, and liens which secure a judgment or other court ordered award or settlement as to which we or the applicable Restricted Subsidiary has not exhausted its appellate rights;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extension, renewal, refinancing, refunding or replacement, or successive extensions, renewals, refinancings, refundings or replacements of liens, in whole or in part, referred to above;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of our expenses and the expenses of the Restricted Subsidiaries (including any premium) incurred in connection with such extension, renewal, refinancing, refunding or replacement;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lien resulting from the deposit of moneys or evidence of indebtedness in trust for the purpose of defeasing our debt or debt of any Restricted Subsidiary. </w:t>
            </w:r>
          </w:p>
        </w:tc>
      </w:tr>
    </w:tbl>
    <w:p>
      <w:pPr>
        <w:pStyle w:val="TextBody"/>
        <w:spacing w:before="180" w:after="0"/>
        <w:rPr>
          <w:rFonts w:ascii="Times New Roman" w:hAnsi="Times New Roman"/>
          <w:sz w:val="20"/>
        </w:rPr>
      </w:pPr>
      <w:r>
        <w:rPr>
          <w:rFonts w:ascii="Times New Roman" w:hAnsi="Times New Roman"/>
          <w:sz w:val="20"/>
        </w:rPr>
        <w:t xml:space="preserve">Notwithstanding the preceding, we may, and may permit any Restricted Subsidiary to, create, assume, incur, or suffer to exist any lien upon any Principal Property or Capital Interests of a Restricted Subsidiary to secure our debt or debt of any Person (other than debt securities issued under the Indenture), that is not excepted above without securing the Notes, provided that the aggregate principal amount of all debt then outstanding secured by such lien and all other liens not excepted above, together with all Attributable Indebtedness from Sale-leaseback Transactions, excluding Sale-leaseback Transactions permitted in the first paragraph under Limitations on Sale-leasebacks, does not exceed 10% of Consolidated Net Tangible Assets. </w:t>
      </w:r>
    </w:p>
    <w:p>
      <w:pPr>
        <w:pStyle w:val="TextBody"/>
        <w:spacing w:before="180" w:after="0"/>
        <w:rPr>
          <w:rFonts w:ascii="Times New Roman" w:hAnsi="Times New Roman"/>
          <w:b/>
          <w:i/>
          <w:sz w:val="20"/>
        </w:rPr>
      </w:pPr>
      <w:r>
        <w:rPr>
          <w:rFonts w:ascii="Times New Roman" w:hAnsi="Times New Roman"/>
          <w:b/>
          <w:i/>
          <w:sz w:val="20"/>
        </w:rPr>
        <w:t xml:space="preserve">Limitations on Sale-Leasebacks </w:t>
      </w:r>
    </w:p>
    <w:p>
      <w:pPr>
        <w:pStyle w:val="TextBody"/>
        <w:spacing w:before="90" w:after="0"/>
        <w:rPr>
          <w:rFonts w:ascii="Times New Roman" w:hAnsi="Times New Roman"/>
          <w:sz w:val="20"/>
        </w:rPr>
      </w:pPr>
      <w:r>
        <w:rPr>
          <w:rFonts w:ascii="Times New Roman" w:hAnsi="Times New Roman"/>
          <w:sz w:val="20"/>
        </w:rPr>
        <w:t xml:space="preserve">We will not, and will not permit any Subsidiary to, engage in a Sale-leaseback Transaction, unless: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Sale-leaseback Transaction involves a lease for a period, including renewals, of not more than three years;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Attributable Indebtedness from that Sale-leaseback Transaction is an amount equal to or less than the amount that we or such Subsidiary would be allowed to incur as debt secured by a lien on the Principal Property subject thereto without equally and ratably securing the Notes;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us or any Subsidiary, or (B) the expenditure or expenditures for Principal Property used or to be used in the ordinary course of the business of Plains All American Pipeline or that of its Subsidiaries.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Notwithstanding the preceding, we may, and may permit any Subsidiary of Plains All American Pipeline to, effect any Sale-leaseback Transaction that is not excepted above, provided that the Attributable Indebtedness from such Sale-leaseback Transaction, together with the aggregate principal amount of then outstanding debt (other than debt securities issued under the Indenture) secured by liens upon Principal Properties not excepted in the first paragraph under Limitations on Liens, do not exceed 10% of Consolidated Net Tangible Assets. </w:t>
      </w:r>
    </w:p>
    <w:p>
      <w:pPr>
        <w:pStyle w:val="TextBody"/>
        <w:spacing w:before="180" w:after="0"/>
        <w:rPr>
          <w:rFonts w:ascii="Times New Roman" w:hAnsi="Times New Roman"/>
          <w:b/>
          <w:sz w:val="20"/>
        </w:rPr>
      </w:pPr>
      <w:r>
        <w:rPr>
          <w:rFonts w:ascii="Times New Roman" w:hAnsi="Times New Roman"/>
          <w:b/>
          <w:sz w:val="20"/>
        </w:rPr>
        <w:t xml:space="preserve">SEC Reports </w:t>
      </w:r>
    </w:p>
    <w:p>
      <w:pPr>
        <w:pStyle w:val="TextBody"/>
        <w:spacing w:before="180" w:after="0"/>
        <w:rPr>
          <w:rFonts w:ascii="Times New Roman" w:hAnsi="Times New Roman"/>
          <w:sz w:val="20"/>
        </w:rPr>
      </w:pPr>
      <w:r>
        <w:rPr>
          <w:rFonts w:ascii="Times New Roman" w:hAnsi="Times New Roman"/>
          <w:sz w:val="20"/>
        </w:rPr>
        <w:t xml:space="preserve">Regardless of whether Plains All American Pipeline is required to remain subject to the reporting requirements of Section 13 or 15(d) of the Exchange Act, it will electronically file with the SEC, so long as the Notes are outstanding, the annual, quarterly and other periodic reports that it is required to file (or would otherwise be required to file) with the SEC pursuant to Sections 13 and 15(d) of the Exchange Act, and such documents will be filed with the SEC on or prior to the respective dates (the Required Filing Dates) by which it is required to file (or would otherwise be required to file) such documents, unless, in each case, such filings are not then permitted by the SEC. </w:t>
      </w:r>
    </w:p>
    <w:p>
      <w:pPr>
        <w:pStyle w:val="TextBody"/>
        <w:spacing w:before="180" w:after="0"/>
        <w:rPr>
          <w:rFonts w:ascii="Times New Roman" w:hAnsi="Times New Roman"/>
          <w:sz w:val="20"/>
        </w:rPr>
      </w:pPr>
      <w:r>
        <w:rPr>
          <w:rFonts w:ascii="Times New Roman" w:hAnsi="Times New Roman"/>
          <w:sz w:val="20"/>
        </w:rPr>
        <w:t xml:space="preserve">If such filings are not then permitted by the SEC, or such filings are not generally available on the Internet free of charge, we will provide the trustee with, and the trustee will mail to any holder of Notes requesting in writing to the trustee copies of, such annual, quarterly and other periodic reports specified in Sections 13 and 15(d) of the Exchange Act within 15 days after its Required Filing Date. </w:t>
      </w:r>
    </w:p>
    <w:p>
      <w:pPr>
        <w:pStyle w:val="TextBody"/>
        <w:spacing w:before="180" w:after="0"/>
        <w:rPr>
          <w:rFonts w:ascii="Times New Roman" w:hAnsi="Times New Roman"/>
          <w:b/>
          <w:sz w:val="20"/>
        </w:rPr>
      </w:pPr>
      <w:r>
        <w:rPr>
          <w:rFonts w:ascii="Times New Roman" w:hAnsi="Times New Roman"/>
          <w:b/>
          <w:sz w:val="20"/>
        </w:rPr>
        <w:t xml:space="preserve">Defeasance and Discharge </w:t>
      </w:r>
    </w:p>
    <w:p>
      <w:pPr>
        <w:pStyle w:val="TextBody"/>
        <w:spacing w:before="180" w:after="0"/>
        <w:rPr>
          <w:rFonts w:ascii="Times New Roman" w:hAnsi="Times New Roman"/>
          <w:sz w:val="20"/>
        </w:rPr>
      </w:pPr>
      <w:r>
        <w:rPr>
          <w:rFonts w:ascii="Times New Roman" w:hAnsi="Times New Roman"/>
          <w:sz w:val="20"/>
        </w:rPr>
        <w:t xml:space="preserve">At any time we may terminate all our obligations under the Indenture as they relate to either series of the Notes (legal defeasance), except for certain obligations, including those respecting the defeasance trust and timely payments therefrom and obligations to register the transfer of or exchange the Notes of that series, to replace mutilated, destroyed, lost or stolen Notes and to maintain a registrar and paying agent for such Notes. </w:t>
      </w:r>
    </w:p>
    <w:p>
      <w:pPr>
        <w:pStyle w:val="TextBody"/>
        <w:spacing w:before="180" w:after="0"/>
        <w:rPr>
          <w:rFonts w:ascii="Times New Roman" w:hAnsi="Times New Roman"/>
          <w:sz w:val="20"/>
        </w:rPr>
      </w:pPr>
      <w:r>
        <w:rPr>
          <w:rFonts w:ascii="Times New Roman" w:hAnsi="Times New Roman"/>
          <w:sz w:val="20"/>
        </w:rPr>
        <w:t xml:space="preserve">Also, at any time we may terminate our obligations under covenants described in the first paragraph of Possible Future Guarantees, under Covenants and under SEC Reports with respect to the Notes of the defeased series (covenant defeasance), and thereafter our failure to comply with any of such covenants would not constitute an Event of Default with respect to that series. </w:t>
      </w:r>
    </w:p>
    <w:p>
      <w:pPr>
        <w:pStyle w:val="TextBody"/>
        <w:spacing w:before="180" w:after="0"/>
        <w:rPr>
          <w:rFonts w:ascii="Times New Roman" w:hAnsi="Times New Roman"/>
          <w:sz w:val="20"/>
        </w:rPr>
      </w:pPr>
      <w:r>
        <w:rPr>
          <w:rFonts w:ascii="Times New Roman" w:hAnsi="Times New Roman"/>
          <w:sz w:val="20"/>
        </w:rPr>
        <w:t xml:space="preserve">We may exercise our legal defeasance option notwithstanding our prior exercise of our covenant defeasance option. If we exercise our legal defeasance option, any guarantee obligation will be deemed to have been discharged with respect to the Notes of the defeased series. </w:t>
      </w:r>
    </w:p>
    <w:p>
      <w:pPr>
        <w:pStyle w:val="TextBody"/>
        <w:spacing w:before="180" w:after="0"/>
        <w:rPr>
          <w:rFonts w:ascii="Times New Roman" w:hAnsi="Times New Roman"/>
          <w:sz w:val="20"/>
        </w:rPr>
      </w:pPr>
      <w:r>
        <w:rPr>
          <w:rFonts w:ascii="Times New Roman" w:hAnsi="Times New Roman"/>
          <w:sz w:val="20"/>
        </w:rPr>
        <w:t xml:space="preserve">In order to exercise either defeasance option, we must irrevocably deposit in trust (the defeasance trust) with the trustee money, U.S. Government Obligations (as defined in the Indenture) or a combination thereof for the payment of principal, premium, if any, and interest on the Notes of the defeased series to redemption or stated maturity, as the case may be, and must comply with certain other conditions, including delivery to the trustee of an opinion of counsel to the effect that holders of such Notes will not recognize income, gain or loss for federal income tax purposes as a result of such defeasance and will be subject to federal income tax on the same amounts, in the same manner and at the same times as would have been the case if such defeasance had not occurred. In the case of legal defeasance only, such opinion of counsel must be based on a ruling of the Internal Revenue Service or other change in applicable federal income tax law. </w:t>
      </w:r>
    </w:p>
    <w:p>
      <w:pPr>
        <w:pStyle w:val="TextBody"/>
        <w:spacing w:before="180" w:after="0"/>
        <w:rPr>
          <w:rFonts w:ascii="Times New Roman" w:hAnsi="Times New Roman"/>
          <w:sz w:val="20"/>
        </w:rPr>
      </w:pPr>
      <w:r>
        <w:rPr>
          <w:rFonts w:ascii="Times New Roman" w:hAnsi="Times New Roman"/>
          <w:sz w:val="20"/>
        </w:rPr>
        <w:t xml:space="preserve">In the event of any legal defeasance, holders of the Notes of the defeased series would be entitled to look only to the trust for payment of principal of and any premium and interest on their Notes until maturity. </w:t>
      </w:r>
    </w:p>
    <w:p>
      <w:pPr>
        <w:pStyle w:val="TextBody"/>
        <w:spacing w:before="180" w:after="0"/>
        <w:rPr>
          <w:rFonts w:ascii="Times New Roman" w:hAnsi="Times New Roman"/>
          <w:sz w:val="20"/>
        </w:rPr>
      </w:pPr>
      <w:r>
        <w:rPr>
          <w:rFonts w:ascii="Times New Roman" w:hAnsi="Times New Roman"/>
          <w:sz w:val="20"/>
        </w:rPr>
        <w:t xml:space="preserve">Although the amount of money and U.S. Government Obligations on deposit with the trustee would be intended to be sufficient to pay amounts due on the defeased Notes at the time of their stated maturity, if we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exercise our covenant defeasance option for the Notes and the Notes are declared due and payable because of the occurrence of an Event of Default, such amount may not be sufficient to pay amounts due on the Notes at the time of the acceleration resulting from such Event of Default. We would remain liable for such payments, however. </w:t>
      </w:r>
    </w:p>
    <w:p>
      <w:pPr>
        <w:pStyle w:val="TextBody"/>
        <w:spacing w:before="180" w:after="0"/>
        <w:rPr>
          <w:rFonts w:ascii="Times New Roman" w:hAnsi="Times New Roman"/>
          <w:sz w:val="20"/>
        </w:rPr>
      </w:pPr>
      <w:r>
        <w:rPr>
          <w:rFonts w:ascii="Times New Roman" w:hAnsi="Times New Roman"/>
          <w:sz w:val="20"/>
        </w:rPr>
        <w:t xml:space="preserve">In addition, we may satisfy and discharge all our obligations under the Indenture with respect to either series of the Notes, other than certain obligations to the trustee and our obligation to register the transfer of or exchange the Notes, provided that we either: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deliver all outstanding Notes of the applicable series to the trustee for cancellation;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Notes of the applicable series not so delivered for cancellation have either become due and payable or will become due and payable at their stated maturity within one year or are to be called for redemption within one year, and in the case of this bullet point we have irrevocably deposited with the trustee in trust an amount of cash or U.S. Government Obligations or a combination thereof sufficient to pay the entire indebtedness of the Notes of the applicable series, including interest and premium, if any, to the stated maturity or applicable redemption date; </w:t>
            </w:r>
          </w:p>
        </w:tc>
      </w:tr>
    </w:tbl>
    <w:p>
      <w:pPr>
        <w:pStyle w:val="TextBody"/>
        <w:spacing w:before="180" w:after="0"/>
        <w:rPr>
          <w:rFonts w:ascii="Times New Roman" w:hAnsi="Times New Roman"/>
          <w:sz w:val="20"/>
        </w:rPr>
      </w:pPr>
      <w:r>
        <w:rPr>
          <w:rFonts w:ascii="Times New Roman" w:hAnsi="Times New Roman"/>
          <w:sz w:val="20"/>
        </w:rPr>
        <w:t xml:space="preserve">and comply with the other requirements of the Indenture in relation to satisfaction and discharge. </w:t>
      </w:r>
    </w:p>
    <w:p>
      <w:pPr>
        <w:pStyle w:val="TextBody"/>
        <w:spacing w:before="180" w:after="0"/>
        <w:rPr>
          <w:rFonts w:ascii="Times New Roman" w:hAnsi="Times New Roman"/>
          <w:b/>
          <w:sz w:val="20"/>
        </w:rPr>
      </w:pPr>
      <w:r>
        <w:rPr>
          <w:rFonts w:ascii="Times New Roman" w:hAnsi="Times New Roman"/>
          <w:b/>
          <w:sz w:val="20"/>
        </w:rPr>
        <w:t xml:space="preserve">Definitions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Attributable Indebtedness</w:t>
      </w:r>
      <w:r>
        <w:rPr>
          <w:rFonts w:ascii="Times New Roman" w:hAnsi="Times New Roman"/>
          <w:sz w:val="20"/>
        </w:rPr>
        <w:t xml:space="preserve">,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Board of Directors</w:t>
      </w:r>
      <w:r>
        <w:rPr>
          <w:rFonts w:ascii="Times New Roman" w:hAnsi="Times New Roman"/>
          <w:sz w:val="20"/>
        </w:rPr>
        <w:t xml:space="preserve"> means (a) with respect to Plains All American Pipeline, the board of directors of the Managing General Partner, and (b) with respect to PAA Finance Corp., its board of directors or, in each case, with respect to any determination or resolution permitted to be made under the Indenture, any authorized committee or subcommittee of such board.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Capital Interests</w:t>
      </w:r>
      <w:r>
        <w:rPr>
          <w:rFonts w:ascii="Times New Roman" w:hAnsi="Times New Roman"/>
          <w:sz w:val="20"/>
        </w:rPr>
        <w:t xml:space="preserve">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Consolidated Net Tangible Assets</w:t>
      </w:r>
      <w:r>
        <w:rPr>
          <w:rFonts w:ascii="Times New Roman" w:hAnsi="Times New Roman"/>
          <w:sz w:val="20"/>
        </w:rPr>
        <w:t xml:space="preserve"> means, at any date of determination, the total amount of assets after deducting therefrom: </w:t>
      </w:r>
    </w:p>
    <w:p>
      <w:pPr>
        <w:pStyle w:val="TextBody"/>
        <w:spacing w:before="90" w:after="0"/>
        <w:rPr>
          <w:rFonts w:ascii="Times New Roman" w:hAnsi="Times New Roman"/>
          <w:sz w:val="20"/>
        </w:rPr>
      </w:pPr>
      <w:r>
        <w:rPr>
          <w:rFonts w:ascii="Times New Roman" w:hAnsi="Times New Roman"/>
          <w:sz w:val="20"/>
        </w:rPr>
        <w:t xml:space="preserve">(1) all current liabilities excluding: </w:t>
      </w:r>
    </w:p>
    <w:p>
      <w:pPr>
        <w:pStyle w:val="TextBody"/>
        <w:spacing w:before="90" w:after="0"/>
        <w:rPr>
          <w:rFonts w:ascii="Times New Roman" w:hAnsi="Times New Roman"/>
          <w:sz w:val="20"/>
        </w:rPr>
      </w:pPr>
      <w:r>
        <w:rPr>
          <w:rFonts w:ascii="Times New Roman" w:hAnsi="Times New Roman"/>
          <w:sz w:val="20"/>
        </w:rPr>
        <w:t xml:space="preserve">(a) any current liabilities that by their terms are extendible or renewable at the option of the obligor thereon to a time more than 12 months after the time as of which the amount thereof is being computed; and </w:t>
      </w:r>
    </w:p>
    <w:p>
      <w:pPr>
        <w:pStyle w:val="TextBody"/>
        <w:spacing w:before="90" w:after="0"/>
        <w:rPr>
          <w:rFonts w:ascii="Times New Roman" w:hAnsi="Times New Roman"/>
          <w:sz w:val="20"/>
        </w:rPr>
      </w:pPr>
      <w:r>
        <w:rPr>
          <w:rFonts w:ascii="Times New Roman" w:hAnsi="Times New Roman"/>
          <w:sz w:val="20"/>
        </w:rPr>
        <w:t xml:space="preserve">(b) current maturities of long-term debt; and </w:t>
      </w:r>
    </w:p>
    <w:p>
      <w:pPr>
        <w:pStyle w:val="TextBody"/>
        <w:spacing w:before="90" w:after="0"/>
        <w:rPr>
          <w:rFonts w:ascii="Times New Roman" w:hAnsi="Times New Roman"/>
          <w:sz w:val="20"/>
        </w:rPr>
      </w:pPr>
      <w:r>
        <w:rPr>
          <w:rFonts w:ascii="Times New Roman" w:hAnsi="Times New Roman"/>
          <w:sz w:val="20"/>
        </w:rPr>
        <w:t xml:space="preserve">(2) the amount, net of any applicable reserves, of all goodwill, trade names, trademarks, patents and other like intangible assets,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all as set forth on the consolidated balance sheet of Plains All American Pipeline for its most recently completed fiscal quarter, prepared in accordance with generally accepted accounting principles.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Exchange Act</w:t>
      </w:r>
      <w:r>
        <w:rPr>
          <w:rFonts w:ascii="Times New Roman" w:hAnsi="Times New Roman"/>
          <w:sz w:val="20"/>
        </w:rPr>
        <w:t xml:space="preserve"> means the Securities Exchange Act of 1934, as amended.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Funded Debt</w:t>
      </w:r>
      <w:r>
        <w:rPr>
          <w:rFonts w:ascii="Times New Roman" w:hAnsi="Times New Roman"/>
          <w:sz w:val="20"/>
        </w:rPr>
        <w:t xml:space="preserve">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Issue Date</w:t>
      </w:r>
      <w:r>
        <w:rPr>
          <w:rFonts w:ascii="Times New Roman" w:hAnsi="Times New Roman"/>
          <w:sz w:val="20"/>
        </w:rPr>
        <w:t xml:space="preserve"> means the date on which the Notes are initially issued.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Managing General Partner</w:t>
      </w:r>
      <w:r>
        <w:rPr>
          <w:rFonts w:ascii="Times New Roman" w:hAnsi="Times New Roman"/>
          <w:sz w:val="20"/>
        </w:rPr>
        <w:t xml:space="preserve"> means (i) Plains All American GP LLC, a Delaware limited liability company (and its successors and permitted assigns), as general partner of Plains AAP, L.P., a Delaware limited partnership (and its successors and permitted assigns), as sole member of PAA GP LLC (and its successors and permitted assigns), as general partner of Plains All American Pipeline or (ii) the business entity with the ultimate authority to manage the business and operations of Plains All American Pipeline.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Pari Passu Debt</w:t>
      </w:r>
      <w:r>
        <w:rPr>
          <w:rFonts w:ascii="Times New Roman" w:hAnsi="Times New Roman"/>
          <w:sz w:val="20"/>
        </w:rPr>
        <w:t xml:space="preserve"> means any of our Funded Debt,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Permitted Liens</w:t>
      </w:r>
      <w:r>
        <w:rPr>
          <w:rFonts w:ascii="Times New Roman" w:hAnsi="Times New Roman"/>
          <w:sz w:val="20"/>
        </w:rPr>
        <w:t xml:space="preserve"> means: </w:t>
      </w:r>
    </w:p>
    <w:p>
      <w:pPr>
        <w:pStyle w:val="TextBody"/>
        <w:spacing w:before="180" w:after="0"/>
        <w:rPr>
          <w:rFonts w:ascii="Times New Roman" w:hAnsi="Times New Roman"/>
          <w:sz w:val="20"/>
        </w:rPr>
      </w:pPr>
      <w:r>
        <w:rPr>
          <w:rFonts w:ascii="Times New Roman" w:hAnsi="Times New Roman"/>
          <w:sz w:val="20"/>
        </w:rPr>
        <w:t xml:space="preserve">(1) Liens upon rights-of-way for pipeline purposes; </w:t>
      </w:r>
    </w:p>
    <w:p>
      <w:pPr>
        <w:pStyle w:val="TextBody"/>
        <w:spacing w:before="180" w:after="0"/>
        <w:rPr>
          <w:rFonts w:ascii="Times New Roman" w:hAnsi="Times New Roman"/>
          <w:sz w:val="20"/>
        </w:rPr>
      </w:pPr>
      <w:r>
        <w:rPr>
          <w:rFonts w:ascii="Times New Roman" w:hAnsi="Times New Roman"/>
          <w:sz w:val="20"/>
        </w:rPr>
        <w:t xml:space="preserve">(2) 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 </w:t>
      </w:r>
    </w:p>
    <w:p>
      <w:pPr>
        <w:pStyle w:val="TextBody"/>
        <w:spacing w:before="180" w:after="0"/>
        <w:rPr>
          <w:rFonts w:ascii="Times New Roman" w:hAnsi="Times New Roman"/>
          <w:sz w:val="20"/>
        </w:rPr>
      </w:pPr>
      <w:r>
        <w:rPr>
          <w:rFonts w:ascii="Times New Roman" w:hAnsi="Times New Roman"/>
          <w:sz w:val="20"/>
        </w:rPr>
        <w:t xml:space="preserve">(3) the right reserved to, or vested in, any municipality or public authority by the terms of any right, power, franchise, grant, license, permit or by any provision of law, to purchase or recapture or to designate a purchaser of any property; </w:t>
      </w:r>
    </w:p>
    <w:p>
      <w:pPr>
        <w:pStyle w:val="TextBody"/>
        <w:spacing w:before="180" w:after="0"/>
        <w:rPr>
          <w:rFonts w:ascii="Times New Roman" w:hAnsi="Times New Roman"/>
          <w:sz w:val="20"/>
        </w:rPr>
      </w:pPr>
      <w:r>
        <w:rPr>
          <w:rFonts w:ascii="Times New Roman" w:hAnsi="Times New Roman"/>
          <w:sz w:val="20"/>
        </w:rPr>
        <w:t xml:space="preserve">(4) liens of taxes and assessments which are: (a) for the then current year, (b) not at the time delinquent, or (c) delinquent but the validity of which is being contested at the time by us or any Restricted Subsidiary in good faith; </w:t>
      </w:r>
    </w:p>
    <w:p>
      <w:pPr>
        <w:pStyle w:val="TextBody"/>
        <w:spacing w:before="180" w:after="0"/>
        <w:rPr>
          <w:rFonts w:ascii="Times New Roman" w:hAnsi="Times New Roman"/>
          <w:sz w:val="20"/>
        </w:rPr>
      </w:pPr>
      <w:r>
        <w:rPr>
          <w:rFonts w:ascii="Times New Roman" w:hAnsi="Times New Roman"/>
          <w:sz w:val="20"/>
        </w:rPr>
        <w:t xml:space="preserve">(5) liens of, or to secure performance of, leases, other than capital leases; </w:t>
      </w:r>
    </w:p>
    <w:p>
      <w:pPr>
        <w:pStyle w:val="TextBody"/>
        <w:spacing w:before="180" w:after="0"/>
        <w:rPr>
          <w:rFonts w:ascii="Times New Roman" w:hAnsi="Times New Roman"/>
          <w:sz w:val="20"/>
        </w:rPr>
      </w:pPr>
      <w:r>
        <w:rPr>
          <w:rFonts w:ascii="Times New Roman" w:hAnsi="Times New Roman"/>
          <w:sz w:val="20"/>
        </w:rPr>
        <w:t xml:space="preserve">(6) any lien upon, or deposits of, any assets in favor of any surety company or clerk of court for the purpose of obtaining indemnity or stay of judicial proceedings; </w:t>
      </w:r>
    </w:p>
    <w:p>
      <w:pPr>
        <w:pStyle w:val="TextBody"/>
        <w:spacing w:before="180" w:after="0"/>
        <w:rPr>
          <w:rFonts w:ascii="Times New Roman" w:hAnsi="Times New Roman"/>
          <w:sz w:val="20"/>
        </w:rPr>
      </w:pPr>
      <w:r>
        <w:rPr>
          <w:rFonts w:ascii="Times New Roman" w:hAnsi="Times New Roman"/>
          <w:sz w:val="20"/>
        </w:rPr>
        <w:t xml:space="preserve">(7) any lien upon property or assets acquired or sold by us or any Restricted Subsidiary resulting from the exercise of any rights arising out of defaults on receivables; </w:t>
      </w:r>
    </w:p>
    <w:p>
      <w:pPr>
        <w:pStyle w:val="TextBody"/>
        <w:spacing w:before="180" w:after="0"/>
        <w:rPr>
          <w:rFonts w:ascii="Times New Roman" w:hAnsi="Times New Roman"/>
          <w:sz w:val="20"/>
        </w:rPr>
      </w:pPr>
      <w:r>
        <w:rPr>
          <w:rFonts w:ascii="Times New Roman" w:hAnsi="Times New Roman"/>
          <w:sz w:val="20"/>
        </w:rPr>
        <w:t xml:space="preserve">(8) any lien incurred in the ordinary course of business in connection with workers compensation, unemployment insurance, temporary disability, social security, retiree health or similar laws or regulations or to secure obligations imposed by statute or governmental regulations;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(9) any lien in favor of us or any Restricted Subsidiary; </w:t>
      </w:r>
    </w:p>
    <w:p>
      <w:pPr>
        <w:pStyle w:val="TextBody"/>
        <w:spacing w:before="180" w:after="0"/>
        <w:rPr>
          <w:rFonts w:ascii="Times New Roman" w:hAnsi="Times New Roman"/>
          <w:sz w:val="20"/>
        </w:rPr>
      </w:pPr>
      <w:r>
        <w:rPr>
          <w:rFonts w:ascii="Times New Roman" w:hAnsi="Times New Roman"/>
          <w:sz w:val="20"/>
        </w:rPr>
        <w:t xml:space="preserve">(10) 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us or any Restricted Subsidiary for the purpose of financing all or any part of the purchase price of, or the cost of constructing, developing, repairing or improving, the property or assets subject to such lien; </w:t>
      </w:r>
    </w:p>
    <w:p>
      <w:pPr>
        <w:pStyle w:val="TextBody"/>
        <w:spacing w:before="180" w:after="0"/>
        <w:rPr>
          <w:rFonts w:ascii="Times New Roman" w:hAnsi="Times New Roman"/>
          <w:sz w:val="20"/>
        </w:rPr>
      </w:pPr>
      <w:r>
        <w:rPr>
          <w:rFonts w:ascii="Times New Roman" w:hAnsi="Times New Roman"/>
          <w:sz w:val="20"/>
        </w:rPr>
        <w:t xml:space="preserve">(11) any lien securing industrial development, pollution control or similar revenue bonds; </w:t>
      </w:r>
    </w:p>
    <w:p>
      <w:pPr>
        <w:pStyle w:val="TextBody"/>
        <w:spacing w:before="180" w:after="0"/>
        <w:rPr>
          <w:rFonts w:ascii="Times New Roman" w:hAnsi="Times New Roman"/>
          <w:sz w:val="20"/>
        </w:rPr>
      </w:pPr>
      <w:r>
        <w:rPr>
          <w:rFonts w:ascii="Times New Roman" w:hAnsi="Times New Roman"/>
          <w:sz w:val="20"/>
        </w:rPr>
        <w:t xml:space="preserve">(12) any lien securing our debt or debt of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under the Indenture (including the Notes) in connection with such refunding, refinancing or repurchase, and the required corresponding durations thereof), to refinance, refund or repurchase all outstanding debt securities under the Indenture (including the Notes), including the amount of all accrued interest thereon and reasonable fees and expenses and premium, if any, incurred by us or any Restricted Subsidiary in connection therewith; </w:t>
      </w:r>
    </w:p>
    <w:p>
      <w:pPr>
        <w:pStyle w:val="TextBody"/>
        <w:spacing w:before="180" w:after="0"/>
        <w:rPr>
          <w:rFonts w:ascii="Times New Roman" w:hAnsi="Times New Roman"/>
          <w:sz w:val="20"/>
        </w:rPr>
      </w:pPr>
      <w:r>
        <w:rPr>
          <w:rFonts w:ascii="Times New Roman" w:hAnsi="Times New Roman"/>
          <w:sz w:val="20"/>
        </w:rPr>
        <w:t xml:space="preserve">(13) liens in favor of any Person to secure obligations under the provisions of any letters of credit, bank guarantees, bonds or surety obligations required or requested by any governmental authority in connection with any contract or statute; </w:t>
      </w:r>
    </w:p>
    <w:p>
      <w:pPr>
        <w:pStyle w:val="TextBody"/>
        <w:spacing w:before="180" w:after="0"/>
        <w:rPr>
          <w:rFonts w:ascii="Times New Roman" w:hAnsi="Times New Roman"/>
          <w:sz w:val="20"/>
        </w:rPr>
      </w:pPr>
      <w:r>
        <w:rPr>
          <w:rFonts w:ascii="Times New Roman" w:hAnsi="Times New Roman"/>
          <w:sz w:val="20"/>
        </w:rPr>
        <w:t xml:space="preserve">(14) any lien upon or deposits of any assets to secure performance of bids, trade contracts, leases or statutory obligations; </w:t>
      </w:r>
    </w:p>
    <w:p>
      <w:pPr>
        <w:pStyle w:val="TextBody"/>
        <w:spacing w:before="180" w:after="0"/>
        <w:rPr>
          <w:rFonts w:ascii="Times New Roman" w:hAnsi="Times New Roman"/>
          <w:sz w:val="20"/>
        </w:rPr>
      </w:pPr>
      <w:r>
        <w:rPr>
          <w:rFonts w:ascii="Times New Roman" w:hAnsi="Times New Roman"/>
          <w:sz w:val="20"/>
        </w:rPr>
        <w:t xml:space="preserve">(15) 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 </w:t>
      </w:r>
    </w:p>
    <w:p>
      <w:pPr>
        <w:pStyle w:val="TextBody"/>
        <w:spacing w:before="180" w:after="0"/>
        <w:rPr>
          <w:rFonts w:ascii="Times New Roman" w:hAnsi="Times New Roman"/>
          <w:sz w:val="20"/>
        </w:rPr>
      </w:pPr>
      <w:r>
        <w:rPr>
          <w:rFonts w:ascii="Times New Roman" w:hAnsi="Times New Roman"/>
          <w:sz w:val="20"/>
        </w:rPr>
        <w:t xml:space="preserve">(16) easements, exceptions or reservations in any property of Plains All American Pipeline or any property of any of its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Plains All American Pipeline and its Subsidiaries, taken as a whole; </w:t>
      </w:r>
    </w:p>
    <w:p>
      <w:pPr>
        <w:pStyle w:val="TextBody"/>
        <w:spacing w:before="180" w:after="0"/>
        <w:rPr>
          <w:rFonts w:ascii="Times New Roman" w:hAnsi="Times New Roman"/>
          <w:sz w:val="20"/>
        </w:rPr>
      </w:pPr>
      <w:r>
        <w:rPr>
          <w:rFonts w:ascii="Times New Roman" w:hAnsi="Times New Roman"/>
          <w:sz w:val="20"/>
        </w:rPr>
        <w:t xml:space="preserve">(17) 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Plains All American Pipelines or any Restricted Subsidiarys business that are customary in the business of marketing, transportation and terminalling of crude oil and/or marketing of liquefied petroleum gas; or </w:t>
      </w:r>
    </w:p>
    <w:p>
      <w:pPr>
        <w:pStyle w:val="TextBody"/>
        <w:spacing w:before="180" w:after="0"/>
        <w:rPr>
          <w:rFonts w:ascii="Times New Roman" w:hAnsi="Times New Roman"/>
          <w:sz w:val="20"/>
        </w:rPr>
      </w:pPr>
      <w:r>
        <w:rPr>
          <w:rFonts w:ascii="Times New Roman" w:hAnsi="Times New Roman"/>
          <w:sz w:val="20"/>
        </w:rPr>
        <w:t xml:space="preserve">(18) any obligations or duties to any municipality or public authority with respect to any lease, easement, right-of-way, license, franchise, privilege, permit or grant.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Person</w:t>
      </w:r>
      <w:r>
        <w:rPr>
          <w:rFonts w:ascii="Times New Roman" w:hAnsi="Times New Roman"/>
          <w:sz w:val="20"/>
        </w:rPr>
        <w:t xml:space="preserve"> means any individual, corporation, partnership, joint venture, limited liability company, association, joint stock company, trust, other entity, unincorporated organization or government or any agency or political subdivision thereof.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i/>
          <w:sz w:val="20"/>
        </w:rPr>
        <w:t>Principal Property</w:t>
      </w:r>
      <w:r>
        <w:rPr>
          <w:rFonts w:ascii="Times New Roman" w:hAnsi="Times New Roman"/>
          <w:sz w:val="20"/>
        </w:rPr>
        <w:t xml:space="preserve"> means, whether owned or leased on the Issue Date or thereafter acquired: </w:t>
      </w:r>
    </w:p>
    <w:p>
      <w:pPr>
        <w:pStyle w:val="TextBody"/>
        <w:spacing w:before="180" w:after="0"/>
        <w:rPr>
          <w:rFonts w:ascii="Times New Roman" w:hAnsi="Times New Roman"/>
          <w:sz w:val="20"/>
        </w:rPr>
      </w:pPr>
      <w:r>
        <w:rPr>
          <w:rFonts w:ascii="Times New Roman" w:hAnsi="Times New Roman"/>
          <w:sz w:val="20"/>
        </w:rPr>
        <w:t xml:space="preserve">(1) any of the pipeline assets of Plains All American Pipeline or the pipeline assets of any Subsidiary of Plains All American Pipeline, including any related facilities employed in the transportation, distribution, terminalling, gathering, treating, processing, marketing or storage of crude oil or refined petroleum products, natural gas, natural gas liquids, fuel additives or petrochemicals; and </w:t>
      </w:r>
    </w:p>
    <w:p>
      <w:pPr>
        <w:pStyle w:val="TextBody"/>
        <w:spacing w:before="180" w:after="0"/>
        <w:rPr>
          <w:rFonts w:ascii="Times New Roman" w:hAnsi="Times New Roman"/>
          <w:sz w:val="20"/>
        </w:rPr>
      </w:pPr>
      <w:r>
        <w:rPr>
          <w:rFonts w:ascii="Times New Roman" w:hAnsi="Times New Roman"/>
          <w:sz w:val="20"/>
        </w:rPr>
        <w:t xml:space="preserve">(2) any processing or manufacturing plant or terminal owned or leased by Plains All American Pipeline or any Subsidiary of Plains All American Pipeline; except, in either case above: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Plains All American Pipeline or the activities of Plains All American Pipeline and its Subsidiaries, taken as a whole.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Restricted Subsidiary</w:t>
      </w:r>
      <w:r>
        <w:rPr>
          <w:rFonts w:ascii="Times New Roman" w:hAnsi="Times New Roman"/>
          <w:sz w:val="20"/>
        </w:rPr>
        <w:t xml:space="preserve"> means any Subsidiary of Plains All American Pipeline owning or leasing, directly or indirectly through ownership in another Subsidiary, any Principal Property.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Sale-leaseback Transaction</w:t>
      </w:r>
      <w:r>
        <w:rPr>
          <w:rFonts w:ascii="Times New Roman" w:hAnsi="Times New Roman"/>
          <w:sz w:val="20"/>
        </w:rPr>
        <w:t xml:space="preserve"> means the sale or transfer by us or any Subsidiary of Plains All American Pipeline of any Principal Property to a Person (other than us or a Subsidiary of Plains All American Pipeline) and the taking back by us or any Subsidiary of Plains All American Pipeline, as the case may be, of a lease of such Principal Property.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Securities Act</w:t>
      </w:r>
      <w:r>
        <w:rPr>
          <w:rFonts w:ascii="Times New Roman" w:hAnsi="Times New Roman"/>
          <w:sz w:val="20"/>
        </w:rPr>
        <w:t xml:space="preserve"> means the Securities Act of 1933, as amended.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Subsidiary</w:t>
      </w:r>
      <w:r>
        <w:rPr>
          <w:rFonts w:ascii="Times New Roman" w:hAnsi="Times New Roman"/>
          <w:sz w:val="20"/>
        </w:rPr>
        <w:t xml:space="preserve"> means, with respect to any Person: </w:t>
      </w:r>
    </w:p>
    <w:p>
      <w:pPr>
        <w:pStyle w:val="TextBody"/>
        <w:spacing w:before="180" w:after="0"/>
        <w:rPr>
          <w:rFonts w:ascii="Times New Roman" w:hAnsi="Times New Roman"/>
          <w:sz w:val="20"/>
        </w:rPr>
      </w:pPr>
      <w:r>
        <w:rPr>
          <w:rFonts w:ascii="Times New Roman" w:hAnsi="Times New Roman"/>
          <w:sz w:val="20"/>
        </w:rPr>
        <w:t xml:space="preserve">(1) 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 </w:t>
      </w:r>
    </w:p>
    <w:p>
      <w:pPr>
        <w:pStyle w:val="TextBody"/>
        <w:spacing w:before="180" w:after="0"/>
        <w:rPr>
          <w:rFonts w:ascii="Times New Roman" w:hAnsi="Times New Roman"/>
          <w:sz w:val="20"/>
        </w:rPr>
      </w:pPr>
      <w:r>
        <w:rPr>
          <w:rFonts w:ascii="Times New Roman" w:hAnsi="Times New Roman"/>
          <w:sz w:val="20"/>
        </w:rPr>
        <w:t xml:space="preserve">(2) 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3" w:name="supp314176_10"/>
      <w:bookmarkEnd w:id="13"/>
      <w:r>
        <w:rPr>
          <w:rFonts w:ascii="Times New Roman" w:hAnsi="Times New Roman"/>
          <w:b/>
          <w:sz w:val="20"/>
        </w:rPr>
        <w:t xml:space="preserve">BOOK ENTRY, DELIVERY AND FORM </w:t>
      </w:r>
    </w:p>
    <w:p>
      <w:pPr>
        <w:pStyle w:val="TextBody"/>
        <w:spacing w:before="180" w:after="0"/>
        <w:rPr>
          <w:rFonts w:ascii="Times New Roman" w:hAnsi="Times New Roman"/>
          <w:sz w:val="20"/>
        </w:rPr>
      </w:pPr>
      <w:r>
        <w:rPr>
          <w:rFonts w:ascii="Times New Roman" w:hAnsi="Times New Roman"/>
          <w:sz w:val="20"/>
        </w:rPr>
        <w:t xml:space="preserve">We will issue the Notes of each series in the form of one or more fully registered global notes, without coupons, each of which we refer to as a Global Note. Each such Global Note will be registered in the name of a depositary or a nominee of a depositary and held through one or more international and domestic clearing systems, principally the book-entry systems operated by The Depository Trust Company, or DTC, in the United States and by Euroclear Bank S.A./N.V., or the Euroclear Operator, as an operator of the Euroclear System, or Euroclear, and Clearstream Banking, société anonyme, or Clearstream, in Europe. Unless and until definitive notes are issued, all references to actions by holders of Notes issued in global form refer to actions taken by DTC, Euroclear or Clearstream, as the case may be, upon instructions from their respective participants, and all references to payments and notices to the holders refer to payments and notices to DTC, its nominee, Euroclear or Clearstream, as the case may be, as the registered holder of the Notes. Electronic notes and payment transfer, processing, depositary and custodial links have been established among these systems and others, either directly or indirectly, which enable Global Notes to be issued, held and transferred among these clearing systems through these links. </w:t>
      </w:r>
    </w:p>
    <w:p>
      <w:pPr>
        <w:pStyle w:val="TextBody"/>
        <w:spacing w:before="180" w:after="0"/>
        <w:rPr>
          <w:rFonts w:ascii="Times New Roman" w:hAnsi="Times New Roman"/>
          <w:sz w:val="20"/>
        </w:rPr>
      </w:pPr>
      <w:r>
        <w:rPr>
          <w:rFonts w:ascii="Times New Roman" w:hAnsi="Times New Roman"/>
          <w:sz w:val="20"/>
        </w:rPr>
        <w:t xml:space="preserve">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 </w:t>
      </w:r>
    </w:p>
    <w:p>
      <w:pPr>
        <w:pStyle w:val="TextBody"/>
        <w:spacing w:before="180" w:after="0"/>
        <w:rPr>
          <w:rFonts w:ascii="Times New Roman" w:hAnsi="Times New Roman"/>
          <w:sz w:val="20"/>
        </w:rPr>
      </w:pPr>
      <w:r>
        <w:rPr>
          <w:rFonts w:ascii="Times New Roman" w:hAnsi="Times New Roman"/>
          <w:sz w:val="20"/>
        </w:rPr>
        <w:t xml:space="preserve">The Notes in the form of one or more Global Notes will be registered in the name of DTC or a nominee of DTC. Where appropriate, links will be established among DTC, Euroclear and Clearstream to facilitate the initial issuance of any Notes sold outside the United States and cross-market transfers of the Notes associated with secondary market trading. Although the following information concerning DTC, Euroclear and Clearstream and their respective book-entry systems has been obtained from sources that we believe to be reliable, we take no responsibility for the accuracy of that information. </w:t>
      </w:r>
    </w:p>
    <w:p>
      <w:pPr>
        <w:pStyle w:val="TextBody"/>
        <w:spacing w:before="180" w:after="0"/>
        <w:rPr>
          <w:rFonts w:ascii="Times New Roman" w:hAnsi="Times New Roman"/>
          <w:b/>
          <w:sz w:val="20"/>
        </w:rPr>
      </w:pPr>
      <w:r>
        <w:rPr>
          <w:rFonts w:ascii="Times New Roman" w:hAnsi="Times New Roman"/>
          <w:b/>
          <w:sz w:val="20"/>
        </w:rPr>
        <w:t xml:space="preserve">Depository Procedures </w:t>
      </w:r>
    </w:p>
    <w:p>
      <w:pPr>
        <w:pStyle w:val="TextBody"/>
        <w:spacing w:before="180" w:after="0"/>
        <w:rPr>
          <w:rFonts w:ascii="Times New Roman" w:hAnsi="Times New Roman"/>
          <w:sz w:val="20"/>
        </w:rPr>
      </w:pPr>
      <w:r>
        <w:rPr>
          <w:rFonts w:ascii="Times New Roman" w:hAnsi="Times New Roman"/>
          <w:sz w:val="20"/>
        </w:rPr>
        <w:t xml:space="preserve">DTC has advised us that DTC is a limited 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securities transactions in those securities between the Participants through electronic book-entry changes in accounts of the Participants thereby eliminating the need for physical movement of securities certificates. The Participants include securities brokers and dealers (including the underwriters), banks, trust companies, clearing corporations and certain other organizations. DTC is owned by a number of its Participants and by the New York Stock Exchange, Inc., the NYSE Alternext LLC and the Financial Regulatory Authority, Inc.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or Indirect Participants may beneficially own securities held by or on behalf of DTC only through the Participants or the Indirect Participants. The ownership interest and transfer of ownership interest of each actual purchaser of each security held by or on behalf of DTC is recorded on the records of the Participants and the Indirect Participants. </w:t>
      </w:r>
    </w:p>
    <w:p>
      <w:pPr>
        <w:pStyle w:val="TextBody"/>
        <w:spacing w:before="180" w:after="0"/>
        <w:rPr>
          <w:rFonts w:ascii="Times New Roman" w:hAnsi="Times New Roman"/>
          <w:sz w:val="20"/>
        </w:rPr>
      </w:pPr>
      <w:r>
        <w:rPr>
          <w:rFonts w:ascii="Times New Roman" w:hAnsi="Times New Roman"/>
          <w:sz w:val="20"/>
        </w:rPr>
        <w:t xml:space="preserve">DTC has also advised us that pursuant to procedures established by it, (a) upon deposit of the Global Notes, DTC will credit the accounts of Participants designated by the underwriters with portions of the principal amount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of the Global Notes and (b) ownership of such interests in the Global Notes will be shown on, and the transfer of ownership thereof will be effected only through, records maintained by DTC (with respect to the Participants) or by the Participants and the Indirect Participants (with respect to other owners of beneficial interests in the Global Notes). </w:t>
      </w:r>
    </w:p>
    <w:p>
      <w:pPr>
        <w:pStyle w:val="TextBody"/>
        <w:spacing w:before="180" w:after="0"/>
        <w:rPr>
          <w:rFonts w:ascii="Times New Roman" w:hAnsi="Times New Roman"/>
          <w:sz w:val="20"/>
        </w:rPr>
      </w:pPr>
      <w:r>
        <w:rPr>
          <w:rFonts w:ascii="Times New Roman" w:hAnsi="Times New Roman"/>
          <w:sz w:val="20"/>
        </w:rPr>
        <w:t xml:space="preserve">Investors in the Global Notes may hold their interests therein directly through DTC, if they are Participants in such system, or indirectly through organizations (including Euroclear and Clearstream) which are Participants in such system. Euroclear and Clearstream will hold any interests in the Global Notes on behalf of their participants through their respective depositories, which in turn will hold such interests on the books of DTC. All interests in a Global Note, including any held through Euroclear or Clearstream, may be subject to the procedures and requirements of DTC. Any interests held through Euroclear or Clearstream may also be subject to the procedures and requirements of such system. </w:t>
      </w:r>
    </w:p>
    <w:p>
      <w:pPr>
        <w:pStyle w:val="TextBody"/>
        <w:spacing w:before="180" w:after="0"/>
        <w:rPr>
          <w:rFonts w:ascii="Times New Roman" w:hAnsi="Times New Roman"/>
          <w:sz w:val="20"/>
        </w:rPr>
      </w:pPr>
      <w:r>
        <w:rPr>
          <w:rFonts w:ascii="Times New Roman" w:hAnsi="Times New Roman"/>
          <w:sz w:val="20"/>
        </w:rPr>
        <w:t xml:space="preserve">The laws of some jurisdictions may require that certain persons take physical delivery in definitive form of securities that they own. Consequently, the ability to transfer beneficial interests in a Global Note to such persons may be limited to that extent. Because DTC can act only on behalf of the Participants, which in turn act on behalf of the Indirect Participants and certain banks, the ability of a person having beneficial interests in a Global Note to pledge such interests to persons or entities that do not participate in the DTC system, or otherwise take actions in respect of such interests, may be affected by the lack of a physical certificate evidencing such interests. For certain other restrictions on the transferability of the Notes, see Exchange of Book Entry Notes for Certificated Notes. </w:t>
      </w:r>
    </w:p>
    <w:p>
      <w:pPr>
        <w:pStyle w:val="TextBody"/>
        <w:spacing w:before="180" w:after="0"/>
        <w:rPr>
          <w:rFonts w:ascii="Times New Roman" w:hAnsi="Times New Roman"/>
          <w:b/>
          <w:sz w:val="20"/>
        </w:rPr>
      </w:pPr>
      <w:r>
        <w:rPr>
          <w:rFonts w:ascii="Times New Roman" w:hAnsi="Times New Roman"/>
          <w:b/>
          <w:sz w:val="20"/>
        </w:rPr>
        <w:t xml:space="preserve">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 </w:t>
      </w:r>
    </w:p>
    <w:p>
      <w:pPr>
        <w:pStyle w:val="TextBody"/>
        <w:spacing w:before="180" w:after="0"/>
        <w:rPr>
          <w:rFonts w:ascii="Times New Roman" w:hAnsi="Times New Roman"/>
          <w:sz w:val="20"/>
        </w:rPr>
      </w:pPr>
      <w:r>
        <w:rPr>
          <w:rFonts w:ascii="Times New Roman" w:hAnsi="Times New Roman"/>
          <w:sz w:val="20"/>
        </w:rPr>
        <w:t xml:space="preserve">Payments in respect of the principal of (and premium, if any) and interest on a Global Note registered in the name of DTC or its nominee will be payable to DTC or its nominee in its capacity as the registered holder under the Indenture. Under the terms of the Indenture, we and the trustee will treat the persons in whose names the Notes, including the Global Notes, are registered as the owners thereof for the purpose of receiving such payments and for any and all other purposes whatsoever. Consequently, neither we nor the underwriters, the trustee nor any of our or their agents has or will have any responsibility or liability for (1) any aspect or accuracy of DTCs records or any Participants or Indirect Participants records relating to the beneficial ownership or (2) any other matter relating to the actions and practices of DTC or any of the Participants or the Indirect Participants. </w:t>
      </w:r>
    </w:p>
    <w:p>
      <w:pPr>
        <w:pStyle w:val="TextBody"/>
        <w:spacing w:before="180" w:after="0"/>
        <w:rPr>
          <w:rFonts w:ascii="Times New Roman" w:hAnsi="Times New Roman"/>
          <w:sz w:val="20"/>
        </w:rPr>
      </w:pPr>
      <w:r>
        <w:rPr>
          <w:rFonts w:ascii="Times New Roman" w:hAnsi="Times New Roman"/>
          <w:sz w:val="20"/>
        </w:rPr>
        <w:t xml:space="preserve">DTC has advised us that its current practice, upon receipt of any payment in respect of securities such as the Notes (including principal and interest), is to credit the accounts of the relevant Participants with the payment on the payment date, in amounts proportionate to their respective interests in the principal amount of the relevant security as shown on the records of DTC. Payments by the Participants and the Indirect Participants to the beneficial owners of Notes will be governed by standing instructions and customary practices and will not be the responsibility of DTC, the trustee or us. Neither we nor the trustee will be liable for any delay by DTC or any of the Participants in identifying the beneficial owners of the Notes, and we and the trustee may conclusively rely on and will be protected in relying on instructions from DTC or its nominee as the registered owner of the Global Notes for all purposes. </w:t>
      </w:r>
    </w:p>
    <w:p>
      <w:pPr>
        <w:pStyle w:val="TextBody"/>
        <w:spacing w:before="180" w:after="0"/>
        <w:rPr>
          <w:rFonts w:ascii="Times New Roman" w:hAnsi="Times New Roman"/>
          <w:b/>
          <w:sz w:val="20"/>
        </w:rPr>
      </w:pPr>
      <w:r>
        <w:rPr>
          <w:rFonts w:ascii="Times New Roman" w:hAnsi="Times New Roman"/>
          <w:b/>
          <w:sz w:val="20"/>
        </w:rPr>
        <w:t xml:space="preserve">Except for trades involving only Euroclear and Clearstream participants, secondary market trading activity in interests in the Global Notes will settle in same-day funds, subject in all cases to the rules and procedures of DTC and the Participants. Transfers between accountholders in Euroclear and Clearstream will be effected in the ordinary way in accordance with their respective rules and operating procedures. </w:t>
      </w:r>
    </w:p>
    <w:p>
      <w:pPr>
        <w:pStyle w:val="TextBody"/>
        <w:spacing w:before="180" w:after="0"/>
        <w:rPr>
          <w:rFonts w:ascii="Times New Roman" w:hAnsi="Times New Roman"/>
          <w:sz w:val="20"/>
        </w:rPr>
      </w:pPr>
      <w:r>
        <w:rPr>
          <w:rFonts w:ascii="Times New Roman" w:hAnsi="Times New Roman"/>
          <w:sz w:val="20"/>
        </w:rPr>
        <w:t xml:space="preserve">Cross-market transfers between the accountholders in DTC, on the one hand, and directly or indirectly through Euroclear or Clearstream accountholders, on the other hand, will be effected through DTC in accordance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with DTCs rules on behalf of Euroclear or Clearstream, as the case may be, by its depository;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depository to take action to effect final settlement on its behalf by delivering or receiving interests in the relevant Global Note in DTC, and making or receiving payment in accordance with normal procedures for same-day funds settlement applicable to DTC. Euroclear and Clearstream accountholders may not deliver instructions directly to the depositories for Euroclear or Clearstream. </w:t>
      </w:r>
    </w:p>
    <w:p>
      <w:pPr>
        <w:pStyle w:val="TextBody"/>
        <w:spacing w:before="180" w:after="0"/>
        <w:rPr>
          <w:rFonts w:ascii="Times New Roman" w:hAnsi="Times New Roman"/>
          <w:sz w:val="20"/>
        </w:rPr>
      </w:pPr>
      <w:r>
        <w:rPr>
          <w:rFonts w:ascii="Times New Roman" w:hAnsi="Times New Roman"/>
          <w:sz w:val="20"/>
        </w:rPr>
        <w:t xml:space="preserve">Because of time zone differences, the securities account of a Euroclear or Clearstream accountholder purchasing an interest in a Global Note from an accountholder in DTC will be credited, and any such crediting will be reported to the relevant Euroclear or Clearstream participant, during the securities settlement processing day (which must be a business day for Euroclear or Clearstream) immediately following the settlement date of DTC. Cash received in Euroclear or Clearstream as a result of sales of interests in a Global Note by or through a Euroclear or Clearstream accountholder to a Participant in DTC will be received with value on the settlement date of DTC but will be available in the relevant Euroclear or Clearstream cash account only as of the business day for Euroclear or Clearstream following DTCs settlement date. </w:t>
      </w:r>
    </w:p>
    <w:p>
      <w:pPr>
        <w:pStyle w:val="TextBody"/>
        <w:spacing w:before="180" w:after="0"/>
        <w:rPr>
          <w:rFonts w:ascii="Times New Roman" w:hAnsi="Times New Roman"/>
          <w:sz w:val="20"/>
        </w:rPr>
      </w:pPr>
      <w:r>
        <w:rPr>
          <w:rFonts w:ascii="Times New Roman" w:hAnsi="Times New Roman"/>
          <w:sz w:val="20"/>
        </w:rPr>
        <w:t xml:space="preserve">DTC has advised us that it will take any action permitted to be taken by a holder of Notes only at the direction of one or more Participants to whose account with DTC interests in the Global Notes are credited and only in respect of such portion of the aggregate principal amount of the Notes as to which such Participant or Participants has or have given such direction. However, if any of the events described under Exchange of Book Entry Notes for Certificated Notes occurs, DTC reserves the right to exchange the Global Notes for Notes in certificated form and to distribute such Notes to its Participants. </w:t>
      </w:r>
    </w:p>
    <w:p>
      <w:pPr>
        <w:pStyle w:val="TextBody"/>
        <w:spacing w:before="180" w:after="0"/>
        <w:rPr>
          <w:rFonts w:ascii="Times New Roman" w:hAnsi="Times New Roman"/>
          <w:sz w:val="20"/>
        </w:rPr>
      </w:pPr>
      <w:r>
        <w:rPr>
          <w:rFonts w:ascii="Times New Roman" w:hAnsi="Times New Roman"/>
          <w:sz w:val="20"/>
        </w:rPr>
        <w:t xml:space="preserve">Neither we, the underwriters, the trustee nor any of our respective agents will have any responsibility for the performance by DTC, Euroclear or Clearstream or their respective participants, indirect participants or accountholders of their respective obligations under the rules and procedures governing their operations. </w:t>
      </w:r>
    </w:p>
    <w:p>
      <w:pPr>
        <w:pStyle w:val="TextBody"/>
        <w:spacing w:before="180" w:after="0"/>
        <w:rPr>
          <w:rFonts w:ascii="Times New Roman" w:hAnsi="Times New Roman"/>
          <w:b/>
          <w:sz w:val="20"/>
        </w:rPr>
      </w:pPr>
      <w:r>
        <w:rPr>
          <w:rFonts w:ascii="Times New Roman" w:hAnsi="Times New Roman"/>
          <w:b/>
          <w:sz w:val="20"/>
        </w:rPr>
        <w:t xml:space="preserve">Exchange of Book Entry Notes for Certificated Notes </w:t>
      </w:r>
    </w:p>
    <w:p>
      <w:pPr>
        <w:pStyle w:val="TextBody"/>
        <w:spacing w:before="180" w:after="0"/>
        <w:rPr>
          <w:rFonts w:ascii="Times New Roman" w:hAnsi="Times New Roman"/>
          <w:sz w:val="20"/>
        </w:rPr>
      </w:pPr>
      <w:r>
        <w:rPr>
          <w:rFonts w:ascii="Times New Roman" w:hAnsi="Times New Roman"/>
          <w:sz w:val="20"/>
        </w:rPr>
        <w:t xml:space="preserve">A Global Note is exchangeable for definitive notes in registered certificated form if (1) DTC (a) notifies us that it is unwilling or unable to continue as depository for the Global Note or (b) has ceased to be a clearing agency registered under the Exchange Act, and (2) we fail to appoint a successor depository within 90 days. In all cases, certificated notes delivered in exchange for any Global Note or beneficial interests therein will be registered in the names, and issued in any approved denominations, requested by or on behalf of DTC (in accordance with its customary procedures).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4" w:name="supp314176_11"/>
      <w:bookmarkEnd w:id="14"/>
      <w:r>
        <w:rPr>
          <w:rFonts w:ascii="Times New Roman" w:hAnsi="Times New Roman"/>
          <w:b/>
          <w:sz w:val="20"/>
        </w:rPr>
        <w:t xml:space="preserve">MATERIAL U.S. FEDERAL INCOME AND ESTATE TAX CONSEQUENCES </w:t>
      </w:r>
    </w:p>
    <w:p>
      <w:pPr>
        <w:pStyle w:val="TextBody"/>
        <w:spacing w:before="180" w:after="0"/>
        <w:rPr>
          <w:rFonts w:ascii="Times New Roman" w:hAnsi="Times New Roman"/>
          <w:sz w:val="20"/>
        </w:rPr>
      </w:pPr>
      <w:r>
        <w:rPr>
          <w:rFonts w:ascii="Times New Roman" w:hAnsi="Times New Roman"/>
          <w:sz w:val="20"/>
        </w:rPr>
        <w:t xml:space="preserve">The following discussion is a summary of the material U.S. federal income tax consequences, and in the case of a Non-U.S. Holder (as defined below), U.S. federal estate tax consequences, that may be relevant to the purchase, ownership and disposition of the Notes. The discussion is based on the Internal Revenue Code of 1986, as amended (the Code), Treasury Regulations issued thereunder, and judicial decisions and administrative interpretations now in effect, all of which are subject to change, possibly on a retroactive basis, or are subject to different interpretations. There can be no assurance that the Internal Revenue Service (the IRS) will take a similar view of such consequences, and we have not obtained, nor do we intend to obtain, a ruling from the IRS with respect to the U.S. federal income tax consequences of the purchase, ownership or disposition of the Notes. This discussion is limited to initial beneficial owners who purchase the Notes for cash at their issue price (the first price at which a substantial amount of the Notes is sold for money to investors, not including bond houses, brokers or similar persons or organizations acting in the capacity of underwriters, placement agents or wholesalers) and who hold the Notes as capital assets (generally property held for investment). </w:t>
      </w:r>
    </w:p>
    <w:p>
      <w:pPr>
        <w:pStyle w:val="TextBody"/>
        <w:spacing w:before="180" w:after="0"/>
        <w:rPr>
          <w:rFonts w:ascii="Times New Roman" w:hAnsi="Times New Roman"/>
          <w:sz w:val="20"/>
        </w:rPr>
      </w:pPr>
      <w:r>
        <w:rPr>
          <w:rFonts w:ascii="Times New Roman" w:hAnsi="Times New Roman"/>
          <w:sz w:val="20"/>
        </w:rPr>
        <w:t xml:space="preserve">In this discussion, we do not purport to address all tax considerations that may be important to a particular holder in light of the holders special circumstances, or to certain categories of holders that may be subject to special rules, such as: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dealers in securities or currencies;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traders in securities that elect to use a mark-to-market method of accounting for their securities holdings;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banks, insurance companies, or other financial institutions;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former citizens or long-term residents of the United States;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U.S. Holders (as defined below) that hold their Notes through non-U.S. brokers or other non-U.S. intermediaries;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tax-exempt organizations;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regulated investment companies;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real estate investment trusts;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holders subject to the alternative minimum tax;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persons holding Notes as part of a straddle transaction, hedging transaction, conversion transaction or other synthetic security or integrated transaction;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U.S. Holders (as defined below) whose functional currency is not the U.S. dollar;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partnerships and other pass-through entities and holders of interests therein. </w:t>
            </w:r>
          </w:p>
        </w:tc>
      </w:tr>
    </w:tbl>
    <w:p>
      <w:pPr>
        <w:pStyle w:val="TextBody"/>
        <w:spacing w:before="180" w:after="0"/>
        <w:rPr>
          <w:rFonts w:ascii="Times New Roman" w:hAnsi="Times New Roman"/>
          <w:sz w:val="20"/>
        </w:rPr>
      </w:pPr>
      <w:r>
        <w:rPr>
          <w:rFonts w:ascii="Times New Roman" w:hAnsi="Times New Roman"/>
          <w:sz w:val="20"/>
        </w:rPr>
        <w:t xml:space="preserve">In addition, the discussion does not consider the effect of U.S. federal estate (except in the case of a Non-U.S. Holder) or gift tax laws or of any applicable foreign, state, local or other tax laws or income tax treaties. </w:t>
      </w:r>
    </w:p>
    <w:p>
      <w:pPr>
        <w:pStyle w:val="TextBody"/>
        <w:spacing w:before="180" w:after="0"/>
        <w:rPr>
          <w:rFonts w:ascii="Times New Roman" w:hAnsi="Times New Roman"/>
          <w:sz w:val="20"/>
        </w:rPr>
      </w:pPr>
      <w:r>
        <w:rPr>
          <w:rFonts w:ascii="Times New Roman" w:hAnsi="Times New Roman"/>
          <w:sz w:val="20"/>
        </w:rPr>
        <w:t xml:space="preserve">If a partnership or other entity treated as a partnership for U.S. federal income tax purposes is a beneficial owner of Notes, the treatment of a partner in the partnership will generally depend upon the status of the partner and upon the activities of the partnership. Partners in partnerships acquiring Notes should consult their tax advisors. </w:t>
      </w:r>
    </w:p>
    <w:p>
      <w:pPr>
        <w:pStyle w:val="TextBody"/>
        <w:spacing w:before="180" w:after="0"/>
        <w:rPr>
          <w:rFonts w:ascii="Times New Roman" w:hAnsi="Times New Roman"/>
          <w:sz w:val="20"/>
        </w:rPr>
      </w:pPr>
      <w:r>
        <w:rPr>
          <w:rFonts w:ascii="Times New Roman" w:hAnsi="Times New Roman"/>
          <w:sz w:val="20"/>
        </w:rPr>
        <w:t xml:space="preserve">PROSPECTIVE INVESTORS ARE ADVISED TO CONSULT THEIR TAX ADVISORS WITH REGARD TO THE APPLICATION OF THE TAX CONSEQUENCES DISCUSSED BELOW TO THEIR PARTICULAR SITUATIONS, AS WELL AS THE APPLICATION OF U.S. FEDERAL ESTATE OR GIFT TAX LAWS OR OF ANY STATE, LOCAL, FOREIGN OR OTHER TAX LAWS OR INCOME TAX TREATIES.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Certain Additional Payments </w:t>
      </w:r>
    </w:p>
    <w:p>
      <w:pPr>
        <w:pStyle w:val="TextBody"/>
        <w:spacing w:before="180" w:after="0"/>
        <w:rPr>
          <w:rFonts w:ascii="Times New Roman" w:hAnsi="Times New Roman"/>
          <w:sz w:val="20"/>
        </w:rPr>
      </w:pPr>
      <w:r>
        <w:rPr>
          <w:rFonts w:ascii="Times New Roman" w:hAnsi="Times New Roman"/>
          <w:sz w:val="20"/>
        </w:rPr>
        <w:t xml:space="preserve">In certain circumstances (see Description of NotesOptional Redemption and Special Optional Redemption), we may pay amounts in excess of the stated interest and principal on the Notes. We intend to take the position that the possibility that such additional amounts will be paid does not cause the Notes to be treated as contingent payment debt instruments. It is possible that the IRS might take a different position, in which case, the timing, character and amount of taxable income in respect of the Notes may be different from that described herein. The remainder of this discussion assumes that the Notes are not contingent payment debt instruments. Prospective investors should consult their own tax advisors regarding the possible application of the contingent payment debt instrument rules to the Notes. </w:t>
      </w:r>
    </w:p>
    <w:p>
      <w:pPr>
        <w:pStyle w:val="TextBody"/>
        <w:spacing w:before="180" w:after="0"/>
        <w:rPr>
          <w:rFonts w:ascii="Times New Roman" w:hAnsi="Times New Roman"/>
          <w:b/>
          <w:sz w:val="20"/>
        </w:rPr>
      </w:pPr>
      <w:r>
        <w:rPr>
          <w:rFonts w:ascii="Times New Roman" w:hAnsi="Times New Roman"/>
          <w:b/>
          <w:sz w:val="20"/>
        </w:rPr>
        <w:t xml:space="preserve">U.S. Federal Income Taxation of U.S. Holders </w:t>
      </w:r>
    </w:p>
    <w:p>
      <w:pPr>
        <w:pStyle w:val="TextBody"/>
        <w:spacing w:before="180" w:after="0"/>
        <w:rPr>
          <w:rFonts w:ascii="Times New Roman" w:hAnsi="Times New Roman"/>
          <w:sz w:val="20"/>
        </w:rPr>
      </w:pPr>
      <w:r>
        <w:rPr>
          <w:rFonts w:ascii="Times New Roman" w:hAnsi="Times New Roman"/>
          <w:sz w:val="20"/>
        </w:rPr>
        <w:t xml:space="preserve">As used herein, a U.S. Holder means a beneficial owner of a Note that is: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2"/>
        <w:gridCol w:w="9390"/>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corporation or other entity treated as a corporation for U.S. federal income tax purposes created or organized in or under the laws of the United States or any political subdivision thereof;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trust, if (i) a court within the United States is able to exercise primary supervision over the administration of the trust and one or more United States persons have the authority to control all substantial decisions of the trust, or (ii) the trust has a valid election in effect under applicable U.S. Treasury Regulations to be treated as a United States person. </w:t>
            </w:r>
          </w:p>
        </w:tc>
      </w:tr>
    </w:tbl>
    <w:p>
      <w:pPr>
        <w:pStyle w:val="TextBody"/>
        <w:spacing w:before="180" w:after="0"/>
        <w:rPr>
          <w:rFonts w:ascii="Times New Roman" w:hAnsi="Times New Roman"/>
          <w:b/>
          <w:i/>
          <w:sz w:val="20"/>
        </w:rPr>
      </w:pPr>
      <w:r>
        <w:rPr>
          <w:rFonts w:ascii="Times New Roman" w:hAnsi="Times New Roman"/>
          <w:b/>
          <w:i/>
          <w:sz w:val="20"/>
        </w:rPr>
        <w:t xml:space="preserve">Payments of Interest </w:t>
      </w:r>
    </w:p>
    <w:p>
      <w:pPr>
        <w:pStyle w:val="TextBody"/>
        <w:spacing w:before="180" w:after="0"/>
        <w:rPr>
          <w:rFonts w:ascii="Times New Roman" w:hAnsi="Times New Roman"/>
          <w:sz w:val="20"/>
        </w:rPr>
      </w:pPr>
      <w:r>
        <w:rPr>
          <w:rFonts w:ascii="Times New Roman" w:hAnsi="Times New Roman"/>
          <w:sz w:val="20"/>
        </w:rPr>
        <w:t xml:space="preserve">Interest paid on a Note generally will be taxable to a U.S. Holder as ordinary income at the time it accrues or is received in accordance with the U.S. Holders regular method of accounting for U.S. federal income tax purposes. </w:t>
      </w:r>
    </w:p>
    <w:p>
      <w:pPr>
        <w:pStyle w:val="TextBody"/>
        <w:spacing w:before="180" w:after="0"/>
        <w:rPr>
          <w:rFonts w:ascii="Times New Roman" w:hAnsi="Times New Roman"/>
          <w:i/>
          <w:sz w:val="20"/>
        </w:rPr>
      </w:pPr>
      <w:r>
        <w:rPr>
          <w:rFonts w:ascii="Times New Roman" w:hAnsi="Times New Roman"/>
          <w:i/>
          <w:sz w:val="20"/>
        </w:rPr>
        <w:t xml:space="preserve">Disposition of Notes </w:t>
      </w:r>
    </w:p>
    <w:p>
      <w:pPr>
        <w:pStyle w:val="TextBody"/>
        <w:spacing w:before="180" w:after="0"/>
        <w:rPr>
          <w:rFonts w:ascii="Times New Roman" w:hAnsi="Times New Roman"/>
          <w:sz w:val="20"/>
        </w:rPr>
      </w:pPr>
      <w:r>
        <w:rPr>
          <w:rFonts w:ascii="Times New Roman" w:hAnsi="Times New Roman"/>
          <w:sz w:val="20"/>
        </w:rPr>
        <w:t xml:space="preserve">Upon the sale, retirement, redemption or other taxable disposition of a Note, a U.S. Holder will generally recognize capital gain or loss equal to the difference between the amount realized on the disposition (not including any amount attributable to accrued but unpaid interest which is taxable as ordinary interest income to the extent not previously included in income) and such holders adjusted tax basis in the Note. The amount realized by a U.S. Holder will include the amount of any cash and the fair market value of any other property received for the Note. A U.S. Holders adjusted tax basis in a Note will generally equal the purchase price paid by such holder for the Note. </w:t>
      </w:r>
    </w:p>
    <w:p>
      <w:pPr>
        <w:pStyle w:val="TextBody"/>
        <w:spacing w:before="180" w:after="0"/>
        <w:rPr>
          <w:rFonts w:ascii="Times New Roman" w:hAnsi="Times New Roman"/>
          <w:sz w:val="20"/>
        </w:rPr>
      </w:pPr>
      <w:r>
        <w:rPr>
          <w:rFonts w:ascii="Times New Roman" w:hAnsi="Times New Roman"/>
          <w:sz w:val="20"/>
        </w:rPr>
        <w:t xml:space="preserve">In general, gain or loss realized on the sale, retirement, redemption or other taxable disposition of a Note by a U.S. Holder will be long-term capital gain or loss if, at the time of disposition, the U.S. Holder has held the Note for more than one year. The long-term capital gains of individuals, estates and trusts currently are subject to a reduced rate of U.S. federal income tax. The deductibility of capital losses is subject to certain limitations. </w:t>
      </w:r>
    </w:p>
    <w:p>
      <w:pPr>
        <w:pStyle w:val="TextBody"/>
        <w:spacing w:before="180" w:after="0"/>
        <w:rPr>
          <w:rFonts w:ascii="Times New Roman" w:hAnsi="Times New Roman"/>
          <w:i/>
          <w:sz w:val="20"/>
        </w:rPr>
      </w:pPr>
      <w:r>
        <w:rPr>
          <w:rFonts w:ascii="Times New Roman" w:hAnsi="Times New Roman"/>
          <w:i/>
          <w:sz w:val="20"/>
        </w:rPr>
        <w:t xml:space="preserve">Information Reporting and Backup Withholding </w:t>
      </w:r>
    </w:p>
    <w:p>
      <w:pPr>
        <w:pStyle w:val="TextBody"/>
        <w:spacing w:before="180" w:after="0"/>
        <w:rPr>
          <w:rFonts w:ascii="Times New Roman" w:hAnsi="Times New Roman"/>
          <w:sz w:val="20"/>
        </w:rPr>
      </w:pPr>
      <w:r>
        <w:rPr>
          <w:rFonts w:ascii="Times New Roman" w:hAnsi="Times New Roman"/>
          <w:sz w:val="20"/>
        </w:rPr>
        <w:t xml:space="preserve">Information reporting will apply to payments of interest on, and the proceeds of the sale, retirement, redemption or other disposition of, Notes held by a U.S. Holder, and backup withholding may apply unless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U.S. Holder provides the appropriate intermediary with a taxpayer identification number, certified under penalties of perjury, as well as certain other information or otherwise establishes an exemption from backup withholding. Any amount withheld under the backup withholding rules is allowable as a credit against the U.S. Holders U.S. federal income tax liability, if any, and a refund may be obtained if the amounts withheld exceed the U.S. Holders actual U.S. federal income tax liability and the U.S. Holder provides the required information or appropriate claim form to the IRS. </w:t>
      </w:r>
    </w:p>
    <w:p>
      <w:pPr>
        <w:pStyle w:val="TextBody"/>
        <w:spacing w:before="180" w:after="0"/>
        <w:rPr>
          <w:rFonts w:ascii="Times New Roman" w:hAnsi="Times New Roman"/>
          <w:b/>
          <w:sz w:val="20"/>
        </w:rPr>
      </w:pPr>
      <w:r>
        <w:rPr>
          <w:rFonts w:ascii="Times New Roman" w:hAnsi="Times New Roman"/>
          <w:b/>
          <w:sz w:val="20"/>
        </w:rPr>
        <w:t xml:space="preserve">U.S. Federal Income Taxation of Non-U.S. Holders </w:t>
      </w:r>
    </w:p>
    <w:p>
      <w:pPr>
        <w:pStyle w:val="TextBody"/>
        <w:spacing w:before="180" w:after="0"/>
        <w:rPr>
          <w:rFonts w:ascii="Times New Roman" w:hAnsi="Times New Roman"/>
          <w:sz w:val="20"/>
        </w:rPr>
      </w:pPr>
      <w:r>
        <w:rPr>
          <w:rFonts w:ascii="Times New Roman" w:hAnsi="Times New Roman"/>
          <w:sz w:val="20"/>
        </w:rPr>
        <w:t xml:space="preserve">As used herein, a Non-U.S. Holder means a beneficial owner of a Note that is an individual, corporation, estate or trust that is not a U.S. Holder. </w:t>
      </w:r>
    </w:p>
    <w:p>
      <w:pPr>
        <w:pStyle w:val="TextBody"/>
        <w:spacing w:before="180" w:after="0"/>
        <w:rPr>
          <w:rFonts w:ascii="Times New Roman" w:hAnsi="Times New Roman"/>
          <w:b/>
          <w:i/>
          <w:sz w:val="20"/>
        </w:rPr>
      </w:pPr>
      <w:r>
        <w:rPr>
          <w:rFonts w:ascii="Times New Roman" w:hAnsi="Times New Roman"/>
          <w:b/>
          <w:i/>
          <w:sz w:val="20"/>
        </w:rPr>
        <w:t xml:space="preserve">Payments of Interest </w:t>
      </w:r>
    </w:p>
    <w:p>
      <w:pPr>
        <w:pStyle w:val="TextBody"/>
        <w:spacing w:before="180" w:after="0"/>
        <w:rPr>
          <w:rFonts w:ascii="Times New Roman" w:hAnsi="Times New Roman"/>
          <w:sz w:val="20"/>
        </w:rPr>
      </w:pPr>
      <w:r>
        <w:rPr>
          <w:rFonts w:ascii="Times New Roman" w:hAnsi="Times New Roman"/>
          <w:sz w:val="20"/>
        </w:rPr>
        <w:t xml:space="preserve">The payment to a Non-U.S. Holder of interest on a Note generally will be exempt from U.S. federal withholding tax under the portfolio interest exemption provided that interest on the Note is not effectively connected with a U.S. trade or business conducted by the Non-U.S. Holder and the Non-U.S. Holder: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does not actually or constructively own 10% or more of our capital or profits interests;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is not a controlled foreign corporation for U.S. federal income tax purposes that is related directly or indirectly to us;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is not a bank whose receipt of interest on the Note is in connection with an extension of credit made pursuant to a loan agreement entered into in the ordinary course of business. </w:t>
            </w:r>
          </w:p>
        </w:tc>
      </w:tr>
    </w:tbl>
    <w:p>
      <w:pPr>
        <w:pStyle w:val="TextBody"/>
        <w:spacing w:before="180" w:after="0"/>
        <w:rPr>
          <w:rFonts w:ascii="Times New Roman" w:hAnsi="Times New Roman"/>
          <w:sz w:val="20"/>
        </w:rPr>
      </w:pPr>
      <w:r>
        <w:rPr>
          <w:rFonts w:ascii="Times New Roman" w:hAnsi="Times New Roman"/>
          <w:sz w:val="20"/>
        </w:rPr>
        <w:t xml:space="preserve">The portfolio interest exemption and several of the special rules for Non-U.S. Holders described below generally apply only if a Non-U.S. Holder appropriately certifies as to his foreign status. A Non-U.S. Holder can generally meet this certification requirement by providing a properly executed IRS Form W-8BEN or appropriate substitute form to us, or our paying agent. </w:t>
      </w:r>
    </w:p>
    <w:p>
      <w:pPr>
        <w:pStyle w:val="TextBody"/>
        <w:spacing w:before="180" w:after="0"/>
        <w:rPr>
          <w:rFonts w:ascii="Times New Roman" w:hAnsi="Times New Roman"/>
          <w:sz w:val="20"/>
        </w:rPr>
      </w:pPr>
      <w:r>
        <w:rPr>
          <w:rFonts w:ascii="Times New Roman" w:hAnsi="Times New Roman"/>
          <w:sz w:val="20"/>
        </w:rPr>
        <w:t xml:space="preserve">If a Non-U.S. Holder holds the Notes through a financial institution or other agent acting on his behalf, that Non-U.S. Holder may be required to provide appropriate certifications to the agent. That agent will then generally be required to provide appropriate certifications to us or our paying agent, either directly or through other intermediaries. Special rules apply to foreign partnerships, estates and trusts, and in certain circumstances certifications as to foreign status of partners, trust owners or beneficiaries may have to be provided to us or our paying agent. In addition, special rules apply to qualified intermediaries that enter into withholding agreements with the IRS. </w:t>
      </w:r>
    </w:p>
    <w:p>
      <w:pPr>
        <w:pStyle w:val="TextBody"/>
        <w:spacing w:before="180" w:after="0"/>
        <w:rPr>
          <w:rFonts w:ascii="Times New Roman" w:hAnsi="Times New Roman"/>
          <w:sz w:val="20"/>
        </w:rPr>
      </w:pPr>
      <w:r>
        <w:rPr>
          <w:rFonts w:ascii="Times New Roman" w:hAnsi="Times New Roman"/>
          <w:sz w:val="20"/>
        </w:rPr>
        <w:t xml:space="preserve">If a Non-U.S. Holder cannot satisfy the requirements described in the preceding paragraphs, payments of interest made to the Non-U.S. Holder will be subject to a 30% U.S. federal withholding tax, unless the Non-U.S. Holder provides us with a properly executed (1) IRS Form W-8BEN (or successor form) claiming an exemption from or reduction in the rate of withholding under the benefit of an income tax treaty or (2) IRS Form W-8ECI (or successor form) stating that the interest paid on the Note is not subject to withholding tax because it is effectively connected with the Non-U.S. Holders conduct of a trade or business in the United States (and if required by an applicable income tax treaty, is treated as attributable to a permanent establishment maintained by the Non-U.S. Holder in the United States). See Income or Gain Effectively Connected with a U.S. Trade or Business. </w:t>
      </w:r>
    </w:p>
    <w:p>
      <w:pPr>
        <w:pStyle w:val="TextBody"/>
        <w:spacing w:before="180" w:after="0"/>
        <w:rPr>
          <w:rFonts w:ascii="Times New Roman" w:hAnsi="Times New Roman"/>
          <w:b/>
          <w:i/>
          <w:sz w:val="20"/>
        </w:rPr>
      </w:pPr>
      <w:r>
        <w:rPr>
          <w:rFonts w:ascii="Times New Roman" w:hAnsi="Times New Roman"/>
          <w:b/>
          <w:i/>
          <w:sz w:val="20"/>
        </w:rPr>
        <w:t xml:space="preserve">Disposition of Notes </w:t>
      </w:r>
    </w:p>
    <w:p>
      <w:pPr>
        <w:pStyle w:val="TextBody"/>
        <w:spacing w:before="180" w:after="0"/>
        <w:rPr>
          <w:rFonts w:ascii="Times New Roman" w:hAnsi="Times New Roman"/>
          <w:sz w:val="20"/>
        </w:rPr>
      </w:pPr>
      <w:r>
        <w:rPr>
          <w:rFonts w:ascii="Times New Roman" w:hAnsi="Times New Roman"/>
          <w:sz w:val="20"/>
        </w:rPr>
        <w:t xml:space="preserve">Generally, a Non-U.S. Holder will not be subject to U.S. federal income tax with respect to gain realized on the sale, retirement, redemption or other disposition of a Note unless: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gain is effectively connected with the conduct by the Non-U.S. Holder of a trade or business in the United States (and if an applicable income tax treaty so requires, is attributable to a permanent establishment maintained by the Non-U.S. Holder in the United States); or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case of a Non-U.S. Holder who is a nonresident alien individual, such individual is present in the United States for 183 days or more in the taxable year of disposition and certain other conditions are met. </w:t>
            </w:r>
          </w:p>
        </w:tc>
      </w:tr>
    </w:tbl>
    <w:p>
      <w:pPr>
        <w:pStyle w:val="TextBody"/>
        <w:spacing w:before="180" w:after="0"/>
        <w:rPr>
          <w:rFonts w:ascii="Times New Roman" w:hAnsi="Times New Roman"/>
          <w:sz w:val="20"/>
        </w:rPr>
      </w:pPr>
      <w:r>
        <w:rPr>
          <w:rFonts w:ascii="Times New Roman" w:hAnsi="Times New Roman"/>
          <w:sz w:val="20"/>
        </w:rPr>
        <w:t xml:space="preserve">If you are a Non-U.S. Holder described in the first bullet point above, you generally will be subject to U.S. federal income tax in the manner described below under Income or Gain Effectively Connected with a U.S. Trade or Business. If you are a Non-U.S. Holder described in the second bullet point above, you will be subject to a flat 30% U.S. federal income tax on the gain derived from the sale or other disposition, which may be offset by U.S. source capital losses. </w:t>
      </w:r>
    </w:p>
    <w:p>
      <w:pPr>
        <w:pStyle w:val="TextBody"/>
        <w:spacing w:before="180" w:after="0"/>
        <w:rPr>
          <w:rFonts w:ascii="Times New Roman" w:hAnsi="Times New Roman"/>
          <w:b/>
          <w:i/>
          <w:sz w:val="20"/>
        </w:rPr>
      </w:pPr>
      <w:r>
        <w:rPr>
          <w:rFonts w:ascii="Times New Roman" w:hAnsi="Times New Roman"/>
          <w:b/>
          <w:i/>
          <w:sz w:val="20"/>
        </w:rPr>
        <w:t xml:space="preserve">Income or Gain Effectively Connected with a U.S. Trade or Business </w:t>
      </w:r>
    </w:p>
    <w:p>
      <w:pPr>
        <w:pStyle w:val="TextBody"/>
        <w:spacing w:before="180" w:after="0"/>
        <w:rPr>
          <w:rFonts w:ascii="Times New Roman" w:hAnsi="Times New Roman"/>
          <w:sz w:val="20"/>
        </w:rPr>
      </w:pPr>
      <w:r>
        <w:rPr>
          <w:rFonts w:ascii="Times New Roman" w:hAnsi="Times New Roman"/>
          <w:sz w:val="20"/>
        </w:rPr>
        <w:t xml:space="preserve">If a Non-U.S. Holder of a Note is engaged in a trade or business in the United States and interest on the Note is effectively connected with the conduct of such trade or business, then the income or gain from the Note will generally be subject to U.S. federal income tax in the same manner as if that Non-U.S. Holder were a U.S. Holder, unless the Non-U.S. Holder can claim an exemption under the benefits of an income tax treaty. If a Non-U.S. Holder is eligible for the benefits of an income tax treaty between the United States and his country of residence, any effectively connected income or gain will generally be subject to U.S. federal income tax only if it is also attributable to a permanent establishment maintained by that Non-U.S. Holder in the United States. In addition, if such Non-U.S. Holder is a foreign corporation, it may be subject to a branch profits tax equal to 30% (or lower applicable treaty rate) of its earnings and profits for the taxable year, subject to adjustments, that are effectively connected with its conduct of a trade or business in the United States. A Non-U.S. Holder can generally meet the certification requirements by providing a properly executed IRS Form W-8ECI (or IRS Form W-8BEN claiming exemption under an applicable income tax treaty) or appropriate substitute form to us, or our paying agent. </w:t>
      </w:r>
    </w:p>
    <w:p>
      <w:pPr>
        <w:pStyle w:val="TextBody"/>
        <w:spacing w:before="180" w:after="0"/>
        <w:rPr>
          <w:rFonts w:ascii="Times New Roman" w:hAnsi="Times New Roman"/>
          <w:b/>
          <w:i/>
          <w:sz w:val="20"/>
        </w:rPr>
      </w:pPr>
      <w:r>
        <w:rPr>
          <w:rFonts w:ascii="Times New Roman" w:hAnsi="Times New Roman"/>
          <w:b/>
          <w:i/>
          <w:sz w:val="20"/>
        </w:rPr>
        <w:t xml:space="preserve">U.S. Federal Estate Tax </w:t>
      </w:r>
    </w:p>
    <w:p>
      <w:pPr>
        <w:pStyle w:val="TextBody"/>
        <w:spacing w:before="180" w:after="0"/>
        <w:rPr>
          <w:rFonts w:ascii="Times New Roman" w:hAnsi="Times New Roman"/>
          <w:sz w:val="20"/>
        </w:rPr>
      </w:pPr>
      <w:r>
        <w:rPr>
          <w:rFonts w:ascii="Times New Roman" w:hAnsi="Times New Roman"/>
          <w:sz w:val="20"/>
        </w:rPr>
        <w:t xml:space="preserve">If you are an individual and are not a resident of the United States (as specially defined for U.S. federal estate tax purposes) at the time of your death, the Notes will not be included in your estate for U.S. federal estate tax purposes provided that at the time of your death, interest on the Notes owned by you qualifies for the portfolio interest exemption under the rules described above under Payments of Interest (without regard to the certification requirement required to qualify for the portfolio interest exemption). </w:t>
      </w:r>
    </w:p>
    <w:p>
      <w:pPr>
        <w:pStyle w:val="TextBody"/>
        <w:spacing w:before="180" w:after="0"/>
        <w:rPr>
          <w:rFonts w:ascii="Times New Roman" w:hAnsi="Times New Roman"/>
          <w:b/>
          <w:i/>
          <w:sz w:val="20"/>
        </w:rPr>
      </w:pPr>
      <w:r>
        <w:rPr>
          <w:rFonts w:ascii="Times New Roman" w:hAnsi="Times New Roman"/>
          <w:b/>
          <w:i/>
          <w:sz w:val="20"/>
        </w:rPr>
        <w:t xml:space="preserve">Information Reporting and Backup Withholding </w:t>
      </w:r>
    </w:p>
    <w:p>
      <w:pPr>
        <w:pStyle w:val="TextBody"/>
        <w:spacing w:before="180" w:after="0"/>
        <w:rPr>
          <w:rFonts w:ascii="Times New Roman" w:hAnsi="Times New Roman"/>
          <w:sz w:val="20"/>
        </w:rPr>
      </w:pPr>
      <w:r>
        <w:rPr>
          <w:rFonts w:ascii="Times New Roman" w:hAnsi="Times New Roman"/>
          <w:sz w:val="20"/>
        </w:rPr>
        <w:t xml:space="preserve">Payments to a Non-U.S. Holder of interest on a Note, and amounts withheld from such payments, if any, generally will be required to be reported to the IRS and to the Non-U.S. Holder. </w:t>
      </w:r>
    </w:p>
    <w:p>
      <w:pPr>
        <w:pStyle w:val="TextBody"/>
        <w:spacing w:before="180" w:after="0"/>
        <w:rPr>
          <w:rFonts w:ascii="Times New Roman" w:hAnsi="Times New Roman"/>
          <w:sz w:val="20"/>
        </w:rPr>
      </w:pPr>
      <w:r>
        <w:rPr>
          <w:rFonts w:ascii="Times New Roman" w:hAnsi="Times New Roman"/>
          <w:sz w:val="20"/>
        </w:rPr>
        <w:t xml:space="preserve">United States backup withholding generally will not apply to payments of interest and principal on a Note to a Non-U.S. Holder if the statement described in Payments of Interest is duly provided by the holder or the holder otherwise establishes an exemption, provided that we do not have actual knowledge or reason to know that the holder is a United States person. </w:t>
      </w:r>
    </w:p>
    <w:p>
      <w:pPr>
        <w:pStyle w:val="TextBody"/>
        <w:spacing w:before="180" w:after="0"/>
        <w:rPr>
          <w:rFonts w:ascii="Times New Roman" w:hAnsi="Times New Roman"/>
          <w:sz w:val="20"/>
        </w:rPr>
      </w:pPr>
      <w:r>
        <w:rPr>
          <w:rFonts w:ascii="Times New Roman" w:hAnsi="Times New Roman"/>
          <w:sz w:val="20"/>
        </w:rPr>
        <w:t xml:space="preserve">Payment of the proceeds of a sale of a Note effected by the U.S. office of a U.S. or foreign broker will be subject to information reporting requirements and backup withholding unless the Non-U.S. Holder properly certifies under penalties of perjury as to his foreign status and certain other conditions are met or the Non-U.S. Holder otherwise establishes an exemption. Information reporting requirements and backup withholding generally will not apply to any payment of the proceeds of the sale of a Note effected outside the United States by a foreign office of a broker. However, unless such a broker has documentary evidence in its records that the holder is a Non-U.S. Holder and certain other conditions are met, or the Non-U.S. Holder otherwise establishes an exemption, information reporting will apply to a payment of the proceeds of the sale of a Note effected outside the United States by such a broker if the broker is: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United States person;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foreign person that derives 50% or more of its gross income for certain periods from the conduct of a trade or business in the United States;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controlled foreign corporation for U.S. federal income tax purposes;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foreign partnership that, at any time during its taxable year, has more than 50% of its income or capital interests owned by United States persons or is engaged in the conduct of a U.S. trade or business. </w:t>
            </w:r>
          </w:p>
        </w:tc>
      </w:tr>
    </w:tbl>
    <w:p>
      <w:pPr>
        <w:pStyle w:val="TextBody"/>
        <w:spacing w:before="180" w:after="0"/>
        <w:rPr>
          <w:rFonts w:ascii="Times New Roman" w:hAnsi="Times New Roman"/>
          <w:sz w:val="20"/>
        </w:rPr>
      </w:pPr>
      <w:r>
        <w:rPr>
          <w:rFonts w:ascii="Times New Roman" w:hAnsi="Times New Roman"/>
          <w:sz w:val="20"/>
        </w:rPr>
        <w:t xml:space="preserve">Any amount withheld from payments to a Non-U.S. Holder under the backup withholding rules may be credited against such holders U.S. federal income tax liability, if any, and any excess may be refundable if the proper information is provided to the IRS. </w:t>
      </w:r>
    </w:p>
    <w:p>
      <w:pPr>
        <w:pStyle w:val="TextBody"/>
        <w:spacing w:before="180" w:after="0"/>
        <w:rPr>
          <w:rFonts w:ascii="Times New Roman" w:hAnsi="Times New Roman"/>
          <w:b/>
          <w:i/>
          <w:sz w:val="20"/>
        </w:rPr>
      </w:pPr>
      <w:r>
        <w:rPr>
          <w:rFonts w:ascii="Times New Roman" w:hAnsi="Times New Roman"/>
          <w:b/>
          <w:i/>
          <w:sz w:val="20"/>
        </w:rPr>
        <w:t xml:space="preserve">Legislation Involving Payments to Certain Foreign Entities </w:t>
      </w:r>
    </w:p>
    <w:p>
      <w:pPr>
        <w:pStyle w:val="TextBody"/>
        <w:spacing w:before="180" w:after="0"/>
        <w:rPr>
          <w:rFonts w:ascii="Times New Roman" w:hAnsi="Times New Roman"/>
          <w:sz w:val="20"/>
        </w:rPr>
      </w:pPr>
      <w:r>
        <w:rPr>
          <w:rFonts w:ascii="Times New Roman" w:hAnsi="Times New Roman"/>
          <w:sz w:val="20"/>
        </w:rPr>
        <w:t xml:space="preserve">On March 18, 2010, President Obama signed the Hiring Incentives to Restore Employment Act (the HIRE Act) into law. The HIRE Act added a new chapter 4 to the Code. Effective for payments made after December 31, 2013 (in the case of interest payments) and December 31, 2014 (in the case of disposition proceeds), chapter 4 generally requires us or our paying agent (in its capacity as such) to deduct and withhold a tax equal to 30% of any payments made on our obligations to a foreign financial institution or non-financial foreign entity (including, in some cases, when such foreign institution or entity is acting as an intermediary), and requires any person having the control, receipt, custody, disposal, or payment of any gross proceeds of sale or other disposition of our obligations to deduct and withhold a tax equal to 30% of any such proceeds,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(ii) in the case of a non-financial foreign entity, such entity provides the withholding agent with a certification identifying the direct and indirect U.S. owners of the entity. Under certain circumstances, a Non-U.S. Holder might be eligible for refunds or credits of such taxes. Payments with respect to obligations (such as the Notes) outstanding on March 18, 2012 are not subject to these HIRE Act rules, and proposed regulations not yet in effect would, if adopted, extend this grandfathering date to January 1, 2013. Prospective investors are encouraged to consult with their own tax advisors regarding the possible implications of this legislation on an investment in the Notes. </w:t>
      </w:r>
    </w:p>
    <w:p>
      <w:pPr>
        <w:pStyle w:val="TextBody"/>
        <w:spacing w:before="180" w:after="0"/>
        <w:rPr>
          <w:rFonts w:ascii="Times New Roman" w:hAnsi="Times New Roman"/>
          <w:b/>
          <w:sz w:val="20"/>
        </w:rPr>
      </w:pPr>
      <w:r>
        <w:rPr>
          <w:rFonts w:ascii="Times New Roman" w:hAnsi="Times New Roman"/>
          <w:b/>
          <w:sz w:val="20"/>
        </w:rPr>
        <w:t xml:space="preserve">Additional Tax Relating to Net Investment Income </w:t>
      </w:r>
    </w:p>
    <w:p>
      <w:pPr>
        <w:pStyle w:val="TextBody"/>
        <w:spacing w:before="180" w:after="0"/>
        <w:rPr>
          <w:rFonts w:ascii="Times New Roman" w:hAnsi="Times New Roman"/>
          <w:sz w:val="20"/>
        </w:rPr>
      </w:pPr>
      <w:r>
        <w:rPr>
          <w:rFonts w:ascii="Times New Roman" w:hAnsi="Times New Roman"/>
          <w:sz w:val="20"/>
        </w:rPr>
        <w:t xml:space="preserve">For taxable years beginning after December 31, 2012, an additional 3.8% tax will be imposed on the net investment income of certain U.S. citizens and resident aliens, and on the undistributed net investment income of certain estates and trusts. Among other items, net investment income would generally include gross income from interest and net gain from the sale, retirement, redemption or other taxable disposition of a Note, less certain deductions. Prospective investors should consult their own tax advisors with respect to the imposition of this additional tax.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5" w:name="supp314176_12"/>
      <w:bookmarkEnd w:id="15"/>
      <w:r>
        <w:rPr>
          <w:rFonts w:ascii="Times New Roman" w:hAnsi="Times New Roman"/>
          <w:b/>
          <w:sz w:val="20"/>
        </w:rPr>
        <w:t xml:space="preserve">UNDERWRITING </w:t>
      </w:r>
    </w:p>
    <w:p>
      <w:pPr>
        <w:pStyle w:val="TextBody"/>
        <w:spacing w:before="180" w:after="0"/>
        <w:rPr>
          <w:rFonts w:ascii="Times New Roman" w:hAnsi="Times New Roman"/>
          <w:sz w:val="20"/>
        </w:rPr>
      </w:pPr>
      <w:r>
        <w:rPr>
          <w:rFonts w:ascii="Times New Roman" w:hAnsi="Times New Roman"/>
          <w:sz w:val="20"/>
        </w:rPr>
        <w:t xml:space="preserve">Subject to the terms and conditions set forth in an underwriting agreement, dated the date of this prospectus supplement, between us and the underwriters named below, we have agreed to sell to each of the underwriters, and the underwriters have agreed, severally and not jointly, to purchase, the principal amount of the Notes of each series set forth opposite their respective names below: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659"/>
        <w:gridCol w:w="305"/>
        <w:gridCol w:w="125"/>
        <w:gridCol w:w="1221"/>
        <w:gridCol w:w="120"/>
        <w:gridCol w:w="305"/>
        <w:gridCol w:w="125"/>
        <w:gridCol w:w="1221"/>
        <w:gridCol w:w="124"/>
      </w:tblGrid>
      <w:tr>
        <w:trPr/>
        <w:tc>
          <w:tcPr>
            <w:tcW w:w="6659"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6659"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3117"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Principal Amount</w:t>
            </w:r>
          </w:p>
        </w:tc>
        <w:tc>
          <w:tcPr>
            <w:tcW w:w="124" w:type="dxa"/>
            <w:tcBorders/>
            <w:shd w:fill="auto" w:val="clear"/>
            <w:vAlign w:val="bottom"/>
          </w:tcPr>
          <w:p>
            <w:pPr>
              <w:pStyle w:val="TableContents"/>
              <w:spacing w:before="0" w:after="283"/>
              <w:rPr/>
            </w:pPr>
            <w:r>
              <w:rPr/>
              <w:t> </w:t>
            </w:r>
          </w:p>
        </w:tc>
      </w:tr>
      <w:tr>
        <w:trPr/>
        <w:tc>
          <w:tcPr>
            <w:tcW w:w="6659" w:type="dxa"/>
            <w:tcBorders>
              <w:bottom w:val="single" w:sz="2" w:space="0" w:color="000000"/>
            </w:tcBorders>
            <w:shd w:fill="auto" w:val="clear"/>
            <w:tcMar>
              <w:bottom w:w="28" w:type="dxa"/>
            </w:tcMar>
            <w:vAlign w:val="bottom"/>
          </w:tcPr>
          <w:p>
            <w:pPr>
              <w:pStyle w:val="TableContents"/>
              <w:spacing w:before="0" w:after="15"/>
              <w:rPr>
                <w:rFonts w:ascii="Times New Roman" w:hAnsi="Times New Roman"/>
                <w:b/>
                <w:sz w:val="14"/>
              </w:rPr>
            </w:pPr>
            <w:r>
              <w:rPr>
                <w:rFonts w:ascii="Times New Roman" w:hAnsi="Times New Roman"/>
                <w:b/>
                <w:sz w:val="14"/>
              </w:rPr>
              <w:t>Underwriter</w:t>
            </w:r>
          </w:p>
        </w:tc>
        <w:tc>
          <w:tcPr>
            <w:tcW w:w="305" w:type="dxa"/>
            <w:tcBorders/>
            <w:shd w:fill="auto" w:val="clear"/>
            <w:vAlign w:val="bottom"/>
          </w:tcPr>
          <w:p>
            <w:pPr>
              <w:pStyle w:val="TableContents"/>
              <w:spacing w:before="0" w:after="283"/>
              <w:rPr/>
            </w:pPr>
            <w:r>
              <w:rPr/>
              <w:t>  </w:t>
            </w:r>
          </w:p>
        </w:tc>
        <w:tc>
          <w:tcPr>
            <w:tcW w:w="134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2022 Notes</w:t>
            </w:r>
          </w:p>
        </w:tc>
        <w:tc>
          <w:tcPr>
            <w:tcW w:w="120"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34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2042 Notes</w:t>
            </w:r>
          </w:p>
        </w:tc>
        <w:tc>
          <w:tcPr>
            <w:tcW w:w="124" w:type="dxa"/>
            <w:tcBorders/>
            <w:shd w:fill="auto" w:val="clear"/>
            <w:vAlign w:val="bottom"/>
          </w:tcPr>
          <w:p>
            <w:pPr>
              <w:pStyle w:val="TableContents"/>
              <w:spacing w:before="0" w:after="283"/>
              <w:rPr/>
            </w:pPr>
            <w:r>
              <w:rPr/>
              <w:t> </w:t>
            </w:r>
          </w:p>
        </w:tc>
      </w:tr>
      <w:tr>
        <w:trPr/>
        <w:tc>
          <w:tcPr>
            <w:tcW w:w="6659" w:type="dxa"/>
            <w:tcBorders/>
            <w:shd w:fill="CCEEFF" w:val="clear"/>
          </w:tcPr>
          <w:p>
            <w:pPr>
              <w:pStyle w:val="TableContents"/>
              <w:spacing w:before="0" w:after="283"/>
              <w:rPr>
                <w:rFonts w:ascii="Times New Roman" w:hAnsi="Times New Roman"/>
                <w:sz w:val="20"/>
              </w:rPr>
            </w:pPr>
            <w:r>
              <w:rPr>
                <w:rFonts w:ascii="Times New Roman" w:hAnsi="Times New Roman"/>
                <w:sz w:val="20"/>
              </w:rPr>
              <w:t>J.P. Morgan Securities LLC</w:t>
            </w:r>
          </w:p>
        </w:tc>
        <w:tc>
          <w:tcPr>
            <w:tcW w:w="3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21"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21"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rPr/>
            </w:pPr>
            <w:r>
              <w:rPr/>
              <w:t>  </w:t>
            </w:r>
          </w:p>
        </w:tc>
      </w:tr>
      <w:tr>
        <w:trPr/>
        <w:tc>
          <w:tcPr>
            <w:tcW w:w="6659" w:type="dxa"/>
            <w:tcBorders/>
            <w:shd w:fill="auto" w:val="clear"/>
          </w:tcPr>
          <w:p>
            <w:pPr>
              <w:pStyle w:val="TableContents"/>
              <w:spacing w:before="0" w:after="0"/>
              <w:rPr>
                <w:rFonts w:ascii="Times New Roman" w:hAnsi="Times New Roman"/>
                <w:sz w:val="20"/>
              </w:rPr>
            </w:pPr>
            <w:r>
              <w:rPr>
                <w:rFonts w:ascii="Times New Roman" w:hAnsi="Times New Roman"/>
                <w:sz w:val="20"/>
              </w:rPr>
              <w:t>Merrill Lynch, Pierce, Fenner &amp; Smith</w:t>
            </w:r>
          </w:p>
          <w:p>
            <w:pPr>
              <w:pStyle w:val="TableContents"/>
              <w:spacing w:before="0" w:after="15"/>
              <w:rPr>
                <w:rFonts w:ascii="Times New Roman" w:hAnsi="Times New Roman"/>
                <w:sz w:val="20"/>
              </w:rPr>
            </w:pPr>
            <w:r>
              <w:rPr>
                <w:rFonts w:ascii="Times New Roman" w:hAnsi="Times New Roman"/>
                <w:sz w:val="20"/>
              </w:rPr>
              <w:t>Incorporated</w:t>
            </w:r>
          </w:p>
        </w:tc>
        <w:tc>
          <w:tcPr>
            <w:tcW w:w="3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22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221"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r>
      <w:tr>
        <w:trPr/>
        <w:tc>
          <w:tcPr>
            <w:tcW w:w="6659" w:type="dxa"/>
            <w:tcBorders/>
            <w:shd w:fill="CCEEFF" w:val="clear"/>
          </w:tcPr>
          <w:p>
            <w:pPr>
              <w:pStyle w:val="TableContents"/>
              <w:spacing w:before="0" w:after="283"/>
              <w:rPr>
                <w:rFonts w:ascii="Times New Roman" w:hAnsi="Times New Roman"/>
                <w:sz w:val="20"/>
              </w:rPr>
            </w:pPr>
            <w:r>
              <w:rPr>
                <w:rFonts w:ascii="Times New Roman" w:hAnsi="Times New Roman"/>
                <w:sz w:val="20"/>
              </w:rPr>
              <w:t>UBS Securities LLC</w:t>
            </w:r>
          </w:p>
        </w:tc>
        <w:tc>
          <w:tcPr>
            <w:tcW w:w="3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221"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221"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r>
      <w:tr>
        <w:trPr/>
        <w:tc>
          <w:tcPr>
            <w:tcW w:w="6659" w:type="dxa"/>
            <w:tcBorders/>
            <w:shd w:fill="auto" w:val="clear"/>
          </w:tcPr>
          <w:p>
            <w:pPr>
              <w:pStyle w:val="TableContents"/>
              <w:spacing w:before="0" w:after="283"/>
              <w:rPr>
                <w:rFonts w:ascii="Times New Roman" w:hAnsi="Times New Roman"/>
                <w:sz w:val="20"/>
              </w:rPr>
            </w:pPr>
            <w:r>
              <w:rPr>
                <w:rFonts w:ascii="Times New Roman" w:hAnsi="Times New Roman"/>
                <w:sz w:val="20"/>
              </w:rPr>
              <w:t>Wells Fargo Securities, LLC</w:t>
            </w:r>
          </w:p>
        </w:tc>
        <w:tc>
          <w:tcPr>
            <w:tcW w:w="3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22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221"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r>
      <w:tr>
        <w:trPr/>
        <w:tc>
          <w:tcPr>
            <w:tcW w:w="6659" w:type="dxa"/>
            <w:tcBorders/>
            <w:shd w:fill="CCEEFF" w:val="clear"/>
          </w:tcPr>
          <w:p>
            <w:pPr>
              <w:pStyle w:val="TableContents"/>
              <w:spacing w:before="0" w:after="283"/>
              <w:rPr>
                <w:rFonts w:ascii="Times New Roman" w:hAnsi="Times New Roman"/>
                <w:sz w:val="20"/>
              </w:rPr>
            </w:pPr>
            <w:r>
              <w:rPr>
                <w:rFonts w:ascii="Times New Roman" w:hAnsi="Times New Roman"/>
                <w:sz w:val="20"/>
              </w:rPr>
              <w:t>DNB Markets, Inc.</w:t>
            </w:r>
          </w:p>
        </w:tc>
        <w:tc>
          <w:tcPr>
            <w:tcW w:w="3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221"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221"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r>
      <w:tr>
        <w:trPr/>
        <w:tc>
          <w:tcPr>
            <w:tcW w:w="6659" w:type="dxa"/>
            <w:tcBorders/>
            <w:shd w:fill="auto" w:val="clear"/>
          </w:tcPr>
          <w:p>
            <w:pPr>
              <w:pStyle w:val="TableContents"/>
              <w:spacing w:before="0" w:after="283"/>
              <w:rPr>
                <w:rFonts w:ascii="Times New Roman" w:hAnsi="Times New Roman"/>
                <w:sz w:val="20"/>
              </w:rPr>
            </w:pPr>
            <w:r>
              <w:rPr>
                <w:rFonts w:ascii="Times New Roman" w:hAnsi="Times New Roman"/>
                <w:sz w:val="20"/>
              </w:rPr>
              <w:t>Mizuho Securities USA Inc.</w:t>
            </w:r>
          </w:p>
        </w:tc>
        <w:tc>
          <w:tcPr>
            <w:tcW w:w="3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22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221"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r>
      <w:tr>
        <w:trPr/>
        <w:tc>
          <w:tcPr>
            <w:tcW w:w="6659"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1221"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1221"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r>
      <w:tr>
        <w:trPr/>
        <w:tc>
          <w:tcPr>
            <w:tcW w:w="6659"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3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21"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21"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rPr/>
            </w:pPr>
            <w:r>
              <w:rPr/>
              <w:t>  </w:t>
            </w:r>
          </w:p>
        </w:tc>
      </w:tr>
      <w:tr>
        <w:trPr/>
        <w:tc>
          <w:tcPr>
            <w:tcW w:w="6659"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1221"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1221" w:type="dxa"/>
            <w:tcBorders/>
            <w:shd w:fill="auto" w:val="clear"/>
            <w:vAlign w:val="bottom"/>
          </w:tcPr>
          <w:p>
            <w:pPr>
              <w:pStyle w:val="TableContents"/>
              <w:pBdr>
                <w:top w:val="double" w:sz="6" w:space="1" w:color="000000"/>
              </w:pBdr>
              <w:spacing w:before="0" w:after="283"/>
              <w:rPr/>
            </w:pPr>
            <w:r>
              <w:rPr/>
              <w:t> </w:t>
            </w:r>
          </w:p>
        </w:tc>
        <w:tc>
          <w:tcPr>
            <w:tcW w:w="124"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The underwriting agreement provides that the obligations of the several underwriters to purchase the Notes included in this offering are subject to approval of legal matters by counsel and to other conditions. Under the terms of the underwriting agreement, the underwriters are committed to purchase all of the Notes if any are purchased. </w:t>
      </w:r>
    </w:p>
    <w:p>
      <w:pPr>
        <w:pStyle w:val="TextBody"/>
        <w:spacing w:before="180" w:after="0"/>
        <w:rPr>
          <w:rFonts w:ascii="Times New Roman" w:hAnsi="Times New Roman"/>
          <w:b/>
          <w:sz w:val="20"/>
        </w:rPr>
      </w:pPr>
      <w:r>
        <w:rPr>
          <w:rFonts w:ascii="Times New Roman" w:hAnsi="Times New Roman"/>
          <w:b/>
          <w:sz w:val="20"/>
        </w:rPr>
        <w:t xml:space="preserve">Underwriting Discounts </w:t>
      </w:r>
    </w:p>
    <w:p>
      <w:pPr>
        <w:pStyle w:val="TextBody"/>
        <w:spacing w:before="180" w:after="0"/>
        <w:rPr>
          <w:rFonts w:ascii="Times New Roman" w:hAnsi="Times New Roman"/>
          <w:sz w:val="20"/>
        </w:rPr>
      </w:pPr>
      <w:r>
        <w:rPr>
          <w:rFonts w:ascii="Times New Roman" w:hAnsi="Times New Roman"/>
          <w:sz w:val="20"/>
        </w:rPr>
        <w:t xml:space="preserve">The underwriters propose initially to offer the Notes to the public at the public offering price set forth on the cover page of this prospectus supplement and may offer the 2022 Notes to certain dealers at such price less a concession not in excess of     % of the principal amount of the 2022 Notes and the 2042 Notes at such price less a concession not in excess of     % of the principal amount of the 2042 Notes. The underwriters may allow a discount with respect to the 2022 Notes not in excess of     % of the principal amount of the 2022 Notes and with respect to the 2042 Notes not in excess of     % of the principal amount of the 2042 Notes, in each case on sales to certain other brokers and dealers. After this initial public offering, the public offering price, concession and discount may be changed. </w:t>
      </w:r>
    </w:p>
    <w:p>
      <w:pPr>
        <w:pStyle w:val="TextBody"/>
        <w:spacing w:before="180" w:after="0"/>
        <w:rPr>
          <w:rFonts w:ascii="Times New Roman" w:hAnsi="Times New Roman"/>
          <w:sz w:val="20"/>
        </w:rPr>
      </w:pPr>
      <w:r>
        <w:rPr>
          <w:rFonts w:ascii="Times New Roman" w:hAnsi="Times New Roman"/>
          <w:sz w:val="20"/>
        </w:rPr>
        <w:t xml:space="preserve">The following table summarizes the compensation to be paid by us to the underwriters.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278"/>
        <w:gridCol w:w="424"/>
        <w:gridCol w:w="125"/>
        <w:gridCol w:w="2145"/>
        <w:gridCol w:w="233"/>
      </w:tblGrid>
      <w:tr>
        <w:trPr/>
        <w:tc>
          <w:tcPr>
            <w:tcW w:w="7278"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145"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r>
      <w:tr>
        <w:trPr/>
        <w:tc>
          <w:tcPr>
            <w:tcW w:w="7278"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227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Underwriting Discount</w:t>
            </w:r>
          </w:p>
        </w:tc>
        <w:tc>
          <w:tcPr>
            <w:tcW w:w="233" w:type="dxa"/>
            <w:tcBorders/>
            <w:shd w:fill="auto" w:val="clear"/>
            <w:vAlign w:val="bottom"/>
          </w:tcPr>
          <w:p>
            <w:pPr>
              <w:pStyle w:val="TableContents"/>
              <w:spacing w:before="0" w:after="283"/>
              <w:rPr/>
            </w:pPr>
            <w:r>
              <w:rPr/>
              <w:t> </w:t>
            </w:r>
          </w:p>
        </w:tc>
      </w:tr>
      <w:tr>
        <w:trPr/>
        <w:tc>
          <w:tcPr>
            <w:tcW w:w="7278" w:type="dxa"/>
            <w:tcBorders/>
            <w:shd w:fill="CCEEFF" w:val="clear"/>
          </w:tcPr>
          <w:p>
            <w:pPr>
              <w:pStyle w:val="TableContents"/>
              <w:spacing w:before="0" w:after="283"/>
              <w:rPr>
                <w:rFonts w:ascii="Times New Roman" w:hAnsi="Times New Roman"/>
                <w:sz w:val="20"/>
              </w:rPr>
            </w:pPr>
            <w:r>
              <w:rPr>
                <w:rFonts w:ascii="Times New Roman" w:hAnsi="Times New Roman"/>
                <w:sz w:val="20"/>
              </w:rPr>
              <w:t>Per 2022 Note</w:t>
            </w:r>
          </w:p>
        </w:tc>
        <w:tc>
          <w:tcPr>
            <w:tcW w:w="4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2145" w:type="dxa"/>
            <w:tcBorders/>
            <w:shd w:fill="CCEEFF" w:val="clear"/>
            <w:vAlign w:val="bottom"/>
          </w:tcPr>
          <w:p>
            <w:pPr>
              <w:pStyle w:val="TableContents"/>
              <w:spacing w:before="0" w:after="283"/>
              <w:jc w:val="right"/>
              <w:rPr/>
            </w:pPr>
            <w:r>
              <w:rPr/>
              <w:t>                                 </w:t>
            </w:r>
          </w:p>
        </w:tc>
        <w:tc>
          <w:tcPr>
            <w:tcW w:w="2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278" w:type="dxa"/>
            <w:tcBorders/>
            <w:shd w:fill="auto" w:val="clear"/>
          </w:tcPr>
          <w:p>
            <w:pPr>
              <w:pStyle w:val="TableContents"/>
              <w:spacing w:before="0" w:after="283"/>
              <w:rPr>
                <w:rFonts w:ascii="Times New Roman" w:hAnsi="Times New Roman"/>
                <w:sz w:val="20"/>
              </w:rPr>
            </w:pPr>
            <w:r>
              <w:rPr>
                <w:rFonts w:ascii="Times New Roman" w:hAnsi="Times New Roman"/>
                <w:sz w:val="20"/>
              </w:rPr>
              <w:t>Total</w:t>
            </w:r>
          </w:p>
        </w:tc>
        <w:tc>
          <w:tcPr>
            <w:tcW w:w="4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145" w:type="dxa"/>
            <w:tcBorders/>
            <w:shd w:fill="auto" w:val="cle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r>
      <w:tr>
        <w:trPr/>
        <w:tc>
          <w:tcPr>
            <w:tcW w:w="7278" w:type="dxa"/>
            <w:tcBorders/>
            <w:shd w:fill="CCEEFF" w:val="clear"/>
          </w:tcPr>
          <w:p>
            <w:pPr>
              <w:pStyle w:val="TableContents"/>
              <w:spacing w:before="0" w:after="283"/>
              <w:rPr>
                <w:rFonts w:ascii="Times New Roman" w:hAnsi="Times New Roman"/>
                <w:sz w:val="20"/>
              </w:rPr>
            </w:pPr>
            <w:r>
              <w:rPr>
                <w:rFonts w:ascii="Times New Roman" w:hAnsi="Times New Roman"/>
                <w:sz w:val="20"/>
              </w:rPr>
              <w:t>Per 2042 Note</w:t>
            </w:r>
          </w:p>
        </w:tc>
        <w:tc>
          <w:tcPr>
            <w:tcW w:w="4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21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33" w:type="dxa"/>
            <w:tcBorders/>
            <w:shd w:fill="CCEEFF" w:val="clear"/>
            <w:vAlign w:val="bottom"/>
          </w:tcPr>
          <w:p>
            <w:pPr>
              <w:pStyle w:val="TableContents"/>
              <w:spacing w:before="0" w:after="283"/>
              <w:rPr/>
            </w:pPr>
            <w:r>
              <w:rPr/>
              <w:t>  </w:t>
            </w:r>
          </w:p>
        </w:tc>
      </w:tr>
      <w:tr>
        <w:trPr/>
        <w:tc>
          <w:tcPr>
            <w:tcW w:w="7278" w:type="dxa"/>
            <w:tcBorders/>
            <w:shd w:fill="auto" w:val="clear"/>
          </w:tcPr>
          <w:p>
            <w:pPr>
              <w:pStyle w:val="TableContents"/>
              <w:spacing w:before="0" w:after="283"/>
              <w:rPr>
                <w:rFonts w:ascii="Times New Roman" w:hAnsi="Times New Roman"/>
                <w:sz w:val="20"/>
              </w:rPr>
            </w:pPr>
            <w:r>
              <w:rPr>
                <w:rFonts w:ascii="Times New Roman" w:hAnsi="Times New Roman"/>
                <w:sz w:val="20"/>
              </w:rPr>
              <w:t>Total</w:t>
            </w:r>
          </w:p>
        </w:tc>
        <w:tc>
          <w:tcPr>
            <w:tcW w:w="4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145" w:type="dxa"/>
            <w:tcBorders/>
            <w:shd w:fill="auto" w:val="cle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We estimate that our share of the total expenses of the offering, excluding the underwriting discount, will be approximately $            . </w:t>
      </w:r>
    </w:p>
    <w:p>
      <w:pPr>
        <w:pStyle w:val="TextBody"/>
        <w:spacing w:before="180" w:after="0"/>
        <w:rPr>
          <w:rFonts w:ascii="Times New Roman" w:hAnsi="Times New Roman"/>
          <w:b/>
          <w:sz w:val="20"/>
        </w:rPr>
      </w:pPr>
      <w:r>
        <w:rPr>
          <w:rFonts w:ascii="Times New Roman" w:hAnsi="Times New Roman"/>
          <w:b/>
          <w:sz w:val="20"/>
        </w:rPr>
        <w:t xml:space="preserve">New Issue of Notes </w:t>
      </w:r>
    </w:p>
    <w:p>
      <w:pPr>
        <w:pStyle w:val="TextBody"/>
        <w:spacing w:before="180" w:after="0"/>
        <w:rPr>
          <w:rFonts w:ascii="Times New Roman" w:hAnsi="Times New Roman"/>
          <w:sz w:val="20"/>
        </w:rPr>
      </w:pPr>
      <w:r>
        <w:rPr>
          <w:rFonts w:ascii="Times New Roman" w:hAnsi="Times New Roman"/>
          <w:sz w:val="20"/>
        </w:rPr>
        <w:t xml:space="preserve">We do not intend to apply for listing of the Notes on a national securities exchange. Currently, there is no public market for the Notes. We have been advised by the underwriters that the underwriters intend to make a market in the Notes but are not obligated to do so and may discontinue market making at any time without notice. No assurance can be given as to whether or not a trading market for the Notes will develop or as to the liquidity of any trading market for the Notes which may develop.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Stabilization and Short Positions </w:t>
      </w:r>
    </w:p>
    <w:p>
      <w:pPr>
        <w:pStyle w:val="TextBody"/>
        <w:spacing w:before="180" w:after="0"/>
        <w:rPr>
          <w:rFonts w:ascii="Times New Roman" w:hAnsi="Times New Roman"/>
          <w:sz w:val="20"/>
        </w:rPr>
      </w:pPr>
      <w:r>
        <w:rPr>
          <w:rFonts w:ascii="Times New Roman" w:hAnsi="Times New Roman"/>
          <w:sz w:val="20"/>
        </w:rPr>
        <w:t xml:space="preserve">In connection with the offering of the Notes, the underwriters may engage in transactions that stabilize, maintain or otherwise affect the price of the Notes. Specifically, the underwriters may overallot in connection with the offering of the Notes, creating a syndicate short position. In addition, the underwriters may bid for, and purchase, Notes in the open market to cover syndicate short positions or to stabilize the price of the Notes. Finally, the underwriting syndicate may reclaim selling concessions allowed for distributing the Notes in the offering of the Notes, if the syndicate repurchases previously distributed Notes in syndicate covering transactions, stabilization transactions or otherwise. Any of these activities may stabilize or maintain the market price of the Notes above independent market levels. The underwriters are not required to engage in any of these activities and may end any of them at any time. Neither we nor the underwriters make any representation or prediction as to the direction or magnitude of any effect that the transactions described above may have on the price of the Notes. In addition, neither we nor the underwriters make any representation that the underwriters will engage in such transactions or that such transactions, once commenced, will not be discontinued without notice. </w:t>
      </w:r>
    </w:p>
    <w:p>
      <w:pPr>
        <w:pStyle w:val="TextBody"/>
        <w:spacing w:before="180" w:after="0"/>
        <w:rPr>
          <w:rFonts w:ascii="Times New Roman" w:hAnsi="Times New Roman"/>
          <w:b/>
          <w:sz w:val="20"/>
        </w:rPr>
      </w:pPr>
      <w:r>
        <w:rPr>
          <w:rFonts w:ascii="Times New Roman" w:hAnsi="Times New Roman"/>
          <w:b/>
          <w:sz w:val="20"/>
        </w:rPr>
        <w:t xml:space="preserve">Settlement </w:t>
      </w:r>
    </w:p>
    <w:p>
      <w:pPr>
        <w:pStyle w:val="TextBody"/>
        <w:spacing w:before="180" w:after="0"/>
        <w:rPr>
          <w:rFonts w:ascii="Times New Roman" w:hAnsi="Times New Roman"/>
          <w:sz w:val="20"/>
        </w:rPr>
      </w:pPr>
      <w:r>
        <w:rPr>
          <w:rFonts w:ascii="Times New Roman" w:hAnsi="Times New Roman"/>
          <w:sz w:val="20"/>
        </w:rPr>
        <w:t xml:space="preserve">We expect delivery of the Notes will be made against payment therefor on or about March     , 2012, which is the seventh business day following the date of pricing of the Notes (such settlement being referred to as T+7). Under Rule 15c6-1 of the Securities Exchange Act of 1934, trades in the secondary market generally are required to settle in three business days unless the parties to any such trade expressly agree otherwise. Accordingly, purchasers who wish to trade the Notes on the date of pricing of the Notes or the next succeeding three business days will be required, by virtue of the fact that the Notes initially will settle in T+7, to specify an alternate settlement cycle at the time of any such trade to prevent failed settlement and should consult their own advisers. </w:t>
      </w:r>
    </w:p>
    <w:p>
      <w:pPr>
        <w:pStyle w:val="TextBody"/>
        <w:spacing w:before="180" w:after="0"/>
        <w:rPr>
          <w:rFonts w:ascii="Times New Roman" w:hAnsi="Times New Roman"/>
          <w:b/>
          <w:sz w:val="20"/>
        </w:rPr>
      </w:pPr>
      <w:r>
        <w:rPr>
          <w:rFonts w:ascii="Times New Roman" w:hAnsi="Times New Roman"/>
          <w:b/>
          <w:sz w:val="20"/>
        </w:rPr>
        <w:t xml:space="preserve">Selling Restrictions </w:t>
      </w:r>
    </w:p>
    <w:p>
      <w:pPr>
        <w:pStyle w:val="TextBody"/>
        <w:spacing w:before="180" w:after="0"/>
        <w:rPr>
          <w:rFonts w:ascii="Times New Roman" w:hAnsi="Times New Roman"/>
          <w:b/>
          <w:i/>
          <w:sz w:val="20"/>
        </w:rPr>
      </w:pPr>
      <w:r>
        <w:rPr>
          <w:rFonts w:ascii="Times New Roman" w:hAnsi="Times New Roman"/>
          <w:b/>
          <w:i/>
          <w:sz w:val="20"/>
        </w:rPr>
        <w:t xml:space="preserve">Notice to Prospective Investors in the United Kingdom </w:t>
      </w:r>
    </w:p>
    <w:p>
      <w:pPr>
        <w:pStyle w:val="TextBody"/>
        <w:spacing w:before="180" w:after="0"/>
        <w:rPr>
          <w:rFonts w:ascii="Times New Roman" w:hAnsi="Times New Roman"/>
          <w:sz w:val="20"/>
        </w:rPr>
      </w:pPr>
      <w:r>
        <w:rPr>
          <w:rFonts w:ascii="Times New Roman" w:hAnsi="Times New Roman"/>
          <w:sz w:val="20"/>
        </w:rPr>
        <w:t xml:space="preserve">This prospectus supplement and the accompanying prospectus have not been approved by an authorised person for the purposes of section 21 of the Financial Services and Markets Act 2000 (FSMA) and are, accordingly, only being distributed in the United Kingdom to, and are only directed at (i) investment professionals falling within the description of persons in Article 19(5) of the Financial Services and Markets Act 2000 (Financial Promotion) Order 2005, as amended (the Financial Promotion Order); or (ii) high net worth companies and other persons falling within Article 49(2)(a) to (d) of the Financial Promotion Order; or (iii) to any other person to whom they may otherwise lawfully be communicated or made in accordance with the Financial Promotion Order (all such persons together being referred to as relevant persons). </w:t>
      </w:r>
    </w:p>
    <w:p>
      <w:pPr>
        <w:pStyle w:val="TextBody"/>
        <w:spacing w:before="180" w:after="0"/>
        <w:rPr>
          <w:rFonts w:ascii="Times New Roman" w:hAnsi="Times New Roman"/>
          <w:sz w:val="20"/>
        </w:rPr>
      </w:pPr>
      <w:r>
        <w:rPr>
          <w:rFonts w:ascii="Times New Roman" w:hAnsi="Times New Roman"/>
          <w:sz w:val="20"/>
        </w:rPr>
        <w:t xml:space="preserve">The Notes are only available to, and any invitation, offer or agreement to subscribe, purchase or otherwise acquire such notes will be engaged in only with, relevant persons. Any person who is not a relevant person should not act or rely on this document or any of its contents. </w:t>
      </w:r>
    </w:p>
    <w:p>
      <w:pPr>
        <w:pStyle w:val="TextBody"/>
        <w:spacing w:before="180" w:after="0"/>
        <w:rPr>
          <w:rFonts w:ascii="Times New Roman" w:hAnsi="Times New Roman"/>
          <w:sz w:val="20"/>
        </w:rPr>
      </w:pPr>
      <w:r>
        <w:rPr>
          <w:rFonts w:ascii="Times New Roman" w:hAnsi="Times New Roman"/>
          <w:sz w:val="20"/>
        </w:rPr>
        <w:t xml:space="preserve">An invitation or inducement to engage in investment activity (within the meaning of Section 21 of FSMA) in connection with the issue or sale of any notes which are the subject of the offering contemplated by this prospectus will only be communicated or caused to be communicated in circumstances in which Section 21(1) of FSMA does not apply to the issuers of the Notes. </w:t>
      </w:r>
    </w:p>
    <w:p>
      <w:pPr>
        <w:pStyle w:val="TextBody"/>
        <w:spacing w:before="180" w:after="0"/>
        <w:rPr>
          <w:rFonts w:ascii="Times New Roman" w:hAnsi="Times New Roman"/>
          <w:b/>
          <w:i/>
          <w:sz w:val="20"/>
        </w:rPr>
      </w:pPr>
      <w:r>
        <w:rPr>
          <w:rFonts w:ascii="Times New Roman" w:hAnsi="Times New Roman"/>
          <w:b/>
          <w:i/>
          <w:sz w:val="20"/>
        </w:rPr>
        <w:t xml:space="preserve">Notice to Prospective Investors in the European Economic Area </w:t>
      </w:r>
    </w:p>
    <w:p>
      <w:pPr>
        <w:pStyle w:val="TextBody"/>
        <w:spacing w:before="180" w:after="0"/>
        <w:rPr>
          <w:rFonts w:ascii="Times New Roman" w:hAnsi="Times New Roman"/>
          <w:sz w:val="20"/>
        </w:rPr>
      </w:pPr>
      <w:r>
        <w:rPr>
          <w:rFonts w:ascii="Times New Roman" w:hAnsi="Times New Roman"/>
          <w:sz w:val="20"/>
        </w:rPr>
        <w:t xml:space="preserve">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securities described in this prospectus may not be made to the public in that relevant member state other than: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any legal entity which is a qualified investor as defined in the Prospectus Directive;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the issuers of the Notes for any such offer;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any other circumstances falling within Article 3(2) of the Prospectus Directive; </w:t>
            </w:r>
          </w:p>
        </w:tc>
      </w:tr>
    </w:tbl>
    <w:p>
      <w:pPr>
        <w:pStyle w:val="TextBody"/>
        <w:spacing w:before="180" w:after="0"/>
        <w:rPr>
          <w:rFonts w:ascii="Times New Roman" w:hAnsi="Times New Roman"/>
          <w:sz w:val="20"/>
        </w:rPr>
      </w:pPr>
      <w:r>
        <w:rPr>
          <w:rFonts w:ascii="Times New Roman" w:hAnsi="Times New Roman"/>
          <w:sz w:val="20"/>
        </w:rPr>
        <w:t xml:space="preserve">provided that no such offer of securities shall require us or any underwriter to publish a prospectus pursuant to Article 3 of the Prospectus Directive. </w:t>
      </w:r>
    </w:p>
    <w:p>
      <w:pPr>
        <w:pStyle w:val="TextBody"/>
        <w:spacing w:before="180" w:after="0"/>
        <w:rPr>
          <w:rFonts w:ascii="Times New Roman" w:hAnsi="Times New Roman"/>
          <w:sz w:val="20"/>
        </w:rPr>
      </w:pPr>
      <w:r>
        <w:rPr>
          <w:rFonts w:ascii="Times New Roman" w:hAnsi="Times New Roman"/>
          <w:sz w:val="20"/>
        </w:rPr>
        <w:t xml:space="preserve">For purposes of this provision, the expression an offer of securities to the public in any relevant member state means the communication in any form and by any means of sufficient information on the terms of the offer and the securities to be offered so as to enable an investor to decide to purchase or subscribe for the securities,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each relevant member state. The expression 2010 PD Amending Directive means Directive 2010/73/EU. </w:t>
      </w:r>
    </w:p>
    <w:p>
      <w:pPr>
        <w:pStyle w:val="TextBody"/>
        <w:spacing w:before="180" w:after="0"/>
        <w:rPr>
          <w:rFonts w:ascii="Times New Roman" w:hAnsi="Times New Roman"/>
          <w:sz w:val="20"/>
        </w:rPr>
      </w:pPr>
      <w:r>
        <w:rPr>
          <w:rFonts w:ascii="Times New Roman" w:hAnsi="Times New Roman"/>
          <w:sz w:val="20"/>
        </w:rPr>
        <w:t xml:space="preserve">We have not authorized and do not authorize the making of any offer of securities through any financial intermediary on their behalf, other than offers made by the underwriters with a view to the final placement of the securities as contemplated in this prospectus. Accordingly, no purchaser of the securities, other than the underwriters, is authorized to make any further offer of the securities on behalf of us or the underwriters. </w:t>
      </w:r>
    </w:p>
    <w:p>
      <w:pPr>
        <w:pStyle w:val="TextBody"/>
        <w:spacing w:before="180" w:after="0"/>
        <w:rPr>
          <w:rFonts w:ascii="Times New Roman" w:hAnsi="Times New Roman"/>
          <w:b/>
          <w:sz w:val="20"/>
        </w:rPr>
      </w:pPr>
      <w:r>
        <w:rPr>
          <w:rFonts w:ascii="Times New Roman" w:hAnsi="Times New Roman"/>
          <w:b/>
          <w:sz w:val="20"/>
        </w:rPr>
        <w:t xml:space="preserve">Other Relationships </w:t>
      </w:r>
    </w:p>
    <w:p>
      <w:pPr>
        <w:pStyle w:val="TextBody"/>
        <w:spacing w:before="180" w:after="0"/>
        <w:rPr>
          <w:rFonts w:ascii="Times New Roman" w:hAnsi="Times New Roman"/>
          <w:sz w:val="20"/>
        </w:rPr>
      </w:pPr>
      <w:r>
        <w:rPr>
          <w:rFonts w:ascii="Times New Roman" w:hAnsi="Times New Roman"/>
          <w:sz w:val="20"/>
        </w:rPr>
        <w:t xml:space="preserve">All of the underwriters and their affiliates have performed investment and commercial banking and advisory services for us and our affiliates from time to time for which they have received customary fees and expenses. The underwriters and their affiliates may, from time to time, engage in transactions with and perform services for us in the ordinary course of their business. </w:t>
      </w:r>
    </w:p>
    <w:p>
      <w:pPr>
        <w:pStyle w:val="TextBody"/>
        <w:spacing w:before="180" w:after="0"/>
        <w:rPr>
          <w:rFonts w:ascii="Times New Roman" w:hAnsi="Times New Roman"/>
          <w:sz w:val="20"/>
        </w:rPr>
      </w:pPr>
      <w:r>
        <w:rPr>
          <w:rFonts w:ascii="Times New Roman" w:hAnsi="Times New Roman"/>
          <w:sz w:val="20"/>
        </w:rPr>
        <w:t xml:space="preserve">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spacing w:before="180" w:after="0"/>
        <w:rPr>
          <w:rFonts w:ascii="Times New Roman" w:hAnsi="Times New Roman"/>
          <w:b/>
          <w:sz w:val="20"/>
        </w:rPr>
      </w:pPr>
      <w:r>
        <w:rPr>
          <w:rFonts w:ascii="Times New Roman" w:hAnsi="Times New Roman"/>
          <w:b/>
          <w:sz w:val="20"/>
        </w:rPr>
        <w:t xml:space="preserve">Indemnification </w:t>
      </w:r>
    </w:p>
    <w:p>
      <w:pPr>
        <w:pStyle w:val="TextBody"/>
        <w:spacing w:before="180" w:after="0"/>
        <w:rPr>
          <w:rFonts w:ascii="Times New Roman" w:hAnsi="Times New Roman"/>
          <w:sz w:val="20"/>
        </w:rPr>
      </w:pPr>
      <w:r>
        <w:rPr>
          <w:rFonts w:ascii="Times New Roman" w:hAnsi="Times New Roman"/>
          <w:sz w:val="20"/>
        </w:rPr>
        <w:t xml:space="preserve">We have agreed to indemnify the underwriters against certain liabilities, including liabilities under the Securities Act, or to contribute to payments the underwriters may be required to make because of any of those liabilities.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Electronic distribution </w:t>
      </w:r>
    </w:p>
    <w:p>
      <w:pPr>
        <w:pStyle w:val="TextBody"/>
        <w:spacing w:before="90" w:after="0"/>
        <w:rPr>
          <w:rFonts w:ascii="Times New Roman" w:hAnsi="Times New Roman"/>
          <w:sz w:val="20"/>
        </w:rPr>
      </w:pPr>
      <w:r>
        <w:rPr>
          <w:rFonts w:ascii="Times New Roman" w:hAnsi="Times New Roman"/>
          <w:sz w:val="20"/>
        </w:rPr>
        <w:t xml:space="preserve">This prospectus supplement and the accompanying prospectus in electronic format may be made available on the websites maintained by one or more of the underwriters. Other than this prospectus supplement and the accompanying prospectus in electronic format, information contained in any website maintained by an underwriter is not part of this prospectus supplement or the accompanying prospectus or registration statement of which the accompanying prospectus forms a part, has not been endorsed by us and should not be relied on by investors in deciding whether to purchase the Notes. The underwriters are not responsible for information contained in websites that they do not maintain.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6" w:name="supp314176_13"/>
      <w:bookmarkEnd w:id="16"/>
      <w:r>
        <w:rPr>
          <w:rFonts w:ascii="Times New Roman" w:hAnsi="Times New Roman"/>
          <w:b/>
          <w:sz w:val="20"/>
        </w:rPr>
        <w:t xml:space="preserve">LEGAL MATTERS </w:t>
      </w:r>
    </w:p>
    <w:p>
      <w:pPr>
        <w:pStyle w:val="TextBody"/>
        <w:spacing w:before="180" w:after="0"/>
        <w:rPr>
          <w:rFonts w:ascii="Times New Roman" w:hAnsi="Times New Roman"/>
          <w:sz w:val="20"/>
        </w:rPr>
      </w:pPr>
      <w:r>
        <w:rPr>
          <w:rFonts w:ascii="Times New Roman" w:hAnsi="Times New Roman"/>
          <w:sz w:val="20"/>
        </w:rPr>
        <w:t xml:space="preserve">Certain legal matters in connection with the Notes being offered hereby will be passed upon for us by Vinson &amp; Elkins L.L.P., Houston, Texas and for the underwriters by Baker Botts L.L.P., Houston, Texas. </w:t>
      </w:r>
    </w:p>
    <w:p>
      <w:pPr>
        <w:pStyle w:val="TextBody"/>
        <w:spacing w:before="180" w:after="0"/>
        <w:jc w:val="center"/>
        <w:rPr>
          <w:rFonts w:ascii="Times New Roman" w:hAnsi="Times New Roman"/>
          <w:b/>
          <w:sz w:val="20"/>
        </w:rPr>
      </w:pPr>
      <w:bookmarkStart w:id="17" w:name="supp314176_14"/>
      <w:bookmarkEnd w:id="17"/>
      <w:r>
        <w:rPr>
          <w:rFonts w:ascii="Times New Roman" w:hAnsi="Times New Roman"/>
          <w:b/>
          <w:sz w:val="20"/>
        </w:rPr>
        <w:t xml:space="preserve">EXPERTS </w:t>
      </w:r>
    </w:p>
    <w:p>
      <w:pPr>
        <w:pStyle w:val="TextBody"/>
        <w:spacing w:before="180" w:after="0"/>
        <w:rPr>
          <w:rFonts w:ascii="Times New Roman" w:hAnsi="Times New Roman"/>
          <w:sz w:val="20"/>
        </w:rPr>
      </w:pPr>
      <w:r>
        <w:rPr>
          <w:rFonts w:ascii="Times New Roman" w:hAnsi="Times New Roman"/>
          <w:sz w:val="20"/>
        </w:rPr>
        <w:t xml:space="preserve">The financial statements of Plains All American Pipeline, L.P.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2011, have been incorporated in reliance on the report of PricewaterhouseCoopers LLP, an independent registered public accounting firm, given on the authority of said firm as experts in auditing and accounting. </w:t>
      </w:r>
    </w:p>
    <w:p>
      <w:pPr>
        <w:pStyle w:val="TextBody"/>
        <w:spacing w:before="180" w:after="0"/>
        <w:jc w:val="center"/>
        <w:rPr>
          <w:rFonts w:ascii="Times New Roman" w:hAnsi="Times New Roman"/>
          <w:b/>
          <w:sz w:val="20"/>
        </w:rPr>
      </w:pPr>
      <w:bookmarkStart w:id="18" w:name="supp314176_15"/>
      <w:bookmarkEnd w:id="18"/>
      <w:r>
        <w:rPr>
          <w:rFonts w:ascii="Times New Roman" w:hAnsi="Times New Roman"/>
          <w:b/>
          <w:sz w:val="20"/>
        </w:rPr>
        <w:t xml:space="preserve">WHERE YOU CAN FIND MORE INFORMATION </w:t>
      </w:r>
    </w:p>
    <w:p>
      <w:pPr>
        <w:pStyle w:val="TextBody"/>
        <w:spacing w:before="180" w:after="0"/>
        <w:rPr>
          <w:rFonts w:ascii="Times New Roman" w:hAnsi="Times New Roman"/>
          <w:sz w:val="20"/>
        </w:rPr>
      </w:pPr>
      <w:r>
        <w:rPr>
          <w:rFonts w:ascii="Times New Roman" w:hAnsi="Times New Roman"/>
          <w:sz w:val="20"/>
        </w:rPr>
        <w:t xml:space="preserve">We are incorporating by reference into this prospectus supplement information we file with the Securities and Exchange Commission (the SEC). This procedure means that we can disclose important information to you by referring you to documents filed with the SEC. The information we incorporate by reference is part of this prospectus supplement and later information that we file with the SEC will automatically update and supersede this information. We incorporate by reference the documents listed below and any future filings we make with the SEC under Sections 13(a), 13(c), 14 or 15(d) of the Exchange Act (excluding any information furnished and not filed pursuant to any Current Report on Form 8-K) until the offering and sale of the Notes contemplated by this prospectus supplement are complete: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2"/>
        <w:gridCol w:w="9390"/>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October 24, 2011 (announcement of proposal to acquire SemGroup Corporation);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Annual Report on Form 10-K for the year ended December 31, 2011;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March 8, 2012 (documentation related to equity offering). </w:t>
            </w:r>
          </w:p>
        </w:tc>
      </w:tr>
    </w:tbl>
    <w:p>
      <w:pPr>
        <w:pStyle w:val="TextBody"/>
        <w:spacing w:before="180" w:after="0"/>
        <w:rPr>
          <w:rFonts w:ascii="Times New Roman" w:hAnsi="Times New Roman"/>
          <w:sz w:val="20"/>
        </w:rPr>
      </w:pPr>
      <w:r>
        <w:rPr>
          <w:rFonts w:ascii="Times New Roman" w:hAnsi="Times New Roman"/>
          <w:sz w:val="20"/>
        </w:rPr>
        <w:t xml:space="preserve">You may request a copy of these filings (other than any exhibits unless specifically incorporated by reference into this prospectus supplement and the accompanying prospectus) at no cost by making written or telephone requests for copies to: </w:t>
      </w:r>
    </w:p>
    <w:p>
      <w:pPr>
        <w:pStyle w:val="TextBody"/>
        <w:spacing w:before="180" w:after="0"/>
        <w:jc w:val="center"/>
        <w:rPr>
          <w:rFonts w:ascii="Times New Roman" w:hAnsi="Times New Roman"/>
          <w:sz w:val="20"/>
        </w:rPr>
      </w:pPr>
      <w:r>
        <w:rPr>
          <w:rFonts w:ascii="Times New Roman" w:hAnsi="Times New Roman"/>
          <w:sz w:val="20"/>
        </w:rPr>
        <w:t xml:space="preserve">Plains All American Pipeline, L.P. </w:t>
      </w:r>
    </w:p>
    <w:p>
      <w:pPr>
        <w:pStyle w:val="TextBody"/>
        <w:spacing w:before="0" w:after="0"/>
        <w:jc w:val="center"/>
        <w:rPr>
          <w:rFonts w:ascii="Times New Roman" w:hAnsi="Times New Roman"/>
          <w:sz w:val="20"/>
        </w:rPr>
      </w:pPr>
      <w:r>
        <w:rPr>
          <w:rFonts w:ascii="Times New Roman" w:hAnsi="Times New Roman"/>
          <w:sz w:val="20"/>
        </w:rPr>
        <w:t xml:space="preserve">333 Clay Street, Suite 1600 </w:t>
      </w:r>
    </w:p>
    <w:p>
      <w:pPr>
        <w:pStyle w:val="TextBody"/>
        <w:spacing w:before="0" w:after="0"/>
        <w:jc w:val="center"/>
        <w:rPr>
          <w:rFonts w:ascii="Times New Roman" w:hAnsi="Times New Roman"/>
          <w:sz w:val="20"/>
        </w:rPr>
      </w:pPr>
      <w:r>
        <w:rPr>
          <w:rFonts w:ascii="Times New Roman" w:hAnsi="Times New Roman"/>
          <w:sz w:val="20"/>
        </w:rPr>
        <w:t xml:space="preserve">Houston, Texas 77002 </w:t>
      </w:r>
    </w:p>
    <w:p>
      <w:pPr>
        <w:pStyle w:val="TextBody"/>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spacing w:before="0" w:after="0"/>
        <w:jc w:val="center"/>
        <w:rPr>
          <w:rFonts w:ascii="Times New Roman" w:hAnsi="Times New Roman"/>
          <w:sz w:val="20"/>
        </w:rPr>
      </w:pPr>
      <w:r>
        <w:rPr>
          <w:rFonts w:ascii="Times New Roman" w:hAnsi="Times New Roman"/>
          <w:sz w:val="20"/>
        </w:rPr>
        <w:t xml:space="preserve">Telephone: (713) 646-4100 </w:t>
      </w:r>
    </w:p>
    <w:p>
      <w:pPr>
        <w:pStyle w:val="TextBody"/>
        <w:spacing w:before="180" w:after="0"/>
        <w:rPr>
          <w:rFonts w:ascii="Times New Roman" w:hAnsi="Times New Roman"/>
          <w:sz w:val="20"/>
        </w:rPr>
      </w:pPr>
      <w:r>
        <w:rPr>
          <w:rFonts w:ascii="Times New Roman" w:hAnsi="Times New Roman"/>
          <w:sz w:val="20"/>
        </w:rPr>
        <w:t xml:space="preserve">Additionally, you may read and copy any materials that we have filed with the SEC at the SECs Public Reference Room at 100 F Street, N.E., Room 1580, Washington, D.C. 20549. You may obtain information on the operation of the Public Reference Room by calling the SEC at 1-800-SEC-0330. The SEC maintains an internet site that contains reports, proxy and information statements, and other information regarding us. The SECs website address is </w:t>
      </w:r>
      <w:r>
        <w:rPr>
          <w:rFonts w:ascii="Times New Roman" w:hAnsi="Times New Roman"/>
          <w:i/>
          <w:sz w:val="20"/>
          <w:u w:val="single"/>
        </w:rPr>
        <w:t>www.sec.gov</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You should rely only on the information incorporated by reference or provided in this prospectus supplement. We have not, and the underwriters have not, authorized anyone else to provide you with any information. You should not assume that the information incorporated by reference or provided in this prospectus supplement or the accompanying prospectus is accurate as of any date other than its date.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4"/>
        </w:rPr>
      </w:pPr>
      <w:r>
        <w:rPr>
          <w:rFonts w:ascii="Times New Roman" w:hAnsi="Times New Roman"/>
          <w:sz w:val="24"/>
        </w:rPr>
        <w:t xml:space="preserve">PROSPECTUS </w:t>
      </w:r>
    </w:p>
    <w:p>
      <w:pPr>
        <w:pStyle w:val="TextBody"/>
        <w:spacing w:before="180" w:after="0"/>
        <w:jc w:val="center"/>
        <w:rPr>
          <w:rFonts w:ascii="Times New Roman" w:hAnsi="Times New Roman"/>
          <w:b/>
          <w:sz w:val="36"/>
        </w:rPr>
      </w:pPr>
      <w:r>
        <w:rPr>
          <w:rFonts w:ascii="Times New Roman" w:hAnsi="Times New Roman"/>
          <w:b/>
          <w:sz w:val="36"/>
        </w:rPr>
        <w:t xml:space="preserve">Plains All American Pipeline, L.P. </w:t>
      </w:r>
    </w:p>
    <w:p>
      <w:pPr>
        <w:pStyle w:val="TextBody"/>
        <w:spacing w:before="0" w:after="0"/>
        <w:jc w:val="center"/>
        <w:rPr>
          <w:rFonts w:ascii="Times New Roman" w:hAnsi="Times New Roman"/>
          <w:b/>
          <w:sz w:val="36"/>
        </w:rPr>
      </w:pPr>
      <w:r>
        <w:rPr>
          <w:rFonts w:ascii="Times New Roman" w:hAnsi="Times New Roman"/>
          <w:b/>
          <w:sz w:val="36"/>
        </w:rPr>
        <w:t xml:space="preserve">PAA Finance Corp.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36"/>
        </w:rPr>
      </w:pPr>
      <w:r>
        <w:rPr>
          <w:rFonts w:ascii="Times New Roman" w:hAnsi="Times New Roman"/>
          <w:b/>
          <w:sz w:val="36"/>
        </w:rPr>
        <w:t xml:space="preserve">Common Units </w:t>
      </w:r>
    </w:p>
    <w:p>
      <w:pPr>
        <w:pStyle w:val="TextBody"/>
        <w:spacing w:before="0" w:after="0"/>
        <w:jc w:val="center"/>
        <w:rPr>
          <w:rFonts w:ascii="Times New Roman" w:hAnsi="Times New Roman"/>
          <w:b/>
          <w:sz w:val="36"/>
        </w:rPr>
      </w:pPr>
      <w:r>
        <w:rPr>
          <w:rFonts w:ascii="Times New Roman" w:hAnsi="Times New Roman"/>
          <w:b/>
          <w:sz w:val="36"/>
        </w:rPr>
        <w:t xml:space="preserve">Debt Securities </w:t>
      </w:r>
    </w:p>
    <w:p>
      <w:pPr>
        <w:pStyle w:val="TextBody"/>
        <w:spacing w:before="180" w:after="0"/>
        <w:rPr>
          <w:rFonts w:ascii="Times New Roman" w:hAnsi="Times New Roman"/>
          <w:sz w:val="20"/>
        </w:rPr>
      </w:pPr>
      <w:r>
        <w:rPr>
          <w:rFonts w:ascii="Times New Roman" w:hAnsi="Times New Roman"/>
          <w:sz w:val="20"/>
        </w:rPr>
        <w:t xml:space="preserve">We may offer and sell the common units, representing limited partner interests of Plains All American Pipeline, L.P., and, together with PAA Finance Corp., debt securities described in this prospectus from time to time in one or more classes or series and in amounts, at prices and on terms to be determined by market conditions at the time of our offerings. PAA Finance Corp. may act as co-issuer of the debt securities, and other subsidiaries of Plains All American Pipeline, L.P. may guarantee the debt securities. </w:t>
      </w:r>
    </w:p>
    <w:p>
      <w:pPr>
        <w:pStyle w:val="TextBody"/>
        <w:spacing w:before="180" w:after="0"/>
        <w:rPr>
          <w:rFonts w:ascii="Times New Roman" w:hAnsi="Times New Roman"/>
          <w:sz w:val="20"/>
        </w:rPr>
      </w:pPr>
      <w:r>
        <w:rPr>
          <w:rFonts w:ascii="Times New Roman" w:hAnsi="Times New Roman"/>
          <w:sz w:val="20"/>
        </w:rPr>
        <w:t xml:space="preserve">We may offer and sell these securities to or through one or more underwriters, dealers and agents, or directly to purchasers, on a continuous or delayed basis. This prospectus describes the general terms of these common units and debt securities and the general manner in which we will offer the common units and debt securities. The specific terms of any common units and debt securities we offer will be included in a supplement to this prospectus. The prospectus supplement will also describe the specific manner in which we will offer the common units and debt securities. </w:t>
      </w:r>
    </w:p>
    <w:p>
      <w:pPr>
        <w:pStyle w:val="TextBody"/>
        <w:spacing w:before="180" w:after="0"/>
        <w:rPr>
          <w:rFonts w:ascii="Times New Roman" w:hAnsi="Times New Roman"/>
          <w:i/>
          <w:sz w:val="20"/>
        </w:rPr>
      </w:pPr>
      <w:r>
        <w:rPr>
          <w:rFonts w:ascii="Times New Roman" w:hAnsi="Times New Roman"/>
          <w:i/>
          <w:sz w:val="20"/>
        </w:rPr>
        <w:t xml:space="preserve">Investing in our common units and the debt securities involves risks. Limited partnerships are inherently different from corporations. You should carefully consider the risk factors described under Risk Factors beginning on page 6 of this prospectus before you make an investment in our securities. </w:t>
      </w:r>
    </w:p>
    <w:p>
      <w:pPr>
        <w:pStyle w:val="TextBody"/>
        <w:spacing w:before="180" w:after="0"/>
        <w:rPr>
          <w:rFonts w:ascii="Times New Roman" w:hAnsi="Times New Roman"/>
          <w:sz w:val="20"/>
        </w:rPr>
      </w:pPr>
      <w:r>
        <w:rPr>
          <w:rFonts w:ascii="Times New Roman" w:hAnsi="Times New Roman"/>
          <w:sz w:val="20"/>
        </w:rPr>
        <w:t xml:space="preserve">Our common units are traded on the New York Stock Exchange under the symbol PAA. We will provide information in the prospectus supplement for the trading market, if any, for any debt securities we may offer. </w:t>
      </w:r>
    </w:p>
    <w:p>
      <w:pPr>
        <w:pStyle w:val="TextBody"/>
        <w:spacing w:before="180" w:after="0"/>
        <w:rPr>
          <w:rFonts w:ascii="Times New Roman" w:hAnsi="Times New Roman"/>
          <w:sz w:val="20"/>
        </w:rPr>
      </w:pPr>
      <w:r>
        <w:rPr>
          <w:rFonts w:ascii="Times New Roman" w:hAnsi="Times New Roman"/>
          <w:sz w:val="20"/>
        </w:rPr>
        <w:t xml:space="preserve">Neither the Securities and Exchange Commission nor any state securities commission has approved or disapproved these securities or determined if this prospectus is truthful or complete. Any representation to the contrary is a criminal offense. </w:t>
      </w:r>
    </w:p>
    <w:p>
      <w:pPr>
        <w:pStyle w:val="TextBody"/>
        <w:spacing w:before="2625" w:after="0"/>
        <w:jc w:val="center"/>
        <w:rPr>
          <w:rFonts w:ascii="Times New Roman" w:hAnsi="Times New Roman"/>
          <w:sz w:val="20"/>
        </w:rPr>
      </w:pPr>
      <w:r>
        <w:rPr>
          <w:rFonts w:ascii="Times New Roman" w:hAnsi="Times New Roman"/>
          <w:sz w:val="20"/>
        </w:rPr>
        <w:t xml:space="preserve">The date of this prospectus is October 14, 2009. </w:t>
      </w:r>
    </w:p>
    <w:p>
      <w:pPr>
        <w:pStyle w:val="TextBody"/>
        <w:spacing w:before="0" w:after="0"/>
        <w:rPr/>
      </w:pPr>
      <w:r>
        <w:rPr/>
        <w:t> </w:t>
      </w:r>
    </w:p>
    <w:p>
      <w:pPr>
        <w:pStyle w:val="TextBody"/>
        <w:pBdr>
          <w:bottom w:val="single" w:sz="8" w:space="1" w:color="000000"/>
        </w:pBdr>
        <w:spacing w:lineRule="atLeast" w:line="141" w:before="0" w:after="30"/>
        <w:jc w:val="center"/>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9" w:name="index"/>
      <w:bookmarkEnd w:id="19"/>
      <w:r>
        <w:rPr>
          <w:rFonts w:ascii="Times New Roman" w:hAnsi="Times New Roman"/>
          <w:b/>
          <w:sz w:val="20"/>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539"/>
        <w:gridCol w:w="250"/>
        <w:gridCol w:w="60"/>
        <w:gridCol w:w="234"/>
        <w:gridCol w:w="122"/>
      </w:tblGrid>
      <w:tr>
        <w:trPr/>
        <w:tc>
          <w:tcPr>
            <w:tcW w:w="953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r>
      <w:tr>
        <w:trPr/>
        <w:tc>
          <w:tcPr>
            <w:tcW w:w="9539" w:type="dxa"/>
            <w:tcBorders/>
            <w:shd w:fill="CCEEFF" w:val="clear"/>
          </w:tcPr>
          <w:p>
            <w:pPr>
              <w:pStyle w:val="TableContents"/>
              <w:spacing w:before="0" w:after="283"/>
              <w:rPr/>
            </w:pPr>
            <w:hyperlink w:anchor="rom314176_111">
              <w:r>
                <w:rPr>
                  <w:rStyle w:val="InternetLink"/>
                  <w:rFonts w:ascii="Times New Roman" w:hAnsi="Times New Roman"/>
                  <w:sz w:val="20"/>
                </w:rPr>
                <w:t>ABOUT THIS PROSPECTUS</w:t>
              </w:r>
            </w:hyperlink>
          </w:p>
        </w:tc>
        <w:tc>
          <w:tcPr>
            <w:tcW w:w="2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i</w:t>
            </w:r>
          </w:p>
        </w:tc>
        <w:tc>
          <w:tcPr>
            <w:tcW w:w="122" w:type="dxa"/>
            <w:tcBorders/>
            <w:shd w:fill="CCEEFF" w:val="clear"/>
            <w:vAlign w:val="bottom"/>
          </w:tcPr>
          <w:p>
            <w:pPr>
              <w:pStyle w:val="TableContents"/>
              <w:spacing w:before="0" w:after="283"/>
              <w:rPr/>
            </w:pPr>
            <w:r>
              <w:rPr/>
              <w:t>  </w:t>
            </w:r>
          </w:p>
        </w:tc>
      </w:tr>
      <w:tr>
        <w:trPr/>
        <w:tc>
          <w:tcPr>
            <w:tcW w:w="9539" w:type="dxa"/>
            <w:tcBorders/>
            <w:shd w:fill="auto" w:val="clear"/>
          </w:tcPr>
          <w:p>
            <w:pPr>
              <w:pStyle w:val="TableContents"/>
              <w:spacing w:before="0" w:after="283"/>
              <w:rPr/>
            </w:pPr>
            <w:hyperlink w:anchor="rom314176_112">
              <w:r>
                <w:rPr>
                  <w:rStyle w:val="InternetLink"/>
                  <w:rFonts w:ascii="Times New Roman" w:hAnsi="Times New Roman"/>
                  <w:sz w:val="20"/>
                </w:rPr>
                <w:t>WHERE YOU CAN FIND MORE INFORMATION</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2" w:type="dxa"/>
            <w:tcBorders/>
            <w:shd w:fill="auto" w:val="clear"/>
            <w:vAlign w:val="bottom"/>
          </w:tcPr>
          <w:p>
            <w:pPr>
              <w:pStyle w:val="TableContents"/>
              <w:spacing w:before="0" w:after="283"/>
              <w:rPr/>
            </w:pPr>
            <w:r>
              <w:rPr/>
              <w:t>  </w:t>
            </w:r>
          </w:p>
        </w:tc>
      </w:tr>
      <w:tr>
        <w:trPr/>
        <w:tc>
          <w:tcPr>
            <w:tcW w:w="9539" w:type="dxa"/>
            <w:tcBorders/>
            <w:shd w:fill="CCEEFF" w:val="clear"/>
          </w:tcPr>
          <w:p>
            <w:pPr>
              <w:pStyle w:val="TableContents"/>
              <w:spacing w:before="0" w:after="283"/>
              <w:rPr/>
            </w:pPr>
            <w:hyperlink w:anchor="rom314176_113">
              <w:r>
                <w:rPr>
                  <w:rStyle w:val="InternetLink"/>
                  <w:rFonts w:ascii="Times New Roman" w:hAnsi="Times New Roman"/>
                  <w:sz w:val="20"/>
                </w:rPr>
                <w:t>FORWARD-LOOKING STATEMENTS</w:t>
              </w:r>
            </w:hyperlink>
          </w:p>
        </w:tc>
        <w:tc>
          <w:tcPr>
            <w:tcW w:w="2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2" w:type="dxa"/>
            <w:tcBorders/>
            <w:shd w:fill="CCEEFF" w:val="clear"/>
            <w:vAlign w:val="bottom"/>
          </w:tcPr>
          <w:p>
            <w:pPr>
              <w:pStyle w:val="TableContents"/>
              <w:spacing w:before="0" w:after="283"/>
              <w:rPr/>
            </w:pPr>
            <w:r>
              <w:rPr/>
              <w:t>  </w:t>
            </w:r>
          </w:p>
        </w:tc>
      </w:tr>
      <w:tr>
        <w:trPr/>
        <w:tc>
          <w:tcPr>
            <w:tcW w:w="9539" w:type="dxa"/>
            <w:tcBorders/>
            <w:shd w:fill="auto" w:val="clear"/>
          </w:tcPr>
          <w:p>
            <w:pPr>
              <w:pStyle w:val="TableContents"/>
              <w:spacing w:before="0" w:after="283"/>
              <w:rPr/>
            </w:pPr>
            <w:hyperlink w:anchor="rom314176_114">
              <w:r>
                <w:rPr>
                  <w:rStyle w:val="InternetLink"/>
                  <w:rFonts w:ascii="Times New Roman" w:hAnsi="Times New Roman"/>
                  <w:sz w:val="20"/>
                </w:rPr>
                <w:t>WHO WE ARE</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2" w:type="dxa"/>
            <w:tcBorders/>
            <w:shd w:fill="auto" w:val="clear"/>
            <w:vAlign w:val="bottom"/>
          </w:tcPr>
          <w:p>
            <w:pPr>
              <w:pStyle w:val="TableContents"/>
              <w:spacing w:before="0" w:after="283"/>
              <w:rPr/>
            </w:pPr>
            <w:r>
              <w:rPr/>
              <w:t>  </w:t>
            </w:r>
          </w:p>
        </w:tc>
      </w:tr>
      <w:tr>
        <w:trPr/>
        <w:tc>
          <w:tcPr>
            <w:tcW w:w="9539" w:type="dxa"/>
            <w:tcBorders/>
            <w:shd w:fill="CCEEFF" w:val="clear"/>
          </w:tcPr>
          <w:p>
            <w:pPr>
              <w:pStyle w:val="TableContents"/>
              <w:spacing w:before="0" w:after="283"/>
              <w:rPr/>
            </w:pPr>
            <w:hyperlink w:anchor="rom314176_115">
              <w:r>
                <w:rPr>
                  <w:rStyle w:val="InternetLink"/>
                  <w:rFonts w:ascii="Times New Roman" w:hAnsi="Times New Roman"/>
                  <w:sz w:val="20"/>
                </w:rPr>
                <w:t>RISK FACTORS</w:t>
              </w:r>
            </w:hyperlink>
          </w:p>
        </w:tc>
        <w:tc>
          <w:tcPr>
            <w:tcW w:w="2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22" w:type="dxa"/>
            <w:tcBorders/>
            <w:shd w:fill="CCEEFF" w:val="clear"/>
            <w:vAlign w:val="bottom"/>
          </w:tcPr>
          <w:p>
            <w:pPr>
              <w:pStyle w:val="TableContents"/>
              <w:spacing w:before="0" w:after="283"/>
              <w:rPr/>
            </w:pPr>
            <w:r>
              <w:rPr/>
              <w:t>  </w:t>
            </w:r>
          </w:p>
        </w:tc>
      </w:tr>
      <w:tr>
        <w:trPr/>
        <w:tc>
          <w:tcPr>
            <w:tcW w:w="9539" w:type="dxa"/>
            <w:tcBorders/>
            <w:shd w:fill="auto" w:val="clear"/>
          </w:tcPr>
          <w:p>
            <w:pPr>
              <w:pStyle w:val="TableContents"/>
              <w:spacing w:before="0" w:after="283"/>
              <w:rPr/>
            </w:pPr>
            <w:hyperlink w:anchor="rom314176_116">
              <w:r>
                <w:rPr>
                  <w:rStyle w:val="InternetLink"/>
                  <w:rFonts w:ascii="Times New Roman" w:hAnsi="Times New Roman"/>
                  <w:sz w:val="20"/>
                </w:rPr>
                <w:t>USE OF PROCEEDS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2" w:type="dxa"/>
            <w:tcBorders/>
            <w:shd w:fill="auto" w:val="clear"/>
            <w:vAlign w:val="bottom"/>
          </w:tcPr>
          <w:p>
            <w:pPr>
              <w:pStyle w:val="TableContents"/>
              <w:spacing w:before="0" w:after="283"/>
              <w:rPr/>
            </w:pPr>
            <w:r>
              <w:rPr/>
              <w:t>  </w:t>
            </w:r>
          </w:p>
        </w:tc>
      </w:tr>
      <w:tr>
        <w:trPr/>
        <w:tc>
          <w:tcPr>
            <w:tcW w:w="9539" w:type="dxa"/>
            <w:tcBorders/>
            <w:shd w:fill="CCEEFF" w:val="clear"/>
          </w:tcPr>
          <w:p>
            <w:pPr>
              <w:pStyle w:val="TableContents"/>
              <w:spacing w:before="0" w:after="283"/>
              <w:rPr/>
            </w:pPr>
            <w:hyperlink w:anchor="rom314176_117">
              <w:r>
                <w:rPr>
                  <w:rStyle w:val="InternetLink"/>
                  <w:rFonts w:ascii="Times New Roman" w:hAnsi="Times New Roman"/>
                  <w:sz w:val="20"/>
                </w:rPr>
                <w:t>RATIO OF EARNINGS TO FIXED CHARGES</w:t>
              </w:r>
            </w:hyperlink>
          </w:p>
        </w:tc>
        <w:tc>
          <w:tcPr>
            <w:tcW w:w="2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2" w:type="dxa"/>
            <w:tcBorders/>
            <w:shd w:fill="CCEEFF" w:val="clear"/>
            <w:vAlign w:val="bottom"/>
          </w:tcPr>
          <w:p>
            <w:pPr>
              <w:pStyle w:val="TableContents"/>
              <w:spacing w:before="0" w:after="283"/>
              <w:rPr/>
            </w:pPr>
            <w:r>
              <w:rPr/>
              <w:t>  </w:t>
            </w:r>
          </w:p>
        </w:tc>
      </w:tr>
      <w:tr>
        <w:trPr/>
        <w:tc>
          <w:tcPr>
            <w:tcW w:w="9539" w:type="dxa"/>
            <w:tcBorders/>
            <w:shd w:fill="auto" w:val="clear"/>
          </w:tcPr>
          <w:p>
            <w:pPr>
              <w:pStyle w:val="TableContents"/>
              <w:spacing w:before="0" w:after="283"/>
              <w:rPr/>
            </w:pPr>
            <w:hyperlink w:anchor="rom314176_118">
              <w:r>
                <w:rPr>
                  <w:rStyle w:val="InternetLink"/>
                  <w:rFonts w:ascii="Times New Roman" w:hAnsi="Times New Roman"/>
                  <w:sz w:val="20"/>
                </w:rPr>
                <w:t>DESCRIPTION OF OUR DEBT SECURITIES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2" w:type="dxa"/>
            <w:tcBorders/>
            <w:shd w:fill="auto" w:val="clear"/>
            <w:vAlign w:val="bottom"/>
          </w:tcPr>
          <w:p>
            <w:pPr>
              <w:pStyle w:val="TableContents"/>
              <w:spacing w:before="0" w:after="283"/>
              <w:rPr/>
            </w:pPr>
            <w:r>
              <w:rPr/>
              <w:t>  </w:t>
            </w:r>
          </w:p>
        </w:tc>
      </w:tr>
      <w:tr>
        <w:trPr/>
        <w:tc>
          <w:tcPr>
            <w:tcW w:w="9539" w:type="dxa"/>
            <w:tcBorders/>
            <w:shd w:fill="CCEEFF" w:val="clear"/>
          </w:tcPr>
          <w:p>
            <w:pPr>
              <w:pStyle w:val="TableContents"/>
              <w:spacing w:before="0" w:after="283"/>
              <w:rPr/>
            </w:pPr>
            <w:hyperlink w:anchor="rom314176_119">
              <w:r>
                <w:rPr>
                  <w:rStyle w:val="InternetLink"/>
                  <w:rFonts w:ascii="Times New Roman" w:hAnsi="Times New Roman"/>
                  <w:sz w:val="20"/>
                </w:rPr>
                <w:t>DESCRIPTION OF OUR COMMON UNITS</w:t>
              </w:r>
            </w:hyperlink>
          </w:p>
        </w:tc>
        <w:tc>
          <w:tcPr>
            <w:tcW w:w="2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22" w:type="dxa"/>
            <w:tcBorders/>
            <w:shd w:fill="CCEEFF" w:val="clear"/>
            <w:vAlign w:val="bottom"/>
          </w:tcPr>
          <w:p>
            <w:pPr>
              <w:pStyle w:val="TableContents"/>
              <w:spacing w:before="0" w:after="283"/>
              <w:rPr/>
            </w:pPr>
            <w:r>
              <w:rPr/>
              <w:t>  </w:t>
            </w:r>
          </w:p>
        </w:tc>
      </w:tr>
      <w:tr>
        <w:trPr/>
        <w:tc>
          <w:tcPr>
            <w:tcW w:w="9539" w:type="dxa"/>
            <w:tcBorders/>
            <w:shd w:fill="auto" w:val="clear"/>
          </w:tcPr>
          <w:p>
            <w:pPr>
              <w:pStyle w:val="TableContents"/>
              <w:spacing w:before="0" w:after="283"/>
              <w:rPr/>
            </w:pPr>
            <w:hyperlink w:anchor="rom314176_120">
              <w:r>
                <w:rPr>
                  <w:rStyle w:val="InternetLink"/>
                  <w:rFonts w:ascii="Times New Roman" w:hAnsi="Times New Roman"/>
                  <w:sz w:val="20"/>
                </w:rPr>
                <w:t>CASH DISTRIBUTION POLICY</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2" w:type="dxa"/>
            <w:tcBorders/>
            <w:shd w:fill="auto" w:val="clear"/>
            <w:vAlign w:val="bottom"/>
          </w:tcPr>
          <w:p>
            <w:pPr>
              <w:pStyle w:val="TableContents"/>
              <w:spacing w:before="0" w:after="283"/>
              <w:rPr/>
            </w:pPr>
            <w:r>
              <w:rPr/>
              <w:t>  </w:t>
            </w:r>
          </w:p>
        </w:tc>
      </w:tr>
      <w:tr>
        <w:trPr/>
        <w:tc>
          <w:tcPr>
            <w:tcW w:w="9539" w:type="dxa"/>
            <w:tcBorders/>
            <w:shd w:fill="CCEEFF" w:val="clear"/>
          </w:tcPr>
          <w:p>
            <w:pPr>
              <w:pStyle w:val="TableContents"/>
              <w:spacing w:before="0" w:after="283"/>
              <w:rPr/>
            </w:pPr>
            <w:hyperlink w:anchor="rom314176_121">
              <w:r>
                <w:rPr>
                  <w:rStyle w:val="InternetLink"/>
                  <w:rFonts w:ascii="Times New Roman" w:hAnsi="Times New Roman"/>
                  <w:sz w:val="20"/>
                </w:rPr>
                <w:t>DESCRIPTION OF OUR PARTNERSHIP AGREEMENT</w:t>
              </w:r>
            </w:hyperlink>
          </w:p>
        </w:tc>
        <w:tc>
          <w:tcPr>
            <w:tcW w:w="2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122" w:type="dxa"/>
            <w:tcBorders/>
            <w:shd w:fill="CCEEFF" w:val="clear"/>
            <w:vAlign w:val="bottom"/>
          </w:tcPr>
          <w:p>
            <w:pPr>
              <w:pStyle w:val="TableContents"/>
              <w:spacing w:before="0" w:after="283"/>
              <w:rPr/>
            </w:pPr>
            <w:r>
              <w:rPr/>
              <w:t>  </w:t>
            </w:r>
          </w:p>
        </w:tc>
      </w:tr>
      <w:tr>
        <w:trPr/>
        <w:tc>
          <w:tcPr>
            <w:tcW w:w="9539" w:type="dxa"/>
            <w:tcBorders/>
            <w:shd w:fill="auto" w:val="clear"/>
          </w:tcPr>
          <w:p>
            <w:pPr>
              <w:pStyle w:val="TableContents"/>
              <w:spacing w:before="0" w:after="283"/>
              <w:rPr/>
            </w:pPr>
            <w:hyperlink w:anchor="rom314176_122">
              <w:r>
                <w:rPr>
                  <w:rStyle w:val="InternetLink"/>
                  <w:rFonts w:ascii="Times New Roman" w:hAnsi="Times New Roman"/>
                  <w:sz w:val="20"/>
                </w:rPr>
                <w:t>MATERIAL INCOME TAX CONSIDERATIONS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122" w:type="dxa"/>
            <w:tcBorders/>
            <w:shd w:fill="auto" w:val="clear"/>
            <w:vAlign w:val="bottom"/>
          </w:tcPr>
          <w:p>
            <w:pPr>
              <w:pStyle w:val="TableContents"/>
              <w:spacing w:before="0" w:after="283"/>
              <w:rPr/>
            </w:pPr>
            <w:r>
              <w:rPr/>
              <w:t>  </w:t>
            </w:r>
          </w:p>
        </w:tc>
      </w:tr>
      <w:tr>
        <w:trPr/>
        <w:tc>
          <w:tcPr>
            <w:tcW w:w="9539" w:type="dxa"/>
            <w:tcBorders/>
            <w:shd w:fill="CCEEFF" w:val="clear"/>
          </w:tcPr>
          <w:p>
            <w:pPr>
              <w:pStyle w:val="TableContents"/>
              <w:spacing w:before="0" w:after="283"/>
              <w:rPr/>
            </w:pPr>
            <w:hyperlink w:anchor="rom314176_123">
              <w:r>
                <w:rPr>
                  <w:rStyle w:val="InternetLink"/>
                  <w:rFonts w:ascii="Times New Roman" w:hAnsi="Times New Roman"/>
                  <w:sz w:val="20"/>
                </w:rPr>
                <w:t>LEGAL MATTERS</w:t>
              </w:r>
            </w:hyperlink>
          </w:p>
        </w:tc>
        <w:tc>
          <w:tcPr>
            <w:tcW w:w="2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w:t>
            </w:r>
          </w:p>
        </w:tc>
        <w:tc>
          <w:tcPr>
            <w:tcW w:w="122" w:type="dxa"/>
            <w:tcBorders/>
            <w:shd w:fill="CCEEFF" w:val="clear"/>
            <w:vAlign w:val="bottom"/>
          </w:tcPr>
          <w:p>
            <w:pPr>
              <w:pStyle w:val="TableContents"/>
              <w:spacing w:before="0" w:after="283"/>
              <w:rPr/>
            </w:pPr>
            <w:r>
              <w:rPr/>
              <w:t>  </w:t>
            </w:r>
          </w:p>
        </w:tc>
      </w:tr>
      <w:tr>
        <w:trPr/>
        <w:tc>
          <w:tcPr>
            <w:tcW w:w="9539" w:type="dxa"/>
            <w:tcBorders/>
            <w:shd w:fill="auto" w:val="clear"/>
          </w:tcPr>
          <w:p>
            <w:pPr>
              <w:pStyle w:val="TableContents"/>
              <w:spacing w:before="0" w:after="283"/>
              <w:rPr/>
            </w:pPr>
            <w:hyperlink w:anchor="rom314176_124">
              <w:r>
                <w:rPr>
                  <w:rStyle w:val="InternetLink"/>
                  <w:rFonts w:ascii="Times New Roman" w:hAnsi="Times New Roman"/>
                  <w:sz w:val="20"/>
                </w:rPr>
                <w:t>EXPERTS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w:t>
            </w:r>
          </w:p>
        </w:tc>
        <w:tc>
          <w:tcPr>
            <w:tcW w:w="122" w:type="dxa"/>
            <w:tcBorders/>
            <w:shd w:fill="auto" w:val="clear"/>
            <w:vAlign w:val="bottom"/>
          </w:tcPr>
          <w:p>
            <w:pPr>
              <w:pStyle w:val="TableContents"/>
              <w:spacing w:before="0" w:after="283"/>
              <w:rPr/>
            </w:pPr>
            <w:r>
              <w:rPr/>
              <w:t>  </w:t>
            </w:r>
          </w:p>
        </w:tc>
      </w:tr>
    </w:tbl>
    <w:p>
      <w:pPr>
        <w:pStyle w:val="TextBody"/>
        <w:spacing w:before="180" w:after="0"/>
        <w:rPr>
          <w:rFonts w:ascii="Times New Roman" w:hAnsi="Times New Roman"/>
          <w:b/>
          <w:sz w:val="20"/>
        </w:rPr>
      </w:pPr>
      <w:r>
        <w:rPr>
          <w:rFonts w:ascii="Times New Roman" w:hAnsi="Times New Roman"/>
          <w:b/>
          <w:sz w:val="20"/>
        </w:rPr>
        <w:t xml:space="preserve">In making your investment decision, you should rely only on the information contained or incorporated by reference in this prospectus. We have not authorized anyone to provide you with any other information. If anyone provides you with different or inconsistent information, you should not rely on it. </w:t>
      </w:r>
    </w:p>
    <w:p>
      <w:pPr>
        <w:pStyle w:val="TextBody"/>
        <w:spacing w:before="180" w:after="0"/>
        <w:rPr>
          <w:rFonts w:ascii="Times New Roman" w:hAnsi="Times New Roman"/>
          <w:b/>
          <w:sz w:val="20"/>
        </w:rPr>
      </w:pPr>
      <w:r>
        <w:rPr>
          <w:rFonts w:ascii="Times New Roman" w:hAnsi="Times New Roman"/>
          <w:b/>
          <w:sz w:val="20"/>
        </w:rPr>
        <w:t xml:space="preserve">You should not assume that the information contained in this prospectus is accurate as of any date other than the date on the front cover of this prospectus. You should not assume that the information contained in the documents incorporated by reference in this prospectus is accurate as of any date other than the respective dates of those documents. Our business, financial condition, results of operations and prospects may have changed since those dates. </w:t>
      </w:r>
    </w:p>
    <w:p>
      <w:pPr>
        <w:pStyle w:val="TextBody"/>
        <w:spacing w:before="270" w:after="0"/>
        <w:jc w:val="center"/>
        <w:rPr>
          <w:rFonts w:ascii="Times New Roman" w:hAnsi="Times New Roman"/>
          <w:b/>
          <w:sz w:val="20"/>
        </w:rPr>
      </w:pPr>
      <w:bookmarkStart w:id="20" w:name="rom314176_111"/>
      <w:bookmarkStart w:id="21" w:name="supprom314176_14"/>
      <w:bookmarkEnd w:id="20"/>
      <w:bookmarkEnd w:id="21"/>
      <w:r>
        <w:rPr>
          <w:rFonts w:ascii="Times New Roman" w:hAnsi="Times New Roman"/>
          <w:b/>
          <w:sz w:val="20"/>
        </w:rPr>
        <w:t xml:space="preserve">ABOUT THIS PROSPECTUS </w:t>
      </w:r>
    </w:p>
    <w:p>
      <w:pPr>
        <w:pStyle w:val="TextBody"/>
        <w:spacing w:before="180" w:after="0"/>
        <w:rPr>
          <w:rFonts w:ascii="Times New Roman" w:hAnsi="Times New Roman"/>
          <w:sz w:val="20"/>
        </w:rPr>
      </w:pPr>
      <w:r>
        <w:rPr>
          <w:rFonts w:ascii="Times New Roman" w:hAnsi="Times New Roman"/>
          <w:sz w:val="20"/>
        </w:rPr>
        <w:t xml:space="preserve">This prospectus is part of a registration statement that we and PAA Finance Corp. have filed with the Securities and Exchange Commission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to, update or change information in this prospectus. Before you invest in our securities, you should carefully read this prospectus and any prospectus supplement and the additional information described under the heading Where You Can Find More Information. To the extent information in this prospectus is inconsistent with information contained in a prospectus supplement, you should rely on the information in the prospectus supplement. You should read both this prospectus and any prospectus supplement, together with additional information described under the heading Where You Can Find More Information, and any additional information you may need to make your investment decision.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2" w:name="rom314176_112"/>
      <w:bookmarkStart w:id="23" w:name="supprom314176_15"/>
      <w:bookmarkEnd w:id="22"/>
      <w:bookmarkEnd w:id="23"/>
      <w:r>
        <w:rPr>
          <w:rFonts w:ascii="Times New Roman" w:hAnsi="Times New Roman"/>
          <w:b/>
          <w:sz w:val="20"/>
        </w:rPr>
        <w:t xml:space="preserve">WHERE YOU CAN FIND MORE INFORMATION </w:t>
      </w:r>
    </w:p>
    <w:p>
      <w:pPr>
        <w:pStyle w:val="TextBody"/>
        <w:spacing w:before="180" w:after="0"/>
        <w:rPr>
          <w:rFonts w:ascii="Times New Roman" w:hAnsi="Times New Roman"/>
          <w:sz w:val="20"/>
        </w:rPr>
      </w:pPr>
      <w:r>
        <w:rPr>
          <w:rFonts w:ascii="Times New Roman" w:hAnsi="Times New Roman"/>
          <w:sz w:val="20"/>
        </w:rPr>
        <w:t xml:space="preserve">We have filed a registration statement with the SEC under the Securities Act of 1933, as amended, that registers the securities offered by this prospectus. The registration statement, including the attached exhibits, contains additional relevant information about us. The rules and regulations of the SEC allow us to omit some information included in the registration statement from this prospectus. </w:t>
      </w:r>
    </w:p>
    <w:p>
      <w:pPr>
        <w:pStyle w:val="TextBody"/>
        <w:spacing w:before="180" w:after="0"/>
        <w:rPr>
          <w:rFonts w:ascii="Times New Roman" w:hAnsi="Times New Roman"/>
          <w:sz w:val="20"/>
        </w:rPr>
      </w:pPr>
      <w:r>
        <w:rPr>
          <w:rFonts w:ascii="Times New Roman" w:hAnsi="Times New Roman"/>
          <w:sz w:val="20"/>
        </w:rPr>
        <w:t xml:space="preserve">In addition, we file annual, quarterly and other reports and other information with the SEC. You may read and copy any document we file at the SECs public reference room at 100 F Street, N.E., Washington, D.C. 20549. Please call the SEC at 1-800-732-0330 for further information on the operation of the SECs public reference room. Our SEC filings are available on the SECs web site at http://www.sec.gov. We also make available free of charge on our website, at http://www.paalp.com, all materials that we file electronically with the SEC, including our annual report on Form 10-K, quarterly reports on Form 10-Q, current reports on Form 8-K, Section 16 reports and amendments to these reports as soon as reasonably practicable after such materials are electronically filed with, or furnished to, the SEC. </w:t>
      </w:r>
    </w:p>
    <w:p>
      <w:pPr>
        <w:pStyle w:val="TextBody"/>
        <w:spacing w:before="180" w:after="0"/>
        <w:rPr>
          <w:rFonts w:ascii="Times New Roman" w:hAnsi="Times New Roman"/>
          <w:sz w:val="20"/>
        </w:rPr>
      </w:pPr>
      <w:r>
        <w:rPr>
          <w:rFonts w:ascii="Times New Roman" w:hAnsi="Times New Roman"/>
          <w:sz w:val="20"/>
        </w:rPr>
        <w:t xml:space="preserve">The SEC allows us to incorporate by reference the information we have filed with the SEC. This means that we can disclose important information to you without actually including the specific information in this prospectus by referring you to other documents filed separately with the SEC. These other documents contain important information about us, our financial condition and results of operations. The information incorporated by reference is an important part of this prospectus. Information that we file later with the SEC will automatically update and may replace information in this prospectus and information previously filed with the SEC. We incorporate by reference the documents listed below and any future filings made by Plains All American Pipeline, L.P. with the SEC under Sections 13(a), 13(c), 14 or 15(d) of the Securities Exchange Act of 1934 (excluding any information furnished and not filed with the SEC) until all offerings under this shelf registration statement are completed or after the date on which the registration statement that includes this prospectus was initially filed with the SEC and before the effectiveness of such registration statement: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1"/>
        <w:gridCol w:w="9493"/>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Annual Report on Form 10-K for the year ended December 31, 2008;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Quarterly Reports on Form 10-Q for the quarters ended March 31, 2009 and June 30, 2009;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February 25, 2009 (compensation arrangements for certain of our executive officers);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1"/>
        <w:gridCol w:w="9493"/>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March 12, 2009 (audited balance sheet of PAA GP LLC as of December 31, 2008);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(other than Item 7.01, which was furnished) with the SEC on March 18, 2009 (documentation related to equity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April 20, 2009 (documentation related to debt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(other than Items 7.01 and 9.01, which were furnished) with the SEC on May 22, 2009 (election of Christopher M. Temple to the board of directors of Plains All American GP LLC);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2"/>
        <w:gridCol w:w="9493"/>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July 7, 2009 (unaudited balance sheet of PAA GP LLC as of March 31, 2009);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July 23, 2009 (documentation related to debt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(other than Items 7.01 and 9.01, which were furnished) with the SEC on August 28, 2009 (unregistered sale of equity securities);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8"/>
        <w:gridCol w:w="204"/>
        <w:gridCol w:w="102"/>
        <w:gridCol w:w="9491"/>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September 3, 2009 (amendment of the Limited Partnership Agreement of Plains All American Pipeline, L.P.);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September 4, 2009 (documentation related to debt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(other than Item 7.01, which was furnished) with the SEC on September 11, 2009 (documentation related to equity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September 28, 2009 (audited balance sheet of PAA GP LLC as of June 30, 2009);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description of our common units contained in our Form 8-A/A dated November 3, 1998 and any subsequent amendment thereto filed for the purpose of updating such description. </w:t>
            </w:r>
          </w:p>
        </w:tc>
      </w:tr>
    </w:tbl>
    <w:p>
      <w:pPr>
        <w:pStyle w:val="TextBody"/>
        <w:spacing w:before="180" w:after="0"/>
        <w:rPr>
          <w:rFonts w:ascii="Times New Roman" w:hAnsi="Times New Roman"/>
          <w:sz w:val="20"/>
        </w:rPr>
      </w:pPr>
      <w:r>
        <w:rPr>
          <w:rFonts w:ascii="Times New Roman" w:hAnsi="Times New Roman"/>
          <w:sz w:val="20"/>
        </w:rPr>
        <w:t xml:space="preserve">You may obtain any of the documents incorporated by reference in this prospectus from the SEC through the SECs website at the address provided above. You also may request a copy of any document incorporated by reference in this prospectus (including exhibits to those documents specifically incorporated by reference in this document), at no cost, by visiting our internet website at www.paalp.com, or by writing or calling us at the following address: </w:t>
      </w:r>
    </w:p>
    <w:p>
      <w:pPr>
        <w:pStyle w:val="TextBody"/>
        <w:spacing w:before="180" w:after="0"/>
        <w:jc w:val="center"/>
        <w:rPr>
          <w:rFonts w:ascii="Times New Roman" w:hAnsi="Times New Roman"/>
          <w:sz w:val="20"/>
        </w:rPr>
      </w:pPr>
      <w:r>
        <w:rPr>
          <w:rFonts w:ascii="Times New Roman" w:hAnsi="Times New Roman"/>
          <w:sz w:val="20"/>
        </w:rPr>
        <w:t xml:space="preserve">Plains All American Pipeline, L.P. </w:t>
      </w:r>
    </w:p>
    <w:p>
      <w:pPr>
        <w:pStyle w:val="TextBody"/>
        <w:spacing w:before="0" w:after="0"/>
        <w:jc w:val="center"/>
        <w:rPr>
          <w:rFonts w:ascii="Times New Roman" w:hAnsi="Times New Roman"/>
          <w:sz w:val="20"/>
        </w:rPr>
      </w:pPr>
      <w:r>
        <w:rPr>
          <w:rFonts w:ascii="Times New Roman" w:hAnsi="Times New Roman"/>
          <w:sz w:val="20"/>
        </w:rPr>
        <w:t xml:space="preserve">333 Clay Street, Suite 1600 </w:t>
      </w:r>
    </w:p>
    <w:p>
      <w:pPr>
        <w:pStyle w:val="TextBody"/>
        <w:spacing w:before="0" w:after="0"/>
        <w:jc w:val="center"/>
        <w:rPr>
          <w:rFonts w:ascii="Times New Roman" w:hAnsi="Times New Roman"/>
          <w:sz w:val="20"/>
        </w:rPr>
      </w:pPr>
      <w:r>
        <w:rPr>
          <w:rFonts w:ascii="Times New Roman" w:hAnsi="Times New Roman"/>
          <w:sz w:val="20"/>
        </w:rPr>
        <w:t xml:space="preserve">Houston, Texas 77002 </w:t>
      </w:r>
    </w:p>
    <w:p>
      <w:pPr>
        <w:pStyle w:val="TextBody"/>
        <w:spacing w:before="0" w:after="0"/>
        <w:jc w:val="center"/>
        <w:rPr>
          <w:rFonts w:ascii="Times New Roman" w:hAnsi="Times New Roman"/>
          <w:sz w:val="20"/>
        </w:rPr>
      </w:pPr>
      <w:r>
        <w:rPr>
          <w:rFonts w:ascii="Times New Roman" w:hAnsi="Times New Roman"/>
          <w:sz w:val="20"/>
        </w:rPr>
        <w:t xml:space="preserve">Attention: Tim Moore </w:t>
      </w:r>
    </w:p>
    <w:p>
      <w:pPr>
        <w:pStyle w:val="TextBody"/>
        <w:spacing w:before="0" w:after="0"/>
        <w:jc w:val="center"/>
        <w:rPr>
          <w:rFonts w:ascii="Times New Roman" w:hAnsi="Times New Roman"/>
          <w:sz w:val="20"/>
        </w:rPr>
      </w:pPr>
      <w:r>
        <w:rPr>
          <w:rFonts w:ascii="Times New Roman" w:hAnsi="Times New Roman"/>
          <w:sz w:val="20"/>
        </w:rPr>
        <w:t xml:space="preserve">Telephone: (713) 646-4100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4" w:name="rom314176_113"/>
      <w:bookmarkStart w:id="25" w:name="supprom314176_16"/>
      <w:bookmarkEnd w:id="24"/>
      <w:bookmarkEnd w:id="25"/>
      <w:r>
        <w:rPr>
          <w:rFonts w:ascii="Times New Roman" w:hAnsi="Times New Roman"/>
          <w:b/>
          <w:sz w:val="20"/>
        </w:rPr>
        <w:t xml:space="preserve">FORWARD-LOOKING STATEMENTS </w:t>
      </w:r>
    </w:p>
    <w:p>
      <w:pPr>
        <w:pStyle w:val="TextBody"/>
        <w:spacing w:before="180" w:after="0"/>
        <w:rPr>
          <w:rFonts w:ascii="Times New Roman" w:hAnsi="Times New Roman"/>
          <w:sz w:val="20"/>
        </w:rPr>
      </w:pPr>
      <w:r>
        <w:rPr>
          <w:rFonts w:ascii="Times New Roman" w:hAnsi="Times New Roman"/>
          <w:sz w:val="20"/>
        </w:rPr>
        <w:t xml:space="preserve">All statements included or incorporated by reference in this prospectus or the accompanying prospectus supplement, other than statements of historical fact, are forward-looking statements, including but not limited to statements identified by the words anticipate, believe, estimate, expect, plan, intend and forecast, as well as similar expressions and statements regarding our business strategy, plans and objectives of our management for future operations. The absence of these words, however, does not mean that the statements are not forward-looking.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1"/>
        <w:gridCol w:w="9493"/>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implement or capitalize on planned internal growth projects;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maintenance of our credit rating and ability to receive open credit from our suppliers and trade counterparties;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continued creditworthiness of, and performance by, our counterparties, including financial institutions and trading companies with which we do business;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success of our risk management activities;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environmental liabilities or events that are not covered by an indemnity, insurance or existing reserves;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2"/>
        <w:gridCol w:w="9491"/>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abrupt or severe declines or interruptions in outer continental shelf production located offshore California and transported on our pipeline systems;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shortages or cost increases of power supplies, materials or labor;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fluctuations in refinery capacity in areas supplied by our mainlines and other factors affecting demand for various grades of crude oil, refined products and natural gas and resulting changes in pricing conditions or transportation throughput requirements;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availability of, and our ability to consummate, acquisition or combination opportunities;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obtain debt or equity financing on satisfactory terms to fund additional acquisitions, expansion projects, working capital requirements and the repayment or refinancing of indebtedness;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successful integration and future performance of acquired assets or businesses and the risks associated with operating in lines of business that are distinct and separate from our historical operations;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unanticipated changes in crude oil market structure and volatility (or lack thereof);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impact of current and future laws, rulings, governmental regulations, accounting standards and statements and related interpretations;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effects of competition;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2"/>
        <w:gridCol w:w="9491"/>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interruptions in service and fluctuations in tariffs or volumes on third-party pipelines;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increased costs or lack of availability of insurance;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fluctuations in the debt and equity markets, including the price of our units at the time of vesting under our long-term incentive plans;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currency exchange rate of the Canadian dollar;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weather interference with business operations or project construction;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risks related to the development and operation of natural gas storage facilities;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future developments and circumstances at the time distributions are declared;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general economic, market or business conditions and the amplification of other risks caused by deteriorated financial markets, capital constraints and pervasive liquidity concerns;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other factors and uncertainties inherent in the transportation, storage, terminalling and marketing of crude oil, refined products and liquefied petroleum gas and other natural gas related petroleum products. </w:t>
            </w:r>
          </w:p>
        </w:tc>
      </w:tr>
    </w:tbl>
    <w:p>
      <w:pPr>
        <w:pStyle w:val="TextBody"/>
        <w:spacing w:before="180" w:after="0"/>
        <w:rPr>
          <w:rFonts w:ascii="Times New Roman" w:hAnsi="Times New Roman"/>
          <w:sz w:val="20"/>
        </w:rPr>
      </w:pPr>
      <w:r>
        <w:rPr>
          <w:rFonts w:ascii="Times New Roman" w:hAnsi="Times New Roman"/>
          <w:sz w:val="20"/>
        </w:rPr>
        <w:t xml:space="preserve">Other factors described herein or incorporated by reference, or factors that are unknown or unpredictable, could also have a material adverse effect on future results. Please read Risk Factors beginning on page 6 of this prospectus and in Item 1A. Risk Factors in our Annual Report on Form 10-K for the year ended December 31, 2008. Except as required by applicable securities laws, we do not intend to update these forward-looking statements and information.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6" w:name="rom314176_114"/>
      <w:bookmarkStart w:id="27" w:name="supprom314176_17"/>
      <w:bookmarkEnd w:id="26"/>
      <w:bookmarkEnd w:id="27"/>
      <w:r>
        <w:rPr>
          <w:rFonts w:ascii="Times New Roman" w:hAnsi="Times New Roman"/>
          <w:b/>
          <w:sz w:val="20"/>
        </w:rPr>
        <w:t xml:space="preserve">WHO WE ARE </w:t>
      </w:r>
    </w:p>
    <w:p>
      <w:pPr>
        <w:pStyle w:val="TextBody"/>
        <w:spacing w:before="180" w:after="0"/>
        <w:rPr>
          <w:rFonts w:ascii="Times New Roman" w:hAnsi="Times New Roman"/>
          <w:sz w:val="20"/>
        </w:rPr>
      </w:pPr>
      <w:r>
        <w:rPr>
          <w:rFonts w:ascii="Times New Roman" w:hAnsi="Times New Roman"/>
          <w:sz w:val="20"/>
        </w:rPr>
        <w:t xml:space="preserve">We are a Delaware limited partnership formed in September 1998. Our operations are conducted directly and indirectly through our primary operating subsidiaries. We are engaged in the transportation, storage, terminalling and marketing of crude oil, refined products and liquefied petroleum gas and other natural gas-related petroleum products. We have an extensive network of pipeline transportation, terminalling, storage and gathering assets in key oil-producing basins and transportation corridors, and at major market hubs in the United States and Canada. We are also engaged in the development and operation of natural gas storage facilities. </w:t>
      </w:r>
    </w:p>
    <w:p>
      <w:pPr>
        <w:pStyle w:val="TextBody"/>
        <w:spacing w:before="180" w:after="0"/>
        <w:rPr>
          <w:rFonts w:ascii="Times New Roman" w:hAnsi="Times New Roman"/>
          <w:sz w:val="20"/>
        </w:rPr>
      </w:pPr>
      <w:r>
        <w:rPr>
          <w:rFonts w:ascii="Times New Roman" w:hAnsi="Times New Roman"/>
          <w:sz w:val="20"/>
        </w:rPr>
        <w:t xml:space="preserve">PAA Finance Corp. was incorporated under the laws of the State of Delaware in May 2004, is wholly owned by Plains All American Pipeline, and has no material assets or any liabilities other than as a co-issuer of debt securities. Its activities are limited to co-issuing debt securities and engaging in other activities incidental thereto. </w:t>
      </w:r>
    </w:p>
    <w:p>
      <w:pPr>
        <w:pStyle w:val="TextBody"/>
        <w:spacing w:before="180" w:after="0"/>
        <w:rPr>
          <w:rFonts w:ascii="Times New Roman" w:hAnsi="Times New Roman"/>
          <w:sz w:val="20"/>
        </w:rPr>
      </w:pPr>
      <w:r>
        <w:rPr>
          <w:rFonts w:ascii="Times New Roman" w:hAnsi="Times New Roman"/>
          <w:sz w:val="20"/>
        </w:rPr>
        <w:t xml:space="preserve">For purposes of this prospectus, unless the context clearly indicates otherwise, we, us, our and the Partnership refer to Plains All American Pipeline, L.P. and its subsidiaries. References to our general partner, as the context requires, include any or all of PAA GP LLC, Plains AAP, L.P. and Plains All American GP LLC. </w:t>
      </w:r>
    </w:p>
    <w:p>
      <w:pPr>
        <w:pStyle w:val="TextBody"/>
        <w:spacing w:before="180" w:after="0"/>
        <w:rPr>
          <w:rFonts w:ascii="Times New Roman" w:hAnsi="Times New Roman"/>
          <w:sz w:val="20"/>
        </w:rPr>
      </w:pPr>
      <w:r>
        <w:rPr>
          <w:rFonts w:ascii="Times New Roman" w:hAnsi="Times New Roman"/>
          <w:sz w:val="20"/>
        </w:rPr>
        <w:t xml:space="preserve">Our executive offices are located at 333 Clay Street, Suite 1600, Houston, Texas 77002 and our telephone number is (713) 646-4100. </w:t>
      </w:r>
    </w:p>
    <w:p>
      <w:pPr>
        <w:pStyle w:val="TextBody"/>
        <w:spacing w:before="180" w:after="0"/>
        <w:rPr>
          <w:rFonts w:ascii="Times New Roman" w:hAnsi="Times New Roman"/>
          <w:sz w:val="20"/>
        </w:rPr>
      </w:pPr>
      <w:r>
        <w:rPr>
          <w:rFonts w:ascii="Times New Roman" w:hAnsi="Times New Roman"/>
          <w:sz w:val="20"/>
        </w:rPr>
        <w:t xml:space="preserve">For additional information as to our business, properties and financial condition please refer to the documents cited in Where You Can Find More Information.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8" w:name="rom314176_115"/>
      <w:bookmarkStart w:id="29" w:name="supprom314176_18"/>
      <w:bookmarkEnd w:id="28"/>
      <w:bookmarkEnd w:id="29"/>
      <w:r>
        <w:rPr>
          <w:rFonts w:ascii="Times New Roman" w:hAnsi="Times New Roman"/>
          <w:b/>
          <w:sz w:val="20"/>
        </w:rPr>
        <w:t xml:space="preserve">RISK FACTORS </w:t>
      </w:r>
    </w:p>
    <w:p>
      <w:pPr>
        <w:pStyle w:val="TextBody"/>
        <w:spacing w:before="180" w:after="0"/>
        <w:rPr>
          <w:rFonts w:ascii="Times New Roman" w:hAnsi="Times New Roman"/>
          <w:sz w:val="20"/>
        </w:rPr>
      </w:pPr>
      <w:r>
        <w:rPr>
          <w:rFonts w:ascii="Times New Roman" w:hAnsi="Times New Roman"/>
          <w:sz w:val="20"/>
        </w:rPr>
        <w:t xml:space="preserve">An investment in our securities involves a high degree of risk. You should carefully consider the risk factors and all of the other information included in, or incorporated by reference into, this prospectus, including those in Item 1A. Risk Factors in our Annual Report on Form 10-K for the year ended December 31, 2008, in evaluating an investment in our securities. If any of these risks were to occur, our business, financial condition or results of operations could be adversely affected. In that case, the trading price of our common units or value of our debt securities could decline and you could lose all or part of your investment. When we offer and sell any securities pursuant to a prospectus supplement, we may include additional risk factors relevant to such securities in the prospectus supplement.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0" w:name="rom314176_116"/>
      <w:bookmarkStart w:id="31" w:name="supprom314176_19"/>
      <w:bookmarkEnd w:id="30"/>
      <w:bookmarkEnd w:id="31"/>
      <w:r>
        <w:rPr>
          <w:rFonts w:ascii="Times New Roman" w:hAnsi="Times New Roman"/>
          <w:b/>
          <w:sz w:val="20"/>
        </w:rPr>
        <w:t xml:space="preserve">USE OF PROCEEDS </w:t>
      </w:r>
    </w:p>
    <w:p>
      <w:pPr>
        <w:pStyle w:val="TextBody"/>
        <w:spacing w:before="180" w:after="0"/>
        <w:rPr>
          <w:rFonts w:ascii="Times New Roman" w:hAnsi="Times New Roman"/>
          <w:sz w:val="20"/>
        </w:rPr>
      </w:pPr>
      <w:r>
        <w:rPr>
          <w:rFonts w:ascii="Times New Roman" w:hAnsi="Times New Roman"/>
          <w:sz w:val="20"/>
        </w:rPr>
        <w:t xml:space="preserve">Unless otherwise indicated to the contrary in an accompanying prospectus supplement, we will use the net proceeds from the sale of securities covered by this prospectus for general partnership purposes, which may include repayment of indebtedness, the acquisition of businesses and other capital expenditures and additions to working capital. </w:t>
      </w:r>
    </w:p>
    <w:p>
      <w:pPr>
        <w:pStyle w:val="TextBody"/>
        <w:spacing w:before="180" w:after="0"/>
        <w:rPr>
          <w:rFonts w:ascii="Times New Roman" w:hAnsi="Times New Roman"/>
          <w:sz w:val="20"/>
        </w:rPr>
      </w:pPr>
      <w:r>
        <w:rPr>
          <w:rFonts w:ascii="Times New Roman" w:hAnsi="Times New Roman"/>
          <w:sz w:val="20"/>
        </w:rPr>
        <w:t xml:space="preserve">Any specific allocation of the net proceeds of an offering of securities to a specific purpose will be determined at the time of the offering and will be described in a prospectus supplement.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2" w:name="rom314176_117"/>
      <w:bookmarkStart w:id="33" w:name="supprom314176_20"/>
      <w:bookmarkEnd w:id="32"/>
      <w:bookmarkEnd w:id="33"/>
      <w:r>
        <w:rPr>
          <w:rFonts w:ascii="Times New Roman" w:hAnsi="Times New Roman"/>
          <w:b/>
          <w:sz w:val="20"/>
        </w:rPr>
        <w:t xml:space="preserve">RATIO OF EARNINGS TO FIXED CHARGES </w:t>
      </w:r>
    </w:p>
    <w:p>
      <w:pPr>
        <w:pStyle w:val="TextBody"/>
        <w:spacing w:before="180" w:after="0"/>
        <w:rPr>
          <w:rFonts w:ascii="Times New Roman" w:hAnsi="Times New Roman"/>
          <w:sz w:val="20"/>
        </w:rPr>
      </w:pPr>
      <w:r>
        <w:rPr>
          <w:rFonts w:ascii="Times New Roman" w:hAnsi="Times New Roman"/>
          <w:sz w:val="20"/>
        </w:rPr>
        <w:t xml:space="preserve">The following table sets forth our historical consolidated ratio of earnings to fixed charges for the periods indicated.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that portion of rental expense on operating leases deemed to be the equivalent of interest.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321"/>
        <w:gridCol w:w="222"/>
        <w:gridCol w:w="60"/>
        <w:gridCol w:w="555"/>
        <w:gridCol w:w="120"/>
        <w:gridCol w:w="222"/>
        <w:gridCol w:w="60"/>
        <w:gridCol w:w="487"/>
        <w:gridCol w:w="120"/>
        <w:gridCol w:w="222"/>
        <w:gridCol w:w="60"/>
        <w:gridCol w:w="487"/>
        <w:gridCol w:w="120"/>
        <w:gridCol w:w="221"/>
        <w:gridCol w:w="60"/>
        <w:gridCol w:w="487"/>
        <w:gridCol w:w="120"/>
        <w:gridCol w:w="222"/>
        <w:gridCol w:w="60"/>
        <w:gridCol w:w="487"/>
        <w:gridCol w:w="222"/>
        <w:gridCol w:w="357"/>
        <w:gridCol w:w="60"/>
        <w:gridCol w:w="487"/>
        <w:gridCol w:w="366"/>
      </w:tblGrid>
      <w:tr>
        <w:trPr/>
        <w:tc>
          <w:tcPr>
            <w:tcW w:w="4321"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35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sz w:val="4"/>
                <w:szCs w:val="4"/>
              </w:rPr>
            </w:pPr>
            <w:r>
              <w:rPr>
                <w:sz w:val="4"/>
                <w:szCs w:val="4"/>
              </w:rPr>
            </w:r>
          </w:p>
        </w:tc>
      </w:tr>
      <w:tr>
        <w:trPr/>
        <w:tc>
          <w:tcPr>
            <w:tcW w:w="4321" w:type="dxa"/>
            <w:vMerge w:val="restart"/>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615" w:type="dxa"/>
            <w:gridSpan w:val="2"/>
            <w:vMerge w:val="restart"/>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Six  Months</w:t>
            </w:r>
            <w:r>
              <w:rPr/>
              <w:br/>
            </w:r>
            <w:r>
              <w:rPr>
                <w:rFonts w:ascii="Times New Roman" w:hAnsi="Times New Roman"/>
                <w:b/>
                <w:sz w:val="14"/>
              </w:rPr>
              <w:t>Ended</w:t>
            </w:r>
            <w:r>
              <w:rPr/>
              <w:br/>
            </w:r>
            <w:r>
              <w:rPr>
                <w:rFonts w:ascii="Times New Roman" w:hAnsi="Times New Roman"/>
                <w:b/>
                <w:sz w:val="14"/>
              </w:rPr>
              <w:t>June  30,</w:t>
            </w:r>
            <w:r>
              <w:rPr/>
              <w:br/>
            </w:r>
            <w:r>
              <w:rPr>
                <w:rFonts w:ascii="Times New Roman" w:hAnsi="Times New Roman"/>
                <w:b/>
                <w:sz w:val="14"/>
              </w:rPr>
              <w:t>2009</w:t>
            </w:r>
          </w:p>
        </w:tc>
        <w:tc>
          <w:tcPr>
            <w:tcW w:w="120" w:type="dxa"/>
            <w:vMerge w:val="restart"/>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4339"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Year Ended December 31,</w:t>
            </w:r>
          </w:p>
        </w:tc>
        <w:tc>
          <w:tcPr>
            <w:tcW w:w="366" w:type="dxa"/>
            <w:tcBorders/>
            <w:shd w:fill="auto" w:val="clear"/>
            <w:vAlign w:val="bottom"/>
          </w:tcPr>
          <w:p>
            <w:pPr>
              <w:pStyle w:val="TableContents"/>
              <w:spacing w:before="0" w:after="283"/>
              <w:rPr/>
            </w:pPr>
            <w:r>
              <w:rPr/>
              <w:t> </w:t>
            </w:r>
          </w:p>
        </w:tc>
      </w:tr>
      <w:tr>
        <w:trPr/>
        <w:tc>
          <w:tcPr>
            <w:tcW w:w="4321" w:type="dxa"/>
            <w:vMerge w:val="continue"/>
            <w:tcBorders/>
            <w:shd w:fill="auto" w:val="clear"/>
            <w:vAlign w:val="bottom"/>
          </w:tcPr>
          <w:p>
            <w:pPr>
              <w:pStyle w:val="Normal"/>
              <w:rPr/>
            </w:pPr>
            <w:r>
              <w:rPr/>
            </w:r>
          </w:p>
        </w:tc>
        <w:tc>
          <w:tcPr>
            <w:tcW w:w="222" w:type="dxa"/>
            <w:tcBorders/>
            <w:shd w:fill="auto" w:val="clear"/>
            <w:vAlign w:val="bottom"/>
          </w:tcPr>
          <w:p>
            <w:pPr>
              <w:pStyle w:val="TableContents"/>
              <w:spacing w:before="0" w:after="283"/>
              <w:rPr/>
            </w:pPr>
            <w:r>
              <w:rPr/>
              <w:t>  </w:t>
            </w:r>
          </w:p>
        </w:tc>
        <w:tc>
          <w:tcPr>
            <w:tcW w:w="615" w:type="dxa"/>
            <w:gridSpan w:val="2"/>
            <w:vMerge w:val="continue"/>
            <w:tcBorders>
              <w:bottom w:val="single" w:sz="2" w:space="0" w:color="000000"/>
            </w:tcBorders>
            <w:shd w:fill="auto" w:val="clear"/>
            <w:tcMar>
              <w:bottom w:w="28" w:type="dxa"/>
            </w:tcMar>
            <w:vAlign w:val="bottom"/>
          </w:tcPr>
          <w:p>
            <w:pPr>
              <w:pStyle w:val="Normal"/>
              <w:rPr/>
            </w:pPr>
            <w:r>
              <w:rPr/>
            </w:r>
          </w:p>
        </w:tc>
        <w:tc>
          <w:tcPr>
            <w:tcW w:w="120" w:type="dxa"/>
            <w:vMerge w:val="continue"/>
            <w:tcBorders/>
            <w:shd w:fill="auto" w:val="clear"/>
            <w:vAlign w:val="bottom"/>
          </w:tcPr>
          <w:p>
            <w:pPr>
              <w:pStyle w:val="Normal"/>
              <w:rPr/>
            </w:pPr>
            <w:r>
              <w:rPr/>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2007</w:t>
            </w:r>
          </w:p>
        </w:tc>
        <w:tc>
          <w:tcPr>
            <w:tcW w:w="12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222"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2004</w:t>
            </w:r>
          </w:p>
        </w:tc>
        <w:tc>
          <w:tcPr>
            <w:tcW w:w="366" w:type="dxa"/>
            <w:tcBorders/>
            <w:shd w:fill="auto" w:val="clear"/>
            <w:vAlign w:val="bottom"/>
          </w:tcPr>
          <w:p>
            <w:pPr>
              <w:pStyle w:val="TableContents"/>
              <w:spacing w:before="0" w:after="283"/>
              <w:rPr/>
            </w:pPr>
            <w:r>
              <w:rPr/>
              <w:t> </w:t>
            </w:r>
          </w:p>
        </w:tc>
      </w:tr>
      <w:tr>
        <w:trPr/>
        <w:tc>
          <w:tcPr>
            <w:tcW w:w="4321" w:type="dxa"/>
            <w:tcBorders/>
            <w:shd w:fill="CCEEFF" w:val="clear"/>
          </w:tcPr>
          <w:p>
            <w:pPr>
              <w:pStyle w:val="TableContents"/>
              <w:spacing w:before="0" w:after="283"/>
              <w:rPr/>
            </w:pPr>
            <w:r>
              <w:rPr>
                <w:rFonts w:ascii="Times New Roman" w:hAnsi="Times New Roman"/>
                <w:sz w:val="20"/>
              </w:rPr>
              <w:t>Ratio of Earnings to Fixed Charges</w:t>
            </w:r>
            <w:r>
              <w:rPr>
                <w:rFonts w:ascii="Times New Roman" w:hAnsi="Times New Roman"/>
                <w:sz w:val="14"/>
              </w:rPr>
              <w:t>(1)</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3.55x</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2.60x</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2.45x</w:t>
            </w:r>
          </w:p>
        </w:tc>
        <w:tc>
          <w:tcPr>
            <w:tcW w:w="12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2.83x</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3.34x</w:t>
            </w:r>
          </w:p>
        </w:tc>
        <w:tc>
          <w:tcPr>
            <w:tcW w:w="222" w:type="dxa"/>
            <w:tcBorders/>
            <w:shd w:fill="CCEEFF" w:val="clear"/>
            <w:vAlign w:val="bottom"/>
          </w:tcPr>
          <w:p>
            <w:pPr>
              <w:pStyle w:val="TableContents"/>
              <w:spacing w:before="0" w:after="283"/>
              <w:rPr/>
            </w:pPr>
            <w:r>
              <w:rPr/>
              <w:t>  </w:t>
            </w:r>
          </w:p>
        </w:tc>
        <w:tc>
          <w:tcPr>
            <w:tcW w:w="35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3.37x</w:t>
            </w:r>
          </w:p>
        </w:tc>
        <w:tc>
          <w:tcPr>
            <w:tcW w:w="366" w:type="dxa"/>
            <w:tcBorders/>
            <w:shd w:fill="CCEEFF" w:val="clear"/>
            <w:vAlign w:val="bottom"/>
          </w:tcPr>
          <w:p>
            <w:pPr>
              <w:pStyle w:val="TableContents"/>
              <w:spacing w:before="0" w:after="283"/>
              <w:rPr/>
            </w:pPr>
            <w:r>
              <w:rPr/>
              <w:t>  </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(1) </w:t>
            </w:r>
          </w:p>
        </w:tc>
        <w:tc>
          <w:tcPr>
            <w:tcW w:w="9900"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 xml:space="preserve">Includes interest costs attributable to borrowings for inventory stored in a contango market of $5 million, $21 million, $44 million, $49 million, $24 million and $2 million for the six months ended June 30, 2009 and each of the years ended December 31, 2008, 2007, 2006, 2005 and 2004, respectively.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4" w:name="rom314176_118"/>
      <w:bookmarkStart w:id="35" w:name="supprom314176_21"/>
      <w:bookmarkEnd w:id="34"/>
      <w:bookmarkEnd w:id="35"/>
      <w:r>
        <w:rPr>
          <w:rFonts w:ascii="Times New Roman" w:hAnsi="Times New Roman"/>
          <w:b/>
          <w:sz w:val="20"/>
        </w:rPr>
        <w:t xml:space="preserve">DESCRIPTION OF OUR DEBT SECURITIES </w:t>
      </w:r>
    </w:p>
    <w:p>
      <w:pPr>
        <w:pStyle w:val="TextBody"/>
        <w:spacing w:before="180" w:after="0"/>
        <w:rPr>
          <w:rFonts w:ascii="Times New Roman" w:hAnsi="Times New Roman"/>
          <w:b/>
          <w:sz w:val="20"/>
        </w:rPr>
      </w:pPr>
      <w:r>
        <w:rPr>
          <w:rFonts w:ascii="Times New Roman" w:hAnsi="Times New Roman"/>
          <w:b/>
          <w:sz w:val="20"/>
        </w:rPr>
        <w:t xml:space="preserve">General </w:t>
      </w:r>
    </w:p>
    <w:p>
      <w:pPr>
        <w:pStyle w:val="TextBody"/>
        <w:spacing w:before="90" w:after="0"/>
        <w:rPr>
          <w:rFonts w:ascii="Times New Roman" w:hAnsi="Times New Roman"/>
          <w:sz w:val="20"/>
        </w:rPr>
      </w:pPr>
      <w:r>
        <w:rPr>
          <w:rFonts w:ascii="Times New Roman" w:hAnsi="Times New Roman"/>
          <w:sz w:val="20"/>
        </w:rPr>
        <w:t xml:space="preserve">The debt securities will be: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direct general obligations;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either senior debt securities or subordinated debt securities;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issued under separate indentures (which may be existing indentures) among us, the guarantors and U.S. Bank National Association, as Trustee. </w:t>
            </w:r>
          </w:p>
        </w:tc>
      </w:tr>
    </w:tbl>
    <w:p>
      <w:pPr>
        <w:pStyle w:val="TextBody"/>
        <w:spacing w:before="180" w:after="0"/>
        <w:rPr>
          <w:rFonts w:ascii="Times New Roman" w:hAnsi="Times New Roman"/>
          <w:sz w:val="20"/>
        </w:rPr>
      </w:pPr>
      <w:r>
        <w:rPr>
          <w:rFonts w:ascii="Times New Roman" w:hAnsi="Times New Roman"/>
          <w:sz w:val="20"/>
        </w:rPr>
        <w:t xml:space="preserve">Plains All American Pipeline may issue debt securities in one or more series, and PAA Finance may be a co-issuer of one or more series of debt securities. PAA Finance was incorporated under the laws of the State of Delaware in May 2004, is wholly-owned by Plains All American Pipeline, and has no material assets or any liabilities other than as a co-issuer of debt securities. Its activities are limited to co-issuing debt securities and engaging in other activities incidental thereto. When used in this section Description of the Debt Securities, the terms we, us, our and issuers refer jointly to Plains All American Pipeline and PAA Finance, and the terms Plains All American Pipeline and PAA Finance refer strictly to Plains All American Pipeline, L.P. and PAA Finance Corp., respectively. </w:t>
      </w:r>
    </w:p>
    <w:p>
      <w:pPr>
        <w:pStyle w:val="TextBody"/>
        <w:spacing w:before="180" w:after="0"/>
        <w:rPr>
          <w:rFonts w:ascii="Times New Roman" w:hAnsi="Times New Roman"/>
          <w:sz w:val="20"/>
        </w:rPr>
      </w:pPr>
      <w:r>
        <w:rPr>
          <w:rFonts w:ascii="Times New Roman" w:hAnsi="Times New Roman"/>
          <w:sz w:val="20"/>
        </w:rPr>
        <w:t xml:space="preserve">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the summary have the meanings specified in the indentures. </w:t>
      </w:r>
    </w:p>
    <w:p>
      <w:pPr>
        <w:pStyle w:val="TextBody"/>
        <w:spacing w:before="270" w:after="0"/>
        <w:rPr>
          <w:rFonts w:ascii="Times New Roman" w:hAnsi="Times New Roman"/>
          <w:b/>
          <w:sz w:val="20"/>
        </w:rPr>
      </w:pPr>
      <w:r>
        <w:rPr>
          <w:rFonts w:ascii="Times New Roman" w:hAnsi="Times New Roman"/>
          <w:b/>
          <w:sz w:val="20"/>
        </w:rPr>
        <w:t xml:space="preserve">Specific Terms of Each Series of Debt Securities in the Prospectus Supplement </w:t>
      </w:r>
    </w:p>
    <w:p>
      <w:pPr>
        <w:pStyle w:val="TextBody"/>
        <w:spacing w:before="90" w:after="0"/>
        <w:rPr>
          <w:rFonts w:ascii="Times New Roman" w:hAnsi="Times New Roman"/>
          <w:sz w:val="20"/>
        </w:rPr>
      </w:pPr>
      <w:r>
        <w:rPr>
          <w:rFonts w:ascii="Times New Roman" w:hAnsi="Times New Roman"/>
          <w:sz w:val="20"/>
        </w:rPr>
        <w:t xml:space="preserve">A prospectus supplement and a supplemental indenture or authorizing resolutions relating to any series of debt securities being offered will include specific terms relating to the offering. These terms will include some or all of the following: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PAA Finance will be a co-issuer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guarantors of the debt securities, if 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the debt securities are senior or subordinated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title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total principal amount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assets, if any, that are pledged as security for the payment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2"/>
        <w:gridCol w:w="9493"/>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we will issue the debt securities in individual certificates to each holder in registered form, or in the form of temporary or permanent global securities held by a depository on behalf of holders;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prices at which we will issue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1"/>
        <w:gridCol w:w="9492"/>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portion of the principal amount that will be payable if the maturity of the debt securities is accelerated;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currency or currency unit in which the debt securities will be payable, if not U.S. dollars;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dates on which the principal of the debt securities will be payable;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interest rate that the debt securities will bear and the interest payment dates for the debt securities;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conversion or exchange provisions;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optional redemption provisions;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1"/>
        <w:gridCol w:w="9493"/>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sinking fund or other provisions that would obligate us to repurchase or otherwise redeem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changes to or additional events of default or covenants;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terms of the debt securities. </w:t>
            </w:r>
          </w:p>
        </w:tc>
      </w:tr>
    </w:tbl>
    <w:p>
      <w:pPr>
        <w:pStyle w:val="TextBody"/>
        <w:spacing w:before="180" w:after="0"/>
        <w:rPr>
          <w:rFonts w:ascii="Times New Roman" w:hAnsi="Times New Roman"/>
          <w:sz w:val="20"/>
        </w:rPr>
      </w:pPr>
      <w:r>
        <w:rPr>
          <w:rFonts w:ascii="Times New Roman" w:hAnsi="Times New Roman"/>
          <w:sz w:val="20"/>
        </w:rPr>
        <w:t xml:space="preserve">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 </w:t>
      </w:r>
    </w:p>
    <w:p>
      <w:pPr>
        <w:pStyle w:val="TextBody"/>
        <w:spacing w:before="270" w:after="0"/>
        <w:rPr>
          <w:rFonts w:ascii="Times New Roman" w:hAnsi="Times New Roman"/>
          <w:b/>
          <w:sz w:val="20"/>
        </w:rPr>
      </w:pPr>
      <w:r>
        <w:rPr>
          <w:rFonts w:ascii="Times New Roman" w:hAnsi="Times New Roman"/>
          <w:b/>
          <w:sz w:val="20"/>
        </w:rPr>
        <w:t xml:space="preserve">Guarantees </w:t>
      </w:r>
    </w:p>
    <w:p>
      <w:pPr>
        <w:pStyle w:val="TextBody"/>
        <w:spacing w:before="90" w:after="0"/>
        <w:rPr>
          <w:rFonts w:ascii="Times New Roman" w:hAnsi="Times New Roman"/>
          <w:sz w:val="20"/>
        </w:rPr>
      </w:pPr>
      <w:r>
        <w:rPr>
          <w:rFonts w:ascii="Times New Roman" w:hAnsi="Times New Roman"/>
          <w:sz w:val="20"/>
        </w:rPr>
        <w:t xml:space="preserve">If specified in the prospectus supplement respecting a series of debt securities, the subsidiaries of Plains All American Pipeline specified in the prospectus supplement will unconditionally guarantee to each holder and the Trustee, on a joint and several basis, the full and prompt payment of principal of, premium, if any, and interest on the debt securities of that series when and as the same become due and payable, whether at maturity, upon redemption or repurchase, by declaration of acceleration or otherwise. If a series of debt securities is guaranteed, such series will be guaranteed by all of the subsidiaries of Plains All American Pipeline, L.P. other than the non-guarantor subsidiaries. The prospectus supplement will describe any limitation on the maximum amount of any particular guarantee and the conditions under which guarantees may be released. </w:t>
      </w:r>
    </w:p>
    <w:p>
      <w:pPr>
        <w:pStyle w:val="TextBody"/>
        <w:spacing w:before="180" w:after="0"/>
        <w:rPr>
          <w:rFonts w:ascii="Times New Roman" w:hAnsi="Times New Roman"/>
          <w:sz w:val="20"/>
        </w:rPr>
      </w:pPr>
      <w:r>
        <w:rPr>
          <w:rFonts w:ascii="Times New Roman" w:hAnsi="Times New Roman"/>
          <w:sz w:val="20"/>
        </w:rPr>
        <w:t xml:space="preserve">The guarantees will be general obligations of the guarantors. Guarantees of subordinated debt securities will be subordinated to the Senior Indebtedness of the guarantors on the same basis as the subordinated debt securities are subordinated to the Senior Indebtedness of Plains All American Pipeline. </w:t>
      </w:r>
    </w:p>
    <w:p>
      <w:pPr>
        <w:pStyle w:val="TextBody"/>
        <w:spacing w:before="270" w:after="0"/>
        <w:rPr>
          <w:rFonts w:ascii="Times New Roman" w:hAnsi="Times New Roman"/>
          <w:b/>
          <w:sz w:val="20"/>
        </w:rPr>
      </w:pPr>
      <w:r>
        <w:rPr>
          <w:rFonts w:ascii="Times New Roman" w:hAnsi="Times New Roman"/>
          <w:b/>
          <w:sz w:val="20"/>
        </w:rPr>
        <w:t xml:space="preserve">Consolidation, Merger or Asset Sale </w:t>
      </w:r>
    </w:p>
    <w:p>
      <w:pPr>
        <w:pStyle w:val="TextBody"/>
        <w:spacing w:before="90" w:after="0"/>
        <w:rPr>
          <w:rFonts w:ascii="Times New Roman" w:hAnsi="Times New Roman"/>
          <w:sz w:val="20"/>
        </w:rPr>
      </w:pPr>
      <w:r>
        <w:rPr>
          <w:rFonts w:ascii="Times New Roman" w:hAnsi="Times New Roman"/>
          <w:sz w:val="20"/>
        </w:rPr>
        <w:t xml:space="preserve">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 </w:t>
      </w:r>
    </w:p>
    <w:p>
      <w:pPr>
        <w:pStyle w:val="TextBody"/>
        <w:spacing w:before="180" w:after="0"/>
        <w:rPr>
          <w:rFonts w:ascii="Times New Roman" w:hAnsi="Times New Roman"/>
          <w:sz w:val="20"/>
        </w:rPr>
      </w:pPr>
      <w:r>
        <w:rPr>
          <w:rFonts w:ascii="Times New Roman" w:hAnsi="Times New Roman"/>
          <w:sz w:val="20"/>
        </w:rPr>
        <w:t xml:space="preserve">However, each indenture will impose certain requirements with respect to any consolidation or merger with or into an entity, or any sale, lease, transfer or other disposition of all or substantially all of an issuers assets,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remaining or acquiring entity must assume the issuers obligations under the indenture;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immediately after giving effect to the transaction, no Default or Event of Default (as defined under Events of Default and Remedies below) may exist.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remaining or acquiring entity will be substituted for the issuer in the indenture with the same effect as if it had been an original party to the indenture, and the issuer will be relieved from any further obligations under the indenture. </w:t>
      </w:r>
    </w:p>
    <w:p>
      <w:pPr>
        <w:pStyle w:val="TextBody"/>
        <w:spacing w:before="270" w:after="0"/>
        <w:rPr>
          <w:rFonts w:ascii="Times New Roman" w:hAnsi="Times New Roman"/>
          <w:b/>
          <w:sz w:val="20"/>
        </w:rPr>
      </w:pPr>
      <w:r>
        <w:rPr>
          <w:rFonts w:ascii="Times New Roman" w:hAnsi="Times New Roman"/>
          <w:b/>
          <w:sz w:val="20"/>
        </w:rPr>
        <w:t xml:space="preserve">No Protection in the Event of a Change of Control </w:t>
      </w:r>
    </w:p>
    <w:p>
      <w:pPr>
        <w:pStyle w:val="TextBody"/>
        <w:spacing w:before="90" w:after="0"/>
        <w:rPr>
          <w:rFonts w:ascii="Times New Roman" w:hAnsi="Times New Roman"/>
          <w:sz w:val="20"/>
        </w:rPr>
      </w:pPr>
      <w:r>
        <w:rPr>
          <w:rFonts w:ascii="Times New Roman" w:hAnsi="Times New Roman"/>
          <w:sz w:val="20"/>
        </w:rPr>
        <w:t xml:space="preserve">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 </w:t>
      </w:r>
    </w:p>
    <w:p>
      <w:pPr>
        <w:pStyle w:val="TextBody"/>
        <w:spacing w:before="270" w:after="0"/>
        <w:rPr>
          <w:rFonts w:ascii="Times New Roman" w:hAnsi="Times New Roman"/>
          <w:b/>
          <w:sz w:val="20"/>
        </w:rPr>
      </w:pPr>
      <w:r>
        <w:rPr>
          <w:rFonts w:ascii="Times New Roman" w:hAnsi="Times New Roman"/>
          <w:b/>
          <w:sz w:val="20"/>
        </w:rPr>
        <w:t xml:space="preserve">Modification of Indentures </w:t>
      </w:r>
    </w:p>
    <w:p>
      <w:pPr>
        <w:pStyle w:val="TextBody"/>
        <w:spacing w:before="90" w:after="0"/>
        <w:rPr>
          <w:rFonts w:ascii="Times New Roman" w:hAnsi="Times New Roman"/>
          <w:sz w:val="20"/>
        </w:rPr>
      </w:pPr>
      <w:r>
        <w:rPr>
          <w:rFonts w:ascii="Times New Roman" w:hAnsi="Times New Roman"/>
          <w:sz w:val="20"/>
        </w:rPr>
        <w:t xml:space="preserve">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principal amount of debt securities whose holders must consent to an amendment, supplement or waiver;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principal of or change the fixed maturity of any debt security;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or waive the premium payable upon redemption or alter or waive the provisions with respect to the redemption of the debt securities (except as may be permitted in the case of a particular series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2"/>
        <w:gridCol w:w="9492"/>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rate of or change the time for payment of interest on any debt security;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except as otherwise permitted under the indenture, release any security that may have been granted with respect to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any debt security payable in currency other than that stated in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case of any subordinated debt security, make any change in the subordination provisions that adversely affects the rights of any holder under those provisions;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any change in the provisions of the indenture relating to waivers of past Defaults or the rights of holders of debt securities to receive payments of principal of or premium, if any, or interest on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waive a redemption payment with respect to any debt security (except as may be permitted in the case of a particular series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except as otherwise permitted in the indenture, release any guarantor from its obligations under its guarantee or the indenture or change any guarantee in any manner that would adversely affect the rights of holders;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any change in the preceding amendment, supplement and waiver provisions (except to increase any percentage set forth therein).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We may supplement or amend an indenture without the consent of any holders of the debt securities in certain circumstances,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establish the form of terms of any series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cure any ambiguity, defect or inconsistency;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provide for uncertificated notes in addition to or in place of certified notes;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provide for the assumption of an issuers or guarantors obligations to holders of debt securities in the case of a merger or consolidation or disposition of all or substantially all of such issuers or guarantors assets;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case of any subordinated debt security, to make any change in the subordination provisions that limits or terminates the benefits applicable to any holder of Senior Indebtedness of Plains All American Pipeline;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add or release guarantors pursuant to the terms of the indenture;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make any changes that would provide any additional rights or benefits to the holders of debt securities or that do not, taken as a whole, adversely affect the rights under the indenture of any holder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2"/>
        <w:gridCol w:w="9493"/>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comply with requirements of the SEC in order to effect or maintain the qualification of the Indenture under the Trust Indenture Act;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evidence or provide for the acceptance of appointment under the indenture of a successor Trustee;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1"/>
        <w:gridCol w:w="9493"/>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add any additional Events of Default;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1"/>
        <w:gridCol w:w="9492"/>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secure the debt securities and/or the guarantees. </w:t>
            </w:r>
          </w:p>
        </w:tc>
      </w:tr>
    </w:tbl>
    <w:p>
      <w:pPr>
        <w:pStyle w:val="TextBody"/>
        <w:spacing w:before="270" w:after="0"/>
        <w:rPr>
          <w:rFonts w:ascii="Times New Roman" w:hAnsi="Times New Roman"/>
          <w:b/>
          <w:sz w:val="20"/>
        </w:rPr>
      </w:pPr>
      <w:r>
        <w:rPr>
          <w:rFonts w:ascii="Times New Roman" w:hAnsi="Times New Roman"/>
          <w:b/>
          <w:sz w:val="20"/>
        </w:rPr>
        <w:t xml:space="preserve">Events of Default and Remedies </w:t>
      </w:r>
    </w:p>
    <w:p>
      <w:pPr>
        <w:pStyle w:val="TextBody"/>
        <w:spacing w:before="90" w:after="0"/>
        <w:rPr>
          <w:rFonts w:ascii="Times New Roman" w:hAnsi="Times New Roman"/>
          <w:sz w:val="20"/>
        </w:rPr>
      </w:pPr>
      <w:r>
        <w:rPr>
          <w:rFonts w:ascii="Times New Roman" w:hAnsi="Times New Roman"/>
          <w:sz w:val="20"/>
        </w:rPr>
        <w:t xml:space="preserve">Event of Default, when used in an indenture, will mean any of the following with respect to the debt securities of any series: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pay when due the principal of or any premium on any debt security of that series;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pay, within 60 days of the due date, interest on any debt security of that series;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pay when due any sinking fund payment with respect to any debt securities of that series;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on the part of the issuers to comply with the covenant described under Consolidation, Merger or Asset Sale;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2"/>
        <w:gridCol w:w="9491"/>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perform any other covenant in the indenture that continues for 30 days after written notice is given to the issuers;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certain events of bankruptcy, insolvency or reorganization of an issuer;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Event of Default provided under the terms of the debt securities of that series. </w:t>
            </w:r>
          </w:p>
        </w:tc>
      </w:tr>
    </w:tbl>
    <w:p>
      <w:pPr>
        <w:pStyle w:val="TextBody"/>
        <w:spacing w:before="180" w:after="0"/>
        <w:rPr>
          <w:rFonts w:ascii="Times New Roman" w:hAnsi="Times New Roman"/>
          <w:sz w:val="20"/>
        </w:rPr>
      </w:pPr>
      <w:r>
        <w:rPr>
          <w:rFonts w:ascii="Times New Roman" w:hAnsi="Times New Roman"/>
          <w:sz w:val="20"/>
        </w:rPr>
        <w:t xml:space="preserve">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 </w:t>
      </w:r>
    </w:p>
    <w:p>
      <w:pPr>
        <w:pStyle w:val="TextBody"/>
        <w:spacing w:before="180" w:after="0"/>
        <w:rPr>
          <w:rFonts w:ascii="Times New Roman" w:hAnsi="Times New Roman"/>
          <w:sz w:val="20"/>
        </w:rPr>
      </w:pPr>
      <w:r>
        <w:rPr>
          <w:rFonts w:ascii="Times New Roman" w:hAnsi="Times New Roman"/>
          <w:sz w:val="20"/>
        </w:rPr>
        <w:t xml:space="preserve">If an Event of Default for any series of debt securities occurs and continues, the Trustee or the holders of at least 25% in aggregate principal amount of the debt securities of the series may declare the entire principal 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and accrued interest on, all the debt securities of that series to be due and payable immediately. If this happens, subject to certain conditions, the holders of a majority in the aggregate principal amount of the debt securities of that series can rescind the declaration. </w:t>
      </w:r>
    </w:p>
    <w:p>
      <w:pPr>
        <w:pStyle w:val="TextBody"/>
        <w:spacing w:before="180" w:after="0"/>
        <w:rPr>
          <w:rFonts w:ascii="Times New Roman" w:hAnsi="Times New Roman"/>
          <w:sz w:val="20"/>
        </w:rPr>
      </w:pPr>
      <w:r>
        <w:rPr>
          <w:rFonts w:ascii="Times New Roman" w:hAnsi="Times New Roman"/>
          <w:sz w:val="20"/>
        </w:rPr>
        <w:t xml:space="preserve">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 </w:t>
      </w:r>
    </w:p>
    <w:p>
      <w:pPr>
        <w:pStyle w:val="TextBody"/>
        <w:spacing w:before="270" w:after="0"/>
        <w:rPr>
          <w:rFonts w:ascii="Times New Roman" w:hAnsi="Times New Roman"/>
          <w:b/>
          <w:sz w:val="20"/>
        </w:rPr>
      </w:pPr>
      <w:r>
        <w:rPr>
          <w:rFonts w:ascii="Times New Roman" w:hAnsi="Times New Roman"/>
          <w:b/>
          <w:sz w:val="20"/>
        </w:rPr>
        <w:t xml:space="preserve">No Limit on Amount of Debt Securities </w:t>
      </w:r>
    </w:p>
    <w:p>
      <w:pPr>
        <w:pStyle w:val="TextBody"/>
        <w:spacing w:before="90" w:after="0"/>
        <w:rPr>
          <w:rFonts w:ascii="Times New Roman" w:hAnsi="Times New Roman"/>
          <w:sz w:val="20"/>
        </w:rPr>
      </w:pPr>
      <w:r>
        <w:rPr>
          <w:rFonts w:ascii="Times New Roman" w:hAnsi="Times New Roman"/>
          <w:sz w:val="20"/>
        </w:rPr>
        <w:t xml:space="preserve">Neither indenture will limit the amount of debt securities that we may issue, unless we indicate otherwise in a prospectus supplement. Each indenture will allow us to issue debt securities of any series up to the aggregate principal amount that we authorize. </w:t>
      </w:r>
    </w:p>
    <w:p>
      <w:pPr>
        <w:pStyle w:val="TextBody"/>
        <w:spacing w:before="270" w:after="0"/>
        <w:rPr>
          <w:rFonts w:ascii="Times New Roman" w:hAnsi="Times New Roman"/>
          <w:b/>
          <w:sz w:val="20"/>
        </w:rPr>
      </w:pPr>
      <w:r>
        <w:rPr>
          <w:rFonts w:ascii="Times New Roman" w:hAnsi="Times New Roman"/>
          <w:b/>
          <w:sz w:val="20"/>
        </w:rPr>
        <w:t xml:space="preserve">Registration of Notes </w:t>
      </w:r>
    </w:p>
    <w:p>
      <w:pPr>
        <w:pStyle w:val="TextBody"/>
        <w:spacing w:before="90" w:after="0"/>
        <w:rPr>
          <w:rFonts w:ascii="Times New Roman" w:hAnsi="Times New Roman"/>
          <w:sz w:val="20"/>
        </w:rPr>
      </w:pPr>
      <w:r>
        <w:rPr>
          <w:rFonts w:ascii="Times New Roman" w:hAnsi="Times New Roman"/>
          <w:sz w:val="20"/>
        </w:rPr>
        <w:t xml:space="preserve">We will issue debt securities of a series only in registered form, without coupons, unless otherwise indicated in the prospectus supplement. </w:t>
      </w:r>
    </w:p>
    <w:p>
      <w:pPr>
        <w:pStyle w:val="TextBody"/>
        <w:spacing w:before="270" w:after="0"/>
        <w:rPr>
          <w:rFonts w:ascii="Times New Roman" w:hAnsi="Times New Roman"/>
          <w:b/>
          <w:sz w:val="20"/>
        </w:rPr>
      </w:pPr>
      <w:r>
        <w:rPr>
          <w:rFonts w:ascii="Times New Roman" w:hAnsi="Times New Roman"/>
          <w:b/>
          <w:sz w:val="20"/>
        </w:rPr>
        <w:t xml:space="preserve">Minimum Denominations </w:t>
      </w:r>
    </w:p>
    <w:p>
      <w:pPr>
        <w:pStyle w:val="TextBody"/>
        <w:spacing w:before="90" w:after="0"/>
        <w:rPr>
          <w:rFonts w:ascii="Times New Roman" w:hAnsi="Times New Roman"/>
          <w:sz w:val="20"/>
        </w:rPr>
      </w:pPr>
      <w:r>
        <w:rPr>
          <w:rFonts w:ascii="Times New Roman" w:hAnsi="Times New Roman"/>
          <w:sz w:val="20"/>
        </w:rPr>
        <w:t xml:space="preserve">Unless the prospectus supplement states otherwise, the debt securities will be issued only in principal amounts of $1,000 each or integral multiples of $1,000. </w:t>
      </w:r>
    </w:p>
    <w:p>
      <w:pPr>
        <w:pStyle w:val="TextBody"/>
        <w:spacing w:before="270" w:after="0"/>
        <w:rPr>
          <w:rFonts w:ascii="Times New Roman" w:hAnsi="Times New Roman"/>
          <w:b/>
          <w:sz w:val="20"/>
        </w:rPr>
      </w:pPr>
      <w:r>
        <w:rPr>
          <w:rFonts w:ascii="Times New Roman" w:hAnsi="Times New Roman"/>
          <w:b/>
          <w:sz w:val="20"/>
        </w:rPr>
        <w:t xml:space="preserve">No Personal Liability </w:t>
      </w:r>
    </w:p>
    <w:p>
      <w:pPr>
        <w:pStyle w:val="TextBody"/>
        <w:spacing w:before="90" w:after="0"/>
        <w:rPr>
          <w:rFonts w:ascii="Times New Roman" w:hAnsi="Times New Roman"/>
          <w:sz w:val="20"/>
        </w:rPr>
      </w:pPr>
      <w:r>
        <w:rPr>
          <w:rFonts w:ascii="Times New Roman" w:hAnsi="Times New Roman"/>
          <w:sz w:val="20"/>
        </w:rPr>
        <w:t xml:space="preserve">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 </w:t>
      </w:r>
    </w:p>
    <w:p>
      <w:pPr>
        <w:pStyle w:val="TextBody"/>
        <w:spacing w:before="270" w:after="0"/>
        <w:rPr>
          <w:rFonts w:ascii="Times New Roman" w:hAnsi="Times New Roman"/>
          <w:b/>
          <w:sz w:val="20"/>
        </w:rPr>
      </w:pPr>
      <w:r>
        <w:rPr>
          <w:rFonts w:ascii="Times New Roman" w:hAnsi="Times New Roman"/>
          <w:b/>
          <w:sz w:val="20"/>
        </w:rPr>
        <w:t xml:space="preserve">Payment and Transfer </w:t>
      </w:r>
    </w:p>
    <w:p>
      <w:pPr>
        <w:pStyle w:val="TextBody"/>
        <w:spacing w:before="90" w:after="0"/>
        <w:rPr>
          <w:rFonts w:ascii="Times New Roman" w:hAnsi="Times New Roman"/>
          <w:sz w:val="20"/>
        </w:rPr>
      </w:pPr>
      <w:r>
        <w:rPr>
          <w:rFonts w:ascii="Times New Roman" w:hAnsi="Times New Roman"/>
          <w:sz w:val="20"/>
        </w:rPr>
        <w:t xml:space="preserve">The Trustee will initially act as paying agent and registrar under each indenture. The issuers may change the paying agent or registrar without prior notice to the holders of debt securities, and the issuers or any of their subsidiaries may act as paying agent or registrar. </w:t>
      </w:r>
    </w:p>
    <w:p>
      <w:pPr>
        <w:pStyle w:val="TextBody"/>
        <w:spacing w:before="180" w:after="0"/>
        <w:rPr>
          <w:rFonts w:ascii="Times New Roman" w:hAnsi="Times New Roman"/>
          <w:sz w:val="20"/>
        </w:rPr>
      </w:pPr>
      <w:r>
        <w:rPr>
          <w:rFonts w:ascii="Times New Roman" w:hAnsi="Times New Roman"/>
          <w:sz w:val="20"/>
        </w:rPr>
        <w:t xml:space="preserve">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 </w:t>
      </w:r>
    </w:p>
    <w:p>
      <w:pPr>
        <w:pStyle w:val="TextBody"/>
        <w:spacing w:before="180" w:after="0"/>
        <w:rPr>
          <w:rFonts w:ascii="Times New Roman" w:hAnsi="Times New Roman"/>
          <w:sz w:val="20"/>
        </w:rPr>
      </w:pPr>
      <w:r>
        <w:rPr>
          <w:rFonts w:ascii="Times New Roman" w:hAnsi="Times New Roman"/>
          <w:sz w:val="20"/>
        </w:rPr>
        <w:t xml:space="preserve">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Exchange, Registration and Transfer </w:t>
      </w:r>
    </w:p>
    <w:p>
      <w:pPr>
        <w:pStyle w:val="TextBody"/>
        <w:spacing w:before="90" w:after="0"/>
        <w:rPr>
          <w:rFonts w:ascii="Times New Roman" w:hAnsi="Times New Roman"/>
          <w:sz w:val="20"/>
        </w:rPr>
      </w:pPr>
      <w:r>
        <w:rPr>
          <w:rFonts w:ascii="Times New Roman" w:hAnsi="Times New Roman"/>
          <w:sz w:val="20"/>
        </w:rPr>
        <w:t xml:space="preserve">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 </w:t>
      </w:r>
    </w:p>
    <w:p>
      <w:pPr>
        <w:pStyle w:val="TextBody"/>
        <w:spacing w:before="180" w:after="0"/>
        <w:rPr>
          <w:rFonts w:ascii="Times New Roman" w:hAnsi="Times New Roman"/>
          <w:sz w:val="20"/>
        </w:rPr>
      </w:pPr>
      <w:r>
        <w:rPr>
          <w:rFonts w:ascii="Times New Roman" w:hAnsi="Times New Roman"/>
          <w:sz w:val="20"/>
        </w:rPr>
        <w:t xml:space="preserve">We will not be required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2"/>
        <w:gridCol w:w="9491"/>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register the transfer of or exchange any debt security called for redemption or repurchase, except the unredeemed portion of any debt security we are redeeming or repurchasing in part. </w:t>
            </w:r>
          </w:p>
        </w:tc>
      </w:tr>
    </w:tbl>
    <w:p>
      <w:pPr>
        <w:pStyle w:val="TextBody"/>
        <w:spacing w:before="270" w:after="0"/>
        <w:rPr>
          <w:rFonts w:ascii="Times New Roman" w:hAnsi="Times New Roman"/>
          <w:b/>
          <w:sz w:val="20"/>
        </w:rPr>
      </w:pPr>
      <w:r>
        <w:rPr>
          <w:rFonts w:ascii="Times New Roman" w:hAnsi="Times New Roman"/>
          <w:b/>
          <w:sz w:val="20"/>
        </w:rPr>
        <w:t xml:space="preserve">Provisions Relating only to the Senior Debt Securities </w:t>
      </w:r>
    </w:p>
    <w:p>
      <w:pPr>
        <w:pStyle w:val="TextBody"/>
        <w:spacing w:before="90" w:after="0"/>
        <w:rPr>
          <w:rFonts w:ascii="Times New Roman" w:hAnsi="Times New Roman"/>
          <w:sz w:val="20"/>
        </w:rPr>
      </w:pPr>
      <w:r>
        <w:rPr>
          <w:rFonts w:ascii="Times New Roman" w:hAnsi="Times New Roman"/>
          <w:sz w:val="20"/>
        </w:rPr>
        <w:t xml:space="preserve">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 </w:t>
      </w:r>
    </w:p>
    <w:p>
      <w:pPr>
        <w:pStyle w:val="TextBody"/>
        <w:spacing w:before="270" w:after="0"/>
        <w:rPr>
          <w:rFonts w:ascii="Times New Roman" w:hAnsi="Times New Roman"/>
          <w:b/>
          <w:sz w:val="20"/>
        </w:rPr>
      </w:pPr>
      <w:r>
        <w:rPr>
          <w:rFonts w:ascii="Times New Roman" w:hAnsi="Times New Roman"/>
          <w:b/>
          <w:sz w:val="20"/>
        </w:rPr>
        <w:t xml:space="preserve">Provisions Relating only to the Subordinated Debt Securities </w:t>
      </w:r>
    </w:p>
    <w:p>
      <w:pPr>
        <w:pStyle w:val="TextBody"/>
        <w:spacing w:before="90" w:after="0"/>
        <w:rPr>
          <w:rFonts w:ascii="Times New Roman" w:hAnsi="Times New Roman"/>
          <w:i/>
          <w:sz w:val="20"/>
        </w:rPr>
      </w:pPr>
      <w:r>
        <w:rPr>
          <w:rFonts w:ascii="Times New Roman" w:hAnsi="Times New Roman"/>
          <w:i/>
          <w:sz w:val="20"/>
        </w:rPr>
        <w:t xml:space="preserve">Subordinated Debt Securities Subordinated to Senior Indebtedness </w:t>
      </w:r>
    </w:p>
    <w:p>
      <w:pPr>
        <w:pStyle w:val="TextBody"/>
        <w:spacing w:before="90" w:after="0"/>
        <w:rPr>
          <w:rFonts w:ascii="Times New Roman" w:hAnsi="Times New Roman"/>
          <w:sz w:val="20"/>
        </w:rPr>
      </w:pPr>
      <w:r>
        <w:rPr>
          <w:rFonts w:ascii="Times New Roman" w:hAnsi="Times New Roman"/>
          <w:sz w:val="20"/>
        </w:rPr>
        <w:t xml:space="preserve">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 </w:t>
      </w:r>
    </w:p>
    <w:p>
      <w:pPr>
        <w:pStyle w:val="TextBody"/>
        <w:spacing w:before="270" w:after="0"/>
        <w:rPr>
          <w:rFonts w:ascii="Times New Roman" w:hAnsi="Times New Roman"/>
          <w:i/>
          <w:sz w:val="20"/>
        </w:rPr>
      </w:pPr>
      <w:r>
        <w:rPr>
          <w:rFonts w:ascii="Times New Roman" w:hAnsi="Times New Roman"/>
          <w:i/>
          <w:sz w:val="20"/>
        </w:rPr>
        <w:t xml:space="preserve">Payment Blockages </w:t>
      </w:r>
    </w:p>
    <w:p>
      <w:pPr>
        <w:pStyle w:val="TextBody"/>
        <w:spacing w:before="90" w:after="0"/>
        <w:rPr>
          <w:rFonts w:ascii="Times New Roman" w:hAnsi="Times New Roman"/>
          <w:sz w:val="20"/>
        </w:rPr>
      </w:pPr>
      <w:r>
        <w:rPr>
          <w:rFonts w:ascii="Times New Roman" w:hAnsi="Times New Roman"/>
          <w:sz w:val="20"/>
        </w:rPr>
        <w:t xml:space="preserve">The subordinated indenture will provide that no payment of principal, interest and any premium on the subordinated debt securities may be made in the event: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or our property is involved in any voluntary or involuntary liquidation or bankruptcy;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default on any Senior Indebtedness of Plains All American Pipeline occurs that permits immediate acceleration of its maturity, in which case a payment blockage on the subordinated debt securities will be imposed for a maximum of 179 days at any one time. </w:t>
            </w:r>
          </w:p>
        </w:tc>
      </w:tr>
    </w:tbl>
    <w:p>
      <w:pPr>
        <w:pStyle w:val="TextBody"/>
        <w:spacing w:before="270" w:after="0"/>
        <w:rPr>
          <w:rFonts w:ascii="Times New Roman" w:hAnsi="Times New Roman"/>
          <w:i/>
          <w:sz w:val="20"/>
        </w:rPr>
      </w:pPr>
      <w:r>
        <w:rPr>
          <w:rFonts w:ascii="Times New Roman" w:hAnsi="Times New Roman"/>
          <w:i/>
          <w:sz w:val="20"/>
        </w:rPr>
        <w:t xml:space="preserve">No Limitation on Amount of Senior Debt </w:t>
      </w:r>
    </w:p>
    <w:p>
      <w:pPr>
        <w:pStyle w:val="TextBody"/>
        <w:spacing w:before="90" w:after="0"/>
        <w:rPr>
          <w:rFonts w:ascii="Times New Roman" w:hAnsi="Times New Roman"/>
          <w:sz w:val="20"/>
        </w:rPr>
      </w:pPr>
      <w:r>
        <w:rPr>
          <w:rFonts w:ascii="Times New Roman" w:hAnsi="Times New Roman"/>
          <w:sz w:val="20"/>
        </w:rPr>
        <w:t xml:space="preserve">The subordinated indenture will not limit the amount of Senior Indebtedness that Plains All American Pipeline may incur, unless otherwise indicated in the prospectus supplement.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Book Entry, Delivery and Form </w:t>
      </w:r>
    </w:p>
    <w:p>
      <w:pPr>
        <w:pStyle w:val="TextBody"/>
        <w:spacing w:before="90" w:after="0"/>
        <w:rPr>
          <w:rFonts w:ascii="Times New Roman" w:hAnsi="Times New Roman"/>
          <w:sz w:val="20"/>
        </w:rPr>
      </w:pPr>
      <w:r>
        <w:rPr>
          <w:rFonts w:ascii="Times New Roman" w:hAnsi="Times New Roman"/>
          <w:sz w:val="20"/>
        </w:rPr>
        <w:t xml:space="preserve">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 </w:t>
      </w:r>
    </w:p>
    <w:p>
      <w:pPr>
        <w:pStyle w:val="TextBody"/>
        <w:spacing w:before="180" w:after="0"/>
        <w:rPr>
          <w:rFonts w:ascii="Times New Roman" w:hAnsi="Times New Roman"/>
          <w:sz w:val="20"/>
        </w:rPr>
      </w:pPr>
      <w:r>
        <w:rPr>
          <w:rFonts w:ascii="Times New Roman" w:hAnsi="Times New Roman"/>
          <w:sz w:val="20"/>
        </w:rPr>
        <w:t xml:space="preserve">Beneficial interests in global debt securities will be shown on, and transfers of global debt securities will be made only through, records maintained by DTC and its participants. </w:t>
      </w:r>
    </w:p>
    <w:p>
      <w:pPr>
        <w:pStyle w:val="TextBody"/>
        <w:spacing w:before="180" w:after="0"/>
        <w:rPr>
          <w:rFonts w:ascii="Times New Roman" w:hAnsi="Times New Roman"/>
          <w:sz w:val="20"/>
        </w:rPr>
      </w:pPr>
      <w:r>
        <w:rPr>
          <w:rFonts w:ascii="Times New Roman" w:hAnsi="Times New Roman"/>
          <w:sz w:val="20"/>
        </w:rPr>
        <w:t xml:space="preserve">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Securities Exchange Act of 1934.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 </w:t>
      </w:r>
    </w:p>
    <w:p>
      <w:pPr>
        <w:pStyle w:val="TextBody"/>
        <w:spacing w:before="180" w:after="0"/>
        <w:rPr>
          <w:rFonts w:ascii="Times New Roman" w:hAnsi="Times New Roman"/>
          <w:sz w:val="20"/>
        </w:rPr>
      </w:pPr>
      <w:r>
        <w:rPr>
          <w:rFonts w:ascii="Times New Roman" w:hAnsi="Times New Roman"/>
          <w:sz w:val="20"/>
        </w:rPr>
        <w:t xml:space="preserve">DTCs book-entry system is also used by other organizations such as securities brokers and dealers, banks and trust companies that work through a Direct Participant. The rules that apply to DTC and its participants are on file with the SEC. </w:t>
      </w:r>
    </w:p>
    <w:p>
      <w:pPr>
        <w:pStyle w:val="TextBody"/>
        <w:spacing w:before="180" w:after="0"/>
        <w:rPr>
          <w:rFonts w:ascii="Times New Roman" w:hAnsi="Times New Roman"/>
          <w:sz w:val="20"/>
        </w:rPr>
      </w:pPr>
      <w:r>
        <w:rPr>
          <w:rFonts w:ascii="Times New Roman" w:hAnsi="Times New Roman"/>
          <w:sz w:val="20"/>
        </w:rPr>
        <w:t xml:space="preserve">DTC is owned by a number of its Direct Participants and by the New York Stock Exchange, Inc., The American Stock Exchange, Inc. and the Financial Industry Regulatory Authority. </w:t>
      </w:r>
    </w:p>
    <w:p>
      <w:pPr>
        <w:pStyle w:val="TextBody"/>
        <w:spacing w:before="180" w:after="0"/>
        <w:rPr>
          <w:rFonts w:ascii="Times New Roman" w:hAnsi="Times New Roman"/>
          <w:sz w:val="20"/>
        </w:rPr>
      </w:pPr>
      <w:r>
        <w:rPr>
          <w:rFonts w:ascii="Times New Roman" w:hAnsi="Times New Roman"/>
          <w:sz w:val="20"/>
        </w:rPr>
        <w:t xml:space="preserve">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 </w:t>
      </w:r>
    </w:p>
    <w:p>
      <w:pPr>
        <w:pStyle w:val="TextBody"/>
        <w:spacing w:before="180" w:after="0"/>
        <w:rPr>
          <w:rFonts w:ascii="Times New Roman" w:hAnsi="Times New Roman"/>
          <w:sz w:val="20"/>
        </w:rPr>
      </w:pPr>
      <w:r>
        <w:rPr>
          <w:rFonts w:ascii="Times New Roman" w:hAnsi="Times New Roman"/>
          <w:sz w:val="20"/>
        </w:rPr>
        <w:t xml:space="preserve">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 </w:t>
      </w:r>
    </w:p>
    <w:p>
      <w:pPr>
        <w:pStyle w:val="TextBody"/>
        <w:spacing w:before="180" w:after="0"/>
        <w:rPr>
          <w:rFonts w:ascii="Times New Roman" w:hAnsi="Times New Roman"/>
          <w:sz w:val="20"/>
        </w:rPr>
      </w:pPr>
      <w:r>
        <w:rPr>
          <w:rFonts w:ascii="Times New Roman" w:hAnsi="Times New Roman"/>
          <w:sz w:val="20"/>
        </w:rPr>
        <w:t xml:space="preserve">Debt securities represented by a global debt security will be exchangeable for certificated debt securities with the same terms in authorized denominations only if: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DTC notifies us that it is unwilling or unable to continue as depositary or if DTC ceases to be a clearing agency registered under applicable law and in either event a successor depositary is not appointed by us within 90 days; or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determine not to require all of the debt securities of a series to be represented by a global debt security. </w:t>
            </w:r>
          </w:p>
        </w:tc>
      </w:tr>
    </w:tbl>
    <w:p>
      <w:pPr>
        <w:pStyle w:val="TextBody"/>
        <w:spacing w:before="270" w:after="0"/>
        <w:rPr>
          <w:rFonts w:ascii="Times New Roman" w:hAnsi="Times New Roman"/>
          <w:b/>
          <w:sz w:val="20"/>
        </w:rPr>
      </w:pPr>
      <w:r>
        <w:rPr>
          <w:rFonts w:ascii="Times New Roman" w:hAnsi="Times New Roman"/>
          <w:b/>
          <w:sz w:val="20"/>
        </w:rPr>
        <w:t xml:space="preserve">Satisfaction and Discharge; Defeasance </w:t>
      </w:r>
    </w:p>
    <w:p>
      <w:pPr>
        <w:pStyle w:val="TextBody"/>
        <w:spacing w:before="90" w:after="0"/>
        <w:rPr>
          <w:rFonts w:ascii="Times New Roman" w:hAnsi="Times New Roman"/>
          <w:sz w:val="20"/>
        </w:rPr>
      </w:pPr>
      <w:r>
        <w:rPr>
          <w:rFonts w:ascii="Times New Roman" w:hAnsi="Times New Roman"/>
          <w:sz w:val="20"/>
        </w:rPr>
        <w:t xml:space="preserve">Each indenture will be discharged and will cease to be of further effect as to all outstanding debt securities of any series issued thereunder, when: </w:t>
      </w:r>
    </w:p>
    <w:p>
      <w:pPr>
        <w:pStyle w:val="TextBody"/>
        <w:spacing w:before="180" w:after="0"/>
        <w:rPr>
          <w:rFonts w:ascii="Times New Roman" w:hAnsi="Times New Roman"/>
          <w:sz w:val="20"/>
        </w:rPr>
      </w:pPr>
      <w:r>
        <w:rPr>
          <w:rFonts w:ascii="Times New Roman" w:hAnsi="Times New Roman"/>
          <w:sz w:val="20"/>
        </w:rPr>
        <w:t xml:space="preserve">(a) either: </w:t>
      </w:r>
    </w:p>
    <w:p>
      <w:pPr>
        <w:pStyle w:val="TextBody"/>
        <w:spacing w:before="90" w:after="0"/>
        <w:rPr>
          <w:rFonts w:ascii="Times New Roman" w:hAnsi="Times New Roman"/>
          <w:sz w:val="20"/>
        </w:rPr>
      </w:pPr>
      <w:r>
        <w:rPr>
          <w:rFonts w:ascii="Times New Roman" w:hAnsi="Times New Roman"/>
          <w:sz w:val="20"/>
        </w:rPr>
        <w:t xml:space="preserve">(1) 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 </w:t>
      </w:r>
    </w:p>
    <w:p>
      <w:pPr>
        <w:pStyle w:val="TextBody"/>
        <w:spacing w:before="90" w:after="0"/>
        <w:rPr>
          <w:rFonts w:ascii="Times New Roman" w:hAnsi="Times New Roman"/>
          <w:sz w:val="20"/>
        </w:rPr>
      </w:pPr>
      <w:r>
        <w:rPr>
          <w:rFonts w:ascii="Times New Roman" w:hAnsi="Times New Roman"/>
          <w:sz w:val="20"/>
        </w:rPr>
        <w:t xml:space="preserve">(2) 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 </w:t>
      </w:r>
    </w:p>
    <w:p>
      <w:pPr>
        <w:pStyle w:val="TextBody"/>
        <w:spacing w:before="90" w:after="0"/>
        <w:rPr>
          <w:rFonts w:ascii="Times New Roman" w:hAnsi="Times New Roman"/>
          <w:sz w:val="20"/>
        </w:rPr>
      </w:pPr>
      <w:r>
        <w:rPr>
          <w:rFonts w:ascii="Times New Roman" w:hAnsi="Times New Roman"/>
          <w:sz w:val="20"/>
        </w:rPr>
        <w:t xml:space="preserve">(b) we have paid or caused to be paid all other sums payable by us under the indenture; and </w:t>
      </w:r>
    </w:p>
    <w:p>
      <w:pPr>
        <w:pStyle w:val="TextBody"/>
        <w:spacing w:before="90" w:after="0"/>
        <w:rPr>
          <w:rFonts w:ascii="Times New Roman" w:hAnsi="Times New Roman"/>
          <w:sz w:val="20"/>
        </w:rPr>
      </w:pPr>
      <w:r>
        <w:rPr>
          <w:rFonts w:ascii="Times New Roman" w:hAnsi="Times New Roman"/>
          <w:sz w:val="20"/>
        </w:rPr>
        <w:t xml:space="preserve">(c) we have delivered an officers certificate and an opinion of counsel to the Trustee stating that all conditions precedent to satisfaction and discharge have been satisfied. </w:t>
      </w:r>
    </w:p>
    <w:p>
      <w:pPr>
        <w:pStyle w:val="TextBody"/>
        <w:spacing w:before="180" w:after="0"/>
        <w:rPr>
          <w:rFonts w:ascii="Times New Roman" w:hAnsi="Times New Roman"/>
          <w:sz w:val="20"/>
        </w:rPr>
      </w:pPr>
      <w:r>
        <w:rPr>
          <w:rFonts w:ascii="Times New Roman" w:hAnsi="Times New Roman"/>
          <w:sz w:val="20"/>
        </w:rPr>
        <w:t xml:space="preserve">The debt securities of a particular series will be subject to legal or covenant defeasance to the extent, and upon the terms and conditions, set forth in the prospectus supplement. </w:t>
      </w:r>
    </w:p>
    <w:p>
      <w:pPr>
        <w:pStyle w:val="TextBody"/>
        <w:spacing w:before="270" w:after="0"/>
        <w:rPr>
          <w:rFonts w:ascii="Times New Roman" w:hAnsi="Times New Roman"/>
          <w:b/>
          <w:sz w:val="20"/>
        </w:rPr>
      </w:pPr>
      <w:r>
        <w:rPr>
          <w:rFonts w:ascii="Times New Roman" w:hAnsi="Times New Roman"/>
          <w:b/>
          <w:sz w:val="20"/>
        </w:rPr>
        <w:t xml:space="preserve">The Trustee </w:t>
      </w:r>
    </w:p>
    <w:p>
      <w:pPr>
        <w:pStyle w:val="TextBody"/>
        <w:spacing w:before="90" w:after="0"/>
        <w:rPr>
          <w:rFonts w:ascii="Times New Roman" w:hAnsi="Times New Roman"/>
          <w:sz w:val="20"/>
        </w:rPr>
      </w:pPr>
      <w:r>
        <w:rPr>
          <w:rFonts w:ascii="Times New Roman" w:hAnsi="Times New Roman"/>
          <w:sz w:val="20"/>
        </w:rPr>
        <w:t xml:space="preserve">U.S. Bank National Association is the Trustee under the senior indenture and will be the initial Trustee under the subordinated indenture. We maintain a banking relationship in the ordinary course of business with U.S. Bank National Association and some of its affiliates. </w:t>
      </w:r>
    </w:p>
    <w:p>
      <w:pPr>
        <w:pStyle w:val="TextBody"/>
        <w:spacing w:before="270" w:after="0"/>
        <w:rPr>
          <w:rFonts w:ascii="Times New Roman" w:hAnsi="Times New Roman"/>
          <w:i/>
          <w:sz w:val="20"/>
        </w:rPr>
      </w:pPr>
      <w:r>
        <w:rPr>
          <w:rFonts w:ascii="Times New Roman" w:hAnsi="Times New Roman"/>
          <w:i/>
          <w:sz w:val="20"/>
        </w:rPr>
        <w:t xml:space="preserve">Resignation or Removal of Trustee </w:t>
      </w:r>
    </w:p>
    <w:p>
      <w:pPr>
        <w:pStyle w:val="TextBody"/>
        <w:spacing w:before="90" w:after="0"/>
        <w:rPr>
          <w:rFonts w:ascii="Times New Roman" w:hAnsi="Times New Roman"/>
          <w:sz w:val="20"/>
        </w:rPr>
      </w:pPr>
      <w:r>
        <w:rPr>
          <w:rFonts w:ascii="Times New Roman" w:hAnsi="Times New Roman"/>
          <w:sz w:val="20"/>
        </w:rPr>
        <w:t xml:space="preserve">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 Any resignation will require the appointment of a successor trustee under the applicable indenture in accordance with the terms and conditions of such indenture. </w:t>
      </w:r>
    </w:p>
    <w:p>
      <w:pPr>
        <w:pStyle w:val="TextBody"/>
        <w:spacing w:before="180" w:after="0"/>
        <w:rPr>
          <w:rFonts w:ascii="Times New Roman" w:hAnsi="Times New Roman"/>
          <w:sz w:val="20"/>
        </w:rPr>
      </w:pPr>
      <w:r>
        <w:rPr>
          <w:rFonts w:ascii="Times New Roman" w:hAnsi="Times New Roman"/>
          <w:sz w:val="20"/>
        </w:rPr>
        <w:t xml:space="preserve">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i/>
          <w:sz w:val="20"/>
        </w:rPr>
      </w:pPr>
      <w:r>
        <w:rPr>
          <w:rFonts w:ascii="Times New Roman" w:hAnsi="Times New Roman"/>
          <w:i/>
          <w:sz w:val="20"/>
        </w:rPr>
        <w:t xml:space="preserve">Limitations on Trustee if it is a Creditor </w:t>
      </w:r>
    </w:p>
    <w:p>
      <w:pPr>
        <w:pStyle w:val="TextBody"/>
        <w:spacing w:before="90" w:after="0"/>
        <w:rPr>
          <w:rFonts w:ascii="Times New Roman" w:hAnsi="Times New Roman"/>
          <w:sz w:val="20"/>
        </w:rPr>
      </w:pPr>
      <w:r>
        <w:rPr>
          <w:rFonts w:ascii="Times New Roman" w:hAnsi="Times New Roman"/>
          <w:sz w:val="20"/>
        </w:rPr>
        <w:t xml:space="preserve">Each indenture will limit the right of the Trustee thereunder, in the event that it becomes a creditor of an issuer or guarantor, to obtain payment of claims in certain cases, or to realize on certain property received in respect of any such claim as security or otherwise. </w:t>
      </w:r>
    </w:p>
    <w:p>
      <w:pPr>
        <w:pStyle w:val="TextBody"/>
        <w:spacing w:before="270" w:after="0"/>
        <w:rPr>
          <w:rFonts w:ascii="Times New Roman" w:hAnsi="Times New Roman"/>
          <w:i/>
          <w:sz w:val="20"/>
        </w:rPr>
      </w:pPr>
      <w:r>
        <w:rPr>
          <w:rFonts w:ascii="Times New Roman" w:hAnsi="Times New Roman"/>
          <w:i/>
          <w:sz w:val="20"/>
        </w:rPr>
        <w:t xml:space="preserve">Certificates and Opinions to be Furnished to Trustee </w:t>
      </w:r>
    </w:p>
    <w:p>
      <w:pPr>
        <w:pStyle w:val="TextBody"/>
        <w:spacing w:before="90" w:after="0"/>
        <w:rPr>
          <w:rFonts w:ascii="Times New Roman" w:hAnsi="Times New Roman"/>
          <w:sz w:val="20"/>
        </w:rPr>
      </w:pPr>
      <w:r>
        <w:rPr>
          <w:rFonts w:ascii="Times New Roman" w:hAnsi="Times New Roman"/>
          <w:sz w:val="20"/>
        </w:rPr>
        <w:t xml:space="preserve">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 </w:t>
      </w:r>
    </w:p>
    <w:p>
      <w:pPr>
        <w:pStyle w:val="TextBody"/>
        <w:spacing w:before="270" w:after="0"/>
        <w:rPr>
          <w:rFonts w:ascii="Times New Roman" w:hAnsi="Times New Roman"/>
          <w:b/>
          <w:sz w:val="20"/>
        </w:rPr>
      </w:pPr>
      <w:r>
        <w:rPr>
          <w:rFonts w:ascii="Times New Roman" w:hAnsi="Times New Roman"/>
          <w:b/>
          <w:sz w:val="20"/>
        </w:rPr>
        <w:t xml:space="preserve">Governing Law </w:t>
      </w:r>
    </w:p>
    <w:p>
      <w:pPr>
        <w:pStyle w:val="TextBody"/>
        <w:spacing w:before="90" w:after="0"/>
        <w:rPr>
          <w:rFonts w:ascii="Times New Roman" w:hAnsi="Times New Roman"/>
          <w:sz w:val="20"/>
        </w:rPr>
      </w:pPr>
      <w:r>
        <w:rPr>
          <w:rFonts w:ascii="Times New Roman" w:hAnsi="Times New Roman"/>
          <w:sz w:val="20"/>
        </w:rPr>
        <w:t xml:space="preserve">Each indenture and all of the debt securities will be governed by the laws of the State of New York.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6" w:name="rom314176_119"/>
      <w:bookmarkStart w:id="37" w:name="supprom314176_22"/>
      <w:bookmarkEnd w:id="36"/>
      <w:bookmarkEnd w:id="37"/>
      <w:r>
        <w:rPr>
          <w:rFonts w:ascii="Times New Roman" w:hAnsi="Times New Roman"/>
          <w:b/>
          <w:sz w:val="20"/>
        </w:rPr>
        <w:t xml:space="preserve">DESCRIPTION OF OUR COMMON UNITS </w:t>
      </w:r>
    </w:p>
    <w:p>
      <w:pPr>
        <w:pStyle w:val="TextBody"/>
        <w:spacing w:before="180" w:after="0"/>
        <w:rPr>
          <w:rFonts w:ascii="Times New Roman" w:hAnsi="Times New Roman"/>
          <w:sz w:val="20"/>
        </w:rPr>
      </w:pPr>
      <w:r>
        <w:rPr>
          <w:rFonts w:ascii="Times New Roman" w:hAnsi="Times New Roman"/>
          <w:sz w:val="20"/>
        </w:rPr>
        <w:t xml:space="preserve">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 </w:t>
      </w:r>
    </w:p>
    <w:p>
      <w:pPr>
        <w:pStyle w:val="TextBody"/>
        <w:spacing w:before="180" w:after="0"/>
        <w:rPr>
          <w:rFonts w:ascii="Times New Roman" w:hAnsi="Times New Roman"/>
          <w:sz w:val="20"/>
        </w:rPr>
      </w:pPr>
      <w:r>
        <w:rPr>
          <w:rFonts w:ascii="Times New Roman" w:hAnsi="Times New Roman"/>
          <w:sz w:val="20"/>
        </w:rPr>
        <w:t xml:space="preserve">Our outstanding common units are listed on the NYSE under the symbol PAA. Any additional common units we issue will also be listed on the NYSE. </w:t>
      </w:r>
    </w:p>
    <w:p>
      <w:pPr>
        <w:pStyle w:val="TextBody"/>
        <w:spacing w:before="180" w:after="0"/>
        <w:rPr>
          <w:rFonts w:ascii="Times New Roman" w:hAnsi="Times New Roman"/>
          <w:sz w:val="20"/>
        </w:rPr>
      </w:pPr>
      <w:r>
        <w:rPr>
          <w:rFonts w:ascii="Times New Roman" w:hAnsi="Times New Roman"/>
          <w:sz w:val="20"/>
        </w:rPr>
        <w:t xml:space="preserve">The transfer agent and registrar for our common units is American Stock Transfer &amp; Trust Company. </w:t>
      </w:r>
    </w:p>
    <w:p>
      <w:pPr>
        <w:pStyle w:val="TextBody"/>
        <w:spacing w:before="270" w:after="0"/>
        <w:rPr>
          <w:rFonts w:ascii="Times New Roman" w:hAnsi="Times New Roman"/>
          <w:b/>
          <w:sz w:val="20"/>
        </w:rPr>
      </w:pPr>
      <w:r>
        <w:rPr>
          <w:rFonts w:ascii="Times New Roman" w:hAnsi="Times New Roman"/>
          <w:b/>
          <w:sz w:val="20"/>
        </w:rPr>
        <w:t xml:space="preserve">Meetings/Voting </w:t>
      </w:r>
    </w:p>
    <w:p>
      <w:pPr>
        <w:pStyle w:val="TextBody"/>
        <w:spacing w:before="90" w:after="0"/>
        <w:rPr>
          <w:rFonts w:ascii="Times New Roman" w:hAnsi="Times New Roman"/>
          <w:sz w:val="20"/>
        </w:rPr>
      </w:pPr>
      <w:r>
        <w:rPr>
          <w:rFonts w:ascii="Times New Roman" w:hAnsi="Times New Roman"/>
          <w:sz w:val="20"/>
        </w:rPr>
        <w:t xml:space="preserve">Each holder of common units is entitled to one vote for each common unit on all matters submitted to a vote of the unitholders. </w:t>
      </w:r>
    </w:p>
    <w:p>
      <w:pPr>
        <w:pStyle w:val="TextBody"/>
        <w:spacing w:before="270" w:after="0"/>
        <w:rPr>
          <w:rFonts w:ascii="Times New Roman" w:hAnsi="Times New Roman"/>
          <w:b/>
          <w:sz w:val="20"/>
        </w:rPr>
      </w:pPr>
      <w:r>
        <w:rPr>
          <w:rFonts w:ascii="Times New Roman" w:hAnsi="Times New Roman"/>
          <w:b/>
          <w:sz w:val="20"/>
        </w:rPr>
        <w:t xml:space="preserve">Status as Limited Partner or Assignee </w:t>
      </w:r>
    </w:p>
    <w:p>
      <w:pPr>
        <w:pStyle w:val="TextBody"/>
        <w:spacing w:before="90" w:after="0"/>
        <w:rPr>
          <w:rFonts w:ascii="Times New Roman" w:hAnsi="Times New Roman"/>
          <w:sz w:val="20"/>
        </w:rPr>
      </w:pPr>
      <w:r>
        <w:rPr>
          <w:rFonts w:ascii="Times New Roman" w:hAnsi="Times New Roman"/>
          <w:sz w:val="20"/>
        </w:rPr>
        <w:t xml:space="preserve">Except as described below under Limited Liability, the common units will be fully paid, and unitholders will not be required to make additional capital contributions to us. </w:t>
      </w:r>
    </w:p>
    <w:p>
      <w:pPr>
        <w:pStyle w:val="TextBody"/>
        <w:spacing w:before="180" w:after="0"/>
        <w:rPr>
          <w:rFonts w:ascii="Times New Roman" w:hAnsi="Times New Roman"/>
          <w:sz w:val="20"/>
        </w:rPr>
      </w:pPr>
      <w:r>
        <w:rPr>
          <w:rFonts w:ascii="Times New Roman" w:hAnsi="Times New Roman"/>
          <w:sz w:val="20"/>
        </w:rPr>
        <w:t xml:space="preserve">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 </w:t>
      </w:r>
    </w:p>
    <w:p>
      <w:pPr>
        <w:pStyle w:val="TextBody"/>
        <w:spacing w:before="180" w:after="0"/>
        <w:rPr>
          <w:rFonts w:ascii="Times New Roman" w:hAnsi="Times New Roman"/>
          <w:sz w:val="20"/>
        </w:rPr>
      </w:pPr>
      <w:r>
        <w:rPr>
          <w:rFonts w:ascii="Times New Roman" w:hAnsi="Times New Roman"/>
          <w:sz w:val="20"/>
        </w:rPr>
        <w:t xml:space="preserve">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 </w:t>
      </w:r>
    </w:p>
    <w:p>
      <w:pPr>
        <w:pStyle w:val="TextBody"/>
        <w:spacing w:before="270" w:after="0"/>
        <w:rPr>
          <w:rFonts w:ascii="Times New Roman" w:hAnsi="Times New Roman"/>
          <w:b/>
          <w:sz w:val="20"/>
        </w:rPr>
      </w:pPr>
      <w:r>
        <w:rPr>
          <w:rFonts w:ascii="Times New Roman" w:hAnsi="Times New Roman"/>
          <w:b/>
          <w:sz w:val="20"/>
        </w:rPr>
        <w:t xml:space="preserve">Limited Liability </w:t>
      </w:r>
    </w:p>
    <w:p>
      <w:pPr>
        <w:pStyle w:val="TextBody"/>
        <w:spacing w:before="90" w:after="0"/>
        <w:rPr>
          <w:rFonts w:ascii="Times New Roman" w:hAnsi="Times New Roman"/>
          <w:sz w:val="20"/>
        </w:rPr>
      </w:pPr>
      <w:r>
        <w:rPr>
          <w:rFonts w:ascii="Times New Roman" w:hAnsi="Times New Roman"/>
          <w:sz w:val="20"/>
        </w:rPr>
        <w:t xml:space="preserve">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 </w:t>
      </w:r>
    </w:p>
    <w:p>
      <w:pPr>
        <w:pStyle w:val="TextBody"/>
        <w:spacing w:before="180" w:after="0"/>
        <w:rPr>
          <w:rFonts w:ascii="Times New Roman" w:hAnsi="Times New Roman"/>
          <w:sz w:val="20"/>
        </w:rPr>
      </w:pPr>
      <w:r>
        <w:rPr>
          <w:rFonts w:ascii="Times New Roman" w:hAnsi="Times New Roman"/>
          <w:sz w:val="20"/>
        </w:rPr>
        <w:t xml:space="preserve">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Reports and Records </w:t>
      </w:r>
    </w:p>
    <w:p>
      <w:pPr>
        <w:pStyle w:val="TextBody"/>
        <w:spacing w:before="90" w:after="0"/>
        <w:rPr>
          <w:rFonts w:ascii="Times New Roman" w:hAnsi="Times New Roman"/>
          <w:sz w:val="20"/>
        </w:rPr>
      </w:pPr>
      <w:r>
        <w:rPr>
          <w:rFonts w:ascii="Times New Roman" w:hAnsi="Times New Roman"/>
          <w:sz w:val="20"/>
        </w:rPr>
        <w:t xml:space="preserve">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 </w:t>
      </w:r>
    </w:p>
    <w:p>
      <w:pPr>
        <w:pStyle w:val="TextBody"/>
        <w:spacing w:before="180" w:after="0"/>
        <w:rPr>
          <w:rFonts w:ascii="Times New Roman" w:hAnsi="Times New Roman"/>
          <w:sz w:val="20"/>
        </w:rPr>
      </w:pPr>
      <w:r>
        <w:rPr>
          <w:rFonts w:ascii="Times New Roman" w:hAnsi="Times New Roman"/>
          <w:sz w:val="20"/>
        </w:rPr>
        <w:t xml:space="preserve">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and Canadian federal and provincial tax liability and filing his U.S. federal and state and Canadian federal and provincial income tax returns. </w:t>
      </w:r>
    </w:p>
    <w:p>
      <w:pPr>
        <w:pStyle w:val="TextBody"/>
        <w:spacing w:before="180" w:after="0"/>
        <w:rPr>
          <w:rFonts w:ascii="Times New Roman" w:hAnsi="Times New Roman"/>
          <w:sz w:val="20"/>
        </w:rPr>
      </w:pPr>
      <w:r>
        <w:rPr>
          <w:rFonts w:ascii="Times New Roman" w:hAnsi="Times New Roman"/>
          <w:sz w:val="20"/>
        </w:rPr>
        <w:t xml:space="preserve">A limited partner can, for a purpose reasonably related to the limited partners interest as a limited partner, upon reasonable demand and at his own expense, have furnished to him: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2"/>
        <w:gridCol w:w="9491"/>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current list of the name and last known address of each partner;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1"/>
        <w:gridCol w:w="9492"/>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copy of our tax returns;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information as to the amount of cash and a description and statement of the agreed value of any other property or services, contributed or to be contributed by each partner and the date on which each became a partner;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copies of our partnership agreement, our certificate of limited partnership, amendments to either of them and powers of attorney which have been executed under our partnership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information regarding the status of our business and financial condition;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information regarding our affairs as is just and reasonable. </w:t>
            </w:r>
          </w:p>
        </w:tc>
      </w:tr>
    </w:tbl>
    <w:p>
      <w:pPr>
        <w:pStyle w:val="TextBody"/>
        <w:spacing w:before="180" w:after="0"/>
        <w:rPr>
          <w:rFonts w:ascii="Times New Roman" w:hAnsi="Times New Roman"/>
          <w:sz w:val="20"/>
        </w:rPr>
      </w:pPr>
      <w:r>
        <w:rPr>
          <w:rFonts w:ascii="Times New Roman" w:hAnsi="Times New Roman"/>
          <w:sz w:val="20"/>
        </w:rPr>
        <w:t xml:space="preserve">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8" w:name="rom314176_120"/>
      <w:bookmarkStart w:id="39" w:name="supprom314176_23"/>
      <w:bookmarkEnd w:id="38"/>
      <w:bookmarkEnd w:id="39"/>
      <w:r>
        <w:rPr>
          <w:rFonts w:ascii="Times New Roman" w:hAnsi="Times New Roman"/>
          <w:b/>
          <w:sz w:val="20"/>
        </w:rPr>
        <w:t xml:space="preserve">CASH DISTRIBUTION POLICY </w:t>
      </w:r>
    </w:p>
    <w:p>
      <w:pPr>
        <w:pStyle w:val="TextBody"/>
        <w:spacing w:before="180" w:after="0"/>
        <w:rPr>
          <w:rFonts w:ascii="Times New Roman" w:hAnsi="Times New Roman"/>
          <w:b/>
          <w:sz w:val="20"/>
        </w:rPr>
      </w:pPr>
      <w:r>
        <w:rPr>
          <w:rFonts w:ascii="Times New Roman" w:hAnsi="Times New Roman"/>
          <w:b/>
          <w:sz w:val="20"/>
        </w:rPr>
        <w:t xml:space="preserve">Distributions of Available Cash </w:t>
      </w:r>
    </w:p>
    <w:p>
      <w:pPr>
        <w:pStyle w:val="TextBody"/>
        <w:spacing w:before="90" w:after="0"/>
        <w:rPr>
          <w:rFonts w:ascii="Times New Roman" w:hAnsi="Times New Roman"/>
          <w:sz w:val="20"/>
        </w:rPr>
      </w:pPr>
      <w:r>
        <w:rPr>
          <w:rFonts w:ascii="Times New Roman" w:hAnsi="Times New Roman"/>
          <w:i/>
          <w:sz w:val="20"/>
        </w:rPr>
        <w:t>General.</w:t>
      </w:r>
      <w:r>
        <w:rPr>
          <w:rFonts w:ascii="Times New Roman" w:hAnsi="Times New Roman"/>
          <w:sz w:val="20"/>
        </w:rPr>
        <w:t xml:space="preserve"> We will distribute to our unitholders, on a quarterly basis, all of our available cash in the manner described below. </w:t>
      </w:r>
    </w:p>
    <w:p>
      <w:pPr>
        <w:pStyle w:val="TextBody"/>
        <w:spacing w:before="180" w:after="0"/>
        <w:rPr>
          <w:rFonts w:ascii="Times New Roman" w:hAnsi="Times New Roman"/>
          <w:sz w:val="20"/>
        </w:rPr>
      </w:pPr>
      <w:r>
        <w:rPr>
          <w:rFonts w:ascii="Times New Roman" w:hAnsi="Times New Roman"/>
          <w:i/>
          <w:sz w:val="20"/>
        </w:rPr>
        <w:t>Definition of Available Cash.</w:t>
      </w:r>
      <w:r>
        <w:rPr>
          <w:rFonts w:ascii="Times New Roman" w:hAnsi="Times New Roman"/>
          <w:sz w:val="20"/>
        </w:rPr>
        <w:t xml:space="preserve"> Available cash generally means, for any quarter ending prior to liquidation, all cash on hand at the end of that quarter less the amount of cash reserves that are necessary or appropriate in the reasonable discretion of the general partner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provide for the proper conduct of our business;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1"/>
        <w:gridCol w:w="9493"/>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comply with applicable law or any partnership debt instrument or other agreement;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provide funds for distributions to unitholders and the general partner in respect of any one or more of the next four quarters. </w:t>
            </w:r>
          </w:p>
        </w:tc>
      </w:tr>
    </w:tbl>
    <w:p>
      <w:pPr>
        <w:pStyle w:val="TextBody"/>
        <w:spacing w:before="270" w:after="0"/>
        <w:rPr>
          <w:rFonts w:ascii="Times New Roman" w:hAnsi="Times New Roman"/>
          <w:b/>
          <w:sz w:val="20"/>
        </w:rPr>
      </w:pPr>
      <w:r>
        <w:rPr>
          <w:rFonts w:ascii="Times New Roman" w:hAnsi="Times New Roman"/>
          <w:b/>
          <w:sz w:val="20"/>
        </w:rPr>
        <w:t xml:space="preserve">Operating Surplus and Capital Surplus </w:t>
      </w:r>
    </w:p>
    <w:p>
      <w:pPr>
        <w:pStyle w:val="TextBody"/>
        <w:spacing w:before="90" w:after="0"/>
        <w:rPr>
          <w:rFonts w:ascii="Times New Roman" w:hAnsi="Times New Roman"/>
          <w:sz w:val="20"/>
        </w:rPr>
      </w:pPr>
      <w:r>
        <w:rPr>
          <w:rFonts w:ascii="Times New Roman" w:hAnsi="Times New Roman"/>
          <w:i/>
          <w:sz w:val="20"/>
        </w:rPr>
        <w:t>General.</w:t>
      </w:r>
      <w:r>
        <w:rPr>
          <w:rFonts w:ascii="Times New Roman" w:hAnsi="Times New Roman"/>
          <w:sz w:val="20"/>
        </w:rPr>
        <w:t xml:space="preserve"> Cash distributions to our unitholders will be characterized as either operating surplus or capital surplus. We distribute available cash from operating surplus differently than available cash from capital surplus. See  Quarterly Distributions of Available Cash. </w:t>
      </w:r>
    </w:p>
    <w:p>
      <w:pPr>
        <w:pStyle w:val="TextBody"/>
        <w:spacing w:before="180" w:after="0"/>
        <w:rPr>
          <w:rFonts w:ascii="Times New Roman" w:hAnsi="Times New Roman"/>
          <w:sz w:val="20"/>
        </w:rPr>
      </w:pPr>
      <w:r>
        <w:rPr>
          <w:rFonts w:ascii="Times New Roman" w:hAnsi="Times New Roman"/>
          <w:i/>
          <w:sz w:val="20"/>
        </w:rPr>
        <w:t>Definition of Operating Surplus.</w:t>
      </w:r>
      <w:r>
        <w:rPr>
          <w:rFonts w:ascii="Times New Roman" w:hAnsi="Times New Roman"/>
          <w:sz w:val="20"/>
        </w:rPr>
        <w:t xml:space="preserve"> Operating surplus refers generally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2"/>
        <w:gridCol w:w="9492"/>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cash balances on the closing date of our initial public offering; plus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$25 million; plus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of our cash receipts from operations, excluding cash that is capital surplus; less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of our operating expenses, debt service payments (but not including payments required with the sale of assets or any refinancing with the proceeds of new indebtedness or an equity offering), maintenance capital expenditures and reserves established for future operations. </w:t>
            </w:r>
          </w:p>
        </w:tc>
      </w:tr>
    </w:tbl>
    <w:p>
      <w:pPr>
        <w:pStyle w:val="TextBody"/>
        <w:spacing w:before="180" w:after="0"/>
        <w:rPr>
          <w:rFonts w:ascii="Times New Roman" w:hAnsi="Times New Roman"/>
          <w:sz w:val="20"/>
        </w:rPr>
      </w:pPr>
      <w:r>
        <w:rPr>
          <w:rFonts w:ascii="Times New Roman" w:hAnsi="Times New Roman"/>
          <w:i/>
          <w:sz w:val="20"/>
        </w:rPr>
        <w:t>Definition of Capital Surplus.</w:t>
      </w:r>
      <w:r>
        <w:rPr>
          <w:rFonts w:ascii="Times New Roman" w:hAnsi="Times New Roman"/>
          <w:sz w:val="20"/>
        </w:rPr>
        <w:t xml:space="preserve"> Capital surplus will generally be generated only by: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1"/>
        <w:gridCol w:w="9492"/>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borrowings other than working capital borrowings;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sales of debt and equity securities;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sales or other dispositions of assets for cash, other than inventory, accounts receivable and other assets in the ordinary course of business. </w:t>
            </w:r>
          </w:p>
        </w:tc>
      </w:tr>
    </w:tbl>
    <w:p>
      <w:pPr>
        <w:pStyle w:val="TextBody"/>
        <w:spacing w:before="180" w:after="0"/>
        <w:rPr>
          <w:rFonts w:ascii="Times New Roman" w:hAnsi="Times New Roman"/>
          <w:sz w:val="20"/>
        </w:rPr>
      </w:pPr>
      <w:r>
        <w:rPr>
          <w:rFonts w:ascii="Times New Roman" w:hAnsi="Times New Roman"/>
          <w:sz w:val="20"/>
        </w:rPr>
        <w:t xml:space="preserve">We will treat all available cash distributed as coming from operating surplus until the sum of all available cash distributed since we began equals the operating surplus as of the end of the quarter prior to the distribution. Any available cash in excess of operating surplus, regardless of its source, will be treated as capital surplus. </w:t>
      </w:r>
    </w:p>
    <w:p>
      <w:pPr>
        <w:pStyle w:val="TextBody"/>
        <w:spacing w:before="180" w:after="0"/>
        <w:rPr>
          <w:rFonts w:ascii="Times New Roman" w:hAnsi="Times New Roman"/>
          <w:sz w:val="20"/>
        </w:rPr>
      </w:pPr>
      <w:r>
        <w:rPr>
          <w:rFonts w:ascii="Times New Roman" w:hAnsi="Times New Roman"/>
          <w:sz w:val="20"/>
        </w:rPr>
        <w:t xml:space="preserve">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 </w:t>
      </w:r>
    </w:p>
    <w:p>
      <w:pPr>
        <w:pStyle w:val="TextBody"/>
        <w:spacing w:before="270" w:after="0"/>
        <w:rPr>
          <w:rFonts w:ascii="Times New Roman" w:hAnsi="Times New Roman"/>
          <w:b/>
          <w:sz w:val="20"/>
        </w:rPr>
      </w:pPr>
      <w:r>
        <w:rPr>
          <w:rFonts w:ascii="Times New Roman" w:hAnsi="Times New Roman"/>
          <w:b/>
          <w:sz w:val="20"/>
        </w:rPr>
        <w:t xml:space="preserve">Incentive Distribution Rights </w:t>
      </w:r>
    </w:p>
    <w:p>
      <w:pPr>
        <w:pStyle w:val="TextBody"/>
        <w:spacing w:before="90" w:after="0"/>
        <w:rPr>
          <w:rFonts w:ascii="Times New Roman" w:hAnsi="Times New Roman"/>
          <w:sz w:val="20"/>
        </w:rPr>
      </w:pPr>
      <w:r>
        <w:rPr>
          <w:rFonts w:ascii="Times New Roman" w:hAnsi="Times New Roman"/>
          <w:sz w:val="20"/>
        </w:rPr>
        <w:t xml:space="preserve">The incentive distribution rights represent the right to receive an increasing percentage of quarterly distributions of available cash from operating surplus after the minimum quarterly distribution and the target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distribution levels have been achieved. The target distribution levels are based on the amounts of available cash from operating surplus distributed above the payments made under the minimum quarterly distribution, if any, and the related 2% distribution to the general partner. </w:t>
      </w:r>
    </w:p>
    <w:p>
      <w:pPr>
        <w:pStyle w:val="TextBody"/>
        <w:spacing w:before="270" w:after="0"/>
        <w:rPr>
          <w:rFonts w:ascii="Times New Roman" w:hAnsi="Times New Roman"/>
          <w:b/>
          <w:sz w:val="20"/>
        </w:rPr>
      </w:pPr>
      <w:r>
        <w:rPr>
          <w:rFonts w:ascii="Times New Roman" w:hAnsi="Times New Roman"/>
          <w:b/>
          <w:sz w:val="20"/>
        </w:rPr>
        <w:t xml:space="preserve">Effect of Issuance of Additional Units </w:t>
      </w:r>
    </w:p>
    <w:p>
      <w:pPr>
        <w:pStyle w:val="TextBody"/>
        <w:spacing w:before="90" w:after="0"/>
        <w:rPr>
          <w:rFonts w:ascii="Times New Roman" w:hAnsi="Times New Roman"/>
          <w:sz w:val="20"/>
        </w:rPr>
      </w:pPr>
      <w:r>
        <w:rPr>
          <w:rFonts w:ascii="Times New Roman" w:hAnsi="Times New Roman"/>
          <w:sz w:val="20"/>
        </w:rPr>
        <w:t xml:space="preserve">We can issue additional common units or other equity securities for consideration and under terms and conditions approved by our general partner in its sole discretion and without the approval of our unitholders. We may fund acquisitions through the issuance of additional common units or other equity securities. </w:t>
      </w:r>
    </w:p>
    <w:p>
      <w:pPr>
        <w:pStyle w:val="TextBody"/>
        <w:spacing w:before="180" w:after="0"/>
        <w:rPr>
          <w:rFonts w:ascii="Times New Roman" w:hAnsi="Times New Roman"/>
          <w:sz w:val="20"/>
        </w:rPr>
      </w:pPr>
      <w:r>
        <w:rPr>
          <w:rFonts w:ascii="Times New Roman" w:hAnsi="Times New Roman"/>
          <w:sz w:val="20"/>
        </w:rPr>
        <w:t xml:space="preserve">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 </w:t>
      </w:r>
    </w:p>
    <w:p>
      <w:pPr>
        <w:pStyle w:val="TextBody"/>
        <w:spacing w:before="270" w:after="0"/>
        <w:rPr>
          <w:rFonts w:ascii="Times New Roman" w:hAnsi="Times New Roman"/>
          <w:b/>
          <w:sz w:val="20"/>
        </w:rPr>
      </w:pPr>
      <w:r>
        <w:rPr>
          <w:rFonts w:ascii="Times New Roman" w:hAnsi="Times New Roman"/>
          <w:b/>
          <w:sz w:val="20"/>
        </w:rPr>
        <w:t xml:space="preserve">Quarterly Distributions of Available Cash </w:t>
      </w:r>
    </w:p>
    <w:p>
      <w:pPr>
        <w:pStyle w:val="TextBody"/>
        <w:spacing w:before="90" w:after="0"/>
        <w:rPr>
          <w:rFonts w:ascii="Times New Roman" w:hAnsi="Times New Roman"/>
          <w:sz w:val="20"/>
        </w:rPr>
      </w:pPr>
      <w:r>
        <w:rPr>
          <w:rFonts w:ascii="Times New Roman" w:hAnsi="Times New Roman"/>
          <w:sz w:val="20"/>
        </w:rPr>
        <w:t xml:space="preserve">We will make quarterly distributions to our partners prior to our liquidation in an amount equal to 100% of our available cash for that quarter. We expect to make distributions of all available cash within approximately 45 days after the end of each quarter to holders of record on the applicable record date. The minimum quarterly distribution and the target distribution levels are also subject to certain other adjustments as described below under  Distributions from Capital Surplus and  Adjustment to the Minimum Quarterly Distribution and Target Distribution Levels. </w:t>
      </w:r>
    </w:p>
    <w:p>
      <w:pPr>
        <w:pStyle w:val="TextBody"/>
        <w:spacing w:before="270" w:after="0"/>
        <w:rPr>
          <w:rFonts w:ascii="Times New Roman" w:hAnsi="Times New Roman"/>
          <w:b/>
          <w:sz w:val="20"/>
        </w:rPr>
      </w:pPr>
      <w:r>
        <w:rPr>
          <w:rFonts w:ascii="Times New Roman" w:hAnsi="Times New Roman"/>
          <w:b/>
          <w:sz w:val="20"/>
        </w:rPr>
        <w:t xml:space="preserve">Distributions From Operating Surplus </w:t>
      </w:r>
    </w:p>
    <w:p>
      <w:pPr>
        <w:pStyle w:val="TextBody"/>
        <w:spacing w:before="90" w:after="0"/>
        <w:rPr>
          <w:rFonts w:ascii="Times New Roman" w:hAnsi="Times New Roman"/>
          <w:sz w:val="20"/>
        </w:rPr>
      </w:pPr>
      <w:r>
        <w:rPr>
          <w:rFonts w:ascii="Times New Roman" w:hAnsi="Times New Roman"/>
          <w:sz w:val="20"/>
        </w:rPr>
        <w:t xml:space="preserve">We will make distributions of available cash from operating surplus in the following manner: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98% to all unitholders, pro rata, and 2% to the general partner, until we distribute for each unit an amount equal to the minimum quarterly distribution for that quarter;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1"/>
        <w:gridCol w:w="9493"/>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Thereafter, in the manner described in  Incentive Distribution Rights below. </w:t>
            </w:r>
          </w:p>
        </w:tc>
      </w:tr>
    </w:tbl>
    <w:p>
      <w:pPr>
        <w:pStyle w:val="TextBody"/>
        <w:spacing w:before="270" w:after="0"/>
        <w:rPr>
          <w:rFonts w:ascii="Times New Roman" w:hAnsi="Times New Roman"/>
          <w:b/>
          <w:sz w:val="20"/>
        </w:rPr>
      </w:pPr>
      <w:r>
        <w:rPr>
          <w:rFonts w:ascii="Times New Roman" w:hAnsi="Times New Roman"/>
          <w:b/>
          <w:sz w:val="20"/>
        </w:rPr>
        <w:t xml:space="preserve">Incentive Distribution Rights </w:t>
      </w:r>
    </w:p>
    <w:p>
      <w:pPr>
        <w:pStyle w:val="TextBody"/>
        <w:spacing w:before="90" w:after="0"/>
        <w:rPr>
          <w:rFonts w:ascii="Times New Roman" w:hAnsi="Times New Roman"/>
          <w:sz w:val="20"/>
        </w:rPr>
      </w:pPr>
      <w:r>
        <w:rPr>
          <w:rFonts w:ascii="Times New Roman" w:hAnsi="Times New Roman"/>
          <w:sz w:val="20"/>
        </w:rPr>
        <w:t xml:space="preserve">For any quarter that we distribute available cash from operating surplus to the common unitholders in an amount equal to the minimum quarterly distribution on all units, then we will distribute any additional available cash from operating surplus in that quarter among the unitholders and the general partner in the following manner: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85% to all unitholders, pro rata, and 15% to the general partner, until each unitholder receives a total of $0.495 for that quarter for each outstanding unit (the first target distribution);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1"/>
        <w:gridCol w:w="9493"/>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Second, 75% to all unitholders, pro rata, and 25% to the general partner, until each unitholder receives a total of $0.675 for that quarter for each outstanding unit (the second target distribution);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Thereafter, 50% to all unitholders, pro rata, and 50% to the general partner. </w:t>
            </w:r>
          </w:p>
        </w:tc>
      </w:tr>
    </w:tbl>
    <w:p>
      <w:pPr>
        <w:pStyle w:val="TextBody"/>
        <w:spacing w:before="180" w:after="0"/>
        <w:rPr>
          <w:rFonts w:ascii="Times New Roman" w:hAnsi="Times New Roman"/>
          <w:sz w:val="20"/>
        </w:rPr>
      </w:pPr>
      <w:r>
        <w:rPr>
          <w:rFonts w:ascii="Times New Roman" w:hAnsi="Times New Roman"/>
          <w:sz w:val="20"/>
        </w:rPr>
        <w:t xml:space="preserve">Our distributions to the general partner above, other than in its capacity as holders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 </w:t>
      </w:r>
    </w:p>
    <w:p>
      <w:pPr>
        <w:pStyle w:val="TextBody"/>
        <w:spacing w:before="270" w:after="0"/>
        <w:rPr>
          <w:rFonts w:ascii="Times New Roman" w:hAnsi="Times New Roman"/>
          <w:b/>
          <w:sz w:val="20"/>
        </w:rPr>
      </w:pPr>
      <w:r>
        <w:rPr>
          <w:rFonts w:ascii="Times New Roman" w:hAnsi="Times New Roman"/>
          <w:b/>
          <w:sz w:val="20"/>
        </w:rPr>
        <w:t xml:space="preserve">Adjustments to Incentive Distribution Rights </w:t>
      </w:r>
    </w:p>
    <w:p>
      <w:pPr>
        <w:pStyle w:val="TextBody"/>
        <w:spacing w:before="90" w:after="0"/>
        <w:rPr>
          <w:rFonts w:ascii="Times New Roman" w:hAnsi="Times New Roman"/>
          <w:sz w:val="20"/>
        </w:rPr>
      </w:pPr>
      <w:r>
        <w:rPr>
          <w:rFonts w:ascii="Times New Roman" w:hAnsi="Times New Roman"/>
          <w:sz w:val="20"/>
        </w:rPr>
        <w:t xml:space="preserve">In connection with acquisitions or similar transactions, we have and may in the future modify the incentive distribution rights to, among other reasons, accelerate the accretion or other benefits of the transaction to limited partners.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Upon closing of the Pacific and Rainbow acquisitions, our general partner agreed to reduce the amounts due it as incentive distributions. The total reduction in incentive distributions related to these acquisitions will be $75 million. Following our distribution in August 2009, the remaining incentive distribution reductions related to Pacific and Rainbow totaled approximately $21.25 million. </w:t>
      </w:r>
    </w:p>
    <w:p>
      <w:pPr>
        <w:pStyle w:val="TextBody"/>
        <w:spacing w:before="180" w:after="0"/>
        <w:rPr>
          <w:rFonts w:ascii="Times New Roman" w:hAnsi="Times New Roman"/>
          <w:sz w:val="20"/>
        </w:rPr>
      </w:pPr>
      <w:r>
        <w:rPr>
          <w:rFonts w:ascii="Times New Roman" w:hAnsi="Times New Roman"/>
          <w:sz w:val="20"/>
        </w:rPr>
        <w:t xml:space="preserve">In connection with our acquisition of the remaining 50% indirect member interest in PAA Natural Gas Storage LLC in September 2009, our general partner agreed to further reduce the amounts due it as incentive distributions by an aggregate of $8 million over the next two years. This reduction will be effective upon our payment of a quarterly distribution of $0.92 per unit. </w:t>
      </w:r>
    </w:p>
    <w:p>
      <w:pPr>
        <w:pStyle w:val="TextBody"/>
        <w:spacing w:before="270" w:after="0"/>
        <w:rPr>
          <w:rFonts w:ascii="Times New Roman" w:hAnsi="Times New Roman"/>
          <w:b/>
          <w:sz w:val="20"/>
        </w:rPr>
      </w:pPr>
      <w:r>
        <w:rPr>
          <w:rFonts w:ascii="Times New Roman" w:hAnsi="Times New Roman"/>
          <w:b/>
          <w:sz w:val="20"/>
        </w:rPr>
        <w:t xml:space="preserve">Distributions from Capital Surplus </w:t>
      </w:r>
    </w:p>
    <w:p>
      <w:pPr>
        <w:pStyle w:val="TextBody"/>
        <w:spacing w:before="90" w:after="0"/>
        <w:rPr>
          <w:rFonts w:ascii="Times New Roman" w:hAnsi="Times New Roman"/>
          <w:sz w:val="20"/>
        </w:rPr>
      </w:pPr>
      <w:r>
        <w:rPr>
          <w:rFonts w:ascii="Times New Roman" w:hAnsi="Times New Roman"/>
          <w:i/>
          <w:sz w:val="20"/>
        </w:rPr>
        <w:t>How Distributions from Capital Surplus Will Be Made.</w:t>
      </w:r>
      <w:r>
        <w:rPr>
          <w:rFonts w:ascii="Times New Roman" w:hAnsi="Times New Roman"/>
          <w:sz w:val="20"/>
        </w:rPr>
        <w:t xml:space="preserve"> We will make distributions of available cash from capital surplus in the following manner: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98% to all unitholders, pro rata, and 2% to the general partner, until we distribute, for each common unit issued in this offering, available cash from capital surplus in an aggregate amount per common unit equal to the initial public offering price;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Thereafter, we will make all distributions of available cash from capital surplus as if they were from operating surplus. </w:t>
            </w:r>
          </w:p>
        </w:tc>
      </w:tr>
    </w:tbl>
    <w:p>
      <w:pPr>
        <w:pStyle w:val="TextBody"/>
        <w:spacing w:before="180" w:after="0"/>
        <w:rPr>
          <w:rFonts w:ascii="Times New Roman" w:hAnsi="Times New Roman"/>
          <w:sz w:val="20"/>
        </w:rPr>
      </w:pPr>
      <w:r>
        <w:rPr>
          <w:rFonts w:ascii="Times New Roman" w:hAnsi="Times New Roman"/>
          <w:i/>
          <w:sz w:val="20"/>
        </w:rPr>
        <w:t>Effect of a Distribution from Capital Surplus.</w:t>
      </w:r>
      <w:r>
        <w:rPr>
          <w:rFonts w:ascii="Times New Roman" w:hAnsi="Times New Roman"/>
          <w:sz w:val="20"/>
        </w:rPr>
        <w:t xml:space="preserve"> Our partnership agreement treats a distribution of available cash from capital surplus as the repayment of the initial unit price. To show that repayment, the minimum quarterly distribution 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 </w:t>
      </w:r>
    </w:p>
    <w:p>
      <w:pPr>
        <w:pStyle w:val="TextBody"/>
        <w:spacing w:before="180" w:after="0"/>
        <w:rPr>
          <w:rFonts w:ascii="Times New Roman" w:hAnsi="Times New Roman"/>
          <w:sz w:val="20"/>
        </w:rPr>
      </w:pPr>
      <w:r>
        <w:rPr>
          <w:rFonts w:ascii="Times New Roman" w:hAnsi="Times New Roman"/>
          <w:i/>
          <w:sz w:val="20"/>
        </w:rPr>
        <w:t>When Payback Occurs.</w:t>
      </w:r>
      <w:r>
        <w:rPr>
          <w:rFonts w:ascii="Times New Roman" w:hAnsi="Times New Roman"/>
          <w:sz w:val="20"/>
        </w:rPr>
        <w:t xml:space="preserve"> When payback of the reduced initial unit price has occurred, i.e., when the unrecovered capital of the common units is zero, then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minimum quarterly distribution and the target distribution levels will be reduced to zero for subsequent quarters;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distributions of available cash will be treated as operating surplus;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general partner will be entitled to receive 50% of distributions of available cash in its capacities as general partner and as holder of the incentive distribution rights. </w:t>
            </w:r>
          </w:p>
        </w:tc>
      </w:tr>
    </w:tbl>
    <w:p>
      <w:pPr>
        <w:pStyle w:val="TextBody"/>
        <w:spacing w:before="180" w:after="0"/>
        <w:rPr>
          <w:rFonts w:ascii="Times New Roman" w:hAnsi="Times New Roman"/>
          <w:sz w:val="20"/>
        </w:rPr>
      </w:pPr>
      <w:r>
        <w:rPr>
          <w:rFonts w:ascii="Times New Roman" w:hAnsi="Times New Roman"/>
          <w:sz w:val="20"/>
        </w:rPr>
        <w:t xml:space="preserve">Distributions of available cash from capital surplus will not reduce the minimum quarterly distribution or target distribution levels for the quarter in which they are distributed. </w:t>
      </w:r>
    </w:p>
    <w:p>
      <w:pPr>
        <w:pStyle w:val="TextBody"/>
        <w:spacing w:before="270" w:after="0"/>
        <w:rPr>
          <w:rFonts w:ascii="Times New Roman" w:hAnsi="Times New Roman"/>
          <w:b/>
          <w:sz w:val="20"/>
        </w:rPr>
      </w:pPr>
      <w:r>
        <w:rPr>
          <w:rFonts w:ascii="Times New Roman" w:hAnsi="Times New Roman"/>
          <w:b/>
          <w:sz w:val="20"/>
        </w:rPr>
        <w:t xml:space="preserve">Adjustment to the Minimum Quarterly Distribution and Target Distribution Levels </w:t>
      </w:r>
    </w:p>
    <w:p>
      <w:pPr>
        <w:pStyle w:val="TextBody"/>
        <w:spacing w:before="90" w:after="0"/>
        <w:rPr>
          <w:rFonts w:ascii="Times New Roman" w:hAnsi="Times New Roman"/>
          <w:sz w:val="20"/>
        </w:rPr>
      </w:pPr>
      <w:r>
        <w:rPr>
          <w:rFonts w:ascii="Times New Roman" w:hAnsi="Times New Roman"/>
          <w:i/>
          <w:sz w:val="20"/>
        </w:rPr>
        <w:t>How We Adjust the Minimum Quarterly Distribution and Target Distribution Levels.</w:t>
      </w:r>
      <w:r>
        <w:rPr>
          <w:rFonts w:ascii="Times New Roman" w:hAnsi="Times New Roman"/>
          <w:sz w:val="20"/>
        </w:rPr>
        <w:t xml:space="preserve"> In addition to adjusting the minimum quarterly distribution and target distribution levels to reflect a distribution of capital surplus, if we combine our units into fewer units or subdivide our units into a greater number of units (but not if we issue additional common units for cash or property), we will proportionately adjust: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minimum quarterly distribution;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target distribution levels;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unrecovered capital; and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other amounts calculated on a per unit basis. </w:t>
            </w:r>
          </w:p>
        </w:tc>
      </w:tr>
    </w:tbl>
    <w:p>
      <w:pPr>
        <w:pStyle w:val="TextBody"/>
        <w:spacing w:before="180" w:after="0"/>
        <w:rPr>
          <w:rFonts w:ascii="Times New Roman" w:hAnsi="Times New Roman"/>
          <w:sz w:val="20"/>
        </w:rPr>
      </w:pPr>
      <w:r>
        <w:rPr>
          <w:rFonts w:ascii="Times New Roman" w:hAnsi="Times New Roman"/>
          <w:sz w:val="20"/>
        </w:rPr>
        <w:t xml:space="preserve">For example, in the event of a two-for-one split of the common units (assuming no prior adjustments), the minimum quarterly distribution, each of the target distribution levels and the unrecovered capital of the common units would each be reduced to 50% of its initial level. </w:t>
      </w:r>
    </w:p>
    <w:p>
      <w:pPr>
        <w:pStyle w:val="TextBody"/>
        <w:spacing w:before="180" w:after="0"/>
        <w:rPr>
          <w:rFonts w:ascii="Times New Roman" w:hAnsi="Times New Roman"/>
          <w:sz w:val="20"/>
        </w:rPr>
      </w:pPr>
      <w:r>
        <w:rPr>
          <w:rFonts w:ascii="Times New Roman" w:hAnsi="Times New Roman"/>
          <w:i/>
          <w:sz w:val="20"/>
        </w:rPr>
        <w:t>If We Became Subject to Taxation.</w:t>
      </w:r>
      <w:r>
        <w:rPr>
          <w:rFonts w:ascii="Times New Roman" w:hAnsi="Times New Roman"/>
          <w:sz w:val="20"/>
        </w:rPr>
        <w:t xml:space="preserve"> If legislation is enacted or if existing law is modified or interpreted by the relevant governmental authority so that we become taxable as a corporation or otherwise subject to taxation as an entity for federal, state or local income tax purposes, we will adjust the minimum quarterly distribution and each of the target distribution levels, respectively, to equal the product obtained by multiplying the amount thereof by: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one minus the sum of (x) the maximum effective federal income tax rate to which we as an entity were subject plus (y) any increase in state and local income taxes to which we are subject for the taxable year of the event, after adjusting for any allowable deductions for federal income tax purposes for the payment of state and local income taxes. </w:t>
            </w:r>
          </w:p>
        </w:tc>
      </w:tr>
    </w:tbl>
    <w:p>
      <w:pPr>
        <w:pStyle w:val="TextBody"/>
        <w:spacing w:before="180" w:after="0"/>
        <w:rPr>
          <w:rFonts w:ascii="Times New Roman" w:hAnsi="Times New Roman"/>
          <w:sz w:val="20"/>
        </w:rPr>
      </w:pPr>
      <w:r>
        <w:rPr>
          <w:rFonts w:ascii="Times New Roman" w:hAnsi="Times New Roman"/>
          <w:sz w:val="20"/>
        </w:rPr>
        <w:t xml:space="preserve">For example, assuming we were not previously subject to state and local income tax, if we become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 </w:t>
      </w:r>
    </w:p>
    <w:p>
      <w:pPr>
        <w:pStyle w:val="TextBody"/>
        <w:spacing w:before="270" w:after="0"/>
        <w:rPr>
          <w:rFonts w:ascii="Times New Roman" w:hAnsi="Times New Roman"/>
          <w:b/>
          <w:sz w:val="20"/>
        </w:rPr>
      </w:pPr>
      <w:r>
        <w:rPr>
          <w:rFonts w:ascii="Times New Roman" w:hAnsi="Times New Roman"/>
          <w:b/>
          <w:sz w:val="20"/>
        </w:rPr>
        <w:t xml:space="preserve">Distribution of Cash Upon Liquidation </w:t>
      </w:r>
    </w:p>
    <w:p>
      <w:pPr>
        <w:pStyle w:val="TextBody"/>
        <w:spacing w:before="90" w:after="0"/>
        <w:rPr>
          <w:rFonts w:ascii="Times New Roman" w:hAnsi="Times New Roman"/>
          <w:sz w:val="20"/>
        </w:rPr>
      </w:pPr>
      <w:r>
        <w:rPr>
          <w:rFonts w:ascii="Times New Roman" w:hAnsi="Times New Roman"/>
          <w:i/>
          <w:sz w:val="20"/>
        </w:rPr>
        <w:t>General.</w:t>
      </w:r>
      <w:r>
        <w:rPr>
          <w:rFonts w:ascii="Times New Roman" w:hAnsi="Times New Roman"/>
          <w:sz w:val="20"/>
        </w:rPr>
        <w:t xml:space="preserve"> If we dissolve and liquidate, we will sell our assets or otherwise dispose of our assets and we will adjust the partners capital account balances to show any resulting gain or loss. We will first apply the proceeds of liquidation to the payment of our creditors in the order of priority provided in our partnership agreement and by law and, thereafter, distribute to the unitholders and the general partner in accordance with their adjusted capital account balances. </w:t>
      </w:r>
    </w:p>
    <w:p>
      <w:pPr>
        <w:pStyle w:val="TextBody"/>
        <w:spacing w:before="180" w:after="0"/>
        <w:rPr>
          <w:rFonts w:ascii="Times New Roman" w:hAnsi="Times New Roman"/>
          <w:sz w:val="20"/>
        </w:rPr>
      </w:pPr>
      <w:r>
        <w:rPr>
          <w:rFonts w:ascii="Times New Roman" w:hAnsi="Times New Roman"/>
          <w:i/>
          <w:sz w:val="20"/>
        </w:rPr>
        <w:t>Manner of Adjustment.</w:t>
      </w:r>
      <w:r>
        <w:rPr>
          <w:rFonts w:ascii="Times New Roman" w:hAnsi="Times New Roman"/>
          <w:sz w:val="20"/>
        </w:rPr>
        <w:t xml:space="preserve"> If we liquidate, we would allocate any loss to the general partner and each unitholder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98% to the holders of common units who have positive balances in their capital accounts in proportion to those positive balances and 2% to the general partner, until the capital accounts of the common unitholders have been reduced to zero;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1"/>
        <w:gridCol w:w="9493"/>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Thereafter, 100% to the general partner. </w:t>
            </w:r>
          </w:p>
        </w:tc>
      </w:tr>
    </w:tbl>
    <w:p>
      <w:pPr>
        <w:pStyle w:val="TextBody"/>
        <w:spacing w:before="180" w:after="0"/>
        <w:rPr>
          <w:rFonts w:ascii="Times New Roman" w:hAnsi="Times New Roman"/>
          <w:sz w:val="20"/>
        </w:rPr>
      </w:pPr>
      <w:r>
        <w:rPr>
          <w:rFonts w:ascii="Times New Roman" w:hAnsi="Times New Roman"/>
          <w:i/>
          <w:sz w:val="20"/>
        </w:rPr>
        <w:t>Interim Adjustments to Capital Accounts.</w:t>
      </w:r>
      <w:r>
        <w:rPr>
          <w:rFonts w:ascii="Times New Roman" w:hAnsi="Times New Roman"/>
          <w:sz w:val="20"/>
        </w:rPr>
        <w:t xml:space="preserve"> If we issued additional security interests or made distributions of property, interim adjustments to capital accounts would also be made. 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to the extent possible, in the capital account balances of the general partner equaling the amount which would have been the general partners capital account balances if no prior positive adjustments to the capital accounts had been made.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40" w:name="rom314176_121"/>
      <w:bookmarkStart w:id="41" w:name="supprom314176_24"/>
      <w:bookmarkEnd w:id="40"/>
      <w:bookmarkEnd w:id="41"/>
      <w:r>
        <w:rPr>
          <w:rFonts w:ascii="Times New Roman" w:hAnsi="Times New Roman"/>
          <w:b/>
          <w:sz w:val="20"/>
        </w:rPr>
        <w:t xml:space="preserve">DESCRIPTION OF OUR PARTNERSHIP AGREEMENT </w:t>
      </w:r>
    </w:p>
    <w:p>
      <w:pPr>
        <w:pStyle w:val="TextBody"/>
        <w:spacing w:before="180" w:after="0"/>
        <w:rPr>
          <w:rFonts w:ascii="Times New Roman" w:hAnsi="Times New Roman"/>
          <w:sz w:val="20"/>
        </w:rPr>
      </w:pPr>
      <w:r>
        <w:rPr>
          <w:rFonts w:ascii="Times New Roman" w:hAnsi="Times New Roman"/>
          <w:sz w:val="20"/>
        </w:rPr>
        <w:t xml:space="preserve">The following is a summary of the material provisions of our partnership agreement. The following provisions of our partnership agreement are summarized elsewhere in this prospectus: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distributions of our available cash are described under Cash Distribution Policy;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allocations of taxable income and other tax matters are described under Material Income Tax Considerations;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rights of holders of common units are described under Description of Our Common Units. </w:t>
            </w:r>
          </w:p>
        </w:tc>
      </w:tr>
    </w:tbl>
    <w:p>
      <w:pPr>
        <w:pStyle w:val="TextBody"/>
        <w:spacing w:before="270" w:after="0"/>
        <w:rPr>
          <w:rFonts w:ascii="Times New Roman" w:hAnsi="Times New Roman"/>
          <w:b/>
          <w:sz w:val="20"/>
        </w:rPr>
      </w:pPr>
      <w:r>
        <w:rPr>
          <w:rFonts w:ascii="Times New Roman" w:hAnsi="Times New Roman"/>
          <w:b/>
          <w:sz w:val="20"/>
        </w:rPr>
        <w:t xml:space="preserve">Purpose </w:t>
      </w:r>
    </w:p>
    <w:p>
      <w:pPr>
        <w:pStyle w:val="TextBody"/>
        <w:spacing w:before="90" w:after="0"/>
        <w:rPr>
          <w:rFonts w:ascii="Times New Roman" w:hAnsi="Times New Roman"/>
          <w:sz w:val="20"/>
        </w:rPr>
      </w:pPr>
      <w:r>
        <w:rPr>
          <w:rFonts w:ascii="Times New Roman" w:hAnsi="Times New Roman"/>
          <w:sz w:val="20"/>
        </w:rPr>
        <w:t xml:space="preserve">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 </w:t>
      </w:r>
    </w:p>
    <w:p>
      <w:pPr>
        <w:pStyle w:val="TextBody"/>
        <w:spacing w:before="270" w:after="0"/>
        <w:rPr>
          <w:rFonts w:ascii="Times New Roman" w:hAnsi="Times New Roman"/>
          <w:b/>
          <w:sz w:val="20"/>
        </w:rPr>
      </w:pPr>
      <w:r>
        <w:rPr>
          <w:rFonts w:ascii="Times New Roman" w:hAnsi="Times New Roman"/>
          <w:b/>
          <w:sz w:val="20"/>
        </w:rPr>
        <w:t xml:space="preserve">Power of Attorney </w:t>
      </w:r>
    </w:p>
    <w:p>
      <w:pPr>
        <w:pStyle w:val="TextBody"/>
        <w:spacing w:before="90" w:after="0"/>
        <w:rPr>
          <w:rFonts w:ascii="Times New Roman" w:hAnsi="Times New Roman"/>
          <w:sz w:val="20"/>
        </w:rPr>
      </w:pPr>
      <w:r>
        <w:rPr>
          <w:rFonts w:ascii="Times New Roman" w:hAnsi="Times New Roman"/>
          <w:sz w:val="20"/>
        </w:rPr>
        <w:t xml:space="preserve">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 </w:t>
      </w:r>
    </w:p>
    <w:p>
      <w:pPr>
        <w:pStyle w:val="TextBody"/>
        <w:spacing w:before="270" w:after="0"/>
        <w:rPr>
          <w:rFonts w:ascii="Times New Roman" w:hAnsi="Times New Roman"/>
          <w:b/>
          <w:sz w:val="20"/>
        </w:rPr>
      </w:pPr>
      <w:r>
        <w:rPr>
          <w:rFonts w:ascii="Times New Roman" w:hAnsi="Times New Roman"/>
          <w:b/>
          <w:sz w:val="20"/>
        </w:rPr>
        <w:t xml:space="preserve">Reimbursements of Our General Partner </w:t>
      </w:r>
    </w:p>
    <w:p>
      <w:pPr>
        <w:pStyle w:val="TextBody"/>
        <w:spacing w:before="90" w:after="0"/>
        <w:rPr>
          <w:rFonts w:ascii="Times New Roman" w:hAnsi="Times New Roman"/>
          <w:sz w:val="20"/>
        </w:rPr>
      </w:pPr>
      <w:r>
        <w:rPr>
          <w:rFonts w:ascii="Times New Roman" w:hAnsi="Times New Roman"/>
          <w:sz w:val="20"/>
        </w:rPr>
        <w:t xml:space="preserve">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 </w:t>
      </w:r>
    </w:p>
    <w:p>
      <w:pPr>
        <w:pStyle w:val="TextBody"/>
        <w:spacing w:before="270" w:after="0"/>
        <w:rPr>
          <w:rFonts w:ascii="Times New Roman" w:hAnsi="Times New Roman"/>
          <w:b/>
          <w:sz w:val="20"/>
        </w:rPr>
      </w:pPr>
      <w:r>
        <w:rPr>
          <w:rFonts w:ascii="Times New Roman" w:hAnsi="Times New Roman"/>
          <w:b/>
          <w:sz w:val="20"/>
        </w:rPr>
        <w:t xml:space="preserve">Issuance of Additional Securities </w:t>
      </w:r>
    </w:p>
    <w:p>
      <w:pPr>
        <w:pStyle w:val="TextBody"/>
        <w:spacing w:before="90" w:after="0"/>
        <w:rPr>
          <w:rFonts w:ascii="Times New Roman" w:hAnsi="Times New Roman"/>
          <w:sz w:val="20"/>
        </w:rPr>
      </w:pPr>
      <w:r>
        <w:rPr>
          <w:rFonts w:ascii="Times New Roman" w:hAnsi="Times New Roman"/>
          <w:sz w:val="20"/>
        </w:rPr>
        <w:t xml:space="preserve">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 </w:t>
      </w:r>
    </w:p>
    <w:p>
      <w:pPr>
        <w:pStyle w:val="TextBody"/>
        <w:spacing w:before="180" w:after="0"/>
        <w:rPr>
          <w:rFonts w:ascii="Times New Roman" w:hAnsi="Times New Roman"/>
          <w:sz w:val="20"/>
        </w:rPr>
      </w:pPr>
      <w:r>
        <w:rPr>
          <w:rFonts w:ascii="Times New Roman" w:hAnsi="Times New Roman"/>
          <w:sz w:val="20"/>
        </w:rPr>
        <w:t xml:space="preserve">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 </w:t>
      </w:r>
    </w:p>
    <w:p>
      <w:pPr>
        <w:pStyle w:val="TextBody"/>
        <w:spacing w:before="180" w:after="0"/>
        <w:rPr>
          <w:rFonts w:ascii="Times New Roman" w:hAnsi="Times New Roman"/>
          <w:sz w:val="20"/>
        </w:rPr>
      </w:pPr>
      <w:r>
        <w:rPr>
          <w:rFonts w:ascii="Times New Roman" w:hAnsi="Times New Roman"/>
          <w:sz w:val="20"/>
        </w:rPr>
        <w:t xml:space="preserve">In accordance with Delaware law and the provisions of our partnership agreement, we may also issue additional partnership interests that, in the sole discretion of our general partner, may have special voting rights to which common units are not entitled. </w:t>
      </w:r>
    </w:p>
    <w:p>
      <w:pPr>
        <w:pStyle w:val="TextBody"/>
        <w:spacing w:before="180" w:after="0"/>
        <w:rPr>
          <w:rFonts w:ascii="Times New Roman" w:hAnsi="Times New Roman"/>
          <w:sz w:val="20"/>
        </w:rPr>
      </w:pPr>
      <w:r>
        <w:rPr>
          <w:rFonts w:ascii="Times New Roman" w:hAnsi="Times New Roman"/>
          <w:sz w:val="20"/>
        </w:rPr>
        <w:t xml:space="preserve">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their percentage interests in us that existed immediately prior to the issuance. The holders of common units will not have preemptive rights to acquire additional common units or other partnership interests in us. </w:t>
      </w:r>
    </w:p>
    <w:p>
      <w:pPr>
        <w:pStyle w:val="TextBody"/>
        <w:spacing w:before="270" w:after="0"/>
        <w:rPr>
          <w:rFonts w:ascii="Times New Roman" w:hAnsi="Times New Roman"/>
          <w:b/>
          <w:sz w:val="20"/>
        </w:rPr>
      </w:pPr>
      <w:r>
        <w:rPr>
          <w:rFonts w:ascii="Times New Roman" w:hAnsi="Times New Roman"/>
          <w:b/>
          <w:sz w:val="20"/>
        </w:rPr>
        <w:t xml:space="preserve">Amendments to Our Partnership Agreement </w:t>
      </w:r>
    </w:p>
    <w:p>
      <w:pPr>
        <w:pStyle w:val="TextBody"/>
        <w:spacing w:before="90" w:after="0"/>
        <w:rPr>
          <w:rFonts w:ascii="Times New Roman" w:hAnsi="Times New Roman"/>
          <w:sz w:val="20"/>
        </w:rPr>
      </w:pPr>
      <w:r>
        <w:rPr>
          <w:rFonts w:ascii="Times New Roman" w:hAnsi="Times New Roman"/>
          <w:sz w:val="20"/>
        </w:rPr>
        <w:t xml:space="preserve">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 </w:t>
      </w:r>
    </w:p>
    <w:p>
      <w:pPr>
        <w:pStyle w:val="TextBody"/>
        <w:spacing w:before="270" w:after="0"/>
        <w:rPr>
          <w:rFonts w:ascii="Times New Roman" w:hAnsi="Times New Roman"/>
          <w:b/>
          <w:sz w:val="20"/>
        </w:rPr>
      </w:pPr>
      <w:r>
        <w:rPr>
          <w:rFonts w:ascii="Times New Roman" w:hAnsi="Times New Roman"/>
          <w:b/>
          <w:sz w:val="20"/>
        </w:rPr>
        <w:t xml:space="preserve">Withdrawal or Removal of Our General Partner </w:t>
      </w:r>
    </w:p>
    <w:p>
      <w:pPr>
        <w:pStyle w:val="TextBody"/>
        <w:spacing w:before="90" w:after="0"/>
        <w:rPr>
          <w:rFonts w:ascii="Times New Roman" w:hAnsi="Times New Roman"/>
          <w:sz w:val="20"/>
        </w:rPr>
      </w:pPr>
      <w:r>
        <w:rPr>
          <w:rFonts w:ascii="Times New Roman" w:hAnsi="Times New Roman"/>
          <w:sz w:val="20"/>
        </w:rPr>
        <w:t xml:space="preserve">Our general partner has agreed not to withdraw voluntarily as our general partner prior to December 31, 2008 without obtaining the approval of the holders of a majority of our outstanding common units, excluding those held by our general partner and its affiliates, and furnishing an opinion of counsel regarding limited liability and tax matters. On or after December 31, 2008, our general partner may withdraw as general partner without first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 </w:t>
      </w:r>
    </w:p>
    <w:p>
      <w:pPr>
        <w:pStyle w:val="TextBody"/>
        <w:spacing w:before="180" w:after="0"/>
        <w:rPr>
          <w:rFonts w:ascii="Times New Roman" w:hAnsi="Times New Roman"/>
          <w:sz w:val="20"/>
        </w:rPr>
      </w:pPr>
      <w:r>
        <w:rPr>
          <w:rFonts w:ascii="Times New Roman" w:hAnsi="Times New Roman"/>
          <w:sz w:val="20"/>
        </w:rPr>
        <w:t xml:space="preserve">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 </w:t>
      </w:r>
    </w:p>
    <w:p>
      <w:pPr>
        <w:pStyle w:val="TextBody"/>
        <w:spacing w:before="180" w:after="0"/>
        <w:rPr>
          <w:rFonts w:ascii="Times New Roman" w:hAnsi="Times New Roman"/>
          <w:sz w:val="20"/>
        </w:rPr>
      </w:pPr>
      <w:r>
        <w:rPr>
          <w:rFonts w:ascii="Times New Roman" w:hAnsi="Times New Roman"/>
          <w:sz w:val="20"/>
        </w:rPr>
        <w:t xml:space="preserve">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 </w:t>
      </w:r>
    </w:p>
    <w:p>
      <w:pPr>
        <w:pStyle w:val="TextBody"/>
        <w:spacing w:before="180" w:after="0"/>
        <w:rPr>
          <w:rFonts w:ascii="Times New Roman" w:hAnsi="Times New Roman"/>
          <w:sz w:val="20"/>
        </w:rPr>
      </w:pPr>
      <w:r>
        <w:rPr>
          <w:rFonts w:ascii="Times New Roman" w:hAnsi="Times New Roman"/>
          <w:sz w:val="20"/>
        </w:rPr>
        <w:t xml:space="preserve">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 </w:t>
      </w:r>
    </w:p>
    <w:p>
      <w:pPr>
        <w:pStyle w:val="TextBody"/>
        <w:spacing w:before="180" w:after="0"/>
        <w:rPr>
          <w:rFonts w:ascii="Times New Roman" w:hAnsi="Times New Roman"/>
          <w:sz w:val="20"/>
        </w:rPr>
      </w:pPr>
      <w:r>
        <w:rPr>
          <w:rFonts w:ascii="Times New Roman" w:hAnsi="Times New Roman"/>
          <w:sz w:val="20"/>
        </w:rPr>
        <w:t xml:space="preserve">In addition, our partnership agreement expressly permits the sale, in whole or in part, of the ownership of our general partner. Our general partner may also transfer, in whole or in part, the common units it owns. </w:t>
      </w:r>
    </w:p>
    <w:p>
      <w:pPr>
        <w:pStyle w:val="TextBody"/>
        <w:spacing w:before="270" w:after="0"/>
        <w:rPr>
          <w:rFonts w:ascii="Times New Roman" w:hAnsi="Times New Roman"/>
          <w:b/>
          <w:sz w:val="20"/>
        </w:rPr>
      </w:pPr>
      <w:r>
        <w:rPr>
          <w:rFonts w:ascii="Times New Roman" w:hAnsi="Times New Roman"/>
          <w:b/>
          <w:sz w:val="20"/>
        </w:rPr>
        <w:t xml:space="preserve">Liquidation and Distribution of Proceeds </w:t>
      </w:r>
    </w:p>
    <w:p>
      <w:pPr>
        <w:pStyle w:val="TextBody"/>
        <w:spacing w:before="90" w:after="0"/>
        <w:rPr>
          <w:rFonts w:ascii="Times New Roman" w:hAnsi="Times New Roman"/>
          <w:sz w:val="20"/>
        </w:rPr>
      </w:pPr>
      <w:r>
        <w:rPr>
          <w:rFonts w:ascii="Times New Roman" w:hAnsi="Times New Roman"/>
          <w:sz w:val="20"/>
        </w:rPr>
        <w:t xml:space="preserve">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towards the payment of all of our creditors and the creation of a reserve for contingent liabilities; and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8"/>
        <w:gridCol w:w="204"/>
        <w:gridCol w:w="101"/>
        <w:gridCol w:w="9492"/>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then, to all partners in accordance with the positive balance in the respective capital accounts. </w:t>
            </w:r>
          </w:p>
        </w:tc>
      </w:tr>
    </w:tbl>
    <w:p>
      <w:pPr>
        <w:pStyle w:val="TextBody"/>
        <w:spacing w:before="180" w:after="0"/>
        <w:rPr>
          <w:rFonts w:ascii="Times New Roman" w:hAnsi="Times New Roman"/>
          <w:sz w:val="20"/>
        </w:rPr>
      </w:pPr>
      <w:r>
        <w:rPr>
          <w:rFonts w:ascii="Times New Roman" w:hAnsi="Times New Roman"/>
          <w:sz w:val="20"/>
        </w:rPr>
        <w:t xml:space="preserve">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 </w:t>
      </w:r>
    </w:p>
    <w:p>
      <w:pPr>
        <w:pStyle w:val="TextBody"/>
        <w:spacing w:before="270" w:after="0"/>
        <w:rPr>
          <w:rFonts w:ascii="Times New Roman" w:hAnsi="Times New Roman"/>
          <w:b/>
          <w:sz w:val="20"/>
        </w:rPr>
      </w:pPr>
      <w:r>
        <w:rPr>
          <w:rFonts w:ascii="Times New Roman" w:hAnsi="Times New Roman"/>
          <w:b/>
          <w:sz w:val="20"/>
        </w:rPr>
        <w:t xml:space="preserve">Change of Management Provisions </w:t>
      </w:r>
    </w:p>
    <w:p>
      <w:pPr>
        <w:pStyle w:val="TextBody"/>
        <w:spacing w:before="90" w:after="0"/>
        <w:rPr>
          <w:rFonts w:ascii="Times New Roman" w:hAnsi="Times New Roman"/>
          <w:sz w:val="20"/>
        </w:rPr>
      </w:pPr>
      <w:r>
        <w:rPr>
          <w:rFonts w:ascii="Times New Roman" w:hAnsi="Times New Roman"/>
          <w:sz w:val="20"/>
        </w:rPr>
        <w:t xml:space="preserve">Our partnership agreement contains the following specific provisions that are intended to discourage a person or group from attempting to remove our general partner or otherwise change management: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generally, if a person acquires 20% or more of any class of units then outstanding other than from our general partner or its affiliates, the units owned by such person cannot be voted on any matter;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provisions limiting the ability of unitholders to call meetings or to acquire information about our operations, as well as other provisions limiting the unitholders ability to influence the manner or direction of management. </w:t>
            </w:r>
          </w:p>
        </w:tc>
      </w:tr>
    </w:tbl>
    <w:p>
      <w:pPr>
        <w:pStyle w:val="TextBody"/>
        <w:spacing w:before="270" w:after="0"/>
        <w:rPr>
          <w:rFonts w:ascii="Times New Roman" w:hAnsi="Times New Roman"/>
          <w:b/>
          <w:sz w:val="20"/>
        </w:rPr>
      </w:pPr>
      <w:r>
        <w:rPr>
          <w:rFonts w:ascii="Times New Roman" w:hAnsi="Times New Roman"/>
          <w:b/>
          <w:sz w:val="20"/>
        </w:rPr>
        <w:t xml:space="preserve">Limited Call Right </w:t>
      </w:r>
    </w:p>
    <w:p>
      <w:pPr>
        <w:pStyle w:val="TextBody"/>
        <w:spacing w:before="90" w:after="0"/>
        <w:rPr>
          <w:rFonts w:ascii="Times New Roman" w:hAnsi="Times New Roman"/>
          <w:sz w:val="20"/>
        </w:rPr>
      </w:pPr>
      <w:r>
        <w:rPr>
          <w:rFonts w:ascii="Times New Roman" w:hAnsi="Times New Roman"/>
          <w:sz w:val="20"/>
        </w:rPr>
        <w:t xml:space="preserve">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 </w:t>
      </w:r>
    </w:p>
    <w:p>
      <w:pPr>
        <w:pStyle w:val="TextBody"/>
        <w:spacing w:before="270" w:after="0"/>
        <w:rPr>
          <w:rFonts w:ascii="Times New Roman" w:hAnsi="Times New Roman"/>
          <w:b/>
          <w:sz w:val="20"/>
        </w:rPr>
      </w:pPr>
      <w:r>
        <w:rPr>
          <w:rFonts w:ascii="Times New Roman" w:hAnsi="Times New Roman"/>
          <w:b/>
          <w:sz w:val="20"/>
        </w:rPr>
        <w:t xml:space="preserve">Indemnification </w:t>
      </w:r>
    </w:p>
    <w:p>
      <w:pPr>
        <w:pStyle w:val="TextBody"/>
        <w:spacing w:before="90" w:after="0"/>
        <w:rPr>
          <w:rFonts w:ascii="Times New Roman" w:hAnsi="Times New Roman"/>
          <w:sz w:val="20"/>
        </w:rPr>
      </w:pPr>
      <w:r>
        <w:rPr>
          <w:rFonts w:ascii="Times New Roman" w:hAnsi="Times New Roman"/>
          <w:sz w:val="20"/>
        </w:rPr>
        <w:t xml:space="preserve">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 </w:t>
      </w:r>
    </w:p>
    <w:p>
      <w:pPr>
        <w:pStyle w:val="TextBody"/>
        <w:spacing w:before="180" w:after="0"/>
        <w:rPr>
          <w:rFonts w:ascii="Times New Roman" w:hAnsi="Times New Roman"/>
          <w:sz w:val="20"/>
        </w:rPr>
      </w:pPr>
      <w:r>
        <w:rPr>
          <w:rFonts w:ascii="Times New Roman" w:hAnsi="Times New Roman"/>
          <w:sz w:val="20"/>
        </w:rPr>
        <w:t xml:space="preserve">We are authorized to purchase insurance against liabilities asserted against and expenses incurred by persons for our activities, regardless of whether we would have the power to indemnify the person against liabilities under our partnership agreement. </w:t>
      </w:r>
    </w:p>
    <w:p>
      <w:pPr>
        <w:pStyle w:val="TextBody"/>
        <w:spacing w:before="270" w:after="0"/>
        <w:rPr>
          <w:rFonts w:ascii="Times New Roman" w:hAnsi="Times New Roman"/>
          <w:b/>
          <w:sz w:val="20"/>
        </w:rPr>
      </w:pPr>
      <w:r>
        <w:rPr>
          <w:rFonts w:ascii="Times New Roman" w:hAnsi="Times New Roman"/>
          <w:b/>
          <w:sz w:val="20"/>
        </w:rPr>
        <w:t xml:space="preserve">Registration Rights </w:t>
      </w:r>
    </w:p>
    <w:p>
      <w:pPr>
        <w:pStyle w:val="TextBody"/>
        <w:spacing w:before="90" w:after="0"/>
        <w:rPr>
          <w:rFonts w:ascii="Times New Roman" w:hAnsi="Times New Roman"/>
          <w:sz w:val="20"/>
        </w:rPr>
      </w:pPr>
      <w:r>
        <w:rPr>
          <w:rFonts w:ascii="Times New Roman" w:hAnsi="Times New Roman"/>
          <w:sz w:val="20"/>
        </w:rPr>
        <w:t xml:space="preserve">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42" w:name="rom314176_122"/>
      <w:bookmarkStart w:id="43" w:name="supprom314176_25"/>
      <w:bookmarkEnd w:id="42"/>
      <w:bookmarkEnd w:id="43"/>
      <w:r>
        <w:rPr>
          <w:rFonts w:ascii="Times New Roman" w:hAnsi="Times New Roman"/>
          <w:b/>
          <w:sz w:val="20"/>
        </w:rPr>
        <w:t xml:space="preserve">MATERIAL INCOME TAX CONSIDERATIONS </w:t>
      </w:r>
    </w:p>
    <w:p>
      <w:pPr>
        <w:pStyle w:val="TextBody"/>
        <w:spacing w:before="180" w:after="0"/>
        <w:rPr>
          <w:rFonts w:ascii="Times New Roman" w:hAnsi="Times New Roman"/>
          <w:sz w:val="20"/>
        </w:rPr>
      </w:pPr>
      <w:r>
        <w:rPr>
          <w:rFonts w:ascii="Times New Roman" w:hAnsi="Times New Roman"/>
          <w:sz w:val="20"/>
        </w:rPr>
        <w:t xml:space="preserve">This section is a discussion of the material tax considerations that may be relevant to prospective unitholders who are individual citizens or residents of the United States and, unless otherwise noted in the following discussion, is the opinion of Vinson &amp; Elkins L.L.P., counsel to our general partner and us, insofar as it relates to legal conclusions with respect to matters of United States federal income tax law. This section is based upon current provisions of the Internal Revenue Code of 1986, as amended (the Internal Revenue Code), existing and proposed regulations promulgated under the Internal Revenue Code (the Treasury Regulations), current administrative rulings and court decisions, all of which are subject to change. Later changes in these authorities may cause the tax consequences to vary substantially from the consequences described below. Unless the context otherwise requires, references in this section to us or we are references to Plains All American Pipeline, L.P. </w:t>
      </w:r>
    </w:p>
    <w:p>
      <w:pPr>
        <w:pStyle w:val="TextBody"/>
        <w:spacing w:before="180" w:after="0"/>
        <w:rPr>
          <w:rFonts w:ascii="Times New Roman" w:hAnsi="Times New Roman"/>
          <w:sz w:val="20"/>
        </w:rPr>
      </w:pPr>
      <w:r>
        <w:rPr>
          <w:rFonts w:ascii="Times New Roman" w:hAnsi="Times New Roman"/>
          <w:sz w:val="20"/>
        </w:rPr>
        <w:t xml:space="preserve">The following discussion does not comment on all federal income tax matters affecting us or the unitholders. Moreover, the discussion focuses on unitholders who are individual citizens or residents of the United States and has only limited application to corporations, estates, trusts, nonresident aliens or other unitholders subject to specialized tax treatment, such as tax-exempt institutions, foreign persons, individual retirement accounts (IRAs), real estate investment trusts (REITs) or mutual funds. Accordingly, we urge each prospective unitholder to consult, and depend on, his own tax advisor in analyzing the federal, state, local and foreign tax consequences particular to him of the ownership or disposition of common units. </w:t>
      </w:r>
    </w:p>
    <w:p>
      <w:pPr>
        <w:pStyle w:val="TextBody"/>
        <w:spacing w:before="180" w:after="0"/>
        <w:rPr>
          <w:rFonts w:ascii="Times New Roman" w:hAnsi="Times New Roman"/>
          <w:sz w:val="20"/>
        </w:rPr>
      </w:pPr>
      <w:r>
        <w:rPr>
          <w:rFonts w:ascii="Times New Roman" w:hAnsi="Times New Roman"/>
          <w:sz w:val="20"/>
        </w:rPr>
        <w:t xml:space="preserve">All statements as to matters of law and legal conclusions, but not as to factual matters, contained in this section, unless otherwise noted, are the opinion of Vinson &amp; Elkins L.L.P. and are based on the accuracy of the representations made by us. </w:t>
      </w:r>
    </w:p>
    <w:p>
      <w:pPr>
        <w:pStyle w:val="TextBody"/>
        <w:spacing w:before="180" w:after="0"/>
        <w:rPr>
          <w:rFonts w:ascii="Times New Roman" w:hAnsi="Times New Roman"/>
          <w:sz w:val="20"/>
        </w:rPr>
      </w:pPr>
      <w:r>
        <w:rPr>
          <w:rFonts w:ascii="Times New Roman" w:hAnsi="Times New Roman"/>
          <w:sz w:val="20"/>
        </w:rPr>
        <w:t xml:space="preserve">No ruling has been or will be requested from the IRS regarding any matter affecting us or prospective unitholders. Instead, we will rely on opinions of Vinson &amp; Elkins L.L.P. Unlike a ruling, an opinion of counsel represents only that counsels best legal judgment and does not bind the IRS or the courts. Accordingly, the opinions and statements made herein may not be sustained by a court if contested by the IRS. Any contest of this sort with the IRS may materially and adversely impact the market for our common units and the prices at which common units trade. In addition, the costs of any contest with the IRS, principally legal, accounting and related fees, will result in a reduction in cash available for distribution to our unitholders and our general partner and thus will be borne indirectly by our unitholders and our general partner. Furthermore, the tax treatment of us, or of an investment in us, may be significantly modified by future legislative or administrative changes or court decisions. Any modifications may or may not be retroactively applied. </w:t>
      </w:r>
    </w:p>
    <w:p>
      <w:pPr>
        <w:pStyle w:val="TextBody"/>
        <w:spacing w:before="180" w:after="0"/>
        <w:rPr>
          <w:rFonts w:ascii="Times New Roman" w:hAnsi="Times New Roman"/>
          <w:sz w:val="20"/>
        </w:rPr>
      </w:pPr>
      <w:r>
        <w:rPr>
          <w:rFonts w:ascii="Times New Roman" w:hAnsi="Times New Roman"/>
          <w:sz w:val="20"/>
        </w:rPr>
        <w:t xml:space="preserve">For the reasons described below, Vinson &amp; Elkins L.L.P. has not rendered an opinion with respect to the following specific federal income tax issues: (1) the treatment of a unitholder whose common units are loaned to a short seller to cover a short sale of common units (please see Tax Consequences of Unit OwnershipTreatment of Short Sales); (2) whether our monthly convention for allocating taxable income and losses is permitted by existing Treasury Regulations (please see Disposition of Common UnitsAllocations Between Transferors and Transferees); and (3) whether our method for depreciating Section 743 adjustments is sustainable in certain cases (please see Tax Consequences of Unit OwnershipSection 754 Election). </w:t>
      </w:r>
    </w:p>
    <w:p>
      <w:pPr>
        <w:pStyle w:val="TextBody"/>
        <w:spacing w:before="270" w:after="0"/>
        <w:rPr>
          <w:rFonts w:ascii="Times New Roman" w:hAnsi="Times New Roman"/>
          <w:b/>
          <w:sz w:val="20"/>
        </w:rPr>
      </w:pPr>
      <w:r>
        <w:rPr>
          <w:rFonts w:ascii="Times New Roman" w:hAnsi="Times New Roman"/>
          <w:b/>
          <w:sz w:val="20"/>
        </w:rPr>
        <w:t xml:space="preserve">Partnership Status </w:t>
      </w:r>
    </w:p>
    <w:p>
      <w:pPr>
        <w:pStyle w:val="TextBody"/>
        <w:spacing w:before="90" w:after="0"/>
        <w:rPr>
          <w:rFonts w:ascii="Times New Roman" w:hAnsi="Times New Roman"/>
          <w:sz w:val="20"/>
        </w:rPr>
      </w:pPr>
      <w:r>
        <w:rPr>
          <w:rFonts w:ascii="Times New Roman" w:hAnsi="Times New Roman"/>
          <w:sz w:val="20"/>
        </w:rPr>
        <w:t xml:space="preserve">A partnership is not a taxable entity and incurs no federal income tax liability. Instead, each partner of a partnership is required to take into account his share of items of income, gain, loss and deduction of the partnership in computing his federal income tax liability, regardless of whether cash distributions are made to him by the partnership. Distributions by a partnership to a partner are generally not taxable to the partnership or to the partner unless the amount of cash distributed is in excess of the partners adjusted basis in his partnership interest.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Section 7704 of the Internal Revenue Code provides that publicly traded partnerships will, as a general rule, be taxed as corporations. However, an exception, referred to as the Qualifying Income Exception, exists with respect to publicly traded partnerships of which 90% or more of the gross income for every taxable year consists of qualifying income. Qualifying income includes income and gains derived from the transportation, storage, terminalling and marketing of crude oil, natural gas and products thereof. Other types of qualifying income include interest (other than from a financial business), dividends, gains from the sale of real property and gains from the sale or other disposition of capital assets held for the production of income that otherwise constitutes qualifying income. Moreover, recently enacted legislation has modified Section 7704(d)(1)(E) of the Internal Revenue Code to expand the definition of qualifying income to include income from the storage and transportation of certain alternative fuels and, among other things, the transportation and marketing of industrial source carbon dioxide. We estimate that less than 5% of our current gross income is not qualifying income; however, this estimate could change from time to time. Based upon and subject to this estimate, the factual representations made by us and the general partner and a review of the applicable legal authorities, Vinson &amp; Elkins L.L.P. is of the opinion that at least 90% of our current gross income constitutes qualifying income. The portion of our income that is qualifying income may change from time to time. </w:t>
      </w:r>
    </w:p>
    <w:p>
      <w:pPr>
        <w:pStyle w:val="TextBody"/>
        <w:spacing w:before="180" w:after="0"/>
        <w:rPr>
          <w:rFonts w:ascii="Times New Roman" w:hAnsi="Times New Roman"/>
          <w:sz w:val="20"/>
        </w:rPr>
      </w:pPr>
      <w:r>
        <w:rPr>
          <w:rFonts w:ascii="Times New Roman" w:hAnsi="Times New Roman"/>
          <w:sz w:val="20"/>
        </w:rPr>
        <w:t xml:space="preserve">No ruling has been or will be sought from the IRS and the IRS has made no determination as to our status or the status of the operating partnerships for federal income tax purposes or whether our operations generate qualifying income under Section 7704 of the Internal Revenue Code. Instead, we will rely on the opinion of Vinson &amp; Elkins L.L.P. on such matters. It is the opinion of Vinson &amp; Elkins L.L.P. that, based upon the Internal Revenue Code, its regulations, published revenue rulings and court decisions and the representations described below, we will be classified as a partnership and the operating partnerships will be treated as partnerships or disregarded as entities separate from us for federal income tax purposes. </w:t>
      </w:r>
    </w:p>
    <w:p>
      <w:pPr>
        <w:pStyle w:val="TextBody"/>
        <w:spacing w:before="180" w:after="0"/>
        <w:rPr>
          <w:rFonts w:ascii="Times New Roman" w:hAnsi="Times New Roman"/>
          <w:sz w:val="20"/>
        </w:rPr>
      </w:pPr>
      <w:r>
        <w:rPr>
          <w:rFonts w:ascii="Times New Roman" w:hAnsi="Times New Roman"/>
          <w:sz w:val="20"/>
        </w:rPr>
        <w:t xml:space="preserve">In rendering its opinion, Vinson &amp; Elkins L.L.P. has relied on factual representations made by us and our general partner. The representations made by us and our general partner upon which Vinson &amp; Elkins L.L.P. has relied are: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Neither we nor the operating partnerships have elected or will elect to be treated as a corporation;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 each taxable year, more than 90% of our gross income has been and will be income that Vinson &amp; Elkins L.L.P. has opined or will opine is qualifying income within the meaning of Section 7704(d) of the Internal Revenue Code;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Each hedging transaction that we treat as resulting in qualifying income has been and will be appropriately identified as a hedging transaction pursuant to applicable Treasury Regulations, and has been and will be associated with oil, gas, or products thereof that are held or to be held by us in activities that Vinson &amp; Elkins L.L.P. has opined or will opine result in qualifying income. </w:t>
            </w:r>
          </w:p>
        </w:tc>
      </w:tr>
    </w:tbl>
    <w:p>
      <w:pPr>
        <w:pStyle w:val="TextBody"/>
        <w:spacing w:before="180" w:after="0"/>
        <w:rPr>
          <w:rFonts w:ascii="Times New Roman" w:hAnsi="Times New Roman"/>
          <w:sz w:val="20"/>
        </w:rPr>
      </w:pPr>
      <w:r>
        <w:rPr>
          <w:rFonts w:ascii="Times New Roman" w:hAnsi="Times New Roman"/>
          <w:sz w:val="20"/>
        </w:rPr>
        <w:t xml:space="preserve">We believe that these representations have been true in the past and expect that these representations will be true in the future. </w:t>
      </w:r>
    </w:p>
    <w:p>
      <w:pPr>
        <w:pStyle w:val="TextBody"/>
        <w:spacing w:before="180" w:after="0"/>
        <w:rPr>
          <w:rFonts w:ascii="Times New Roman" w:hAnsi="Times New Roman"/>
          <w:sz w:val="20"/>
        </w:rPr>
      </w:pPr>
      <w:r>
        <w:rPr>
          <w:rFonts w:ascii="Times New Roman" w:hAnsi="Times New Roman"/>
          <w:sz w:val="20"/>
        </w:rPr>
        <w:t xml:space="preserve">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if we had transferred all of our assets, subject to liabilities, to a newly formed corporation, on the first day of the year in which we fail to meet the Qualifying Income Exception, in return for stock in that corporation, and then distributed that stock to the unitholders in liquidation of their interests in us. This deemed contribution and liquidation should be tax-free to unitholders and us so long as we, at that time, do not have liabilities in excess of the tax basis of our assets. Thereafter, we would be treated as a corporation for federal income tax purposes. </w:t>
      </w:r>
    </w:p>
    <w:p>
      <w:pPr>
        <w:pStyle w:val="TextBody"/>
        <w:spacing w:before="180" w:after="0"/>
        <w:rPr>
          <w:rFonts w:ascii="Times New Roman" w:hAnsi="Times New Roman"/>
          <w:sz w:val="20"/>
        </w:rPr>
      </w:pPr>
      <w:r>
        <w:rPr>
          <w:rFonts w:ascii="Times New Roman" w:hAnsi="Times New Roman"/>
          <w:sz w:val="20"/>
        </w:rPr>
        <w:t xml:space="preserve">If we were treated as an association taxable as a corporation in any taxable year, either as a result of a failure to meet the Qualifying Income Exception or otherwise, our items of income, gain, loss and deduction would be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reflected only on our tax return rather than being passed through to the unitholders, and our net income would be taxed to us at corporate rates. In addition, any distribution made to a unitholder would be treated as either taxable dividend income, to the extent of our current or accumulated earnings and profits, or, in the absence of earnings and profits, a nontaxable return of capital, to the extent of the unitholders tax basis in his common units, or taxable capital gain, after the unitholders tax basis in his common units is reduced to zero. Accordingly, taxation as a corporation would result in a material reduction in a unitholders cash flow and after-tax return and thus would likely result in a substantial reduction of the value of the units. </w:t>
      </w:r>
    </w:p>
    <w:p>
      <w:pPr>
        <w:pStyle w:val="TextBody"/>
        <w:spacing w:before="180" w:after="0"/>
        <w:rPr>
          <w:rFonts w:ascii="Times New Roman" w:hAnsi="Times New Roman"/>
          <w:sz w:val="20"/>
        </w:rPr>
      </w:pPr>
      <w:r>
        <w:rPr>
          <w:rFonts w:ascii="Times New Roman" w:hAnsi="Times New Roman"/>
          <w:sz w:val="20"/>
        </w:rPr>
        <w:t xml:space="preserve">The discussion below is based on Vinson &amp; Elkins L.L.P.s opinion that we will be classified as a partnership for federal income tax purposes. </w:t>
      </w:r>
    </w:p>
    <w:p>
      <w:pPr>
        <w:pStyle w:val="TextBody"/>
        <w:spacing w:before="270" w:after="0"/>
        <w:rPr>
          <w:rFonts w:ascii="Times New Roman" w:hAnsi="Times New Roman"/>
          <w:b/>
          <w:sz w:val="20"/>
        </w:rPr>
      </w:pPr>
      <w:r>
        <w:rPr>
          <w:rFonts w:ascii="Times New Roman" w:hAnsi="Times New Roman"/>
          <w:b/>
          <w:sz w:val="20"/>
        </w:rPr>
        <w:t xml:space="preserve">Limited Partner Status </w:t>
      </w:r>
    </w:p>
    <w:p>
      <w:pPr>
        <w:pStyle w:val="TextBody"/>
        <w:spacing w:before="90" w:after="0"/>
        <w:rPr>
          <w:rFonts w:ascii="Times New Roman" w:hAnsi="Times New Roman"/>
          <w:sz w:val="20"/>
        </w:rPr>
      </w:pPr>
      <w:r>
        <w:rPr>
          <w:rFonts w:ascii="Times New Roman" w:hAnsi="Times New Roman"/>
          <w:sz w:val="20"/>
        </w:rPr>
        <w:t xml:space="preserve">Unitholders who have become limited partners of Plains All American Pipeline, L.P. will be treated as partners of Plains All American Pipeline, L.P. for federal income tax purposes. Also: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2"/>
        <w:gridCol w:w="9491"/>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assignees who have executed and delivered transfer applications, and are awaiting admission as limited partners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unitholders whose common units are held in street name or by a nominee and who have the right to direct the nominee in the exercise of all substantive rights attendant to the ownership of their common units </w:t>
            </w:r>
          </w:p>
        </w:tc>
      </w:tr>
    </w:tbl>
    <w:p>
      <w:pPr>
        <w:pStyle w:val="TextBody"/>
        <w:spacing w:before="180" w:after="0"/>
        <w:rPr>
          <w:rFonts w:ascii="Times New Roman" w:hAnsi="Times New Roman"/>
          <w:sz w:val="20"/>
        </w:rPr>
      </w:pPr>
      <w:r>
        <w:rPr>
          <w:rFonts w:ascii="Times New Roman" w:hAnsi="Times New Roman"/>
          <w:sz w:val="20"/>
        </w:rPr>
        <w:t xml:space="preserve">will be treated as partners of Plains All American Pipeline, L.P. for federal income tax purposes. As there is no direct or indirect controlling authority addressing assignees of common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 </w:t>
      </w:r>
    </w:p>
    <w:p>
      <w:pPr>
        <w:pStyle w:val="TextBody"/>
        <w:spacing w:before="180" w:after="0"/>
        <w:rPr>
          <w:rFonts w:ascii="Times New Roman" w:hAnsi="Times New Roman"/>
          <w:sz w:val="20"/>
        </w:rPr>
      </w:pPr>
      <w:r>
        <w:rPr>
          <w:rFonts w:ascii="Times New Roman" w:hAnsi="Times New Roman"/>
          <w:sz w:val="20"/>
        </w:rPr>
        <w:t xml:space="preserve">A beneficial owner of common units whose units have been transferred to a short seller to complete a short sale would appear to lose his status as a partner with respect to those units for federal income tax purposes. Please see Tax Consequences of Unit OwnershipTreatment of Short Sales. </w:t>
      </w:r>
    </w:p>
    <w:p>
      <w:pPr>
        <w:pStyle w:val="TextBody"/>
        <w:spacing w:before="180" w:after="0"/>
        <w:rPr>
          <w:rFonts w:ascii="Times New Roman" w:hAnsi="Times New Roman"/>
          <w:sz w:val="20"/>
        </w:rPr>
      </w:pPr>
      <w:r>
        <w:rPr>
          <w:rFonts w:ascii="Times New Roman" w:hAnsi="Times New Roman"/>
          <w:sz w:val="20"/>
        </w:rPr>
        <w:t xml:space="preserve">Income, gain, deductions or losses would not appear to be reportable by a unitholder who is not a partner for federal income tax purposes, and any cash distributions received by a unitholder who is not a partner for federal income tax purposes would therefore appear to be fully taxable as ordinary income. These holders are urged to consult their own tax advisors with respect to their tax consequences of holding common units in Plains All American Pipeline, L.P. </w:t>
      </w:r>
    </w:p>
    <w:p>
      <w:pPr>
        <w:pStyle w:val="TextBody"/>
        <w:spacing w:before="180" w:after="0"/>
        <w:rPr>
          <w:rFonts w:ascii="Times New Roman" w:hAnsi="Times New Roman"/>
          <w:sz w:val="20"/>
        </w:rPr>
      </w:pPr>
      <w:r>
        <w:rPr>
          <w:rFonts w:ascii="Times New Roman" w:hAnsi="Times New Roman"/>
          <w:sz w:val="20"/>
        </w:rPr>
        <w:t xml:space="preserve">The references to unitholders in the discussion that follows are to persons who are treated as partners in Plains All American Pipeline, L.P. for federal income tax purposes. </w:t>
      </w:r>
    </w:p>
    <w:p>
      <w:pPr>
        <w:pStyle w:val="TextBody"/>
        <w:spacing w:before="270" w:after="0"/>
        <w:rPr>
          <w:rFonts w:ascii="Times New Roman" w:hAnsi="Times New Roman"/>
          <w:b/>
          <w:sz w:val="20"/>
        </w:rPr>
      </w:pPr>
      <w:r>
        <w:rPr>
          <w:rFonts w:ascii="Times New Roman" w:hAnsi="Times New Roman"/>
          <w:b/>
          <w:sz w:val="20"/>
        </w:rPr>
        <w:t xml:space="preserve">Tax Consequences of Unit Ownership </w:t>
      </w:r>
    </w:p>
    <w:p>
      <w:pPr>
        <w:pStyle w:val="TextBody"/>
        <w:spacing w:before="90" w:after="0"/>
        <w:rPr>
          <w:rFonts w:ascii="Times New Roman" w:hAnsi="Times New Roman"/>
          <w:sz w:val="20"/>
        </w:rPr>
      </w:pPr>
      <w:r>
        <w:rPr>
          <w:rFonts w:ascii="Times New Roman" w:hAnsi="Times New Roman"/>
          <w:i/>
          <w:sz w:val="20"/>
        </w:rPr>
        <w:t>Flow-Through of Taxable Income.</w:t>
      </w:r>
      <w:r>
        <w:rPr>
          <w:rFonts w:ascii="Times New Roman" w:hAnsi="Times New Roman"/>
          <w:sz w:val="20"/>
        </w:rPr>
        <w:t xml:space="preserve"> We will not pay any federal income tax. Instead, each unitholder will be required to report on his income tax return his share of our income, gains, losses and deductions without regard to whether corresponding cash distributions are received by him. Consequently, we may allocate income to a unitholder even if he has not received a cash distribution. Each unitholder will be required to include in income his allocable share of our income, gains, losses and deductions for our taxable year ending with or within his taxable year. Our taxable year ends on December 31.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i/>
          <w:sz w:val="20"/>
        </w:rPr>
        <w:t>Treatment of Distributions.</w:t>
      </w:r>
      <w:r>
        <w:rPr>
          <w:rFonts w:ascii="Times New Roman" w:hAnsi="Times New Roman"/>
          <w:sz w:val="20"/>
        </w:rPr>
        <w:t xml:space="preserve"> Distributions by us to a unitholder generally will not be taxable to the unitholder for federal income tax purposes, except to the extent the amount of any such cash distribution exceeds his tax basis in his common units immediately before the distribution. Our cash distributions in excess of a unitholders tax basis generally will be considered to be gain from the sale or exchange of our common units, taxable in accordance with the rules described under Disposition of Common Units. Any reduction in a unitholders share of our liabilities for which no partner, including the general partner, bears the economic risk of loss, known as nonrecourse liabilities, will be treated as a distribution of cash to that unitholder. To the extent our distributions cause a unitholders at risk amount to be less than zero at the end of any taxable year, he must recapture any losses deducted in previous years. Please see Limitations on Deductibility of Losses. </w:t>
      </w:r>
    </w:p>
    <w:p>
      <w:pPr>
        <w:pStyle w:val="TextBody"/>
        <w:spacing w:before="180" w:after="0"/>
        <w:rPr>
          <w:rFonts w:ascii="Times New Roman" w:hAnsi="Times New Roman"/>
          <w:sz w:val="20"/>
        </w:rPr>
      </w:pPr>
      <w:r>
        <w:rPr>
          <w:rFonts w:ascii="Times New Roman" w:hAnsi="Times New Roman"/>
          <w:sz w:val="20"/>
        </w:rPr>
        <w:t xml:space="preserve">A decrease in a unitholders percentage interest in us because of our issuance of additional common units will decrease his share of our nonrecourse liabilities, and thus will result in a corresponding deemed distribution of cash. This deemed distribution may constitute a non-pro rata distribution. A non-pro rata distribution of money or property may result in ordinary income to a unitholder, regardless of his tax basis in his common units, if the distribution reduces the unitholders share of our unrealized receivables, including depreciation recapture, and/or substantially appreciated inventory items, both as defined in the Internal Revenue Code, and collectively, Section 751 Assets. To that extent, he will be treated as having been distributed his proportionate share of the Section 751 Assets and then having exchanged those assets with us in return for the non-pro rata portion of the actual distribution made to him. This latter deemed exchange will generally result in the unitholders realization of ordinary income, which will equal the excess of (1) the non-pro rata portion of that distribution over (2) the unitholders tax basis (generally zero) for the share of Section 751 Assets deemed relinquished in the exchange. </w:t>
      </w:r>
    </w:p>
    <w:p>
      <w:pPr>
        <w:pStyle w:val="TextBody"/>
        <w:spacing w:before="180" w:after="0"/>
        <w:rPr>
          <w:rFonts w:ascii="Times New Roman" w:hAnsi="Times New Roman"/>
          <w:sz w:val="20"/>
        </w:rPr>
      </w:pPr>
      <w:r>
        <w:rPr>
          <w:rFonts w:ascii="Times New Roman" w:hAnsi="Times New Roman"/>
          <w:i/>
          <w:sz w:val="20"/>
        </w:rPr>
        <w:t>Basis of Common Units.</w:t>
      </w:r>
      <w:r>
        <w:rPr>
          <w:rFonts w:ascii="Times New Roman" w:hAnsi="Times New Roman"/>
          <w:sz w:val="20"/>
        </w:rPr>
        <w:t xml:space="preserve"> A unitholders initial tax basis for his common units will be the amount he paid for our common units plus his share of our nonrecourse liabilities. That basis will be increased by his share of our income and by any increases in his share of our nonrecourse liabilities. That basis will be decreased, but not below zero, by distributions from us, by the unitholders share of our losses, by any decreases in his share of our nonrecourse liabilities and by his share of our expenditures that are not deductible in computing taxable income and are not required to be capitalized. A unitholder will have no share of our debt that is recourse to our general partner, but will have a share, generally based on his share of profits, of our nonrecourse liabilities. Please see Disposition of Common UnitsRecognition of Gain or Loss. </w:t>
      </w:r>
    </w:p>
    <w:p>
      <w:pPr>
        <w:pStyle w:val="TextBody"/>
        <w:spacing w:before="180" w:after="0"/>
        <w:rPr>
          <w:rFonts w:ascii="Times New Roman" w:hAnsi="Times New Roman"/>
          <w:sz w:val="20"/>
        </w:rPr>
      </w:pPr>
      <w:r>
        <w:rPr>
          <w:rFonts w:ascii="Times New Roman" w:hAnsi="Times New Roman"/>
          <w:i/>
          <w:sz w:val="20"/>
        </w:rPr>
        <w:t>Limitations on Deductibility of Losses.</w:t>
      </w:r>
      <w:r>
        <w:rPr>
          <w:rFonts w:ascii="Times New Roman" w:hAnsi="Times New Roman"/>
          <w:sz w:val="20"/>
        </w:rPr>
        <w:t xml:space="preserve"> The deduction by a unitholder of his share of our losses will be limited to the tax basis in his units and, in the case of an individual unitholder, estate, trust, or corporate unitholder (if more than 50% of the value of the corporate unitholders stock is owned directly or indirectly by or for five or fewer individuals) or some tax-exempt organizations, to the amount for which the unitholder is considered to be at risk with respect to our activities, if that is less than his tax basis. A common unitholder subject to these limitations must recapture losses deducted in previous years to the extent that distributions cause his at-risk amount to be less than zero at the end of any taxable year. Losses disallowed to a unitholder or recaptured as a result of these limitations will carry forward and will be allowable as a deduction to the extent that his at-risk amount is subsequently increased provided such losses do not exceed such common unitholders tax basis in his common units. Upon the taxable disposition of a unit, any gain recognized by a unitholder can be offset by losses that were previously suspended by the at-risk limitation but may not be offset by losses suspended by the basis limitation. Any loss previously suspended by the at-risk limitation in excess of that gain would no longer be utilizable. </w:t>
      </w:r>
    </w:p>
    <w:p>
      <w:pPr>
        <w:pStyle w:val="TextBody"/>
        <w:spacing w:before="180" w:after="0"/>
        <w:rPr>
          <w:rFonts w:ascii="Times New Roman" w:hAnsi="Times New Roman"/>
          <w:sz w:val="20"/>
        </w:rPr>
      </w:pPr>
      <w:r>
        <w:rPr>
          <w:rFonts w:ascii="Times New Roman" w:hAnsi="Times New Roman"/>
          <w:sz w:val="20"/>
        </w:rPr>
        <w:t xml:space="preserve">In general, a unitholder will be at risk to the extent of the tax basis of his units, excluding any portion of that basis attributable to his share of our nonrecourse liabilities, reduced by (i) any portion of that basis representing amounts otherwise protected against loss because of a guarantee, stop loss agreement or other similar arrangement and (ii) any amount of money he borrows to acquire or hold his units, if the lender of those borrowed funds owns an interest in us, is related to the unitholder or can look only to the units for repayment. A unitholders at-risk amount will increase or decrease as the tax basis of the unitholders units increases or decreases, other than tax basis increases or decreases attributable to increases or decreases in his share of our nonrecourse liabilities.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In addition to the basis and at-risk limitations on the deductibility of losses, the passive loss limitations generally provide that individuals, estates, trusts and some closely-held corporations and personal service corporations can deduct losses from passive activities, which are generally trade or business activities in which the taxpayer does not materially participate, only to the extent of the taxpayers income from those passive activities. The passive loss limitations are applied separately with respect to each publicly traded partnership. Consequently, any passive losses we generate will only be available to offset our passive income generated in the future and will not be available to offset income from other passive activities or investments, including our investments or investments in other publicly traded partnerships, or salary or active business income. Passive losses that are not deductible because they exceed a unitholders share of income we generate may be deducted in full when he disposes of his entire investment in us in a fully taxable transaction with an unrelated party. The passive loss limitations are applied after other applicable limitations on deductions, including the at-risk rules and the basis limitation. </w:t>
      </w:r>
    </w:p>
    <w:p>
      <w:pPr>
        <w:pStyle w:val="TextBody"/>
        <w:spacing w:before="180" w:after="0"/>
        <w:rPr>
          <w:rFonts w:ascii="Times New Roman" w:hAnsi="Times New Roman"/>
          <w:sz w:val="20"/>
        </w:rPr>
      </w:pPr>
      <w:r>
        <w:rPr>
          <w:rFonts w:ascii="Times New Roman" w:hAnsi="Times New Roman"/>
          <w:sz w:val="20"/>
        </w:rPr>
        <w:t xml:space="preserve">A unitholders share of our net income may be offset by any of our suspended passive losses, but it may not be offset by any other current or carryover losses from other passive activities, including those attributable to other publicly traded partnerships. </w:t>
      </w:r>
    </w:p>
    <w:p>
      <w:pPr>
        <w:pStyle w:val="TextBody"/>
        <w:spacing w:before="180" w:after="0"/>
        <w:rPr>
          <w:rFonts w:ascii="Times New Roman" w:hAnsi="Times New Roman"/>
          <w:sz w:val="20"/>
        </w:rPr>
      </w:pPr>
      <w:r>
        <w:rPr>
          <w:rFonts w:ascii="Times New Roman" w:hAnsi="Times New Roman"/>
          <w:i/>
          <w:sz w:val="20"/>
        </w:rPr>
        <w:t>Limitations on Interest Deductions.</w:t>
      </w:r>
      <w:r>
        <w:rPr>
          <w:rFonts w:ascii="Times New Roman" w:hAnsi="Times New Roman"/>
          <w:sz w:val="20"/>
        </w:rPr>
        <w:t xml:space="preserve"> The deductibility of a non-corporate taxpayers investment interest expense is generally limited to the amount of that taxpayers net investment income. Investment interest expense includes: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interest on indebtedness properly allocable to property held for investment;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interest expense attributed to portfolio income;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portion of interest expense incurred to purchase or carry an interest in a passive activity to the extent attributable to portfolio income. </w:t>
            </w:r>
          </w:p>
        </w:tc>
      </w:tr>
    </w:tbl>
    <w:p>
      <w:pPr>
        <w:pStyle w:val="TextBody"/>
        <w:spacing w:before="180" w:after="0"/>
        <w:rPr>
          <w:rFonts w:ascii="Times New Roman" w:hAnsi="Times New Roman"/>
          <w:sz w:val="20"/>
        </w:rPr>
      </w:pPr>
      <w:r>
        <w:rPr>
          <w:rFonts w:ascii="Times New Roman" w:hAnsi="Times New Roman"/>
          <w:sz w:val="20"/>
        </w:rPr>
        <w:t xml:space="preserve">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but generally does not include gains attributable to the disposition of property held for investment or qualified dividend income. The IRS has indicated that the net passive income earned by a publicly traded partnership will be treated as investment income to its unitholders. In addition, the unitholders share of our portfolio income will be treated as investment income. </w:t>
      </w:r>
    </w:p>
    <w:p>
      <w:pPr>
        <w:pStyle w:val="TextBody"/>
        <w:spacing w:before="180" w:after="0"/>
        <w:rPr>
          <w:rFonts w:ascii="Times New Roman" w:hAnsi="Times New Roman"/>
          <w:sz w:val="20"/>
        </w:rPr>
      </w:pPr>
      <w:r>
        <w:rPr>
          <w:rFonts w:ascii="Times New Roman" w:hAnsi="Times New Roman"/>
          <w:i/>
          <w:sz w:val="20"/>
        </w:rPr>
        <w:t>Entity-Level Collections.</w:t>
      </w:r>
      <w:r>
        <w:rPr>
          <w:rFonts w:ascii="Times New Roman" w:hAnsi="Times New Roman"/>
          <w:sz w:val="20"/>
        </w:rPr>
        <w:t xml:space="preserve"> If we are required or elect under applicable law to pay any federal, state, local or foreign income tax on behalf of any unitholder or our general partner or any former unitholder, we are authorized to pay those taxes from our funds. That payment, if made, will be treated as a distribution of cash to the partner on whose behalf the payment was made. If the payment is made on behalf of a person whose identity cannot be determined, we are authorized to treat the payment as a distribution to all current unitholders. We are authorized to amend our partnership agreement in the manner necessary to maintain uniformity of intrinsic tax characteristics of units and to adjust later distributions, so that after giving effect to these distributions, the priority and characterization of distributions otherwise applicable under our partnership agreement is maintained as nearly as is practicable. Payments by us as described above could give rise to an overpayment of tax on behalf of an individual partner in which event the partner would be required to file a claim in order to obtain a credit or refund. </w:t>
      </w:r>
    </w:p>
    <w:p>
      <w:pPr>
        <w:pStyle w:val="TextBody"/>
        <w:spacing w:before="180" w:after="0"/>
        <w:rPr>
          <w:rFonts w:ascii="Times New Roman" w:hAnsi="Times New Roman"/>
          <w:sz w:val="20"/>
        </w:rPr>
      </w:pPr>
      <w:r>
        <w:rPr>
          <w:rFonts w:ascii="Times New Roman" w:hAnsi="Times New Roman"/>
          <w:i/>
          <w:sz w:val="20"/>
        </w:rPr>
        <w:t>Allocation of Income, Gain, Loss and Deduction.</w:t>
      </w:r>
      <w:r>
        <w:rPr>
          <w:rFonts w:ascii="Times New Roman" w:hAnsi="Times New Roman"/>
          <w:sz w:val="20"/>
        </w:rPr>
        <w:t xml:space="preserve"> In general, if we have a net profit, our items of income, gain, loss and deduction will be allocated among our general partner and the unitholders in accordance with their percentage interests in us. At any time that distributions are made to our common units in excess of distributions to the subordinated units, or incentive distributions are made to our general partner, gross income will be allocated to the recipients to the extent of these distributions. If we have a net loss, that loss will be allocated first to the general partner and the unitholders in accordance with their percentage interests in us to the extent of their positive capital accounts and, second, to the general partner.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Specified items of our income, gain, loss and deduction will be allocated to account for (i) any difference between the tax basis and fair market value of our assets at the time of an offering and (ii) any difference between the tax basis and fair market value of any property contributed to us by the general partner and its affiliates that exists at the time of such contribution, together, referred to in this discussion as Contributed Property. The effect of these allocations, referred to as Section 704(c) Allocations, to a unitholder purchasing common units from us in an offering will be essentially the same as if the tax basis of our assets were equal to their fair market value at the time of such offering. In the event we issue additional common units or engage in certain other transactions in the future reverse Section 704(c) Allocations, similar to the Section 704(c) Allocations described above, will be made to all holders of partnership interests immediately prior to such other transactions to account for the difference between the book basis for purposes of maintaining capital accounts and the fair market value of all property held by us at the time of the future transaction. In addition, items of recapture income will be allocated to the extent possible to the partner who was allocated the deduction giving rise to the treatment of that gain as recapture income in order to minimize the recognition of ordinary income by some unitholders. Finally, although we do not expect that our operations will result in the creation of negative capital accounts, if negative capital accounts nevertheless result, items of our income and gain will be allocated in an amount and manner as is needed to eliminate the negative balance as quickly as possible. </w:t>
      </w:r>
    </w:p>
    <w:p>
      <w:pPr>
        <w:pStyle w:val="TextBody"/>
        <w:spacing w:before="180" w:after="0"/>
        <w:rPr>
          <w:rFonts w:ascii="Times New Roman" w:hAnsi="Times New Roman"/>
          <w:sz w:val="20"/>
        </w:rPr>
      </w:pPr>
      <w:r>
        <w:rPr>
          <w:rFonts w:ascii="Times New Roman" w:hAnsi="Times New Roman"/>
          <w:sz w:val="20"/>
        </w:rPr>
        <w:t xml:space="preserve">An allocation of items of our income, gain, loss or deduction, other than an allocation required by the Internal Revenue Code to eliminate the difference between a partners book capital account, credited with the fair market value of Contributed Property, and tax capital account, credited with the tax basis of Contributed Property, referred to in this discussion as the Book-Tax Disparity, will generally be given effect for federal income tax purposes in determining a partners share of an item of income, gain, loss or deduction only if the allocation has substantial economic effect. In any other case, a partners share of an item will be determined on the basis of his interest in us, which will be determined by taking into account all the facts and circumstances,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his relative contributions to 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interests of all the partners in profits and losses;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interest of all the partners in cash flow;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rights of all the partners to distributions of capital upon liquidation. </w:t>
            </w:r>
          </w:p>
        </w:tc>
      </w:tr>
    </w:tbl>
    <w:p>
      <w:pPr>
        <w:pStyle w:val="TextBody"/>
        <w:spacing w:before="180" w:after="0"/>
        <w:rPr>
          <w:rFonts w:ascii="Times New Roman" w:hAnsi="Times New Roman"/>
          <w:sz w:val="20"/>
        </w:rPr>
      </w:pPr>
      <w:r>
        <w:rPr>
          <w:rFonts w:ascii="Times New Roman" w:hAnsi="Times New Roman"/>
          <w:sz w:val="20"/>
        </w:rPr>
        <w:t xml:space="preserve">Vinson &amp; Elkins L.L.P. is of the opinion that, with the exception of the issues described in Section 754 Election and Disposition of Common UnitsAllocations Between Transferors and Transferees, allocations under our partnership agreement will be given effect for federal income tax purposes in determining a partners share of an item of income, gain, loss or deduction. </w:t>
      </w:r>
    </w:p>
    <w:p>
      <w:pPr>
        <w:pStyle w:val="TextBody"/>
        <w:spacing w:before="180" w:after="0"/>
        <w:rPr>
          <w:rFonts w:ascii="Times New Roman" w:hAnsi="Times New Roman"/>
          <w:sz w:val="20"/>
        </w:rPr>
      </w:pPr>
      <w:r>
        <w:rPr>
          <w:rFonts w:ascii="Times New Roman" w:hAnsi="Times New Roman"/>
          <w:i/>
          <w:sz w:val="20"/>
        </w:rPr>
        <w:t>Treatment of Short Sales.</w:t>
      </w:r>
      <w:r>
        <w:rPr>
          <w:rFonts w:ascii="Times New Roman" w:hAnsi="Times New Roman"/>
          <w:sz w:val="20"/>
        </w:rPr>
        <w:t xml:space="preserve"> A unitholder whose units are loaned to a short seller to cover a short sale of units may be considered as having disposed of those units. If so, he would no longer be treated for tax purposes as a partner with respect to those units during the period of the loan and may recognize gain or loss from the disposition. As a result, during this period: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of our income, gain, loss or deduction with respect to those units would not be reportable by the unitholder;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cash distributions received by the unitholder as to those units would be fully taxable;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of these distributions would appear to be ordinary income. </w:t>
            </w:r>
          </w:p>
        </w:tc>
      </w:tr>
    </w:tbl>
    <w:p>
      <w:pPr>
        <w:pStyle w:val="TextBody"/>
        <w:spacing w:before="180" w:after="0"/>
        <w:rPr>
          <w:rFonts w:ascii="Times New Roman" w:hAnsi="Times New Roman"/>
          <w:sz w:val="20"/>
        </w:rPr>
      </w:pPr>
      <w:r>
        <w:rPr>
          <w:rFonts w:ascii="Times New Roman" w:hAnsi="Times New Roman"/>
          <w:sz w:val="20"/>
        </w:rPr>
        <w:t xml:space="preserve">Vinson &amp; Elkins L.L.P. has not rendered an opinion regarding the treatment of a unitholder where common units are loaned to a short seller to cover a short sale of common units; therefore, unitholders desiring to assure their status as partners and avoid the risk of gain recognition from a loan to a short seller are urged to modify any applicable brokerage account agreements to prohibit their brokers from borrowing their units. The IRS has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announced that it is actively studying issues relating to the tax treatment of short sales of partnership interests. Please also read Disposition of Common UnitsRecognition of Gain or Loss. </w:t>
      </w:r>
    </w:p>
    <w:p>
      <w:pPr>
        <w:pStyle w:val="TextBody"/>
        <w:spacing w:before="180" w:after="0"/>
        <w:rPr>
          <w:rFonts w:ascii="Times New Roman" w:hAnsi="Times New Roman"/>
          <w:sz w:val="20"/>
        </w:rPr>
      </w:pPr>
      <w:r>
        <w:rPr>
          <w:rFonts w:ascii="Times New Roman" w:hAnsi="Times New Roman"/>
          <w:i/>
          <w:sz w:val="20"/>
        </w:rPr>
        <w:t>Alternative Minimum Tax.</w:t>
      </w:r>
      <w:r>
        <w:rPr>
          <w:rFonts w:ascii="Times New Roman" w:hAnsi="Times New Roman"/>
          <w:sz w:val="20"/>
        </w:rPr>
        <w:t xml:space="preserve"> Each unitholder will be required to take into account his distributive share of any items of our income, gain, loss or deduction for purposes of the alternative minimum tax. The current minimum tax rate for noncorporate taxpayers is 26% on the first $175,000 of alternative minimum taxable income in excess of the exemption amount and 28% on any additional alternative minimum taxable income. Prospective unitholders are urged to consult with their tax advisors as to the impact of an investment in units on their liability for the alternative minimum tax. </w:t>
      </w:r>
    </w:p>
    <w:p>
      <w:pPr>
        <w:pStyle w:val="TextBody"/>
        <w:spacing w:before="180" w:after="0"/>
        <w:rPr>
          <w:rFonts w:ascii="Times New Roman" w:hAnsi="Times New Roman"/>
          <w:sz w:val="20"/>
        </w:rPr>
      </w:pPr>
      <w:r>
        <w:rPr>
          <w:rFonts w:ascii="Times New Roman" w:hAnsi="Times New Roman"/>
          <w:i/>
          <w:sz w:val="20"/>
        </w:rPr>
        <w:t>Tax Rates.</w:t>
      </w:r>
      <w:r>
        <w:rPr>
          <w:rFonts w:ascii="Times New Roman" w:hAnsi="Times New Roman"/>
          <w:sz w:val="20"/>
        </w:rPr>
        <w:t xml:space="preserve"> Under current law, the highest marginal U.S. federal income tax rate applicable to ordinary income of individuals is 35% and the highest marginal U.S. federal income tax rate applicable to long-term capital gains (generally, capital gains on certain assets held for more than 12 months) of individuals is 15%. However, absent new legislation extending the current rates, beginning January 1, 2011, the highest marginal U.S. federal income tax rate applicable to ordinary income and long-term capital gains of individuals will increase to 39.6% and 20%, respectively. Moreover, these rates are subject to change by new legislation at any time. </w:t>
      </w:r>
    </w:p>
    <w:p>
      <w:pPr>
        <w:pStyle w:val="TextBody"/>
        <w:spacing w:before="180" w:after="0"/>
        <w:rPr>
          <w:rFonts w:ascii="Times New Roman" w:hAnsi="Times New Roman"/>
          <w:sz w:val="20"/>
        </w:rPr>
      </w:pPr>
      <w:r>
        <w:rPr>
          <w:rFonts w:ascii="Times New Roman" w:hAnsi="Times New Roman"/>
          <w:i/>
          <w:sz w:val="20"/>
        </w:rPr>
        <w:t>Section 754 Election.</w:t>
      </w:r>
      <w:r>
        <w:rPr>
          <w:rFonts w:ascii="Times New Roman" w:hAnsi="Times New Roman"/>
          <w:sz w:val="20"/>
        </w:rPr>
        <w:t xml:space="preserve"> We have made the election permitted by Section 754 of the Internal Revenue Code. That election is irrevocable without the consent of the IRS. The election will generally permit us to adjust a common unit purchasers tax basis in our assets (inside basis) under Section 743(b) of the Internal Revenue Code to reflect his purchase price. This election does not apply to a person who purchases common units directly from us. The Section 743(b) adjustment belongs to the purchaser and not to other unitholders. For purposes of this discussion, a unitholders inside basis in our assets will be considered to have two components: (1) his share of our tax basis in our assets (common basis) and (2) his Section 743(b) adjustment to that basis. </w:t>
      </w:r>
    </w:p>
    <w:p>
      <w:pPr>
        <w:pStyle w:val="TextBody"/>
        <w:spacing w:before="180" w:after="0"/>
        <w:rPr>
          <w:rFonts w:ascii="Times New Roman" w:hAnsi="Times New Roman"/>
          <w:sz w:val="20"/>
        </w:rPr>
      </w:pPr>
      <w:r>
        <w:rPr>
          <w:rFonts w:ascii="Times New Roman" w:hAnsi="Times New Roman"/>
          <w:sz w:val="20"/>
        </w:rPr>
        <w:t xml:space="preserve">Where the remedial allocation method is adopted (which we have generally adopted as to all of our properties), the Treasury Regulations under Section 743 of the Internal Revenue Code require a portion of the Section 743(b) adjustment that is attributable to recovery property subject to depreciation under Section 168 of the Internal Revenue Code whose book basis is in excess of its tax basis to be depreciated over the remaining cost recovery period for the propertys unamortized Book-Tax Disparity. Under Treasury Regulation Section 1.167(c)-1(a)(6), a Section 743(b) adjustment attributable to property subject to depreciation under Section 167 of the Internal Revenue Code, rather than cost recovery deductions under Section 168, is generally required to be depreciated using either the straight-line method or the 150% declining balance method. If we elect a method other than the remedial method, the depreciation and amortization methods and useful lives associated with the Section 743(b) adjustment, therefore, may differ from the methods and useful lives generally used to depreciate the inside basis in such properties. Under our partnership agreement, the general partner is authorized to take a position to preserve the uniformity of units even if that position is not consistent with these and any other Treasury Regulations. If we elect a method other than the remedial method with respect to a goodwill property, the common basis of such property is not amortizable. Please see Uniformity of Units. </w:t>
      </w:r>
    </w:p>
    <w:p>
      <w:pPr>
        <w:pStyle w:val="TextBody"/>
        <w:spacing w:before="180" w:after="0"/>
        <w:rPr>
          <w:rFonts w:ascii="Times New Roman" w:hAnsi="Times New Roman"/>
          <w:sz w:val="20"/>
        </w:rPr>
      </w:pPr>
      <w:r>
        <w:rPr>
          <w:rFonts w:ascii="Times New Roman" w:hAnsi="Times New Roman"/>
          <w:sz w:val="20"/>
        </w:rPr>
        <w:t xml:space="preserve">Although Vinson &amp; Elkins L.L.P. is unable to opine as to the validity of this approach because there is no direct or indirect controlling authority on this issue, 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propertys unamortized Book-Tax Disparity, or treat that portion as non-amortizable to the extent attributable to property which is not amortizable. This method is consistent with the methods employed by other publicly traded partnerships but is arguably inconsistent with Treasury Regulation Section 1.167(c)-1(a)(6), which is not expected to directly apply to a material portion of our assets. To the extent this Section 743(b) adjustment is attributable to appreciation in value in excess of the unamortized Book-Tax Disparity, we will apply the rules described in the Treasury Regulations and legislative history. If we determine that this position cannot reasonably be taken, we may take a depreciation or amortization position under which all purchasers acquiring units in the same month would receive depreciation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amortization, whether attributable to common basis or a Section 743(b) adjustment, based upon the same applicable rate as if they had purchased a direct interest in our assets. This kind of aggregate approach may result in lower annual depreciation or amortization deductions than would otherwise be allowable to some unitholders. Please see Uniformity of Units. A unitholders tax basis for his common units is reduced by his share of our deductions (whether or not such deductions were claimed on an individuals income tax return) so that any position we take that understates deductions will overstate the common unitholders basis in his common units, which may cause the unitholder to understate gain or overstate loss on any sale of such units. Please see Disposition of Common UnitsRecognition of Gain or Loss. The IRS may challenge our position with respect to depreciating or amortizing the Section 743(b) adjustment we take to preserve the uniformity of the units. If such a challenge were sustained, the gain from the sale of units might be increased without the benefit of additional deductions. </w:t>
      </w:r>
    </w:p>
    <w:p>
      <w:pPr>
        <w:pStyle w:val="TextBody"/>
        <w:spacing w:before="180" w:after="0"/>
        <w:rPr>
          <w:rFonts w:ascii="Times New Roman" w:hAnsi="Times New Roman"/>
          <w:sz w:val="20"/>
        </w:rPr>
      </w:pPr>
      <w:r>
        <w:rPr>
          <w:rFonts w:ascii="Times New Roman" w:hAnsi="Times New Roman"/>
          <w:sz w:val="20"/>
        </w:rPr>
        <w:t xml:space="preserve">A Section 754 election is advantageous if the transferees tax basis in his units is higher than the units share of the aggregate tax basis of our assets immediately prior to the transfer. In that case, as a result of the election, the transferee would have, among other items, a greater amount of depreciation deductions and his share of any gain or loss on a sale of our assets would be less. Conversely, a Section 754 election is disadvantageous if the transferees tax basis in his units is lower than those units share of the aggregate tax basis of our assets immediately prior to the transfer. Thus, the fair market value of the units may be affected either favorably or unfavorably by the election. A basis adjustment is required regardless of whether a Section 754 election is made in the case of a transfer of an interest in us if we have a substantial built-in loss immediately after the transfer, or if we distribute property and have a substantial basis reduction. Generally a built-in loss or a basis reduction is substantial if it exceeds $250,000. </w:t>
      </w:r>
    </w:p>
    <w:p>
      <w:pPr>
        <w:pStyle w:val="TextBody"/>
        <w:spacing w:before="180" w:after="0"/>
        <w:rPr>
          <w:rFonts w:ascii="Times New Roman" w:hAnsi="Times New Roman"/>
          <w:sz w:val="20"/>
        </w:rPr>
      </w:pPr>
      <w:r>
        <w:rPr>
          <w:rFonts w:ascii="Times New Roman" w:hAnsi="Times New Roman"/>
          <w:sz w:val="20"/>
        </w:rPr>
        <w:t xml:space="preserve">The calculations involved in the Section 754 election are complex and will be made on the basis of assumptions as to the value of our assets and other matters. For example, the allocation of the Section 743(b) adjustment among our assets must be made in accordance with the Internal Revenue Code. The IRS could seek to reallocate some or all of any Section 743(b) adjustment allocated by us to our tangible assets to goodwill instead. Goodwill, as an intangible asset, is generally nonamortizable or amortizable over a longer period of time or under a less accelerated method than our tangible assets. We cannot assure you that the determinations we make will not be successfully challenged by the IRS and that the deductions resulting from them will not be reduced or disallowed altogether. Should the IRS require a different basis adjustment to be made, and should, in our opinion, the expense of compliance exceed the benefit of the election, we may seek permission from the IRS to revoke our Section 754 election. If permission is granted, a subsequent purchaser of units may be allocated more income than he would have been allocated had the election not been revoked. </w:t>
      </w:r>
    </w:p>
    <w:p>
      <w:pPr>
        <w:pStyle w:val="TextBody"/>
        <w:spacing w:before="270" w:after="0"/>
        <w:rPr>
          <w:rFonts w:ascii="Times New Roman" w:hAnsi="Times New Roman"/>
          <w:b/>
          <w:sz w:val="20"/>
        </w:rPr>
      </w:pPr>
      <w:r>
        <w:rPr>
          <w:rFonts w:ascii="Times New Roman" w:hAnsi="Times New Roman"/>
          <w:b/>
          <w:sz w:val="20"/>
        </w:rPr>
        <w:t xml:space="preserve">Tax Treatment of Operations </w:t>
      </w:r>
    </w:p>
    <w:p>
      <w:pPr>
        <w:pStyle w:val="TextBody"/>
        <w:spacing w:before="90" w:after="0"/>
        <w:rPr>
          <w:rFonts w:ascii="Times New Roman" w:hAnsi="Times New Roman"/>
          <w:sz w:val="20"/>
        </w:rPr>
      </w:pPr>
      <w:r>
        <w:rPr>
          <w:rFonts w:ascii="Times New Roman" w:hAnsi="Times New Roman"/>
          <w:i/>
          <w:sz w:val="20"/>
        </w:rPr>
        <w:t>Accounting Method and Taxable Year.</w:t>
      </w:r>
      <w:r>
        <w:rPr>
          <w:rFonts w:ascii="Times New Roman" w:hAnsi="Times New Roman"/>
          <w:sz w:val="20"/>
        </w:rPr>
        <w:t xml:space="preserve"> We use the year ending December 31 as our taxable year and the accrual method of accounting for federal income tax purposes. Each unitholder will be required to include in income his share of our income, gain, loss and deduction for our taxable year ending within or with his taxable year. In addition, a unitholder who has a taxable year ending on a date other than December 31 and who disposes of all of his units following the close of our taxable year but before the close of his taxable year must include his share of our income, gain, loss and deduction in income for his taxable year, with the result that he will be required to include in income for his taxable year his share of more than one year of our income, gain, loss and deduction. Please see Disposition of Common UnitsAllocations Between Transferors and Transferees. </w:t>
      </w:r>
    </w:p>
    <w:p>
      <w:pPr>
        <w:pStyle w:val="TextBody"/>
        <w:spacing w:before="180" w:after="0"/>
        <w:rPr>
          <w:rFonts w:ascii="Times New Roman" w:hAnsi="Times New Roman"/>
          <w:sz w:val="20"/>
        </w:rPr>
      </w:pPr>
      <w:r>
        <w:rPr>
          <w:rFonts w:ascii="Times New Roman" w:hAnsi="Times New Roman"/>
          <w:i/>
          <w:sz w:val="20"/>
        </w:rPr>
        <w:t>Initial Tax Basis, Depreciation and Amortization.</w:t>
      </w:r>
      <w:r>
        <w:rPr>
          <w:rFonts w:ascii="Times New Roman" w:hAnsi="Times New Roman"/>
          <w:sz w:val="20"/>
        </w:rPr>
        <w:t xml:space="preserve"> The tax basis of our assets will be used for purposes of computing depreciation and cost recovery deductions and, ultimately, gain or loss on the disposition of these assets. The federal income tax burden associated with the difference between the fair market value of our assets and their tax basis immediately prior to an offering will be borne by our unitholders holding interests in us prior to any such offering. Please see Tax Consequences of Unit OwnershipAllocation of Income, Gain, Loss and Deduction.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To the extent allowable, we may elect to use the depreciation and cost recovery methods that will result in the largest deductions being taken in the early years after assets subject to these allowances are placed in service. Because our general partner may determine not to adopt the remedial method of allocation with respect to any difference between the tax basis and the fair market value of goodwill immediately prior to any future offering, we may not be entitled to any amortization deductions with respect to any goodwill conveyed to us on formation or held by us at the time of any future offering. Please see  Uniformity of Units. Property we subsequently acquire or construct may be depreciated using accelerated methods permitted by the Internal Revenue Code. </w:t>
      </w:r>
    </w:p>
    <w:p>
      <w:pPr>
        <w:pStyle w:val="TextBody"/>
        <w:spacing w:before="180" w:after="0"/>
        <w:rPr>
          <w:rFonts w:ascii="Times New Roman" w:hAnsi="Times New Roman"/>
          <w:sz w:val="20"/>
        </w:rPr>
      </w:pPr>
      <w:r>
        <w:rPr>
          <w:rFonts w:ascii="Times New Roman" w:hAnsi="Times New Roman"/>
          <w:sz w:val="20"/>
        </w:rPr>
        <w:t xml:space="preserve">If we dispose of depreciable property by sale, foreclosure or otherwise, all or a portion of any gain, determined by reference to the amount of depreciation previously deducted and the nature of the property,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his interest in us. Please see Tax Consequences of Unit OwnershipAllocation of Income, Gain, Loss and Deduction and Disposition of Common UnitsRecognition of Gain or Loss. </w:t>
      </w:r>
    </w:p>
    <w:p>
      <w:pPr>
        <w:pStyle w:val="TextBody"/>
        <w:spacing w:before="180" w:after="0"/>
        <w:rPr>
          <w:rFonts w:ascii="Times New Roman" w:hAnsi="Times New Roman"/>
          <w:sz w:val="20"/>
        </w:rPr>
      </w:pPr>
      <w:r>
        <w:rPr>
          <w:rFonts w:ascii="Times New Roman" w:hAnsi="Times New Roman"/>
          <w:sz w:val="20"/>
        </w:rPr>
        <w:t xml:space="preserve">The costs we incur in selling our units (called syndication expenses) must be capitalized and cannot be deducted currently, ratably or upon our termination. There are uncertainties regarding the classification of costs as organization expenses, which may be amortized by us, and as syndication expenses, which may not be amortized by us. The underwriting discounts and commissions we incur will be treated as syndication expenses. </w:t>
      </w:r>
    </w:p>
    <w:p>
      <w:pPr>
        <w:pStyle w:val="TextBody"/>
        <w:spacing w:before="180" w:after="0"/>
        <w:rPr>
          <w:rFonts w:ascii="Times New Roman" w:hAnsi="Times New Roman"/>
          <w:sz w:val="20"/>
        </w:rPr>
      </w:pPr>
      <w:r>
        <w:rPr>
          <w:rFonts w:ascii="Times New Roman" w:hAnsi="Times New Roman"/>
          <w:i/>
          <w:sz w:val="20"/>
        </w:rPr>
        <w:t>Valuation and Tax Basis of Our Properties.</w:t>
      </w:r>
      <w:r>
        <w:rPr>
          <w:rFonts w:ascii="Times New Roman" w:hAnsi="Times New Roman"/>
          <w:sz w:val="20"/>
        </w:rPr>
        <w:t xml:space="preserve"> The federal income tax consequences of the ownership and disposition of units will depend in part on our estimates of the relative fair market values, and the initial tax bases, of our assets. Although we may from time to time consult with professional appraisers regarding valuation matters, we will make many of the relative fair market value estimates ourselves. These estimates and determinations of basis are subject to challenge and will not be binding on the IRS or the courts. If the estimates of fair market value or basis are later found to be incorrect, the character and amount of items of income, gain, loss or deductions previously reported by unitholders might change, and unitholders might be required to adjust their tax liability for prior years and incur interest and penalties with respect to those adjustments. </w:t>
      </w:r>
    </w:p>
    <w:p>
      <w:pPr>
        <w:pStyle w:val="TextBody"/>
        <w:spacing w:before="270" w:after="0"/>
        <w:rPr>
          <w:rFonts w:ascii="Times New Roman" w:hAnsi="Times New Roman"/>
          <w:b/>
          <w:sz w:val="20"/>
        </w:rPr>
      </w:pPr>
      <w:r>
        <w:rPr>
          <w:rFonts w:ascii="Times New Roman" w:hAnsi="Times New Roman"/>
          <w:b/>
          <w:sz w:val="20"/>
        </w:rPr>
        <w:t xml:space="preserve">Disposition of Common Units </w:t>
      </w:r>
    </w:p>
    <w:p>
      <w:pPr>
        <w:pStyle w:val="TextBody"/>
        <w:spacing w:before="90" w:after="0"/>
        <w:rPr>
          <w:rFonts w:ascii="Times New Roman" w:hAnsi="Times New Roman"/>
          <w:sz w:val="20"/>
        </w:rPr>
      </w:pPr>
      <w:r>
        <w:rPr>
          <w:rFonts w:ascii="Times New Roman" w:hAnsi="Times New Roman"/>
          <w:i/>
          <w:sz w:val="20"/>
        </w:rPr>
        <w:t>Recognition of Gain or Loss.</w:t>
      </w:r>
      <w:r>
        <w:rPr>
          <w:rFonts w:ascii="Times New Roman" w:hAnsi="Times New Roman"/>
          <w:sz w:val="20"/>
        </w:rPr>
        <w:t xml:space="preserve"> Gain or loss will be recognized on a sale of units equal to the difference between the amount realized and the unitholders tax basis for the units sold. A unitholders amount realized will be measured by the sum of the cash or the fair market value of other property received by him plus his share of our nonrecourse liabilities. Because the amount realized includes a unitholders share of our nonrecourse liabilities, the gain recognized on the sale of units could result in a tax liability in excess of any cash received from the sale. </w:t>
      </w:r>
    </w:p>
    <w:p>
      <w:pPr>
        <w:pStyle w:val="TextBody"/>
        <w:spacing w:before="180" w:after="0"/>
        <w:rPr>
          <w:rFonts w:ascii="Times New Roman" w:hAnsi="Times New Roman"/>
          <w:sz w:val="20"/>
        </w:rPr>
      </w:pPr>
      <w:r>
        <w:rPr>
          <w:rFonts w:ascii="Times New Roman" w:hAnsi="Times New Roman"/>
          <w:sz w:val="20"/>
        </w:rPr>
        <w:t xml:space="preserve">Prior distributions from us in excess of cumulative net taxable income for a common unit that decreased a unitholders tax basis in that common unit will, in effect, become taxable income if the common unit is sold at a price greater than the unitholders tax basis in that common unit, even if the price received is less than his original cost. </w:t>
      </w:r>
    </w:p>
    <w:p>
      <w:pPr>
        <w:pStyle w:val="TextBody"/>
        <w:spacing w:before="180" w:after="0"/>
        <w:rPr>
          <w:rFonts w:ascii="Times New Roman" w:hAnsi="Times New Roman"/>
          <w:sz w:val="20"/>
        </w:rPr>
      </w:pPr>
      <w:r>
        <w:rPr>
          <w:rFonts w:ascii="Times New Roman" w:hAnsi="Times New Roman"/>
          <w:sz w:val="20"/>
        </w:rPr>
        <w:t xml:space="preserve">Except as noted below, gain or loss recognized by a unitholder, other than a dealer in units, on the sale or exchange of a unit held for more than one year will generally be taxable as long term capital gain or loss. Capital gain recognized by an individual on the sale of units held more than twelve months will generally be taxed at a maximum rate of 15% through December 31, 2010 and 20% thereafter (absent new legislation extending or adjusting the current rate). However, a portion of this gain or loss, which will likely be substantial, will be separately computed and taxed as ordinary income or loss under Section 751 of the Internal Revenue Code to the extent attributable to assets giving rise to depreciation recapture or other unrealized receivables or to inventory items we own. The term unrealized receivables includes potential recapture items, including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depreciation recapture. Ordinary income attributable to unrealized receivables, inventory items and depreciation recapture may exceed net taxable gain realized upon the sale of a unit and may be recognized even if there is a net taxable loss realized on the sale of a unit. Thus, a unitholder may recognize both ordinary income and a capital loss upon a sale of units. Net capital losses may offset capital gains and no more than $3,000 of ordinary income, in the case of individuals, and may only be used to offset capital gains in the case of corporations. </w:t>
      </w:r>
    </w:p>
    <w:p>
      <w:pPr>
        <w:pStyle w:val="TextBody"/>
        <w:spacing w:before="180" w:after="0"/>
        <w:rPr>
          <w:rFonts w:ascii="Times New Roman" w:hAnsi="Times New Roman"/>
          <w:sz w:val="20"/>
        </w:rPr>
      </w:pPr>
      <w:r>
        <w:rPr>
          <w:rFonts w:ascii="Times New Roman" w:hAnsi="Times New Roman"/>
          <w:sz w:val="20"/>
        </w:rPr>
        <w:t xml:space="preserve">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his entire interest in the partnership as the value of the interest sold bears to the value of the partners entire interest in the partnership. Treasury Regulations under Section 1223 of the Internal Revenue Code allow a selling unitholder who can identify common units transferred with an ascertainable holding period to elect to use the actual holding period of the common units transferred. Thus, according to the ruling, a common unitholder will be unable to select high or low basis common units to sell as would be the case with corporate stock, but, according to the Treasury Regulations, may designate specific common units sold for purposes of determining the holding period of units transferred. A unitholder electing to use the actual holding period of common units transferred must consistently use that identification method for all subsequent sales or exchanges of common units. A unitholder considering the purchase of additional units or a sale of common units purchased in separate transactions is urged to consult his tax advisor as to the possible consequences of this ruling and application of the Treasury Regulations. </w:t>
      </w:r>
    </w:p>
    <w:p>
      <w:pPr>
        <w:pStyle w:val="TextBody"/>
        <w:spacing w:before="180" w:after="0"/>
        <w:rPr>
          <w:rFonts w:ascii="Times New Roman" w:hAnsi="Times New Roman"/>
          <w:sz w:val="20"/>
        </w:rPr>
      </w:pPr>
      <w:r>
        <w:rPr>
          <w:rFonts w:ascii="Times New Roman" w:hAnsi="Times New Roman"/>
          <w:sz w:val="20"/>
        </w:rPr>
        <w:t xml:space="preserve">Specific provisions of the Internal Revenue Code affect the taxation of some financial products and securities, including partnership interests, by treating a taxpayer as having sold an appreciated partnership interest, one in which gain would be recognized if it were sold, assigned or terminated at its fair market value, if the taxpayer or related persons enter(s) into: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2"/>
        <w:gridCol w:w="9493"/>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short sale;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 offsetting notional principal contract;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2"/>
        <w:gridCol w:w="9491"/>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futures or forward contract with respect to the partnership interest or substantially identical property. </w:t>
            </w:r>
          </w:p>
        </w:tc>
      </w:tr>
    </w:tbl>
    <w:p>
      <w:pPr>
        <w:pStyle w:val="TextBody"/>
        <w:spacing w:before="180" w:after="0"/>
        <w:rPr>
          <w:rFonts w:ascii="Times New Roman" w:hAnsi="Times New Roman"/>
          <w:sz w:val="20"/>
        </w:rPr>
      </w:pPr>
      <w:r>
        <w:rPr>
          <w:rFonts w:ascii="Times New Roman" w:hAnsi="Times New Roman"/>
          <w:sz w:val="20"/>
        </w:rPr>
        <w:t xml:space="preserve">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also authorized to issue regulations that treat a taxpayer that enters into transactions or positions that have substantially the same effect as the preceding transactions as having constructively sold the financial position. </w:t>
      </w:r>
    </w:p>
    <w:p>
      <w:pPr>
        <w:pStyle w:val="TextBody"/>
        <w:spacing w:before="180" w:after="0"/>
        <w:rPr>
          <w:rFonts w:ascii="Times New Roman" w:hAnsi="Times New Roman"/>
          <w:sz w:val="20"/>
        </w:rPr>
      </w:pPr>
      <w:r>
        <w:rPr>
          <w:rFonts w:ascii="Times New Roman" w:hAnsi="Times New Roman"/>
          <w:i/>
          <w:sz w:val="20"/>
        </w:rPr>
        <w:t>Allocations Between Transferors and Transferees.</w:t>
      </w:r>
      <w:r>
        <w:rPr>
          <w:rFonts w:ascii="Times New Roman" w:hAnsi="Times New Roman"/>
          <w:sz w:val="20"/>
        </w:rPr>
        <w:t xml:space="preserve"> In general, our taxable income and losses will be determined annually, will be prorated on a monthly basis and will be subsequently apportioned among the unitholders in proportion to the number of units owned by each of them as of the opening of the applicable exchange on the first business day of the month, which we refer to in this prospectus as the Allocation Date. However, gain or loss realized on a sale or other disposition of our assets other than in the ordinary course of business will be allocated among the unitholders on the Allocation Date in the month in which that gain or loss is recognized. As a result, a unitholder transferring units may be allocated income, gain, loss and deduction realized after the date of transfer. </w:t>
      </w:r>
    </w:p>
    <w:p>
      <w:pPr>
        <w:pStyle w:val="TextBody"/>
        <w:spacing w:before="180" w:after="0"/>
        <w:rPr>
          <w:rFonts w:ascii="Times New Roman" w:hAnsi="Times New Roman"/>
          <w:sz w:val="20"/>
        </w:rPr>
      </w:pPr>
      <w:r>
        <w:rPr>
          <w:rFonts w:ascii="Times New Roman" w:hAnsi="Times New Roman"/>
          <w:sz w:val="20"/>
        </w:rPr>
        <w:t xml:space="preserve">Although simplifying conventions are contemplated by the Internal Revenue Code and most publicly traded partnerships use similar simplifying conventions, the use of this method may not be permitted under existing Treasury Regulations. Recently, however, the Department of the Treasury and the IRS issued proposed Treasury Regulations that provide a safe harbor pursuant to which a publicly traded partnership may use a similar monthly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simplifying convention to allocate tax items among transferor and transferee unitholders, although such tax items must be prorated on a daily basis. Existing publicly traded partnerships are entitled to rely on these proposed Treasury Regulations; however, they are not binding on the IRS and are subject to change until final Treasury Regulations are issued. Accordingly, Vinson &amp; Elkins L.L.P. is unable to opine on the validity of this method of allocating income and deductions between transferor and transferee unitholders. If this method is not allowed under the Treasury Regulations, or only applies to transfers of less than all of the unitholders interest, our taxable income or losses might be reallocated among the unitholders. We are authorized to revise our method of allocation between transferor and transferee unitholders, as well as unitholders whose interests vary during a taxable year, to conform to a method permitted under future Treasury Regulations. </w:t>
      </w:r>
    </w:p>
    <w:p>
      <w:pPr>
        <w:pStyle w:val="TextBody"/>
        <w:spacing w:before="180" w:after="0"/>
        <w:rPr>
          <w:rFonts w:ascii="Times New Roman" w:hAnsi="Times New Roman"/>
          <w:sz w:val="20"/>
        </w:rPr>
      </w:pPr>
      <w:r>
        <w:rPr>
          <w:rFonts w:ascii="Times New Roman" w:hAnsi="Times New Roman"/>
          <w:sz w:val="20"/>
        </w:rPr>
        <w:t xml:space="preserve">A unitholder who owns units at any time during a quarter and who disposes of them prior to the record date set for a cash distribution for that quarter will be allocated items of our income, gain, loss and deductions attributable to that quarter but will not be entitled to receive that cash distribution. </w:t>
      </w:r>
    </w:p>
    <w:p>
      <w:pPr>
        <w:pStyle w:val="TextBody"/>
        <w:spacing w:before="180" w:after="0"/>
        <w:rPr>
          <w:rFonts w:ascii="Times New Roman" w:hAnsi="Times New Roman"/>
          <w:sz w:val="20"/>
        </w:rPr>
      </w:pPr>
      <w:r>
        <w:rPr>
          <w:rFonts w:ascii="Times New Roman" w:hAnsi="Times New Roman"/>
          <w:i/>
          <w:sz w:val="20"/>
        </w:rPr>
        <w:t>Notification Requirements.</w:t>
      </w:r>
      <w:r>
        <w:rPr>
          <w:rFonts w:ascii="Times New Roman" w:hAnsi="Times New Roman"/>
          <w:sz w:val="20"/>
        </w:rPr>
        <w:t xml:space="preserve"> A unitholder who sells any of his units is generally required to notify us in writing of that sale within 30 days after the sale (or, if earlier, January 15 of the year following the sale). A purchaser of units who purchases units from another unitholder is also generally required to notify us in writing of that purchase within 30 days after the purchase. Upon receiving such notifications, we are required to notify the IRS of that transaction and to furnish specified information to the transferor and transferee. Failure to notify us of a purchase may, in some cases, lead to the imposition of penalties. However, these reporting requirements do not apply to a sale by an individual who is a citizen of the United States and who effects the sale or exchange through a broker who will satisfy such requirements. </w:t>
      </w:r>
    </w:p>
    <w:p>
      <w:pPr>
        <w:pStyle w:val="TextBody"/>
        <w:spacing w:before="180" w:after="0"/>
        <w:rPr>
          <w:rFonts w:ascii="Times New Roman" w:hAnsi="Times New Roman"/>
          <w:sz w:val="20"/>
        </w:rPr>
      </w:pPr>
      <w:r>
        <w:rPr>
          <w:rFonts w:ascii="Times New Roman" w:hAnsi="Times New Roman"/>
          <w:i/>
          <w:sz w:val="20"/>
        </w:rPr>
        <w:t>Constructive Termination.</w:t>
      </w:r>
      <w:r>
        <w:rPr>
          <w:rFonts w:ascii="Times New Roman" w:hAnsi="Times New Roman"/>
          <w:sz w:val="20"/>
        </w:rPr>
        <w:t xml:space="preserve"> We will be considered to have been terminated for tax purposes if there are sales or exchanges which, in the aggregate, constitute 50% or more of the total interests in our capital and profits within a twelve-month period. For purposes of measuring whether the 50% threshold is reached, multiple sales of the same interest are counted only once. A constructive termination results in the closing of our taxable year for all unitholders. In the case of a unitholder reporting on a taxable year other than a fiscal year ending December 31, the closing of our taxable year may result in more than twelve months of our taxable income or loss being includable in his taxable income for the year of termination. A constructive termination occurring on a date other than December 31 will result in us filing two tax returns (and common unitholders receiving two Schedules K-1) for one fiscal year and the cost of the preparation of these returns will be borne by all common unitholders. We would be required to make new tax elections after a termination, including a new election under Section 754 of the Internal Revenue Code, and a termination would result in a deferral of our deductions for depreciation. A termination could also result in penalties if we were unable to determine that the termination had occurred. Moreover, a termination might either accelerate the application of, or subject us to, any tax legislation enacted before the termination. The IRS has recently announced that it plans to issue guidance regarding the treatment of constructive terminations of publicly traded partnerships such as us. Any such guidance may change the application of the rules discussed above and may affect the tax treatment of a unitholder. </w:t>
      </w:r>
    </w:p>
    <w:p>
      <w:pPr>
        <w:pStyle w:val="TextBody"/>
        <w:spacing w:before="270" w:after="0"/>
        <w:rPr>
          <w:rFonts w:ascii="Times New Roman" w:hAnsi="Times New Roman"/>
          <w:b/>
          <w:sz w:val="20"/>
        </w:rPr>
      </w:pPr>
      <w:r>
        <w:rPr>
          <w:rFonts w:ascii="Times New Roman" w:hAnsi="Times New Roman"/>
          <w:b/>
          <w:sz w:val="20"/>
        </w:rPr>
        <w:t xml:space="preserve">Uniformity of Units </w:t>
      </w:r>
    </w:p>
    <w:p>
      <w:pPr>
        <w:pStyle w:val="TextBody"/>
        <w:spacing w:before="90" w:after="0"/>
        <w:rPr>
          <w:rFonts w:ascii="Times New Roman" w:hAnsi="Times New Roman"/>
          <w:sz w:val="20"/>
        </w:rPr>
      </w:pPr>
      <w:r>
        <w:rPr>
          <w:rFonts w:ascii="Times New Roman" w:hAnsi="Times New Roman"/>
          <w:sz w:val="20"/>
        </w:rPr>
        <w:t xml:space="preserve">Because we cannot match transferors and transferees of units, we must maintain uniformity of the economic and tax characteristics of the units to a purchaser of these units. In the absence of uniformity, we may be unable to completely comply with a number of federal income tax requirements, both statutory and regulatory. A lack of uniformity can result from a literal application of Treasury Regulation Section 1.167(c)-1(a)(6). Any non-uniformity could have a negative impact on the value of the units. Please see Tax Consequences of Unit OwnershipSection 754 Election. </w:t>
      </w:r>
    </w:p>
    <w:p>
      <w:pPr>
        <w:pStyle w:val="TextBody"/>
        <w:spacing w:before="180" w:after="0"/>
        <w:rPr>
          <w:rFonts w:ascii="Times New Roman" w:hAnsi="Times New Roman"/>
          <w:sz w:val="20"/>
        </w:rPr>
      </w:pPr>
      <w:r>
        <w:rPr>
          <w:rFonts w:ascii="Times New Roman" w:hAnsi="Times New Roman"/>
          <w:sz w:val="20"/>
        </w:rPr>
        <w:t xml:space="preserve">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propertys unamortized Book-Tax Disparity, or treat that portion as nonamortizable, to the extent attributable to property the common basis of which is not amortizable, consistent with the regulations under Section 743 of the Internal Revenue Code, even though that position may be inconsistent with Treasury Regulation Section 1.167(c)-1(a)(6), which is not expected to directly apply to a material portion of our assets, and Treasury Regulation Section 1.197-2(g)(3). Please see Tax Consequences of Unit OwnershipSection 754 Election. To the extent that the Section 743(b) adjustment is attributable to appreciation in value in excess of the unamortized Book-Tax Disparity, we will apply the rules described in the Treasury Regulations and legislative history. If we determine that this position cannot reasonably be taken, we may adopt a depreciation and amortization position under which all purchasers acquiring units in the same month would receive depreciation and amortization deductions, whether attributable to a common basis or Section 743(b) adjustment, based upon the same applicable methods and lives as if they had purchased a direct interest in our property. If this position is adopted, it may result in lower annual depreciation and amortization deductions than would otherwise be allowable to some unitholders and risk the loss of depreciation and amortization deductions not taken in the year that these deductions are otherwise allowable. This position will not be adopted if we determine that the loss of depreciation and amortization deductions will have a material adverse effect on the unitholders. If we choose not to utilize this aggregate method, we may use any other reasonable depreciation and amortization method to preserve the uniformity of the intrinsic tax characteristics of any units that would not have a material adverse effect on the unitholders. The IRS may challenge any method of depreciating the Section 743(b) adjustment described in this paragraph. If this challenge were sustained, the uniformity of units might be affected, and the gain from the sale of units might be increased without the benefit of additional deductions. Please see Disposition of Common UnitsRecognition of Gain or Loss. </w:t>
      </w:r>
    </w:p>
    <w:p>
      <w:pPr>
        <w:pStyle w:val="TextBody"/>
        <w:spacing w:before="270" w:after="0"/>
        <w:rPr>
          <w:rFonts w:ascii="Times New Roman" w:hAnsi="Times New Roman"/>
          <w:b/>
          <w:sz w:val="20"/>
        </w:rPr>
      </w:pPr>
      <w:r>
        <w:rPr>
          <w:rFonts w:ascii="Times New Roman" w:hAnsi="Times New Roman"/>
          <w:b/>
          <w:sz w:val="20"/>
        </w:rPr>
        <w:t xml:space="preserve">Tax-Exempt Organizations and Other Investors </w:t>
      </w:r>
    </w:p>
    <w:p>
      <w:pPr>
        <w:pStyle w:val="TextBody"/>
        <w:spacing w:before="90" w:after="0"/>
        <w:rPr>
          <w:rFonts w:ascii="Times New Roman" w:hAnsi="Times New Roman"/>
          <w:sz w:val="20"/>
        </w:rPr>
      </w:pPr>
      <w:r>
        <w:rPr>
          <w:rFonts w:ascii="Times New Roman" w:hAnsi="Times New Roman"/>
          <w:sz w:val="20"/>
        </w:rPr>
        <w:t xml:space="preserve">Ownership of units by employee benefit plans, other tax-exempt organizations, non-resident aliens, foreign corporations and other non-U.S. persons raises issues unique to those investors and, as described below, may have substantially adverse tax consequences to them. If you are a tax-exempt entity or a non-U.S. person, you should consult your tax advisor before investing in our common units. </w:t>
      </w:r>
    </w:p>
    <w:p>
      <w:pPr>
        <w:pStyle w:val="TextBody"/>
        <w:spacing w:before="180" w:after="0"/>
        <w:rPr>
          <w:rFonts w:ascii="Times New Roman" w:hAnsi="Times New Roman"/>
          <w:sz w:val="20"/>
        </w:rPr>
      </w:pPr>
      <w:r>
        <w:rPr>
          <w:rFonts w:ascii="Times New Roman" w:hAnsi="Times New Roman"/>
          <w:sz w:val="20"/>
        </w:rPr>
        <w:t xml:space="preserve">Employee benefit plans and most other organizations exempt from federal income tax, including individual retirement accounts and other retirement plans, are subject to federal income tax on unrelated business taxable income. Virtually all of our income allocated to a unitholder that is a tax-exempt organization will be unrelated business taxable income and will be taxable to it. </w:t>
      </w:r>
    </w:p>
    <w:p>
      <w:pPr>
        <w:pStyle w:val="TextBody"/>
        <w:spacing w:before="180" w:after="0"/>
        <w:rPr>
          <w:rFonts w:ascii="Times New Roman" w:hAnsi="Times New Roman"/>
          <w:sz w:val="20"/>
        </w:rPr>
      </w:pPr>
      <w:r>
        <w:rPr>
          <w:rFonts w:ascii="Times New Roman" w:hAnsi="Times New Roman"/>
          <w:sz w:val="20"/>
        </w:rPr>
        <w:t xml:space="preserve">Non-resident aliens and foreign corporations, trusts or estates that own units will be considered to be engaged in business in the United States because of the ownership of units. As a consequence, they will be required to file federal tax returns to report their share of our income, gain, loss or deduction and pay federal income tax at regular rates on their share of our net income or gain. Moreover, under rules applicable to publicly traded partnerships, we will withhold at the highest applicable effective tax rate from cash distributions made quarterly to non-U.S. unitholders. Each non-U.S. unitholder must obtain a taxpayer identification number from the IRS and submit that number to our transfer agent on a Form W-8BEN or applicable substitute form in order to obtain credit for these withholding taxes. A change in applicable law may require us to change these procedures. </w:t>
      </w:r>
    </w:p>
    <w:p>
      <w:pPr>
        <w:pStyle w:val="TextBody"/>
        <w:spacing w:before="180" w:after="0"/>
        <w:rPr>
          <w:rFonts w:ascii="Times New Roman" w:hAnsi="Times New Roman"/>
          <w:sz w:val="20"/>
        </w:rPr>
      </w:pPr>
      <w:r>
        <w:rPr>
          <w:rFonts w:ascii="Times New Roman" w:hAnsi="Times New Roman"/>
          <w:sz w:val="20"/>
        </w:rPr>
        <w:t xml:space="preserve">In addition, because a foreign corporation that owns units will be treated as engaged in a United States trade or business, that corporation may be subject to the United States branch profits tax at a rate of 30%, in addition to regular federal income tax, on its share of our income and gain, as adjusted for changes in the foreign corporations U.S. net equity, which are effectively connected with the conduct of a United States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Internal Revenue Code.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 foreign unitholder who sells or otherwise disposes of a unit will be subject to U.S. federal income tax on gain realized from the sale or disposition of that unit to the extent the gain is effectively connected with a U.S. trade or business of the foreign unitholder. Under a ruling published by the IRS, interpreting the scope of effectively connected income, a foreign unitholder would be considered to be engaged in a trade or business in the U.S. by virtue of the U.S. activities of the partnership, and part or all of that unitholders gain would be effectively connected with that unitholders indirect U.S. trade or business. Moreover, under the Foreign Investment in Real Property Tax Act, a foreign unitholder generally will be subject to U.S. federal income tax upon the sale or disposition of a unit if (i) he owned (directly or constructively applying certain attribution rules) more than 5% of our common units at any time during the five-year period ending on the date of such disposition and (ii) 50% or more of the fair market value of all of our assets consisted of U.S. real property interests at any time during the shorter of the period during which such unitholder held the common units or the 5-year period ending on the date of disposition. Currently, more than 50% of our assets consist of U.S. real property interests and we do not expect that to change in the foreseeable future. Therefore, foreign unitholders may be subject to federal income tax on gain from the sale or disposition of their units. </w:t>
      </w:r>
    </w:p>
    <w:p>
      <w:pPr>
        <w:pStyle w:val="TextBody"/>
        <w:spacing w:before="270" w:after="0"/>
        <w:rPr>
          <w:rFonts w:ascii="Times New Roman" w:hAnsi="Times New Roman"/>
          <w:b/>
          <w:sz w:val="20"/>
        </w:rPr>
      </w:pPr>
      <w:r>
        <w:rPr>
          <w:rFonts w:ascii="Times New Roman" w:hAnsi="Times New Roman"/>
          <w:b/>
          <w:sz w:val="20"/>
        </w:rPr>
        <w:t xml:space="preserve">Administrative Matters </w:t>
      </w:r>
    </w:p>
    <w:p>
      <w:pPr>
        <w:pStyle w:val="TextBody"/>
        <w:spacing w:before="90" w:after="0"/>
        <w:rPr>
          <w:rFonts w:ascii="Times New Roman" w:hAnsi="Times New Roman"/>
          <w:sz w:val="20"/>
        </w:rPr>
      </w:pPr>
      <w:r>
        <w:rPr>
          <w:rFonts w:ascii="Times New Roman" w:hAnsi="Times New Roman"/>
          <w:i/>
          <w:sz w:val="20"/>
        </w:rPr>
        <w:t>Information Returns and Audit Procedures.</w:t>
      </w:r>
      <w:r>
        <w:rPr>
          <w:rFonts w:ascii="Times New Roman" w:hAnsi="Times New Roman"/>
          <w:sz w:val="20"/>
        </w:rPr>
        <w:t xml:space="preserve"> We intend to furnish to each unitholder, within 90 days after the close of each calendar year, specific tax information, including a Schedule K-1, which describes his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you that those positions will in all cases yield a result that conforms to the requirements of the Internal Revenue Code, Treasury Regulations or administrative interpretations of the IRS. Neither we nor Vinson &amp; Elkins L.L.P. can assure prospective unitholders that the IRS will not successfully contend in court that those positions are impermissible. Any challenge by the IRS could negatively affect the value of the units. </w:t>
      </w:r>
    </w:p>
    <w:p>
      <w:pPr>
        <w:pStyle w:val="TextBody"/>
        <w:spacing w:before="180" w:after="0"/>
        <w:rPr>
          <w:rFonts w:ascii="Times New Roman" w:hAnsi="Times New Roman"/>
          <w:sz w:val="20"/>
        </w:rPr>
      </w:pPr>
      <w:r>
        <w:rPr>
          <w:rFonts w:ascii="Times New Roman" w:hAnsi="Times New Roman"/>
          <w:sz w:val="20"/>
        </w:rPr>
        <w:t xml:space="preserve">The IRS may audit our federal income tax information returns. Adjustments resulting from an IRS audit may require each unitholder to adjust a prior years tax liability, and possibly may result in an audit of his return. Any audit of a unitholders return could result in adjustments not related to our returns as well as those related to our returns. </w:t>
      </w:r>
    </w:p>
    <w:p>
      <w:pPr>
        <w:pStyle w:val="TextBody"/>
        <w:spacing w:before="180" w:after="0"/>
        <w:rPr>
          <w:rFonts w:ascii="Times New Roman" w:hAnsi="Times New Roman"/>
          <w:sz w:val="20"/>
        </w:rPr>
      </w:pPr>
      <w:r>
        <w:rPr>
          <w:rFonts w:ascii="Times New Roman" w:hAnsi="Times New Roman"/>
          <w:sz w:val="20"/>
        </w:rPr>
        <w:t xml:space="preserve">Partnerships generally are treated as separate entities for purposes of federal tax audits, judicial review of administrative adjustments by the IRS and tax settlement proceedings. The tax treatment of partnership items of income, gain, loss and deduction are determined in a partnership proceeding rather than in separate proceedings with the partners. The Internal Revenue Code requires that one partner be designated as the Tax Matters Partner for these purposes. Our partnership agreement names our general partner as our Tax Matters Partner. </w:t>
      </w:r>
    </w:p>
    <w:p>
      <w:pPr>
        <w:pStyle w:val="TextBody"/>
        <w:spacing w:before="180" w:after="0"/>
        <w:rPr>
          <w:rFonts w:ascii="Times New Roman" w:hAnsi="Times New Roman"/>
          <w:sz w:val="20"/>
        </w:rPr>
      </w:pPr>
      <w:r>
        <w:rPr>
          <w:rFonts w:ascii="Times New Roman" w:hAnsi="Times New Roman"/>
          <w:sz w:val="20"/>
        </w:rPr>
        <w:t xml:space="preserve">The Tax Matters Partner has made and will make some elections on our behalf and on behalf of unitholders. In addition, 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will go forward, and each unitholder with an interest in the outcome may participate. </w:t>
      </w:r>
    </w:p>
    <w:p>
      <w:pPr>
        <w:pStyle w:val="TextBody"/>
        <w:spacing w:before="180" w:after="0"/>
        <w:rPr>
          <w:rFonts w:ascii="Times New Roman" w:hAnsi="Times New Roman"/>
          <w:sz w:val="20"/>
        </w:rPr>
      </w:pPr>
      <w:r>
        <w:rPr>
          <w:rFonts w:ascii="Times New Roman" w:hAnsi="Times New Roman"/>
          <w:sz w:val="20"/>
        </w:rPr>
        <w:t xml:space="preserve">A unitholder must file a statement with the IRS identifying the treatment of any item on his federal income tax return that is not consistent with the treatment of the item on our return. Intentional or negligent disregard of this consistency requirement may subject a unitholder to substantial penalties. Nominee Reporting. Persons who hold an interest in us as a nominee for another person are required to furnish to us: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1"/>
        <w:gridCol w:w="9493"/>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name, address and taxpayer identification number of the beneficial owner and the nominee;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the beneficial owner is: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305"/>
        <w:gridCol w:w="101"/>
        <w:gridCol w:w="8881"/>
      </w:tblGrid>
      <w:tr>
        <w:trPr/>
        <w:tc>
          <w:tcPr>
            <w:tcW w:w="91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person that is not a United States person;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5"/>
        <w:gridCol w:w="102"/>
        <w:gridCol w:w="8881"/>
      </w:tblGrid>
      <w:tr>
        <w:trPr/>
        <w:tc>
          <w:tcPr>
            <w:tcW w:w="91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foreign government, an international organization or any wholly owned agency or instrumentality of either of the foregoing;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305"/>
        <w:gridCol w:w="101"/>
        <w:gridCol w:w="8881"/>
      </w:tblGrid>
      <w:tr>
        <w:trPr/>
        <w:tc>
          <w:tcPr>
            <w:tcW w:w="91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tax-exempt entity;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1"/>
        <w:gridCol w:w="9492"/>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amount and description of units held, acquired or transferred for the beneficial owner;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specific information including the dates of acquisitions and transfers, means of acquisitions and transfers, and acquisition cost for purchases, as well as the amount of net proceeds from sales. </w:t>
            </w:r>
          </w:p>
        </w:tc>
      </w:tr>
    </w:tbl>
    <w:p>
      <w:pPr>
        <w:pStyle w:val="TextBody"/>
        <w:spacing w:before="180" w:after="0"/>
        <w:rPr>
          <w:rFonts w:ascii="Times New Roman" w:hAnsi="Times New Roman"/>
          <w:sz w:val="20"/>
        </w:rPr>
      </w:pPr>
      <w:r>
        <w:rPr>
          <w:rFonts w:ascii="Times New Roman" w:hAnsi="Times New Roman"/>
          <w:sz w:val="20"/>
        </w:rPr>
        <w:t xml:space="preserve">Brokers and financial institutions are required to furnish additional information, including whether they are United States persons and specific information on units they acquire, hold or transfer for their own account. A penalty of $50 per failure, up to a maximum of $100,000 per calendar year, is imposed by the Internal Revenue Code for failure to report that information to us. The nominee is required to supply the beneficial owner of the units with the information furnished to us. </w:t>
      </w:r>
    </w:p>
    <w:p>
      <w:pPr>
        <w:pStyle w:val="TextBody"/>
        <w:spacing w:before="180" w:after="0"/>
        <w:rPr>
          <w:rFonts w:ascii="Times New Roman" w:hAnsi="Times New Roman"/>
          <w:sz w:val="20"/>
        </w:rPr>
      </w:pPr>
      <w:r>
        <w:rPr>
          <w:rFonts w:ascii="Times New Roman" w:hAnsi="Times New Roman"/>
          <w:i/>
          <w:sz w:val="20"/>
        </w:rPr>
        <w:t>Accuracy-Related Penalties.</w:t>
      </w:r>
      <w:r>
        <w:rPr>
          <w:rFonts w:ascii="Times New Roman" w:hAnsi="Times New Roman"/>
          <w:sz w:val="20"/>
        </w:rPr>
        <w:t xml:space="preserve"> An additional tax equal to 20% of the amount of any portion of an underpayment of tax that is attributable to one or more specified causes, including negligence or disregard of rules or regulations, substantial understatements of income tax and substantial valuation misstatements, is imposed by the Internal Revenue Code. No penalty will be imposed, however, for any portion of an underpayment if it is shown that there was a reasonable cause for that portion and that the taxpayer acted in good faith regarding that portion. </w:t>
      </w:r>
    </w:p>
    <w:p>
      <w:pPr>
        <w:pStyle w:val="TextBody"/>
        <w:spacing w:before="180" w:after="0"/>
        <w:rPr>
          <w:rFonts w:ascii="Times New Roman" w:hAnsi="Times New Roman"/>
          <w:sz w:val="20"/>
        </w:rPr>
      </w:pPr>
      <w:r>
        <w:rPr>
          <w:rFonts w:ascii="Times New Roman" w:hAnsi="Times New Roman"/>
          <w:sz w:val="20"/>
        </w:rPr>
        <w:t xml:space="preserve">For individuals, a substantial understatement of income tax in any taxable year exists if the amount of the understatement exceeds the greater of 10% of the tax required to be shown on the return for the taxable year or $5,000 ($10,000 for most corporations). The amount of any understatement subject to penalty generally is reduced if any portion is attributable to a position adopted on the return: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 which there is, or was, substantial authority;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1"/>
        <w:gridCol w:w="9493"/>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as to which there is a reasonable basis and the pertinent facts of that position are disclosed on the return. </w:t>
            </w:r>
          </w:p>
        </w:tc>
      </w:tr>
    </w:tbl>
    <w:p>
      <w:pPr>
        <w:pStyle w:val="TextBody"/>
        <w:spacing w:before="180" w:after="0"/>
        <w:rPr>
          <w:rFonts w:ascii="Times New Roman" w:hAnsi="Times New Roman"/>
          <w:sz w:val="20"/>
        </w:rPr>
      </w:pPr>
      <w:r>
        <w:rPr>
          <w:rFonts w:ascii="Times New Roman" w:hAnsi="Times New Roman"/>
          <w:sz w:val="20"/>
        </w:rPr>
        <w:t xml:space="preserve">If any item of income, gain, loss or deduction included in the distributive shares of unitholders might result in that kind of an understatement of income for which no substantial authority exists, we must disclose the pertinent facts on our return. In addition, we will make a reasonable effort to furnish sufficient information for unitholders to make adequate disclosure on their returns and to take other actions as may be appropriate to permit unitholders to avoid liability for this penalty. More stringent rules apply to tax shelters, which we do not believe includes us or any of our investments, plans or arrangements. </w:t>
      </w:r>
    </w:p>
    <w:p>
      <w:pPr>
        <w:pStyle w:val="TextBody"/>
        <w:spacing w:before="180" w:after="0"/>
        <w:rPr>
          <w:rFonts w:ascii="Times New Roman" w:hAnsi="Times New Roman"/>
          <w:sz w:val="20"/>
        </w:rPr>
      </w:pPr>
      <w:r>
        <w:rPr>
          <w:rFonts w:ascii="Times New Roman" w:hAnsi="Times New Roman"/>
          <w:sz w:val="20"/>
        </w:rPr>
        <w:t xml:space="preserve">A substantial valuation misstatement exists if (i) the value of any property, or the tax basis of any property, claimed on a tax return is 150% or more of the amount determined to be the correct amount of the valuation or tax basis, (ii) the price for any property or services (or for the use of property) claimed on any such return with respect to any transaction between persons described in Internal Revenue Code Section 482 is 200% or more (or 50% or less) of the amount determined under Internal Revenue Code Section 482 to be the correct amount of such price or (iii) the net Internal Revenue Code Section 482 transfer price adjustment for the taxable year exceeds the lesser of $5 million or 10% of the taxpayers gross receipts. No penalty is imposed unless the portion of the underpayment attributable to a substantial valuation misstatement exceeds $5,000 ($10,000 for a corporation other than an S Corporation or a personal holding company). The penalty is increased to 40% in the event of a gross valuation misstatement. </w:t>
      </w:r>
    </w:p>
    <w:p>
      <w:pPr>
        <w:pStyle w:val="TextBody"/>
        <w:spacing w:before="180" w:after="0"/>
        <w:rPr>
          <w:rFonts w:ascii="Times New Roman" w:hAnsi="Times New Roman"/>
          <w:sz w:val="20"/>
        </w:rPr>
      </w:pPr>
      <w:r>
        <w:rPr>
          <w:rFonts w:ascii="Times New Roman" w:hAnsi="Times New Roman"/>
          <w:i/>
          <w:sz w:val="20"/>
        </w:rPr>
        <w:t>Reportable Transactions.</w:t>
      </w:r>
      <w:r>
        <w:rPr>
          <w:rFonts w:ascii="Times New Roman" w:hAnsi="Times New Roman"/>
          <w:sz w:val="20"/>
        </w:rPr>
        <w:t xml:space="preserve"> If we were to engage in a reportable transaction, we (and possibly you and others) would be required to make a detailed disclosure of the transaction to the IRS. A transaction may be a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reportable transaction based upon any of several factors, including the fact that it is a type of tax avoidance transaction publicly identified by the IRS as a listed transaction or that it produces certain kinds of losses for partnerships, individuals, S corporations, and trusts in excess of $2 million in any single year, or $4 million in any combination of 6 successive tax years. Our participation in a reportable transaction could increase the likelihood that our federal income tax information return (and possibly your tax return) would be audited by the IRS. Please see Information Returns and Audit Procedures. </w:t>
      </w:r>
    </w:p>
    <w:p>
      <w:pPr>
        <w:pStyle w:val="TextBody"/>
        <w:spacing w:before="180" w:after="0"/>
        <w:rPr>
          <w:rFonts w:ascii="Times New Roman" w:hAnsi="Times New Roman"/>
          <w:sz w:val="20"/>
        </w:rPr>
      </w:pPr>
      <w:r>
        <w:rPr>
          <w:rFonts w:ascii="Times New Roman" w:hAnsi="Times New Roman"/>
          <w:sz w:val="20"/>
        </w:rPr>
        <w:t xml:space="preserve">Moreover, if we were to participate in a reportable transaction with a significant purpose to avoid or evade tax, or in any listed transaction, you may be subject to the following provisions of the American Jobs Creation Act of 2004: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accuracy-related penalties with a broader scope, significantly narrower exceptions, and potentially greater amounts than described above at Accuracy-Related Penalties;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 those persons otherwise entitled to deduct interest on federal tax deficiencies, nondeductibility of interest on any resulting tax liability;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case of a listed transaction, an extended statute of limitations. </w:t>
            </w:r>
          </w:p>
        </w:tc>
      </w:tr>
    </w:tbl>
    <w:p>
      <w:pPr>
        <w:pStyle w:val="TextBody"/>
        <w:spacing w:before="180" w:after="0"/>
        <w:rPr>
          <w:rFonts w:ascii="Times New Roman" w:hAnsi="Times New Roman"/>
          <w:sz w:val="20"/>
        </w:rPr>
      </w:pPr>
      <w:r>
        <w:rPr>
          <w:rFonts w:ascii="Times New Roman" w:hAnsi="Times New Roman"/>
          <w:sz w:val="20"/>
        </w:rPr>
        <w:t xml:space="preserve">We do not expect to engage in any reportable transactions. </w:t>
      </w:r>
    </w:p>
    <w:p>
      <w:pPr>
        <w:pStyle w:val="TextBody"/>
        <w:spacing w:before="270" w:after="0"/>
        <w:rPr>
          <w:rFonts w:ascii="Times New Roman" w:hAnsi="Times New Roman"/>
          <w:b/>
          <w:sz w:val="20"/>
        </w:rPr>
      </w:pPr>
      <w:r>
        <w:rPr>
          <w:rFonts w:ascii="Times New Roman" w:hAnsi="Times New Roman"/>
          <w:b/>
          <w:sz w:val="20"/>
        </w:rPr>
        <w:t xml:space="preserve">State, Local, Foreign and Other Tax Considerations </w:t>
      </w:r>
    </w:p>
    <w:p>
      <w:pPr>
        <w:pStyle w:val="TextBody"/>
        <w:spacing w:before="90" w:after="0"/>
        <w:rPr>
          <w:rFonts w:ascii="Times New Roman" w:hAnsi="Times New Roman"/>
          <w:sz w:val="20"/>
        </w:rPr>
      </w:pPr>
      <w:r>
        <w:rPr>
          <w:rFonts w:ascii="Times New Roman" w:hAnsi="Times New Roman"/>
          <w:sz w:val="20"/>
        </w:rPr>
        <w:t xml:space="preserve">In addition to federal income taxes, you may be subject to other taxes, such as state, local and foreign income taxes, unincorporated business taxes, and estate, inheritance or intangible taxes that may be imposed by the various jurisdictions in which we do business or own property or in which you are a resident. Although an analysis of those various taxes is not presented here, each prospective unitholder should consider their potential impact on his investment in us. We currently own property and do business in Canada and most states of the United States. A unitholder may be required to file Canadian federal income tax returns and pay Canadian federal and provincial income taxes and to file state income tax returns and to pay taxes in various states and may be subject to penalties for failure to comply with those requirements. In some jurisdictions, tax losses may not produce a tax benefit in the year incurred and may not be available to offset income in subsequent taxable years. Some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 Amounts withheld will be treated as if distributed to unitholders for purposes of determining the amounts distributed by us. Please see Tax Consequences of Unit OwnershipEntity-Level Collections. Based on current law and our estimate of our future operations, the general partner anticipates that any amounts required to be withheld will not be material. </w:t>
      </w:r>
    </w:p>
    <w:p>
      <w:pPr>
        <w:pStyle w:val="TextBody"/>
        <w:spacing w:before="270" w:after="0"/>
        <w:rPr>
          <w:rFonts w:ascii="Times New Roman" w:hAnsi="Times New Roman"/>
          <w:b/>
          <w:sz w:val="20"/>
        </w:rPr>
      </w:pPr>
      <w:r>
        <w:rPr>
          <w:rFonts w:ascii="Times New Roman" w:hAnsi="Times New Roman"/>
          <w:b/>
          <w:sz w:val="20"/>
        </w:rPr>
        <w:t xml:space="preserve">Tax Consequences of Ownership of Debt Securities </w:t>
      </w:r>
    </w:p>
    <w:p>
      <w:pPr>
        <w:pStyle w:val="TextBody"/>
        <w:spacing w:before="90" w:after="0"/>
        <w:rPr>
          <w:rFonts w:ascii="Times New Roman" w:hAnsi="Times New Roman"/>
          <w:sz w:val="20"/>
        </w:rPr>
      </w:pPr>
      <w:r>
        <w:rPr>
          <w:rFonts w:ascii="Times New Roman" w:hAnsi="Times New Roman"/>
          <w:sz w:val="20"/>
        </w:rPr>
        <w:t xml:space="preserve">A description of the material federal income tax consequences of the acquisition, ownership and disposition of debt securities will be set forth in the prospectus supplement relating to the offering of debt securities. </w:t>
      </w:r>
    </w:p>
    <w:p>
      <w:pPr>
        <w:pStyle w:val="TextBody"/>
        <w:spacing w:before="180" w:after="0"/>
        <w:rPr>
          <w:rFonts w:ascii="Times New Roman" w:hAnsi="Times New Roman"/>
          <w:b/>
          <w:sz w:val="20"/>
        </w:rPr>
      </w:pPr>
      <w:r>
        <w:rPr>
          <w:rFonts w:ascii="Times New Roman" w:hAnsi="Times New Roman"/>
          <w:b/>
          <w:sz w:val="20"/>
        </w:rPr>
        <w:t xml:space="preserve">It is the responsibility of each unitholder to investigate the legal and tax consequences, under the laws of pertinent jurisdictions, of his investment in us. Accordingly, each prospective unitholder is urged to consult, and depend upon, his tax counsel or other advisor with regard to those matters. Further, it is the responsibility of each unitholder to file all state, local and foreign, as well as United States federal tax returns, that may be required of him. Vinson &amp; Elkins L.L.P. has not rendered an opinion on the state, local or foreign tax consequences of an investment in us.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44" w:name="rom314176_123"/>
      <w:bookmarkStart w:id="45" w:name="supprom314176_26"/>
      <w:bookmarkEnd w:id="44"/>
      <w:bookmarkEnd w:id="45"/>
      <w:r>
        <w:rPr>
          <w:rFonts w:ascii="Times New Roman" w:hAnsi="Times New Roman"/>
          <w:b/>
          <w:sz w:val="20"/>
        </w:rPr>
        <w:t xml:space="preserve">LEGAL MATTERS </w:t>
      </w:r>
    </w:p>
    <w:p>
      <w:pPr>
        <w:pStyle w:val="TextBody"/>
        <w:spacing w:before="180" w:after="0"/>
        <w:rPr>
          <w:rFonts w:ascii="Times New Roman" w:hAnsi="Times New Roman"/>
          <w:sz w:val="20"/>
        </w:rPr>
      </w:pPr>
      <w:r>
        <w:rPr>
          <w:rFonts w:ascii="Times New Roman" w:hAnsi="Times New Roman"/>
          <w:sz w:val="20"/>
        </w:rPr>
        <w:t xml:space="preserve">The validity of the securities offered in this prospectus will be passed upon for us by Vinson &amp; Elkins L.L.P., Houston, Texas. Vinson &amp; Elkins L.L.P. will also render an opinion on the material federal income tax considerations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 </w:t>
      </w:r>
    </w:p>
    <w:p>
      <w:pPr>
        <w:pStyle w:val="TextBody"/>
        <w:spacing w:before="270" w:after="0"/>
        <w:jc w:val="center"/>
        <w:rPr>
          <w:rFonts w:ascii="Times New Roman" w:hAnsi="Times New Roman"/>
          <w:b/>
          <w:sz w:val="20"/>
        </w:rPr>
      </w:pPr>
      <w:bookmarkStart w:id="46" w:name="rom314176_124"/>
      <w:bookmarkStart w:id="47" w:name="supprom314176_27"/>
      <w:bookmarkEnd w:id="46"/>
      <w:bookmarkEnd w:id="47"/>
      <w:r>
        <w:rPr>
          <w:rFonts w:ascii="Times New Roman" w:hAnsi="Times New Roman"/>
          <w:b/>
          <w:sz w:val="20"/>
        </w:rPr>
        <w:t xml:space="preserve">EXPERTS </w:t>
      </w:r>
    </w:p>
    <w:p>
      <w:pPr>
        <w:pStyle w:val="TextBody"/>
        <w:spacing w:before="180" w:after="0"/>
        <w:rPr>
          <w:rFonts w:ascii="Times New Roman" w:hAnsi="Times New Roman"/>
          <w:sz w:val="20"/>
        </w:rPr>
      </w:pPr>
      <w:r>
        <w:rPr>
          <w:rFonts w:ascii="Times New Roman" w:hAnsi="Times New Roman"/>
          <w:sz w:val="20"/>
        </w:rPr>
        <w:t xml:space="preserve">The financial statements of Plains All American Pipeline, L.P. and managements assessment of the effectiveness of internal control over financial reporting (which is included in Managements Report on Internal Control over Financial Reporting) incorporated in this prospectus by reference to the Annual Report on Form 10-K of Plains All American Pipeline, L.P. for the year ended December 31, 2008, have been so incorporated in reliance on the report of PricewaterhouseCoopers LLP, an independent registered public accounting firm, given on the authority of said firm as experts in auditing and accounting. </w:t>
      </w:r>
    </w:p>
    <w:p>
      <w:pPr>
        <w:pStyle w:val="TextBody"/>
        <w:spacing w:before="180" w:after="0"/>
        <w:rPr>
          <w:rFonts w:ascii="Times New Roman" w:hAnsi="Times New Roman"/>
          <w:sz w:val="20"/>
        </w:rPr>
      </w:pPr>
      <w:r>
        <w:rPr>
          <w:rFonts w:ascii="Times New Roman" w:hAnsi="Times New Roman"/>
          <w:sz w:val="20"/>
        </w:rPr>
        <w:t xml:space="preserve">The balance sheet as of December 31, 2008 of PAA GP LLC incorporated in this prospectus by reference to the Current Report on Form 8-K of Plains All American Pipeline, L.P. filed March 12, 2009 has been so incorporated in reliance on the report of PricewaterhouseCoopers LLP, an independent registered public accounting firm, given on the authority of said firm as experts in auditing and accounting.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bottom w:val="single" w:sz="16" w:space="1" w:color="000000"/>
        </w:pBdr>
        <w:spacing w:lineRule="atLeast" w:line="141" w:before="0" w:after="0"/>
        <w:rPr/>
      </w:pPr>
      <w:r>
        <w:rPr/>
        <w:t> </w:t>
      </w:r>
    </w:p>
    <w:p>
      <w:pPr>
        <w:pStyle w:val="TextBody"/>
        <w:pBdr>
          <w:bottom w:val="single" w:sz="4" w:space="1" w:color="000000"/>
        </w:pBdr>
        <w:spacing w:lineRule="atLeast" w:line="141" w:before="0" w:after="30"/>
        <w:rPr/>
      </w:pPr>
      <w:r>
        <w:rPr/>
        <w:t> </w:t>
      </w:r>
    </w:p>
    <w:p>
      <w:pPr>
        <w:pStyle w:val="TextBody"/>
        <w:spacing w:before="0" w:after="0"/>
        <w:rPr/>
      </w:pPr>
      <w:r>
        <w:rPr/>
        <w:t> </w:t>
      </w:r>
    </w:p>
    <w:p>
      <w:pPr>
        <w:pStyle w:val="TextBody"/>
        <w:spacing w:before="0" w:after="0"/>
        <w:rPr/>
      </w:pPr>
      <w:r>
        <w:rPr/>
        <w:t> </w:t>
      </w:r>
    </w:p>
    <w:p>
      <w:pPr>
        <w:pStyle w:val="TextBody"/>
        <w:spacing w:before="750" w:after="0"/>
        <w:jc w:val="center"/>
        <w:rPr/>
      </w:pPr>
      <w:r>
        <w:rPr/>
        <w:drawing>
          <wp:inline distT="0" distB="0" distL="0" distR="0">
            <wp:extent cx="1828800" cy="571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28800" cy="571500"/>
                    </a:xfrm>
                    <a:prstGeom prst="rect">
                      <a:avLst/>
                    </a:prstGeom>
                  </pic:spPr>
                </pic:pic>
              </a:graphicData>
            </a:graphic>
          </wp:inline>
        </w:drawing>
      </w:r>
      <w:r>
        <w:rPr/>
        <w:t xml:space="preserve"> </w:t>
      </w:r>
    </w:p>
    <w:p>
      <w:pPr>
        <w:pStyle w:val="TextBody"/>
        <w:spacing w:before="360" w:after="0"/>
        <w:jc w:val="center"/>
        <w:rPr>
          <w:rFonts w:ascii="Times New Roman" w:hAnsi="Times New Roman"/>
          <w:b/>
          <w:sz w:val="36"/>
        </w:rPr>
      </w:pPr>
      <w:r>
        <w:rPr>
          <w:rFonts w:ascii="Times New Roman" w:hAnsi="Times New Roman"/>
          <w:b/>
          <w:sz w:val="36"/>
        </w:rPr>
        <w:t xml:space="preserve">$                     % Senior Notes due 2022 </w:t>
      </w:r>
    </w:p>
    <w:p>
      <w:pPr>
        <w:pStyle w:val="TextBody"/>
        <w:spacing w:before="0" w:after="0"/>
        <w:jc w:val="center"/>
        <w:rPr>
          <w:rFonts w:ascii="Times New Roman" w:hAnsi="Times New Roman"/>
          <w:b/>
          <w:sz w:val="36"/>
        </w:rPr>
      </w:pPr>
      <w:r>
        <w:rPr>
          <w:rFonts w:ascii="Times New Roman" w:hAnsi="Times New Roman"/>
          <w:b/>
          <w:sz w:val="36"/>
        </w:rPr>
        <w:t xml:space="preserve">$                     % Senior Notes due 2042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360" w:after="0"/>
        <w:jc w:val="center"/>
        <w:rPr>
          <w:rFonts w:ascii="Times New Roman" w:hAnsi="Times New Roman"/>
          <w:b/>
          <w:sz w:val="20"/>
        </w:rPr>
      </w:pPr>
      <w:r>
        <w:rPr>
          <w:rFonts w:ascii="Times New Roman" w:hAnsi="Times New Roman"/>
          <w:b/>
          <w:sz w:val="20"/>
        </w:rPr>
        <w:t xml:space="preserve">PROSPECTUS SUPPLEMENT </w:t>
      </w:r>
    </w:p>
    <w:p>
      <w:pPr>
        <w:pStyle w:val="TextBody"/>
        <w:spacing w:before="180" w:after="0"/>
        <w:jc w:val="center"/>
        <w:rPr>
          <w:rFonts w:ascii="Times New Roman" w:hAnsi="Times New Roman"/>
          <w:b/>
          <w:sz w:val="20"/>
        </w:rPr>
      </w:pPr>
      <w:r>
        <w:rPr>
          <w:rFonts w:ascii="Times New Roman" w:hAnsi="Times New Roman"/>
          <w:b/>
          <w:sz w:val="20"/>
        </w:rPr>
        <w:t xml:space="preserve">March     , 2012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360" w:after="0"/>
        <w:jc w:val="center"/>
        <w:rPr>
          <w:rFonts w:ascii="Times New Roman" w:hAnsi="Times New Roman"/>
          <w:i/>
          <w:sz w:val="20"/>
        </w:rPr>
      </w:pPr>
      <w:r>
        <w:rPr>
          <w:rFonts w:ascii="Times New Roman" w:hAnsi="Times New Roman"/>
          <w:i/>
          <w:sz w:val="20"/>
        </w:rPr>
        <w:t xml:space="preserve">Joint Book-Running Managers </w:t>
      </w:r>
    </w:p>
    <w:p>
      <w:pPr>
        <w:pStyle w:val="TextBody"/>
        <w:spacing w:before="90" w:after="0"/>
        <w:jc w:val="center"/>
        <w:rPr>
          <w:rFonts w:ascii="Times New Roman" w:hAnsi="Times New Roman"/>
          <w:b/>
          <w:sz w:val="24"/>
        </w:rPr>
      </w:pPr>
      <w:r>
        <w:rPr>
          <w:rFonts w:ascii="Times New Roman" w:hAnsi="Times New Roman"/>
          <w:b/>
          <w:sz w:val="24"/>
        </w:rPr>
        <w:t xml:space="preserve">J.P. Morgan </w:t>
      </w:r>
    </w:p>
    <w:p>
      <w:pPr>
        <w:pStyle w:val="TextBody"/>
        <w:spacing w:before="0" w:after="0"/>
        <w:jc w:val="center"/>
        <w:rPr>
          <w:rFonts w:ascii="Times New Roman" w:hAnsi="Times New Roman"/>
          <w:b/>
          <w:sz w:val="24"/>
        </w:rPr>
      </w:pPr>
      <w:r>
        <w:rPr>
          <w:rFonts w:ascii="Times New Roman" w:hAnsi="Times New Roman"/>
          <w:b/>
          <w:sz w:val="24"/>
        </w:rPr>
        <w:t xml:space="preserve">BofA Merrill Lynch </w:t>
      </w:r>
    </w:p>
    <w:p>
      <w:pPr>
        <w:pStyle w:val="TextBody"/>
        <w:spacing w:before="0" w:after="0"/>
        <w:jc w:val="center"/>
        <w:rPr>
          <w:rFonts w:ascii="Times New Roman" w:hAnsi="Times New Roman"/>
          <w:b/>
          <w:sz w:val="24"/>
        </w:rPr>
      </w:pPr>
      <w:r>
        <w:rPr>
          <w:rFonts w:ascii="Times New Roman" w:hAnsi="Times New Roman"/>
          <w:b/>
          <w:sz w:val="24"/>
        </w:rPr>
        <w:t xml:space="preserve">UBS Investment Bank </w:t>
      </w:r>
    </w:p>
    <w:p>
      <w:pPr>
        <w:pStyle w:val="TextBody"/>
        <w:spacing w:before="0" w:after="0"/>
        <w:jc w:val="center"/>
        <w:rPr>
          <w:rFonts w:ascii="Times New Roman" w:hAnsi="Times New Roman"/>
          <w:b/>
          <w:sz w:val="24"/>
        </w:rPr>
      </w:pPr>
      <w:r>
        <w:rPr>
          <w:rFonts w:ascii="Times New Roman" w:hAnsi="Times New Roman"/>
          <w:b/>
          <w:sz w:val="24"/>
        </w:rPr>
        <w:t xml:space="preserve">Wells Fargo Securities </w:t>
      </w:r>
    </w:p>
    <w:p>
      <w:pPr>
        <w:pStyle w:val="TextBody"/>
        <w:spacing w:before="0" w:after="0"/>
        <w:jc w:val="center"/>
        <w:rPr>
          <w:rFonts w:ascii="Times New Roman" w:hAnsi="Times New Roman"/>
          <w:b/>
          <w:sz w:val="24"/>
        </w:rPr>
      </w:pPr>
      <w:r>
        <w:rPr>
          <w:rFonts w:ascii="Times New Roman" w:hAnsi="Times New Roman"/>
          <w:b/>
          <w:sz w:val="24"/>
        </w:rPr>
        <w:t xml:space="preserve">DNB Markets </w:t>
      </w:r>
    </w:p>
    <w:p>
      <w:pPr>
        <w:pStyle w:val="TextBody"/>
        <w:spacing w:before="0" w:after="0"/>
        <w:jc w:val="center"/>
        <w:rPr>
          <w:rFonts w:ascii="Times New Roman" w:hAnsi="Times New Roman"/>
          <w:b/>
          <w:sz w:val="24"/>
        </w:rPr>
      </w:pPr>
      <w:r>
        <w:rPr>
          <w:rFonts w:ascii="Times New Roman" w:hAnsi="Times New Roman"/>
          <w:b/>
          <w:sz w:val="24"/>
        </w:rPr>
        <w:t xml:space="preserve">Mizuho Securities </w:t>
      </w:r>
    </w:p>
    <w:p>
      <w:pPr>
        <w:pStyle w:val="TextBody"/>
        <w:spacing w:before="0" w:after="0"/>
        <w:rPr/>
      </w:pPr>
      <w:r>
        <w:rPr/>
        <w:t> </w:t>
      </w:r>
    </w:p>
    <w:p>
      <w:pPr>
        <w:pStyle w:val="TextBody"/>
        <w:spacing w:before="0" w:after="0"/>
        <w:rPr/>
      </w:pPr>
      <w:r>
        <w:rPr/>
        <w:t> </w:t>
      </w:r>
    </w:p>
    <w:p>
      <w:pPr>
        <w:pStyle w:val="TextBody"/>
        <w:pBdr>
          <w:bottom w:val="single" w:sz="4" w:space="1" w:color="000000"/>
        </w:pBdr>
        <w:spacing w:before="0" w:after="30"/>
        <w:rPr/>
      </w:pPr>
      <w:r>
        <w:rPr/>
        <w:t> </w:t>
      </w:r>
    </w:p>
    <w:p>
      <w:pPr>
        <w:pStyle w:val="TextBody"/>
        <w:spacing w:before="0" w:after="0"/>
        <w:rPr/>
      </w:pPr>
      <w:r>
        <w:rPr/>
        <w:t> </w:t>
      </w:r>
    </w:p>
    <w:p>
      <w:pPr>
        <w:pStyle w:val="TextBody"/>
        <w:pBdr>
          <w:bottom w:val="single" w:sz="16" w:space="1" w:color="000000"/>
        </w:pBdr>
        <w:spacing w:lineRule="atLeast" w:line="141" w:before="0" w:after="30"/>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Narrow">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87</Pages>
  <Words>47008</Words>
  <CharactersWithSpaces>288757</CharactersWithSpaces>
  <Paragraphs>3318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Prospectus Supplement</dc:title>
</cp:coreProperties>
</file>