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4"/>
            <w:vMerge w:val="restart"/>
          </w:tcPr>
          <w:p>
            <w:pPr>
              <w:spacing w:after="0" w:line="250" w:lineRule="exact"/>
              <w:rPr>
                <w:rFonts w:ascii="Arial" w:cs="Arial" w:eastAsia="Arial" w:hAnsi="Arial"/>
                <w:sz w:val="22"/>
                <w:szCs w:val="22"/>
                <w:color w:val="0000EE"/>
                <w:w w:val="96"/>
              </w:rPr>
            </w:pPr>
            <w:hyperlink r:id="rId12">
              <w:r>
                <w:rPr>
                  <w:rFonts w:ascii="Arial" w:cs="Arial" w:eastAsia="Arial" w:hAnsi="Arial"/>
                  <w:sz w:val="22"/>
                  <w:szCs w:val="22"/>
                  <w:color w:val="0000EE"/>
                  <w:w w:val="96"/>
                </w:rPr>
                <w:t>KRAMER PHIL D</w:t>
              </w:r>
            </w:hyperlink>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PLAINS ALL AMERICAN PIPELINE LP</w:t>
              </w:r>
            </w:hyperlink>
          </w:p>
        </w:tc>
        <w:tc>
          <w:tcPr>
            <w:tcW w:w="16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tcBorders>
              <w:bottom w:val="single" w:sz="8" w:color="0000EE"/>
            </w:tcBorders>
            <w:gridSpan w:val="4"/>
            <w:vMerge w:val="continue"/>
          </w:tcPr>
          <w:p>
            <w:pPr>
              <w:spacing w:after="0"/>
              <w:rPr>
                <w:sz w:val="5"/>
                <w:szCs w:val="5"/>
                <w:color w:val="auto"/>
              </w:rPr>
            </w:pPr>
          </w:p>
        </w:tc>
        <w:tc>
          <w:tcPr>
            <w:tcW w:w="86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spacing w:after="0" w:line="250" w:lineRule="exact"/>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0000FF"/>
              </w:rPr>
              <w:t>PAA</w:t>
            </w:r>
            <w:r>
              <w:rPr>
                <w:rFonts w:ascii="Arial" w:cs="Arial" w:eastAsia="Arial" w:hAnsi="Arial"/>
                <w:sz w:val="22"/>
                <w:szCs w:val="22"/>
                <w:color w:val="auto"/>
              </w:rPr>
              <w:t xml:space="preserve"> ]</w:t>
            </w: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tcPr>
          <w:p>
            <w:pPr>
              <w:spacing w:after="0"/>
              <w:rPr>
                <w:sz w:val="4"/>
                <w:szCs w:val="4"/>
                <w:color w:val="auto"/>
              </w:rPr>
            </w:pPr>
          </w:p>
        </w:tc>
        <w:tc>
          <w:tcPr>
            <w:tcW w:w="86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5"/>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80" w:type="dxa"/>
            <w:vAlign w:val="bottom"/>
            <w:gridSpan w:val="2"/>
            <w:vMerge w:val="restart"/>
          </w:tcPr>
          <w:p>
            <w:pPr>
              <w:ind w:left="80"/>
              <w:spacing w:after="0"/>
              <w:rPr>
                <w:sz w:val="20"/>
                <w:szCs w:val="20"/>
                <w:color w:val="auto"/>
              </w:rPr>
            </w:pPr>
            <w:r>
              <w:rPr>
                <w:rFonts w:ascii="Arial" w:cs="Arial" w:eastAsia="Arial" w:hAnsi="Arial"/>
                <w:sz w:val="18"/>
                <w:szCs w:val="18"/>
                <w:color w:val="0000FF"/>
              </w:rPr>
              <w:t>Exec. Vice President</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5"/>
            <w:vMerge w:val="continue"/>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333 CLAY STREET, # 1600</w:t>
            </w: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0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02/29/2012</w:t>
            </w: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5"/>
            <w:vMerge w:val="continue"/>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60" w:type="dxa"/>
            <w:vAlign w:val="bottom"/>
            <w:tcBorders>
              <w:bottom w:val="single" w:sz="8" w:color="2C2C2C"/>
            </w:tcBorders>
            <w:gridSpan w:val="6"/>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60" w:type="dxa"/>
            <w:vAlign w:val="bottom"/>
            <w:gridSpan w:val="6"/>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60" w:type="dxa"/>
            <w:vAlign w:val="bottom"/>
            <w:gridSpan w:val="6"/>
            <w:vMerge w:val="continue"/>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3"/>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5"/>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9"/>
          </w:tcPr>
          <w:p>
            <w:pPr>
              <w:jc w:val="center"/>
              <w:ind w:right="3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02/29/2012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10,000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6"/>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82.7056</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jc w:val="right"/>
              <w:ind w:right="294"/>
              <w:spacing w:after="0"/>
              <w:rPr>
                <w:sz w:val="20"/>
                <w:szCs w:val="20"/>
                <w:color w:val="auto"/>
              </w:rPr>
            </w:pPr>
            <w:r>
              <w:rPr>
                <w:rFonts w:ascii="Arial" w:cs="Arial" w:eastAsia="Arial" w:hAnsi="Arial"/>
                <w:sz w:val="18"/>
                <w:szCs w:val="18"/>
                <w:color w:val="0000FF"/>
              </w:rPr>
              <w:t>155,967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vMerge w:val="restart"/>
          </w:tcPr>
          <w:p>
            <w:pPr>
              <w:jc w:val="right"/>
              <w:ind w:right="374"/>
              <w:spacing w:after="0"/>
              <w:rPr>
                <w:sz w:val="20"/>
                <w:szCs w:val="20"/>
                <w:color w:val="auto"/>
              </w:rPr>
            </w:pPr>
            <w:r>
              <w:rPr>
                <w:rFonts w:ascii="Arial" w:cs="Arial" w:eastAsia="Arial" w:hAnsi="Arial"/>
                <w:sz w:val="18"/>
                <w:szCs w:val="18"/>
                <w:color w:val="0000FF"/>
                <w:w w:val="84"/>
              </w:rPr>
              <w:t>1,400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Mother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3720" w:type="dxa"/>
            <w:vAlign w:val="bottom"/>
            <w:tcBorders>
              <w:bottom w:val="single" w:sz="8" w:color="2C2C2C"/>
            </w:tcBorders>
            <w:gridSpan w:val="7"/>
          </w:tcPr>
          <w:p>
            <w:pPr>
              <w:spacing w:after="0"/>
              <w:rPr>
                <w:sz w:val="8"/>
                <w:szCs w:val="8"/>
                <w:color w:val="auto"/>
              </w:rPr>
            </w:pPr>
          </w:p>
        </w:tc>
        <w:tc>
          <w:tcPr>
            <w:tcW w:w="360" w:type="dxa"/>
            <w:vAlign w:val="bottom"/>
            <w:tcBorders>
              <w:bottom w:val="single" w:sz="8" w:color="2C2C2C"/>
            </w:tcBorders>
            <w:gridSpan w:val="3"/>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8"/>
          </w:tcPr>
          <w:p>
            <w:pPr>
              <w:jc w:val="center"/>
              <w:ind w:left="6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6"/>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units were sold in multiple transactions at prices ranging from $82.68 to $82.7623. Reporting Person undertakes to provide to the SEC staff, the Issuer or any unitholder of the Issuer, upon request, full information regarding the number of units sold at each separate price.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90"/>
              </w:rPr>
              <w:t>/s/ Phil D. Kramer</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03/01/2012</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6"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2020-01-29T00:19:33Z</dcterms:created>
  <dcterms:modified xsi:type="dcterms:W3CDTF">2020-01-29T00:19:33Z</dcterms:modified>
</cp:coreProperties>
</file>