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November 3, 2015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420"/>
          </w:cols>
          <w:pgMar w:left="240" w:top="544" w:right="239" w:bottom="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 99.1 — Press Release dated November 3,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firstLine="648"/>
        <w:spacing w:after="0" w:line="255" w:lineRule="auto"/>
        <w:rPr>
          <w:sz w:val="20"/>
          <w:szCs w:val="20"/>
          <w:color w:val="auto"/>
        </w:rPr>
      </w:pPr>
      <w:r>
        <w:rPr>
          <w:rFonts w:ascii="Arial" w:cs="Arial" w:eastAsia="Arial" w:hAnsi="Arial"/>
          <w:sz w:val="18"/>
          <w:szCs w:val="18"/>
          <w:color w:val="auto"/>
        </w:rPr>
        <w:t>Plains All American Pipeline, L.P. (the “Partnership”) today issued a press release reporting its third-quarter 2015 results. We are furnishing the press release, attached as Exhibit 99.1, pursuant to Item 2.02 and Item 7.01 of Form 8-K. Pursuant to Item 7.01, we are also providing detailed guidance of financial performance for the fourth quarter and full year of 2015. In accordance with General Instruction B.2. of Form 8-K, the information presented herein under Item 2.02 and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Update of Fourth-Quarter and Full-Year 2015 Guidance</w:t>
      </w:r>
    </w:p>
    <w:p>
      <w:pPr>
        <w:spacing w:after="0" w:line="229" w:lineRule="exact"/>
        <w:rPr>
          <w:sz w:val="24"/>
          <w:szCs w:val="24"/>
          <w:color w:val="auto"/>
        </w:rPr>
      </w:pPr>
    </w:p>
    <w:p>
      <w:pPr>
        <w:ind w:right="20" w:firstLine="648"/>
        <w:spacing w:after="0" w:line="286" w:lineRule="auto"/>
        <w:rPr>
          <w:sz w:val="20"/>
          <w:szCs w:val="20"/>
          <w:color w:val="auto"/>
        </w:rPr>
      </w:pPr>
      <w:r>
        <w:rPr>
          <w:rFonts w:ascii="Arial" w:cs="Arial" w:eastAsia="Arial" w:hAnsi="Arial"/>
          <w:sz w:val="16"/>
          <w:szCs w:val="16"/>
          <w:color w:val="auto"/>
        </w:rPr>
        <w:t>We based our guidance for the three-month and twelve-month periods ending December 31, 2015 on assumptions and estimates that we believe are reasonable, given our assessment of historical trends (modified for changes in market conditions, including an assumption that crude oil prices do not meaningfully increase from current levels during the remainder of 2015 which we expect to result in continued reduced drilling activity, oil production declines and increased competition), business cycles and other reasonably available information. Certain of our future revenue estimates for our transportation and facilities segments are based on contractual arrangements whereby our customer is obligated to pay us for a minimum level of volume shipments or movements, regardless of actual volumes shipped or moved, in exchange for a credit that can, subject to certain time limits, be applied against future shipments or movements. Our forecasted volumes reflect our estimate of expected volume shipments or movements. Payment terms vary by contract; however, if actual volumes shipped or moved fall below the minimum obligation, any cash received in excess of actual volumes shipped or moved would be classified as deferred revenue until such time as the related credit expires or is used. Projections covering multi-quarter periods contemplate inter-period changes in future performance resulting from new expansion projects, seasonal operational changes (such as NGL sales) and acquisition synergies. Our assumptions and future performance, however, are both subject to a wide range of business risks and uncertainties, so we can provide no assurance that actual performance will fall within the guidance ranges. Please refer to information under the caption “Forward-Looking Statements and Associated Risks” below. These risks and uncertainties, as well as other unforeseeable risks and uncertainties, could cause our actual results to differ materially from those in the</w:t>
      </w:r>
    </w:p>
    <w:p>
      <w:pPr>
        <w:sectPr>
          <w:pgSz w:w="11900" w:h="16838" w:orient="portrait"/>
          <w:cols w:equalWidth="0" w:num="1">
            <w:col w:w="11420"/>
          </w:cols>
          <w:pgMar w:left="240" w:top="544" w:right="239" w:bottom="0" w:gutter="0" w:footer="0" w:header="0"/>
          <w:type w:val="continuous"/>
        </w:sectPr>
      </w:pPr>
    </w:p>
    <w:bookmarkStart w:id="1" w:name="page2"/>
    <w:bookmarkEnd w:id="1"/>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following table. The operating and financial guidance provided below is given as of the date hereof, based on information known to us as of November 2, 2015. We undertake no obligation to publicly update or revise any forward-looking statements.</w:t>
      </w:r>
    </w:p>
    <w:p>
      <w:pPr>
        <w:spacing w:after="0" w:line="170"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 xml:space="preserve">To supplement our financial information presented in accordance with GAAP, management uses additional measures known as “non-GAAP financial measures” in its evaluation of past performance and prospects for the future. Management believes that the presentation of such additional financial measures provides useful information to investors regarding our financial condition and results of operations because these measures, when used in conjunction with related GAAP financial measures, (i) provide additional information about our core operations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EBITDA (as defined below in Note 1 to the “Operating and Financial Guidance” table) is a non-GAAP financial measure. Net income represents one of the two most directly comparable GAAP measures to EBITDA. In Note 9 below, we reconcile net income to EBITDA and adjusted EBITDA for the 2015 guidance periods presented. Cash flows from operating activities is the other most comparable GAAP measure. We do not, however, reconcile cash flows from operating activities to EBITDA, because such reconciliations are impractical for forecasted periods. We encourage you to visit our website at </w:t>
      </w:r>
      <w:r>
        <w:rPr>
          <w:rFonts w:ascii="Arial" w:cs="Arial" w:eastAsia="Arial" w:hAnsi="Arial"/>
          <w:sz w:val="17"/>
          <w:szCs w:val="17"/>
          <w:i w:val="1"/>
          <w:iCs w:val="1"/>
          <w:color w:val="auto"/>
        </w:rPr>
        <w:t xml:space="preserve">www.plainsallamerican.com </w:t>
      </w:r>
      <w:r>
        <w:rPr>
          <w:rFonts w:ascii="Arial" w:cs="Arial" w:eastAsia="Arial" w:hAnsi="Arial"/>
          <w:sz w:val="17"/>
          <w:szCs w:val="17"/>
          <w:color w:val="auto"/>
        </w:rPr>
        <w:t>(in particular the section under Investor Relations and Financial Information entitled “Non-GAAP Reconciliations”), which</w:t>
      </w:r>
      <w:r>
        <w:rPr>
          <w:rFonts w:ascii="Arial" w:cs="Arial" w:eastAsia="Arial" w:hAnsi="Arial"/>
          <w:sz w:val="17"/>
          <w:szCs w:val="17"/>
          <w:i w:val="1"/>
          <w:iCs w:val="1"/>
          <w:color w:val="auto"/>
        </w:rPr>
        <w:t xml:space="preserve"> </w:t>
      </w:r>
      <w:r>
        <w:rPr>
          <w:rFonts w:ascii="Arial" w:cs="Arial" w:eastAsia="Arial" w:hAnsi="Arial"/>
          <w:sz w:val="17"/>
          <w:szCs w:val="17"/>
          <w:color w:val="auto"/>
        </w:rPr>
        <w:t>presents a historical reconciliation of EBITDA as well as certain other commonly used non-GAAP and supplemental financial measures.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Operating and Financial Guidance</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 millions, except per unit data)(a)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Actual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rPr>
              <w:t>Guidance (b)</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2"/>
              <w:spacing w:after="0" w:line="119" w:lineRule="exact"/>
              <w:rPr>
                <w:sz w:val="20"/>
                <w:szCs w:val="20"/>
                <w:color w:val="auto"/>
              </w:rPr>
            </w:pPr>
            <w:r>
              <w:rPr>
                <w:rFonts w:ascii="Arial" w:cs="Arial" w:eastAsia="Arial" w:hAnsi="Arial"/>
                <w:sz w:val="13"/>
                <w:szCs w:val="13"/>
                <w:b w:val="1"/>
                <w:bCs w:val="1"/>
                <w:color w:val="auto"/>
              </w:rPr>
              <w:t>9 Months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20" w:type="dxa"/>
            <w:vAlign w:val="bottom"/>
            <w:tcBorders>
              <w:top w:val="single" w:sz="8" w:color="auto"/>
            </w:tcBorders>
            <w:gridSpan w:val="5"/>
          </w:tcPr>
          <w:p>
            <w:pPr>
              <w:jc w:val="right"/>
              <w:ind w:right="760"/>
              <w:spacing w:after="0" w:line="119" w:lineRule="exact"/>
              <w:rPr>
                <w:sz w:val="20"/>
                <w:szCs w:val="20"/>
                <w:color w:val="auto"/>
              </w:rPr>
            </w:pPr>
            <w:r>
              <w:rPr>
                <w:rFonts w:ascii="Arial" w:cs="Arial" w:eastAsia="Arial" w:hAnsi="Arial"/>
                <w:sz w:val="13"/>
                <w:szCs w:val="13"/>
                <w:b w:val="1"/>
                <w:bCs w:val="1"/>
                <w:color w:val="auto"/>
              </w:rPr>
              <w:t>3 Months Ending</w:t>
            </w: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940" w:type="dxa"/>
            <w:vAlign w:val="bottom"/>
            <w:tcBorders>
              <w:top w:val="single" w:sz="8" w:color="auto"/>
            </w:tcBorders>
            <w:gridSpan w:val="5"/>
          </w:tcPr>
          <w:p>
            <w:pPr>
              <w:jc w:val="right"/>
              <w:ind w:right="471"/>
              <w:spacing w:after="0" w:line="119" w:lineRule="exact"/>
              <w:rPr>
                <w:sz w:val="20"/>
                <w:szCs w:val="20"/>
                <w:color w:val="auto"/>
              </w:rPr>
            </w:pPr>
            <w:r>
              <w:rPr>
                <w:rFonts w:ascii="Arial" w:cs="Arial" w:eastAsia="Arial" w:hAnsi="Arial"/>
                <w:sz w:val="13"/>
                <w:szCs w:val="13"/>
                <w:b w:val="1"/>
                <w:bCs w:val="1"/>
                <w:color w:val="auto"/>
              </w:rPr>
              <w:t>12 Months Ending</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 31, 2015</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 31, 2015</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0"/>
              </w:rPr>
              <w:t>Sep 30, 2015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Low</w:t>
            </w:r>
          </w:p>
        </w:tc>
        <w:tc>
          <w:tcPr>
            <w:tcW w:w="320" w:type="dxa"/>
            <w:vAlign w:val="bottom"/>
          </w:tcPr>
          <w:p>
            <w:pPr>
              <w:spacing w:after="0"/>
              <w:rPr>
                <w:sz w:val="12"/>
                <w:szCs w:val="12"/>
                <w:color w:val="auto"/>
              </w:rPr>
            </w:pPr>
          </w:p>
        </w:tc>
        <w:tc>
          <w:tcPr>
            <w:tcW w:w="720" w:type="dxa"/>
            <w:vAlign w:val="bottom"/>
          </w:tcPr>
          <w:p>
            <w:pPr>
              <w:jc w:val="right"/>
              <w:ind w:right="271"/>
              <w:spacing w:after="0" w:line="142" w:lineRule="exact"/>
              <w:rPr>
                <w:sz w:val="20"/>
                <w:szCs w:val="20"/>
                <w:color w:val="auto"/>
              </w:rPr>
            </w:pPr>
            <w:r>
              <w:rPr>
                <w:rFonts w:ascii="Arial" w:cs="Arial" w:eastAsia="Arial" w:hAnsi="Arial"/>
                <w:sz w:val="14"/>
                <w:szCs w:val="14"/>
                <w:b w:val="1"/>
                <w:bCs w:val="1"/>
                <w:color w:val="auto"/>
              </w:rPr>
              <w:t>High</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Low</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jc w:val="right"/>
              <w:ind w:right="271"/>
              <w:spacing w:after="0" w:line="142" w:lineRule="exact"/>
              <w:rPr>
                <w:sz w:val="20"/>
                <w:szCs w:val="20"/>
                <w:color w:val="auto"/>
              </w:rPr>
            </w:pPr>
            <w:r>
              <w:rPr>
                <w:rFonts w:ascii="Arial" w:cs="Arial" w:eastAsia="Arial" w:hAnsi="Arial"/>
                <w:sz w:val="14"/>
                <w:szCs w:val="14"/>
                <w:b w:val="1"/>
                <w:bCs w:val="1"/>
                <w:color w:val="auto"/>
              </w:rPr>
              <w:t>High</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left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 Profit</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w w:val="95"/>
              </w:rPr>
              <w:t>Net revenues (including equity earnings in unconsolidated entities)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2,699</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976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1,024</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3,675</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lef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3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 (expense), net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294</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lef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Income Attributable to PAA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657</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w:t>
            </w:r>
          </w:p>
        </w:tc>
        <w:tc>
          <w:tcPr>
            <w:tcW w:w="2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950</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1,022</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line="216" w:lineRule="exact"/>
              <w:rPr>
                <w:sz w:val="20"/>
                <w:szCs w:val="20"/>
                <w:color w:val="auto"/>
              </w:rPr>
            </w:pPr>
            <w:r>
              <w:rPr>
                <w:rFonts w:ascii="Arial" w:cs="Arial" w:eastAsia="Arial" w:hAnsi="Arial"/>
                <w:sz w:val="18"/>
                <w:szCs w:val="18"/>
                <w:color w:val="auto"/>
              </w:rPr>
              <w:t xml:space="preserve">Net Income Attributable to Limited Partners </w:t>
            </w:r>
            <w:r>
              <w:rPr>
                <w:rFonts w:ascii="Arial" w:cs="Arial" w:eastAsia="Arial" w:hAnsi="Arial"/>
                <w:sz w:val="23"/>
                <w:szCs w:val="23"/>
                <w:color w:val="auto"/>
                <w:vertAlign w:val="superscript"/>
              </w:rPr>
              <w:t>(c)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215</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356</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left w:val="single" w:sz="8" w:color="CCEEFF"/>
            </w:tcBorders>
            <w:shd w:val="clear" w:color="auto" w:fill="CCEEFF"/>
          </w:tcPr>
          <w:p>
            <w:pPr>
              <w:spacing w:after="0" w:line="216" w:lineRule="exact"/>
              <w:rPr>
                <w:sz w:val="20"/>
                <w:szCs w:val="20"/>
                <w:color w:val="auto"/>
              </w:rPr>
            </w:pPr>
            <w:r>
              <w:rPr>
                <w:rFonts w:ascii="Arial" w:cs="Arial" w:eastAsia="Arial" w:hAnsi="Arial"/>
                <w:sz w:val="18"/>
                <w:szCs w:val="18"/>
                <w:color w:val="auto"/>
              </w:rPr>
              <w:t xml:space="preserve">Basic Net Income Per Limited Partner Unit </w:t>
            </w:r>
            <w:r>
              <w:rPr>
                <w:rFonts w:ascii="Arial" w:cs="Arial" w:eastAsia="Arial" w:hAnsi="Arial"/>
                <w:sz w:val="23"/>
                <w:szCs w:val="23"/>
                <w:color w:val="auto"/>
                <w:vertAlign w:val="superscript"/>
              </w:rPr>
              <w:t>(c)</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Weighted Average Units Outstanding</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398</w:t>
            </w:r>
          </w:p>
        </w:tc>
        <w:tc>
          <w:tcPr>
            <w:tcW w:w="3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lef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Unit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0.54</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0.53</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0.89</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Borders>
              <w:left w:val="single" w:sz="8" w:color="CCEEFF"/>
            </w:tcBorders>
            <w:shd w:val="clear" w:color="auto" w:fill="CCEEFF"/>
          </w:tcPr>
          <w:p>
            <w:pPr>
              <w:spacing w:after="0" w:line="216" w:lineRule="exact"/>
              <w:rPr>
                <w:sz w:val="20"/>
                <w:szCs w:val="20"/>
                <w:color w:val="auto"/>
              </w:rPr>
            </w:pPr>
            <w:r>
              <w:rPr>
                <w:rFonts w:ascii="Arial" w:cs="Arial" w:eastAsia="Arial" w:hAnsi="Arial"/>
                <w:sz w:val="18"/>
                <w:szCs w:val="18"/>
                <w:color w:val="auto"/>
              </w:rPr>
              <w:t xml:space="preserve">Diluted Net Income Per Limited Partner Unit </w:t>
            </w:r>
            <w:r>
              <w:rPr>
                <w:rFonts w:ascii="Arial" w:cs="Arial" w:eastAsia="Arial" w:hAnsi="Arial"/>
                <w:sz w:val="23"/>
                <w:szCs w:val="23"/>
                <w:color w:val="auto"/>
                <w:vertAlign w:val="superscript"/>
              </w:rPr>
              <w:t>(c)</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Weighted Average Units Outstanding</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399</w:t>
            </w:r>
          </w:p>
        </w:tc>
        <w:tc>
          <w:tcPr>
            <w:tcW w:w="3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lef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Unit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0.53</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0.52</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0.88</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1,364</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556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616</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1,920</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b w:val="1"/>
                <w:bCs w:val="1"/>
                <w:color w:val="auto"/>
              </w:rPr>
              <w:t>$</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Borders>
              <w:bottom w:val="single" w:sz="8" w:color="auto"/>
            </w:tcBorders>
          </w:tcPr>
          <w:p>
            <w:pPr>
              <w:spacing w:after="0"/>
              <w:rPr>
                <w:sz w:val="17"/>
                <w:szCs w:val="17"/>
                <w:color w:val="auto"/>
              </w:rPr>
            </w:pPr>
          </w:p>
        </w:tc>
        <w:tc>
          <w:tcPr>
            <w:tcW w:w="5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000000"/>
          </w:tcPr>
          <w:p>
            <w:pPr>
              <w:spacing w:after="0"/>
              <w:rPr>
                <w:sz w:val="18"/>
                <w:szCs w:val="18"/>
                <w:color w:val="auto"/>
              </w:rPr>
            </w:pPr>
          </w:p>
        </w:tc>
        <w:tc>
          <w:tcPr>
            <w:tcW w:w="5240" w:type="dxa"/>
            <w:vAlign w:val="bottom"/>
            <w:tcBorders>
              <w:lef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Selected Items Impacting Comparability- Income / (Loss)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000000"/>
          </w:tcPr>
          <w:p>
            <w:pPr>
              <w:spacing w:after="0"/>
              <w:rPr>
                <w:sz w:val="17"/>
                <w:szCs w:val="17"/>
                <w:color w:val="auto"/>
              </w:rPr>
            </w:pPr>
          </w:p>
        </w:tc>
        <w:tc>
          <w:tcPr>
            <w:tcW w:w="5240" w:type="dxa"/>
            <w:vAlign w:val="bottom"/>
            <w:tcBorders>
              <w:left w:val="single" w:sz="8" w:color="auto"/>
            </w:tcBorders>
          </w:tcPr>
          <w:p>
            <w:pPr>
              <w:ind w:left="180"/>
              <w:spacing w:after="0" w:line="201" w:lineRule="exact"/>
              <w:rPr>
                <w:sz w:val="20"/>
                <w:szCs w:val="20"/>
                <w:color w:val="auto"/>
              </w:rPr>
            </w:pPr>
            <w:r>
              <w:rPr>
                <w:rFonts w:ascii="Arial" w:cs="Arial" w:eastAsia="Arial" w:hAnsi="Arial"/>
                <w:sz w:val="18"/>
                <w:szCs w:val="18"/>
                <w:color w:val="auto"/>
                <w:w w:val="97"/>
              </w:rPr>
              <w:t>Gains/(losses) from derivative activities net of inventory valuation</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000000"/>
          </w:tcPr>
          <w:p>
            <w:pPr>
              <w:spacing w:after="0"/>
              <w:rPr>
                <w:sz w:val="20"/>
                <w:szCs w:val="20"/>
                <w:color w:val="auto"/>
              </w:rPr>
            </w:pPr>
          </w:p>
        </w:tc>
        <w:tc>
          <w:tcPr>
            <w:tcW w:w="524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adjustments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524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5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Equity-indexed compensation expense</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524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Net gain / (loss) on foreign currency revaluation</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5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Line 901 incident</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524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expense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5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Tax effect on selected items impacting comparability</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5240" w:type="dxa"/>
            <w:vAlign w:val="bottom"/>
            <w:tcBorders>
              <w:left w:val="single" w:sz="8" w:color="auto"/>
            </w:tcBorders>
            <w:vMerge w:val="restart"/>
            <w:shd w:val="clear" w:color="auto" w:fill="CCEEFF"/>
          </w:tcPr>
          <w:p>
            <w:pPr>
              <w:ind w:left="180"/>
              <w:spacing w:after="0" w:line="201" w:lineRule="exact"/>
              <w:rPr>
                <w:sz w:val="20"/>
                <w:szCs w:val="20"/>
                <w:color w:val="auto"/>
              </w:rPr>
            </w:pPr>
            <w:r>
              <w:rPr>
                <w:rFonts w:ascii="Arial" w:cs="Arial" w:eastAsia="Arial" w:hAnsi="Arial"/>
                <w:sz w:val="18"/>
                <w:szCs w:val="18"/>
                <w:color w:val="auto"/>
              </w:rPr>
              <w:t>Selected Items Impacting Comparability of Net Income</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shd w:val="clear" w:color="auto" w:fill="000000"/>
          </w:tcPr>
          <w:p>
            <w:pPr>
              <w:spacing w:after="0"/>
              <w:rPr>
                <w:sz w:val="15"/>
                <w:szCs w:val="15"/>
                <w:color w:val="auto"/>
              </w:rPr>
            </w:pPr>
          </w:p>
        </w:tc>
        <w:tc>
          <w:tcPr>
            <w:tcW w:w="5240" w:type="dxa"/>
            <w:vAlign w:val="bottom"/>
            <w:tcBorders>
              <w:left w:val="single" w:sz="8" w:color="auto"/>
            </w:tcBorders>
            <w:vMerge w:val="continue"/>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(230)</w:t>
            </w:r>
          </w:p>
        </w:tc>
        <w:tc>
          <w:tcPr>
            <w:tcW w:w="320" w:type="dxa"/>
            <w:vAlign w:val="bottom"/>
            <w:gridSpan w:val="2"/>
            <w:vMerge w:val="restart"/>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400" w:type="dxa"/>
            <w:vAlign w:val="bottom"/>
            <w:gridSpan w:val="2"/>
            <w:vMerge w:val="restart"/>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(239)</w:t>
            </w:r>
          </w:p>
        </w:tc>
        <w:tc>
          <w:tcPr>
            <w:tcW w:w="400" w:type="dxa"/>
            <w:vAlign w:val="bottom"/>
            <w:gridSpan w:val="2"/>
            <w:vMerge w:val="restart"/>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7"/>
        </w:trPr>
        <w:tc>
          <w:tcPr>
            <w:tcW w:w="20" w:type="dxa"/>
            <w:vAlign w:val="bottom"/>
            <w:shd w:val="clear" w:color="auto" w:fill="000000"/>
          </w:tcPr>
          <w:p>
            <w:pPr>
              <w:spacing w:after="0"/>
              <w:rPr>
                <w:sz w:val="18"/>
                <w:szCs w:val="18"/>
                <w:color w:val="auto"/>
              </w:rPr>
            </w:pPr>
          </w:p>
        </w:tc>
        <w:tc>
          <w:tcPr>
            <w:tcW w:w="5240" w:type="dxa"/>
            <w:vAlign w:val="bottom"/>
            <w:tcBorders>
              <w:lef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Attributable to PAA</w:t>
            </w:r>
          </w:p>
        </w:tc>
        <w:tc>
          <w:tcPr>
            <w:tcW w:w="12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820" w:type="dxa"/>
            <w:vAlign w:val="bottom"/>
            <w:tcBorders>
              <w:right w:val="single" w:sz="8" w:color="auto"/>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240" w:type="dxa"/>
            <w:vAlign w:val="bottom"/>
            <w:tcBorders>
              <w:top w:val="single" w:sz="8" w:color="CCEEFF"/>
              <w:lef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Borders>
              <w:bottom w:val="single" w:sz="8" w:color="auto"/>
            </w:tcBorders>
            <w:shd w:val="clear" w:color="auto" w:fill="000000"/>
          </w:tcPr>
          <w:p>
            <w:pPr>
              <w:spacing w:after="0" w:line="20" w:lineRule="exact"/>
              <w:rPr>
                <w:sz w:val="1"/>
                <w:szCs w:val="1"/>
                <w:color w:val="auto"/>
              </w:rPr>
            </w:pPr>
          </w:p>
        </w:tc>
        <w:tc>
          <w:tcPr>
            <w:tcW w:w="524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auto"/>
            </w:tcBorders>
            <w:shd w:val="clear" w:color="auto" w:fill="000000"/>
          </w:tcPr>
          <w:p>
            <w:pPr>
              <w:spacing w:after="0"/>
              <w:rPr>
                <w:sz w:val="15"/>
                <w:szCs w:val="15"/>
                <w:color w:val="auto"/>
              </w:rPr>
            </w:pPr>
          </w:p>
        </w:tc>
        <w:tc>
          <w:tcPr>
            <w:tcW w:w="5240" w:type="dxa"/>
            <w:vAlign w:val="bottom"/>
            <w:tcBorders>
              <w:left w:val="single" w:sz="8" w:color="auto"/>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000000"/>
          </w:tcPr>
          <w:p>
            <w:pPr>
              <w:spacing w:after="0"/>
              <w:rPr>
                <w:sz w:val="18"/>
                <w:szCs w:val="18"/>
                <w:color w:val="auto"/>
              </w:rPr>
            </w:pPr>
          </w:p>
        </w:tc>
        <w:tc>
          <w:tcPr>
            <w:tcW w:w="5240" w:type="dxa"/>
            <w:vAlign w:val="bottom"/>
            <w:tcBorders>
              <w:lef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Excluding Selected Items Impacting Comparability</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5240" w:type="dxa"/>
            <w:vAlign w:val="bottom"/>
            <w:tcBorders>
              <w:left w:val="single" w:sz="8" w:color="auto"/>
            </w:tcBorders>
          </w:tcPr>
          <w:p>
            <w:pPr>
              <w:spacing w:after="0"/>
              <w:rPr>
                <w:sz w:val="20"/>
                <w:szCs w:val="20"/>
                <w:color w:val="auto"/>
              </w:rPr>
            </w:pPr>
            <w:r>
              <w:rPr>
                <w:rFonts w:ascii="Arial" w:cs="Arial" w:eastAsia="Arial" w:hAnsi="Arial"/>
                <w:sz w:val="18"/>
                <w:szCs w:val="18"/>
                <w:color w:val="auto"/>
              </w:rPr>
              <w:t>Adjusted Segment Profit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524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755</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1,024</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5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Facilities</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3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524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Supply and Logistics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111"/>
        </w:trPr>
        <w:tc>
          <w:tcPr>
            <w:tcW w:w="20" w:type="dxa"/>
            <w:vAlign w:val="bottom"/>
            <w:shd w:val="clear" w:color="auto" w:fill="000000"/>
          </w:tcPr>
          <w:p>
            <w:pPr>
              <w:spacing w:after="0"/>
              <w:rPr>
                <w:sz w:val="9"/>
                <w:szCs w:val="9"/>
                <w:color w:val="auto"/>
              </w:rPr>
            </w:pPr>
          </w:p>
        </w:tc>
        <w:tc>
          <w:tcPr>
            <w:tcW w:w="5240" w:type="dxa"/>
            <w:vAlign w:val="bottom"/>
            <w:tcBorders>
              <w:lef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40"/>
          </w:cols>
          <w:pgMar w:left="240" w:top="125" w:right="219" w:bottom="0" w:gutter="0" w:footer="0" w:header="0"/>
        </w:sectPr>
      </w:pPr>
    </w:p>
    <w:bookmarkStart w:id="2" w:name="page3"/>
    <w:bookmarkEnd w:id="2"/>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2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Other income / (expense), net</w:t>
            </w:r>
          </w:p>
        </w:tc>
        <w:tc>
          <w:tcPr>
            <w:tcW w:w="3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left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2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Borders>
              <w:left w:val="single" w:sz="8" w:color="auto"/>
            </w:tcBorders>
            <w:vMerge w:val="restart"/>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left w:val="single" w:sz="8" w:color="auto"/>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887</w:t>
            </w:r>
          </w:p>
        </w:tc>
        <w:tc>
          <w:tcPr>
            <w:tcW w:w="24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302</w:t>
            </w:r>
          </w:p>
        </w:tc>
        <w:tc>
          <w:tcPr>
            <w:tcW w:w="22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374</w:t>
            </w:r>
          </w:p>
        </w:tc>
        <w:tc>
          <w:tcPr>
            <w:tcW w:w="24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1,189</w:t>
            </w:r>
          </w:p>
        </w:tc>
        <w:tc>
          <w:tcPr>
            <w:tcW w:w="22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1,261</w:t>
            </w:r>
          </w:p>
        </w:tc>
        <w:tc>
          <w:tcPr>
            <w:tcW w:w="120" w:type="dxa"/>
            <w:vAlign w:val="bottom"/>
            <w:tcBorders>
              <w:bottom w:val="single" w:sz="8" w:color="CCEEFF"/>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260" w:type="dxa"/>
            <w:vAlign w:val="bottom"/>
            <w:tcBorders>
              <w:left w:val="single" w:sz="8" w:color="auto"/>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7"/>
                <w:szCs w:val="17"/>
                <w:color w:val="auto"/>
              </w:rPr>
              <w:t xml:space="preserve">Basic Adjusted Net Income Per Limited Partner Unit </w:t>
            </w:r>
            <w:r>
              <w:rPr>
                <w:rFonts w:ascii="Arial" w:cs="Arial" w:eastAsia="Arial" w:hAnsi="Arial"/>
                <w:sz w:val="22"/>
                <w:szCs w:val="22"/>
                <w:color w:val="auto"/>
                <w:vertAlign w:val="superscript"/>
              </w:rPr>
              <w:t>(c)</w:t>
            </w: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w:t>
            </w:r>
          </w:p>
        </w:tc>
        <w:tc>
          <w:tcPr>
            <w:tcW w:w="2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0.37</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0.55</w:t>
            </w:r>
          </w:p>
        </w:tc>
        <w:tc>
          <w:tcPr>
            <w:tcW w:w="2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tcBorders>
              <w:left w:val="single" w:sz="8" w:color="auto"/>
            </w:tcBorders>
            <w:vMerge w:val="restart"/>
          </w:tcPr>
          <w:p>
            <w:pPr>
              <w:ind w:left="20"/>
              <w:spacing w:after="0" w:line="236" w:lineRule="exact"/>
              <w:rPr>
                <w:sz w:val="20"/>
                <w:szCs w:val="20"/>
                <w:color w:val="auto"/>
              </w:rPr>
            </w:pPr>
            <w:r>
              <w:rPr>
                <w:rFonts w:ascii="Arial" w:cs="Arial" w:eastAsia="Arial" w:hAnsi="Arial"/>
                <w:sz w:val="18"/>
                <w:szCs w:val="18"/>
                <w:color w:val="auto"/>
              </w:rPr>
              <w:t xml:space="preserve">Diluted Adjusted Net Income Per Limited Partner Unit </w:t>
            </w:r>
            <w:r>
              <w:rPr>
                <w:rFonts w:ascii="Arial" w:cs="Arial" w:eastAsia="Arial" w:hAnsi="Arial"/>
                <w:sz w:val="23"/>
                <w:szCs w:val="23"/>
                <w:color w:val="auto"/>
                <w:vertAlign w:val="superscript"/>
              </w:rPr>
              <w:t>(c)</w:t>
            </w: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tcBorders>
              <w:left w:val="single" w:sz="8" w:color="auto"/>
            </w:tcBorders>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w:t>
            </w:r>
          </w:p>
        </w:tc>
        <w:tc>
          <w:tcPr>
            <w:tcW w:w="240" w:type="dxa"/>
            <w:vAlign w:val="bottom"/>
            <w:vMerge w:val="continue"/>
          </w:tcPr>
          <w:p>
            <w:pPr>
              <w:spacing w:after="0"/>
              <w:rPr>
                <w:sz w:val="17"/>
                <w:szCs w:val="17"/>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0.37</w:t>
            </w:r>
          </w:p>
        </w:tc>
        <w:tc>
          <w:tcPr>
            <w:tcW w:w="220" w:type="dxa"/>
            <w:vAlign w:val="bottom"/>
            <w:vMerge w:val="continue"/>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0.55</w:t>
            </w:r>
          </w:p>
        </w:tc>
        <w:tc>
          <w:tcPr>
            <w:tcW w:w="24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w:t>
            </w:r>
          </w:p>
        </w:tc>
        <w:tc>
          <w:tcPr>
            <w:tcW w:w="22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w:t>
            </w:r>
          </w:p>
        </w:tc>
        <w:tc>
          <w:tcPr>
            <w:tcW w:w="1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tcBorders>
              <w:lef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60" w:type="dxa"/>
            <w:vAlign w:val="bottom"/>
            <w:tcBorders>
              <w:left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7"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Amounts may not recalculate due to rounding.</w:t>
      </w:r>
    </w:p>
    <w:p>
      <w:pPr>
        <w:spacing w:after="0" w:line="63" w:lineRule="exact"/>
        <w:rPr>
          <w:rFonts w:ascii="Arial" w:cs="Arial" w:eastAsia="Arial" w:hAnsi="Arial"/>
          <w:sz w:val="18"/>
          <w:szCs w:val="18"/>
          <w:color w:val="auto"/>
        </w:rPr>
      </w:pPr>
    </w:p>
    <w:p>
      <w:pPr>
        <w:ind w:left="660" w:right="520" w:hanging="652"/>
        <w:spacing w:after="0" w:line="192" w:lineRule="auto"/>
        <w:tabs>
          <w:tab w:leader="none" w:pos="667"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The assumed average foreign exchange rate is $1.30 Canadian dollar (CAD) to $1.00 U.S. dollar (USD) for the three-month period ending December 31, 2015. The rate as of November 2, 2015 was $1.31 CAD to $1.00 USD. A $0.05 change in such average FX rate will impact the remaining three months of 2015 adjusted EBITDA by approximately $2 million.</w:t>
      </w:r>
    </w:p>
    <w:p>
      <w:pPr>
        <w:ind w:left="660" w:right="120" w:hanging="652"/>
        <w:spacing w:after="0" w:line="200" w:lineRule="auto"/>
        <w:tabs>
          <w:tab w:leader="none" w:pos="671"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Notes and Significant Assumptions:</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i w:val="1"/>
          <w:iCs w:val="1"/>
          <w:color w:val="auto"/>
        </w:rPr>
        <w:t>Definitions.</w:t>
      </w:r>
    </w:p>
    <w:p>
      <w:pPr>
        <w:sectPr>
          <w:pgSz w:w="11900" w:h="16900" w:orient="portrait"/>
          <w:cols w:equalWidth="0" w:num="1">
            <w:col w:w="11440"/>
          </w:cols>
          <w:pgMar w:left="240" w:top="140" w:right="21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Segment Profit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DCF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Bbls/d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Bcf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NGL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G&amp;A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General partner (GP)</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Earnings before interest, taxes and depreciation and amortization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(including equity earnings in unconsolidated entities, as applicable) less field operating costs and segment general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administrative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Distributable cash flow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Barrels per 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 cubic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Billion cubic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incentive plan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Natural gas liquids, including ethane and natural gasoline products as well as propane and butane, which are often referred to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liquefied petroleum gas (LPG). When used in this document NGL refers to all NGL products including LPG.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As the context requires, “general partner” or “GP” refers to any or all of (i) PAA GP LLC, the owner of our 2% general partner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(ii) Plains AAP, L.P., the sole member of PAA GP LLC and owner of our incentive distribution rights and (iii) Plains 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American GP LLC, the general partner of Plains AAP, L.P.</w:t>
      </w:r>
    </w:p>
    <w:p>
      <w:pPr>
        <w:spacing w:after="0" w:line="200" w:lineRule="exact"/>
        <w:rPr>
          <w:sz w:val="20"/>
          <w:szCs w:val="20"/>
          <w:color w:val="auto"/>
        </w:rPr>
      </w:pPr>
    </w:p>
    <w:p>
      <w:pPr>
        <w:sectPr>
          <w:pgSz w:w="11900" w:h="16900" w:orient="portrait"/>
          <w:cols w:equalWidth="0" w:num="2">
            <w:col w:w="1520" w:space="480"/>
            <w:col w:w="9440"/>
          </w:cols>
          <w:pgMar w:left="240" w:top="140" w:right="219" w:bottom="0" w:gutter="0" w:footer="0" w:header="0"/>
          <w:type w:val="continuous"/>
        </w:sectPr>
      </w:pPr>
    </w:p>
    <w:p>
      <w:pPr>
        <w:spacing w:after="0" w:line="11" w:lineRule="exact"/>
        <w:rPr>
          <w:sz w:val="20"/>
          <w:szCs w:val="20"/>
          <w:color w:val="auto"/>
        </w:rPr>
      </w:pPr>
    </w:p>
    <w:p>
      <w:pPr>
        <w:ind w:left="340" w:right="10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Operating Segments</w:t>
      </w:r>
      <w:r>
        <w:rPr>
          <w:rFonts w:ascii="Arial" w:cs="Arial" w:eastAsia="Arial" w:hAnsi="Arial"/>
          <w:sz w:val="18"/>
          <w:szCs w:val="18"/>
          <w:color w:val="auto"/>
        </w:rPr>
        <w:t>. We manage our operations through three operating segments: Transportation, Facilities and Supply and Logistics. The following is</w:t>
      </w:r>
      <w:r>
        <w:rPr>
          <w:rFonts w:ascii="Arial" w:cs="Arial" w:eastAsia="Arial" w:hAnsi="Arial"/>
          <w:sz w:val="18"/>
          <w:szCs w:val="18"/>
          <w:i w:val="1"/>
          <w:iCs w:val="1"/>
          <w:color w:val="auto"/>
        </w:rPr>
        <w:t xml:space="preserve"> </w:t>
      </w:r>
      <w:r>
        <w:rPr>
          <w:rFonts w:ascii="Arial" w:cs="Arial" w:eastAsia="Arial" w:hAnsi="Arial"/>
          <w:sz w:val="18"/>
          <w:szCs w:val="18"/>
          <w:color w:val="auto"/>
        </w:rPr>
        <w:t>a brief explanation of the operating activities for each segment as well as key metrics.</w:t>
      </w:r>
    </w:p>
    <w:p>
      <w:pPr>
        <w:spacing w:after="0" w:line="170" w:lineRule="exact"/>
        <w:rPr>
          <w:rFonts w:ascii="Arial" w:cs="Arial" w:eastAsia="Arial" w:hAnsi="Arial"/>
          <w:sz w:val="18"/>
          <w:szCs w:val="18"/>
          <w:color w:val="auto"/>
        </w:rPr>
      </w:pPr>
    </w:p>
    <w:p>
      <w:pPr>
        <w:ind w:left="980" w:right="40" w:hanging="324"/>
        <w:spacing w:after="0" w:line="276" w:lineRule="auto"/>
        <w:tabs>
          <w:tab w:leader="none" w:pos="970" w:val="left"/>
        </w:tabs>
        <w:numPr>
          <w:ilvl w:val="1"/>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Transportation. </w:t>
      </w:r>
      <w:r>
        <w:rPr>
          <w:rFonts w:ascii="Arial" w:cs="Arial" w:eastAsia="Arial" w:hAnsi="Arial"/>
          <w:sz w:val="17"/>
          <w:szCs w:val="17"/>
          <w:color w:val="auto"/>
        </w:rPr>
        <w:t>Our Transportation segment operations generally consist of fee-based activities associated with transporting crude oil and NGL</w:t>
      </w:r>
      <w:r>
        <w:rPr>
          <w:rFonts w:ascii="Arial" w:cs="Arial" w:eastAsia="Arial" w:hAnsi="Arial"/>
          <w:sz w:val="17"/>
          <w:szCs w:val="17"/>
          <w:i w:val="1"/>
          <w:iCs w:val="1"/>
          <w:color w:val="auto"/>
        </w:rPr>
        <w:t xml:space="preserve"> </w:t>
      </w:r>
      <w:r>
        <w:rPr>
          <w:rFonts w:ascii="Arial" w:cs="Arial" w:eastAsia="Arial" w:hAnsi="Arial"/>
          <w:sz w:val="17"/>
          <w:szCs w:val="17"/>
          <w:color w:val="auto"/>
        </w:rPr>
        <w:t>on pipelines, gathering systems, trucks and barges. The Transportation segment generates revenue through a combination of tariffs, third-party pipeline capacity agreements and other transportation fees. Our transportation segment also includes our equity earnings from investments in the Eagle Ford, White Cliffs, BridgeTex, Butte and Frontier pipeline systems as well as Settoon Towing, in which we own interests ranging from 22% to 50%. We account for these investments under the equity method of accounting.</w:t>
      </w:r>
    </w:p>
    <w:p>
      <w:pPr>
        <w:spacing w:after="0" w:line="172" w:lineRule="exact"/>
        <w:rPr>
          <w:rFonts w:ascii="Arial" w:cs="Arial" w:eastAsia="Arial" w:hAnsi="Arial"/>
          <w:sz w:val="17"/>
          <w:szCs w:val="17"/>
          <w:color w:val="auto"/>
        </w:rPr>
      </w:pPr>
    </w:p>
    <w:p>
      <w:pPr>
        <w:ind w:left="980" w:right="80"/>
        <w:spacing w:after="0" w:line="271" w:lineRule="auto"/>
        <w:rPr>
          <w:rFonts w:ascii="Arial" w:cs="Arial" w:eastAsia="Arial" w:hAnsi="Arial"/>
          <w:sz w:val="17"/>
          <w:szCs w:val="17"/>
          <w:color w:val="auto"/>
        </w:rPr>
      </w:pPr>
      <w:r>
        <w:rPr>
          <w:rFonts w:ascii="Arial" w:cs="Arial" w:eastAsia="Arial" w:hAnsi="Arial"/>
          <w:sz w:val="17"/>
          <w:szCs w:val="17"/>
          <w:color w:val="auto"/>
        </w:rPr>
        <w:t>Pipeline volume estimates are based on historical trends, anticipated future operating performance and assumed completion of capital projects. Actual volumes will be influenced by maintenance schedules at refineries, drilling and completion activity levels, production trends, weather and other natural occurrences including hurricanes, changes in the quantity of inventory held in tanks, variations due to market structure and other external factors beyond our control. We forecast adjusted segment profit using the volume assumptions in the table below, priced at forecasted tariff rates, less estimated field operating costs and G&amp;A expenses. Field operating costs do not include depreciation. Actual segment profit could vary materially depending on the level and mix of volumes transported or expenses incurred during the period. The following table summarizes our total transportation volumes and highlights major systems that are significant either in total volumes transported or in contribution to total Transportation segment profit.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080" w:type="dxa"/>
            <w:vAlign w:val="bottom"/>
            <w:tcBorders>
              <w:bottom w:val="single" w:sz="8" w:color="auto"/>
            </w:tcBorders>
          </w:tcPr>
          <w:p>
            <w:pPr>
              <w:jc w:val="center"/>
              <w:ind w:left="209"/>
              <w:spacing w:after="0"/>
              <w:rPr>
                <w:sz w:val="20"/>
                <w:szCs w:val="20"/>
                <w:color w:val="auto"/>
              </w:rPr>
            </w:pPr>
            <w:r>
              <w:rPr>
                <w:rFonts w:ascii="Arial" w:cs="Arial" w:eastAsia="Arial" w:hAnsi="Arial"/>
                <w:sz w:val="14"/>
                <w:szCs w:val="14"/>
                <w:b w:val="1"/>
                <w:bCs w:val="1"/>
                <w:color w:val="auto"/>
                <w:w w:val="93"/>
              </w:rPr>
              <w:t>Actual</w:t>
            </w:r>
          </w:p>
        </w:tc>
        <w:tc>
          <w:tcPr>
            <w:tcW w:w="2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w w:val="93"/>
              </w:rPr>
              <w:t>Guidance</w:t>
            </w:r>
          </w:p>
        </w:tc>
        <w:tc>
          <w:tcPr>
            <w:tcW w:w="11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r>
      <w:tr>
        <w:trPr>
          <w:trHeight w:val="119"/>
        </w:trPr>
        <w:tc>
          <w:tcPr>
            <w:tcW w:w="4840" w:type="dxa"/>
            <w:vAlign w:val="bottom"/>
          </w:tcPr>
          <w:p>
            <w:pPr>
              <w:spacing w:after="0"/>
              <w:rPr>
                <w:sz w:val="10"/>
                <w:szCs w:val="10"/>
                <w:color w:val="auto"/>
              </w:rPr>
            </w:pPr>
          </w:p>
        </w:tc>
        <w:tc>
          <w:tcPr>
            <w:tcW w:w="1080" w:type="dxa"/>
            <w:vAlign w:val="bottom"/>
          </w:tcPr>
          <w:p>
            <w:pPr>
              <w:jc w:val="center"/>
              <w:ind w:left="209"/>
              <w:spacing w:after="0" w:line="119" w:lineRule="exact"/>
              <w:rPr>
                <w:sz w:val="20"/>
                <w:szCs w:val="20"/>
                <w:color w:val="auto"/>
              </w:rPr>
            </w:pPr>
            <w:r>
              <w:rPr>
                <w:rFonts w:ascii="Arial" w:cs="Arial" w:eastAsia="Arial" w:hAnsi="Arial"/>
                <w:sz w:val="13"/>
                <w:szCs w:val="13"/>
                <w:b w:val="1"/>
                <w:bCs w:val="1"/>
                <w:color w:val="auto"/>
              </w:rPr>
              <w:t>Nine Months</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Three Months</w:t>
            </w:r>
          </w:p>
        </w:tc>
        <w:tc>
          <w:tcPr>
            <w:tcW w:w="1160" w:type="dxa"/>
            <w:vAlign w:val="bottom"/>
          </w:tcPr>
          <w:p>
            <w:pPr>
              <w:jc w:val="center"/>
              <w:ind w:right="95"/>
              <w:spacing w:after="0" w:line="119" w:lineRule="exact"/>
              <w:rPr>
                <w:sz w:val="20"/>
                <w:szCs w:val="20"/>
                <w:color w:val="auto"/>
              </w:rPr>
            </w:pPr>
            <w:r>
              <w:rPr>
                <w:rFonts w:ascii="Arial" w:cs="Arial" w:eastAsia="Arial" w:hAnsi="Arial"/>
                <w:sz w:val="13"/>
                <w:szCs w:val="13"/>
                <w:b w:val="1"/>
                <w:bCs w:val="1"/>
                <w:color w:val="auto"/>
              </w:rPr>
              <w:t>Twelve Months</w:t>
            </w:r>
          </w:p>
        </w:tc>
        <w:tc>
          <w:tcPr>
            <w:tcW w:w="340" w:type="dxa"/>
            <w:vAlign w:val="bottom"/>
          </w:tcPr>
          <w:p>
            <w:pPr>
              <w:spacing w:after="0"/>
              <w:rPr>
                <w:sz w:val="10"/>
                <w:szCs w:val="10"/>
                <w:color w:val="auto"/>
              </w:rPr>
            </w:pPr>
          </w:p>
        </w:tc>
      </w:tr>
      <w:tr>
        <w:trPr>
          <w:trHeight w:val="149"/>
        </w:trPr>
        <w:tc>
          <w:tcPr>
            <w:tcW w:w="4840" w:type="dxa"/>
            <w:vAlign w:val="bottom"/>
          </w:tcPr>
          <w:p>
            <w:pPr>
              <w:spacing w:after="0"/>
              <w:rPr>
                <w:sz w:val="12"/>
                <w:szCs w:val="12"/>
                <w:color w:val="auto"/>
              </w:rPr>
            </w:pPr>
          </w:p>
        </w:tc>
        <w:tc>
          <w:tcPr>
            <w:tcW w:w="1080" w:type="dxa"/>
            <w:vAlign w:val="bottom"/>
          </w:tcPr>
          <w:p>
            <w:pPr>
              <w:jc w:val="center"/>
              <w:ind w:left="209"/>
              <w:spacing w:after="0" w:line="149" w:lineRule="exact"/>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Ending</w:t>
            </w:r>
          </w:p>
        </w:tc>
        <w:tc>
          <w:tcPr>
            <w:tcW w:w="15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Ending</w:t>
            </w:r>
          </w:p>
        </w:tc>
      </w:tr>
      <w:tr>
        <w:trPr>
          <w:trHeight w:val="171"/>
        </w:trPr>
        <w:tc>
          <w:tcPr>
            <w:tcW w:w="4840" w:type="dxa"/>
            <w:vAlign w:val="bottom"/>
          </w:tcPr>
          <w:p>
            <w:pPr>
              <w:spacing w:after="0"/>
              <w:rPr>
                <w:sz w:val="14"/>
                <w:szCs w:val="14"/>
                <w:color w:val="auto"/>
              </w:rPr>
            </w:pPr>
          </w:p>
        </w:tc>
        <w:tc>
          <w:tcPr>
            <w:tcW w:w="1080" w:type="dxa"/>
            <w:vAlign w:val="bottom"/>
          </w:tcPr>
          <w:p>
            <w:pPr>
              <w:jc w:val="center"/>
              <w:ind w:left="209"/>
              <w:spacing w:after="0"/>
              <w:rPr>
                <w:sz w:val="20"/>
                <w:szCs w:val="20"/>
                <w:color w:val="auto"/>
              </w:rPr>
            </w:pPr>
            <w:r>
              <w:rPr>
                <w:rFonts w:ascii="Arial" w:cs="Arial" w:eastAsia="Arial" w:hAnsi="Arial"/>
                <w:sz w:val="14"/>
                <w:szCs w:val="14"/>
                <w:b w:val="1"/>
                <w:bCs w:val="1"/>
                <w:color w:val="auto"/>
                <w:w w:val="90"/>
              </w:rPr>
              <w:t>Sep 30, 2015</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Dec 31, 2015</w:t>
            </w: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Dec 31, 2015</w:t>
            </w:r>
          </w:p>
        </w:tc>
      </w:tr>
      <w:tr>
        <w:trPr>
          <w:trHeight w:val="196"/>
        </w:trPr>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Daily Volumes (MBbls/d)</w:t>
            </w: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r>
      <w:tr>
        <w:trPr>
          <w:trHeight w:val="216"/>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Crude Oil Pipelines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All American</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18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r>
      <w:tr>
        <w:trPr>
          <w:trHeight w:val="216"/>
        </w:trPr>
        <w:tc>
          <w:tcPr>
            <w:tcW w:w="5920" w:type="dxa"/>
            <w:vAlign w:val="bottom"/>
            <w:gridSpan w:val="2"/>
          </w:tcPr>
          <w:p>
            <w:pPr>
              <w:ind w:left="360"/>
              <w:spacing w:after="0" w:line="216" w:lineRule="exact"/>
              <w:rPr>
                <w:sz w:val="20"/>
                <w:szCs w:val="20"/>
                <w:color w:val="auto"/>
              </w:rPr>
            </w:pPr>
            <w:r>
              <w:rPr>
                <w:rFonts w:ascii="Arial" w:cs="Arial" w:eastAsia="Arial" w:hAnsi="Arial"/>
                <w:sz w:val="18"/>
                <w:szCs w:val="18"/>
                <w:color w:val="auto"/>
              </w:rPr>
              <w:t xml:space="preserve">Bakken Area Systems </w:t>
            </w:r>
            <w:r>
              <w:rPr>
                <w:rFonts w:ascii="Arial" w:cs="Arial" w:eastAsia="Arial" w:hAnsi="Arial"/>
                <w:sz w:val="23"/>
                <w:szCs w:val="23"/>
                <w:color w:val="auto"/>
                <w:vertAlign w:val="superscript"/>
              </w:rPr>
              <w:t>(1)</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146</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144</w:t>
            </w:r>
          </w:p>
        </w:tc>
      </w:tr>
      <w:tr>
        <w:trPr>
          <w:trHeight w:val="216"/>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Basin / Mesa / Sunrise</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831</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840</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833</w:t>
            </w:r>
          </w:p>
        </w:tc>
      </w:tr>
      <w:tr>
        <w:trPr>
          <w:trHeight w:val="216"/>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BridgeTex</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105</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105</w:t>
            </w:r>
          </w:p>
        </w:tc>
      </w:tr>
      <w:tr>
        <w:trPr>
          <w:trHeight w:val="216"/>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Cactus</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40" w:type="dxa"/>
            <w:vAlign w:val="bottom"/>
            <w:shd w:val="clear" w:color="auto" w:fill="CCEEFF"/>
          </w:tcPr>
          <w:p>
            <w:pPr>
              <w:spacing w:after="0"/>
              <w:rPr>
                <w:sz w:val="18"/>
                <w:szCs w:val="18"/>
                <w:color w:val="auto"/>
              </w:rPr>
            </w:pPr>
          </w:p>
        </w:tc>
      </w:tr>
      <w:tr>
        <w:trPr>
          <w:trHeight w:val="216"/>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Capline</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167</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164</w:t>
            </w:r>
          </w:p>
        </w:tc>
      </w:tr>
      <w:tr>
        <w:trPr>
          <w:trHeight w:val="216"/>
        </w:trPr>
        <w:tc>
          <w:tcPr>
            <w:tcW w:w="592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Eagle Ford Area Systems </w:t>
            </w:r>
            <w:r>
              <w:rPr>
                <w:rFonts w:ascii="Arial" w:cs="Arial" w:eastAsia="Arial" w:hAnsi="Arial"/>
                <w:sz w:val="23"/>
                <w:szCs w:val="23"/>
                <w:color w:val="auto"/>
                <w:vertAlign w:val="superscript"/>
              </w:rPr>
              <w:t>(1)</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298</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307</w:t>
            </w:r>
          </w:p>
        </w:tc>
      </w:tr>
      <w:tr>
        <w:trPr>
          <w:trHeight w:val="239"/>
        </w:trPr>
        <w:tc>
          <w:tcPr>
            <w:tcW w:w="59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Line 63 / 2000</w:t>
            </w:r>
          </w:p>
        </w:tc>
        <w:tc>
          <w:tcPr>
            <w:tcW w:w="580" w:type="dxa"/>
            <w:vAlign w:val="bottom"/>
            <w:tcBorders>
              <w:bottom w:val="single" w:sz="8" w:color="CCEEFF"/>
            </w:tcBorders>
            <w:gridSpan w:val="2"/>
          </w:tcPr>
          <w:p>
            <w:pPr>
              <w:jc w:val="right"/>
              <w:ind w:right="300"/>
              <w:spacing w:after="0"/>
              <w:rPr>
                <w:sz w:val="20"/>
                <w:szCs w:val="20"/>
                <w:color w:val="auto"/>
              </w:rPr>
            </w:pPr>
            <w:r>
              <w:rPr>
                <w:rFonts w:ascii="Arial" w:cs="Arial" w:eastAsia="Arial" w:hAnsi="Arial"/>
                <w:sz w:val="18"/>
                <w:szCs w:val="18"/>
                <w:color w:val="auto"/>
                <w:w w:val="86"/>
              </w:rPr>
              <w:t>121</w:t>
            </w:r>
          </w:p>
        </w:tc>
        <w:tc>
          <w:tcPr>
            <w:tcW w:w="162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115</w:t>
            </w:r>
          </w:p>
        </w:tc>
        <w:tc>
          <w:tcPr>
            <w:tcW w:w="18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gridSpan w:val="2"/>
          </w:tcPr>
          <w:p>
            <w:pPr>
              <w:jc w:val="right"/>
              <w:ind w:right="340"/>
              <w:spacing w:after="0"/>
              <w:rPr>
                <w:sz w:val="20"/>
                <w:szCs w:val="20"/>
                <w:color w:val="auto"/>
              </w:rPr>
            </w:pPr>
            <w:r>
              <w:rPr>
                <w:rFonts w:ascii="Arial" w:cs="Arial" w:eastAsia="Arial" w:hAnsi="Arial"/>
                <w:sz w:val="18"/>
                <w:szCs w:val="18"/>
                <w:color w:val="auto"/>
              </w:rPr>
              <w:t>119</w:t>
            </w:r>
          </w:p>
        </w:tc>
      </w:tr>
    </w:tbl>
    <w:p>
      <w:pPr>
        <w:sectPr>
          <w:pgSz w:w="11900" w:h="16900" w:orient="portrait"/>
          <w:cols w:equalWidth="0" w:num="1">
            <w:col w:w="11440"/>
          </w:cols>
          <w:pgMar w:left="240" w:top="140" w:right="219" w:bottom="0" w:gutter="0" w:footer="0" w:header="0"/>
          <w:type w:val="continuous"/>
        </w:sectPr>
      </w:pPr>
    </w:p>
    <w:bookmarkStart w:id="3" w:name="page4"/>
    <w:bookmarkEnd w:id="3"/>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Manito</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Mid-Continent Area Systems</w:t>
            </w:r>
          </w:p>
        </w:tc>
        <w:tc>
          <w:tcPr>
            <w:tcW w:w="5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356</w:t>
            </w:r>
          </w:p>
        </w:tc>
        <w:tc>
          <w:tcPr>
            <w:tcW w:w="5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305</w:t>
            </w:r>
          </w:p>
        </w:tc>
        <w:tc>
          <w:tcPr>
            <w:tcW w:w="5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Permian Basin Area Systems</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817</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995</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Rainbow</w:t>
            </w:r>
          </w:p>
        </w:tc>
        <w:tc>
          <w:tcPr>
            <w:tcW w:w="5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114</w:t>
            </w:r>
          </w:p>
        </w:tc>
        <w:tc>
          <w:tcPr>
            <w:tcW w:w="5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5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Rangeland</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360"/>
              <w:spacing w:after="0" w:line="216" w:lineRule="exact"/>
              <w:rPr>
                <w:sz w:val="20"/>
                <w:szCs w:val="20"/>
                <w:color w:val="auto"/>
              </w:rPr>
            </w:pPr>
            <w:r>
              <w:rPr>
                <w:rFonts w:ascii="Arial" w:cs="Arial" w:eastAsia="Arial" w:hAnsi="Arial"/>
                <w:sz w:val="18"/>
                <w:szCs w:val="18"/>
                <w:color w:val="auto"/>
              </w:rPr>
              <w:t xml:space="preserve">Salt Lake City Area Systems </w:t>
            </w:r>
            <w:r>
              <w:rPr>
                <w:rFonts w:ascii="Arial" w:cs="Arial" w:eastAsia="Arial" w:hAnsi="Arial"/>
                <w:sz w:val="23"/>
                <w:szCs w:val="23"/>
                <w:color w:val="auto"/>
                <w:vertAlign w:val="superscript"/>
              </w:rPr>
              <w:t>(1)</w:t>
            </w:r>
          </w:p>
        </w:tc>
        <w:tc>
          <w:tcPr>
            <w:tcW w:w="5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136</w:t>
            </w:r>
          </w:p>
        </w:tc>
        <w:tc>
          <w:tcPr>
            <w:tcW w:w="5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165</w:t>
            </w:r>
          </w:p>
        </w:tc>
        <w:tc>
          <w:tcPr>
            <w:tcW w:w="5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South Saskatchewan</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White Cliffs</w:t>
            </w:r>
          </w:p>
        </w:tc>
        <w:tc>
          <w:tcPr>
            <w:tcW w:w="5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752</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780</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NGL Pipelines</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Co-Ed</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139</w:t>
            </w:r>
          </w:p>
        </w:tc>
        <w:tc>
          <w:tcPr>
            <w:tcW w:w="5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175</w:t>
            </w:r>
          </w:p>
        </w:tc>
        <w:tc>
          <w:tcPr>
            <w:tcW w:w="5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Tariff Activities Total</w:t>
            </w: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Trucking</w:t>
            </w:r>
          </w:p>
        </w:tc>
        <w:tc>
          <w:tcPr>
            <w:tcW w:w="5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114</w:t>
            </w:r>
          </w:p>
        </w:tc>
        <w:tc>
          <w:tcPr>
            <w:tcW w:w="5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5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Segment Total</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Segment Profit per Barrel ($/Bbl)</w:t>
            </w: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Excluding Selected Items Impacting Comparability</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0.62</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0.63</w:t>
            </w:r>
            <w:r>
              <w:rPr>
                <w:rFonts w:ascii="Arial" w:cs="Arial" w:eastAsia="Arial" w:hAnsi="Arial"/>
                <w:sz w:val="11"/>
                <w:szCs w:val="11"/>
                <w:color w:val="auto"/>
              </w:rPr>
              <w:t>(2)</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0.63</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1300" w:hanging="320"/>
        <w:spacing w:after="0"/>
        <w:tabs>
          <w:tab w:leader="none" w:pos="1300" w:val="left"/>
        </w:tabs>
        <w:numPr>
          <w:ilvl w:val="1"/>
          <w:numId w:val="4"/>
        </w:numPr>
        <w:rPr>
          <w:rFonts w:ascii="Arial" w:cs="Arial" w:eastAsia="Arial" w:hAnsi="Arial"/>
          <w:sz w:val="23"/>
          <w:szCs w:val="23"/>
          <w:color w:val="auto"/>
          <w:vertAlign w:val="superscript"/>
        </w:rPr>
      </w:pPr>
      <w:r>
        <w:rPr>
          <w:rFonts w:ascii="Arial" w:cs="Arial" w:eastAsia="Arial" w:hAnsi="Arial"/>
          <w:sz w:val="18"/>
          <w:szCs w:val="18"/>
          <w:color w:val="auto"/>
        </w:rPr>
        <w:t>Area systems include volumes (attributable to our interest) from our investments in unconsolidated entities.</w:t>
      </w:r>
    </w:p>
    <w:p>
      <w:pPr>
        <w:spacing w:after="0" w:line="1" w:lineRule="exact"/>
        <w:rPr>
          <w:rFonts w:ascii="Arial" w:cs="Arial" w:eastAsia="Arial" w:hAnsi="Arial"/>
          <w:sz w:val="23"/>
          <w:szCs w:val="23"/>
          <w:color w:val="auto"/>
          <w:vertAlign w:val="superscript"/>
        </w:rPr>
      </w:pPr>
    </w:p>
    <w:p>
      <w:pPr>
        <w:ind w:left="1300" w:hanging="320"/>
        <w:spacing w:after="0" w:line="194" w:lineRule="auto"/>
        <w:tabs>
          <w:tab w:leader="none" w:pos="1300" w:val="left"/>
        </w:tabs>
        <w:numPr>
          <w:ilvl w:val="1"/>
          <w:numId w:val="4"/>
        </w:numPr>
        <w:rPr>
          <w:rFonts w:ascii="Arial" w:cs="Arial" w:eastAsia="Arial" w:hAnsi="Arial"/>
          <w:sz w:val="23"/>
          <w:szCs w:val="23"/>
          <w:color w:val="auto"/>
          <w:vertAlign w:val="superscript"/>
        </w:rPr>
      </w:pPr>
      <w:r>
        <w:rPr>
          <w:rFonts w:ascii="Arial" w:cs="Arial" w:eastAsia="Arial" w:hAnsi="Arial"/>
          <w:sz w:val="18"/>
          <w:szCs w:val="18"/>
          <w:color w:val="auto"/>
        </w:rPr>
        <w:t>Represents the mid-point of guidance.</w:t>
      </w:r>
    </w:p>
    <w:p>
      <w:pPr>
        <w:spacing w:after="0" w:line="202" w:lineRule="exact"/>
        <w:rPr>
          <w:rFonts w:ascii="Arial" w:cs="Arial" w:eastAsia="Arial" w:hAnsi="Arial"/>
          <w:sz w:val="23"/>
          <w:szCs w:val="23"/>
          <w:color w:val="auto"/>
          <w:vertAlign w:val="superscript"/>
        </w:rPr>
      </w:pPr>
    </w:p>
    <w:p>
      <w:pPr>
        <w:ind w:left="980" w:right="24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Facilities</w:t>
      </w:r>
      <w:r>
        <w:rPr>
          <w:rFonts w:ascii="Arial" w:cs="Arial" w:eastAsia="Arial" w:hAnsi="Arial"/>
          <w:sz w:val="18"/>
          <w:szCs w:val="18"/>
          <w:color w:val="auto"/>
        </w:rPr>
        <w:t>. Our Facilities segment operations generally consist of fee-based activities associated with providing storage, terminalling and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86" w:lineRule="exact"/>
        <w:rPr>
          <w:rFonts w:ascii="Arial" w:cs="Arial" w:eastAsia="Arial" w:hAnsi="Arial"/>
          <w:sz w:val="18"/>
          <w:szCs w:val="18"/>
          <w:color w:val="auto"/>
        </w:rPr>
      </w:pPr>
    </w:p>
    <w:p>
      <w:pPr>
        <w:ind w:left="980" w:right="20"/>
        <w:spacing w:after="0" w:line="293" w:lineRule="auto"/>
        <w:rPr>
          <w:rFonts w:ascii="Arial" w:cs="Arial" w:eastAsia="Arial" w:hAnsi="Arial"/>
          <w:sz w:val="18"/>
          <w:szCs w:val="18"/>
          <w:color w:val="auto"/>
        </w:rPr>
      </w:pPr>
      <w:r>
        <w:rPr>
          <w:rFonts w:ascii="Arial" w:cs="Arial" w:eastAsia="Arial" w:hAnsi="Arial"/>
          <w:sz w:val="16"/>
          <w:szCs w:val="16"/>
          <w:color w:val="auto"/>
        </w:rPr>
        <w:t>Revenues generated in this segment primarily include (i) fees that are generated from storage capacity agreements, (ii) terminal throughput fees that are generated when we receive crude oil, refined products or NGL from one connecting source and deliver the applicable product to another connecting carrier, (iii) loading and unloading fees at our rail terminals, (iv) fees from NGL fractionation and isomerization, (v) fees from natural gas and condensate processing services and (vi) fees associated with natural gas park and loan activities, interruptible storage services and wheeling and balancing services. Adjusted segment profit is forecasted using the volume assumptions in the table below, priced at forecasted rates, less estimated field operating costs and G&amp;A expenses. Field operating costs do not include depreciation.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Actual</w:t>
            </w:r>
          </w:p>
        </w:tc>
        <w:tc>
          <w:tcPr>
            <w:tcW w:w="16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Guidance</w:t>
            </w: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18"/>
              <w:spacing w:after="0" w:line="119" w:lineRule="exact"/>
              <w:rPr>
                <w:sz w:val="20"/>
                <w:szCs w:val="20"/>
                <w:color w:val="auto"/>
              </w:rPr>
            </w:pPr>
            <w:r>
              <w:rPr>
                <w:rFonts w:ascii="Arial" w:cs="Arial" w:eastAsia="Arial" w:hAnsi="Arial"/>
                <w:sz w:val="13"/>
                <w:szCs w:val="13"/>
                <w:b w:val="1"/>
                <w:bCs w:val="1"/>
                <w:color w:val="auto"/>
              </w:rPr>
              <w:t>Nine Months</w:t>
            </w: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Three Months</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97"/>
              <w:spacing w:after="0" w:line="119" w:lineRule="exact"/>
              <w:rPr>
                <w:sz w:val="20"/>
                <w:szCs w:val="20"/>
                <w:color w:val="auto"/>
              </w:rPr>
            </w:pPr>
            <w:r>
              <w:rPr>
                <w:rFonts w:ascii="Arial" w:cs="Arial" w:eastAsia="Arial" w:hAnsi="Arial"/>
                <w:sz w:val="13"/>
                <w:szCs w:val="13"/>
                <w:b w:val="1"/>
                <w:bCs w:val="1"/>
                <w:color w:val="auto"/>
              </w:rPr>
              <w:t>Twelve Months</w:t>
            </w:r>
          </w:p>
        </w:tc>
        <w:tc>
          <w:tcPr>
            <w:tcW w:w="3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Ending</w:t>
            </w:r>
          </w:p>
        </w:tc>
        <w:tc>
          <w:tcPr>
            <w:tcW w:w="200" w:type="dxa"/>
            <w:vAlign w:val="bottom"/>
          </w:tcPr>
          <w:p>
            <w:pPr>
              <w:spacing w:after="0"/>
              <w:rPr>
                <w:sz w:val="12"/>
                <w:szCs w:val="12"/>
                <w:color w:val="auto"/>
              </w:rPr>
            </w:pPr>
          </w:p>
        </w:tc>
        <w:tc>
          <w:tcPr>
            <w:tcW w:w="14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Sep 30, 2015</w:t>
            </w:r>
          </w:p>
        </w:tc>
        <w:tc>
          <w:tcPr>
            <w:tcW w:w="16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Dec 31, 2015</w:t>
            </w:r>
          </w:p>
        </w:tc>
        <w:tc>
          <w:tcPr>
            <w:tcW w:w="200" w:type="dxa"/>
            <w:vAlign w:val="bottom"/>
          </w:tcPr>
          <w:p>
            <w:pPr>
              <w:spacing w:after="0"/>
              <w:rPr>
                <w:sz w:val="14"/>
                <w:szCs w:val="14"/>
                <w:color w:val="auto"/>
              </w:rPr>
            </w:pPr>
          </w:p>
        </w:tc>
        <w:tc>
          <w:tcPr>
            <w:tcW w:w="14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Dec 31, 2015</w:t>
            </w: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Data</w:t>
            </w: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00" w:type="dxa"/>
            <w:vAlign w:val="bottom"/>
          </w:tcPr>
          <w:p>
            <w:pPr>
              <w:ind w:left="360"/>
              <w:spacing w:after="0" w:line="201" w:lineRule="exact"/>
              <w:rPr>
                <w:sz w:val="20"/>
                <w:szCs w:val="20"/>
                <w:color w:val="auto"/>
              </w:rPr>
            </w:pPr>
            <w:r>
              <w:rPr>
                <w:rFonts w:ascii="Arial" w:cs="Arial" w:eastAsia="Arial" w:hAnsi="Arial"/>
                <w:sz w:val="18"/>
                <w:szCs w:val="18"/>
                <w:color w:val="auto"/>
                <w:w w:val="96"/>
              </w:rPr>
              <w:t>Crude Oil, Refined Products and NGL Terminalling and Storage</w:t>
            </w:r>
          </w:p>
        </w:tc>
        <w:tc>
          <w:tcPr>
            <w:tcW w:w="200" w:type="dxa"/>
            <w:vAlign w:val="bottom"/>
          </w:tcPr>
          <w:p>
            <w:pPr>
              <w:spacing w:after="0"/>
              <w:rPr>
                <w:sz w:val="17"/>
                <w:szCs w:val="17"/>
                <w:color w:val="auto"/>
              </w:rPr>
            </w:pPr>
          </w:p>
        </w:tc>
        <w:tc>
          <w:tcPr>
            <w:tcW w:w="14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7"/>
                <w:szCs w:val="17"/>
                <w:color w:val="auto"/>
              </w:rPr>
            </w:pPr>
          </w:p>
        </w:tc>
        <w:tc>
          <w:tcPr>
            <w:tcW w:w="14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7"/>
                <w:szCs w:val="17"/>
                <w:color w:val="auto"/>
              </w:rPr>
            </w:pPr>
          </w:p>
        </w:tc>
        <w:tc>
          <w:tcPr>
            <w:tcW w:w="1180" w:type="dxa"/>
            <w:vAlign w:val="bottom"/>
            <w:gridSpan w:val="2"/>
            <w:vMerge w:val="restart"/>
          </w:tcPr>
          <w:p>
            <w:pPr>
              <w:ind w:left="900"/>
              <w:spacing w:after="0"/>
              <w:rPr>
                <w:sz w:val="20"/>
                <w:szCs w:val="20"/>
                <w:color w:val="auto"/>
              </w:rPr>
            </w:pPr>
            <w:r>
              <w:rPr>
                <w:rFonts w:ascii="Arial" w:cs="Arial" w:eastAsia="Arial" w:hAnsi="Arial"/>
                <w:sz w:val="18"/>
                <w:szCs w:val="18"/>
                <w:color w:val="auto"/>
                <w:w w:val="86"/>
              </w:rPr>
              <w:t>100</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300" w:type="dxa"/>
            <w:vAlign w:val="bottom"/>
          </w:tcPr>
          <w:p>
            <w:pPr>
              <w:ind w:left="540"/>
              <w:spacing w:after="0"/>
              <w:rPr>
                <w:sz w:val="20"/>
                <w:szCs w:val="20"/>
                <w:color w:val="auto"/>
              </w:rPr>
            </w:pPr>
            <w:r>
              <w:rPr>
                <w:rFonts w:ascii="Arial" w:cs="Arial" w:eastAsia="Arial" w:hAnsi="Arial"/>
                <w:sz w:val="18"/>
                <w:szCs w:val="18"/>
                <w:color w:val="auto"/>
              </w:rPr>
              <w:t>Capacity (MMBbls/Mo.)</w:t>
            </w:r>
          </w:p>
        </w:tc>
        <w:tc>
          <w:tcPr>
            <w:tcW w:w="200" w:type="dxa"/>
            <w:vAlign w:val="bottom"/>
          </w:tcPr>
          <w:p>
            <w:pPr>
              <w:spacing w:after="0"/>
              <w:rPr>
                <w:sz w:val="22"/>
                <w:szCs w:val="22"/>
                <w:color w:val="auto"/>
              </w:rPr>
            </w:pPr>
          </w:p>
        </w:tc>
        <w:tc>
          <w:tcPr>
            <w:tcW w:w="144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300" w:type="dxa"/>
            <w:vAlign w:val="bottom"/>
            <w:tcBorders>
              <w:top w:val="single" w:sz="8" w:color="CCEEFF"/>
              <w:bottom w:val="single" w:sz="8" w:color="CCEEFF"/>
            </w:tcBorders>
            <w:shd w:val="clear" w:color="auto" w:fill="CCEEFF"/>
          </w:tcPr>
          <w:p>
            <w:pPr>
              <w:ind w:left="360"/>
              <w:spacing w:after="0" w:line="190" w:lineRule="exact"/>
              <w:rPr>
                <w:sz w:val="20"/>
                <w:szCs w:val="20"/>
                <w:color w:val="auto"/>
              </w:rPr>
            </w:pPr>
            <w:r>
              <w:rPr>
                <w:rFonts w:ascii="Arial" w:cs="Arial" w:eastAsia="Arial" w:hAnsi="Arial"/>
                <w:sz w:val="18"/>
                <w:szCs w:val="18"/>
                <w:color w:val="auto"/>
              </w:rPr>
              <w:t>Rail Load / Unload Volumes (MBbls/d)</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ind w:left="900"/>
              <w:spacing w:after="0" w:line="196" w:lineRule="exact"/>
              <w:rPr>
                <w:sz w:val="20"/>
                <w:szCs w:val="20"/>
                <w:color w:val="auto"/>
              </w:rPr>
            </w:pPr>
            <w:r>
              <w:rPr>
                <w:rFonts w:ascii="Arial" w:cs="Arial" w:eastAsia="Arial" w:hAnsi="Arial"/>
                <w:sz w:val="18"/>
                <w:szCs w:val="18"/>
                <w:color w:val="auto"/>
                <w:w w:val="79"/>
              </w:rPr>
              <w:t>214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ind w:left="360"/>
              <w:spacing w:after="0"/>
              <w:rPr>
                <w:sz w:val="20"/>
                <w:szCs w:val="20"/>
                <w:color w:val="auto"/>
              </w:rPr>
            </w:pPr>
            <w:r>
              <w:rPr>
                <w:rFonts w:ascii="Arial" w:cs="Arial" w:eastAsia="Arial" w:hAnsi="Arial"/>
                <w:sz w:val="18"/>
                <w:szCs w:val="18"/>
                <w:color w:val="auto"/>
              </w:rPr>
              <w:t>Natural Gas Storage Capacity (Bcf/Mo.)</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1000"/>
              <w:spacing w:after="0"/>
              <w:rPr>
                <w:sz w:val="20"/>
                <w:szCs w:val="20"/>
                <w:color w:val="auto"/>
              </w:rPr>
            </w:pPr>
            <w:r>
              <w:rPr>
                <w:rFonts w:ascii="Arial" w:cs="Arial" w:eastAsia="Arial" w:hAnsi="Arial"/>
                <w:sz w:val="17"/>
                <w:szCs w:val="17"/>
                <w:color w:val="auto"/>
                <w:w w:val="73"/>
              </w:rPr>
              <w:t>97</w:t>
            </w:r>
          </w:p>
        </w:tc>
        <w:tc>
          <w:tcPr>
            <w:tcW w:w="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300" w:type="dxa"/>
            <w:vAlign w:val="bottom"/>
            <w:tcBorders>
              <w:bottom w:val="single" w:sz="8" w:color="CCEEFF"/>
            </w:tcBorders>
            <w:shd w:val="clear" w:color="auto" w:fill="CCEEFF"/>
          </w:tcPr>
          <w:p>
            <w:pPr>
              <w:ind w:left="360"/>
              <w:spacing w:after="0" w:line="190" w:lineRule="exact"/>
              <w:rPr>
                <w:sz w:val="20"/>
                <w:szCs w:val="20"/>
                <w:color w:val="auto"/>
              </w:rPr>
            </w:pPr>
            <w:r>
              <w:rPr>
                <w:rFonts w:ascii="Arial" w:cs="Arial" w:eastAsia="Arial" w:hAnsi="Arial"/>
                <w:sz w:val="18"/>
                <w:szCs w:val="18"/>
                <w:color w:val="auto"/>
              </w:rPr>
              <w:t>NGL Fractionation Volumes (MBbls/d)</w:t>
            </w: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w:t>
            </w: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w:t>
            </w:r>
          </w:p>
        </w:tc>
        <w:tc>
          <w:tcPr>
            <w:tcW w:w="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ind w:left="900"/>
              <w:spacing w:after="0" w:line="196" w:lineRule="exact"/>
              <w:rPr>
                <w:sz w:val="20"/>
                <w:szCs w:val="20"/>
                <w:color w:val="auto"/>
              </w:rPr>
            </w:pPr>
            <w:r>
              <w:rPr>
                <w:rFonts w:ascii="Arial" w:cs="Arial" w:eastAsia="Arial" w:hAnsi="Arial"/>
                <w:sz w:val="18"/>
                <w:szCs w:val="18"/>
                <w:color w:val="auto"/>
                <w:w w:val="79"/>
              </w:rPr>
              <w:t>105</w:t>
            </w: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ind w:left="360"/>
              <w:spacing w:after="0"/>
              <w:rPr>
                <w:sz w:val="20"/>
                <w:szCs w:val="20"/>
                <w:color w:val="auto"/>
              </w:rPr>
            </w:pPr>
            <w:r>
              <w:rPr>
                <w:rFonts w:ascii="Arial" w:cs="Arial" w:eastAsia="Arial" w:hAnsi="Arial"/>
                <w:sz w:val="18"/>
                <w:szCs w:val="18"/>
                <w:color w:val="auto"/>
              </w:rPr>
              <w:t>Facilities Segment Total</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3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Avg. Capacity (MMBbls/Mo.)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86"/>
              </w:rPr>
              <w:t>126</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Profit per Barrel ($/Bbl)</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Excluding Selected Items Impacting Comparability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0.39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0.36</w:t>
            </w:r>
            <w:r>
              <w:rPr>
                <w:rFonts w:ascii="Arial" w:cs="Arial" w:eastAsia="Arial" w:hAnsi="Arial"/>
                <w:sz w:val="11"/>
                <w:szCs w:val="11"/>
                <w:color w:val="auto"/>
              </w:rPr>
              <w:t>(2)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3"/>
          </w:tcPr>
          <w:p>
            <w:pPr>
              <w:ind w:left="860"/>
              <w:spacing w:after="0"/>
              <w:rPr>
                <w:sz w:val="20"/>
                <w:szCs w:val="20"/>
                <w:color w:val="auto"/>
              </w:rPr>
            </w:pPr>
            <w:r>
              <w:rPr>
                <w:rFonts w:ascii="Arial" w:cs="Arial" w:eastAsia="Arial" w:hAnsi="Arial"/>
                <w:sz w:val="18"/>
                <w:szCs w:val="18"/>
                <w:color w:val="auto"/>
              </w:rPr>
              <w:t>0.38</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00" w:hanging="320"/>
        <w:spacing w:after="0"/>
        <w:tabs>
          <w:tab w:leader="none" w:pos="1287" w:val="left"/>
        </w:tabs>
        <w:numPr>
          <w:ilvl w:val="2"/>
          <w:numId w:val="6"/>
        </w:numPr>
        <w:rPr>
          <w:rFonts w:ascii="Arial" w:cs="Arial" w:eastAsia="Arial" w:hAnsi="Arial"/>
          <w:sz w:val="23"/>
          <w:szCs w:val="23"/>
          <w:color w:val="auto"/>
          <w:vertAlign w:val="superscript"/>
        </w:rPr>
      </w:pPr>
      <w:r>
        <w:rPr>
          <w:rFonts w:ascii="Arial" w:cs="Arial" w:eastAsia="Arial" w:hAnsi="Arial"/>
          <w:sz w:val="18"/>
          <w:szCs w:val="18"/>
          <w:color w:val="auto"/>
        </w:rPr>
        <w:t>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2" w:lineRule="exact"/>
        <w:rPr>
          <w:rFonts w:ascii="Arial" w:cs="Arial" w:eastAsia="Arial" w:hAnsi="Arial"/>
          <w:sz w:val="23"/>
          <w:szCs w:val="23"/>
          <w:color w:val="auto"/>
          <w:vertAlign w:val="superscript"/>
        </w:rPr>
      </w:pPr>
    </w:p>
    <w:p>
      <w:pPr>
        <w:ind w:left="1300" w:hanging="320"/>
        <w:spacing w:after="0" w:line="196" w:lineRule="auto"/>
        <w:tabs>
          <w:tab w:leader="none" w:pos="1300" w:val="left"/>
        </w:tabs>
        <w:numPr>
          <w:ilvl w:val="2"/>
          <w:numId w:val="6"/>
        </w:numPr>
        <w:rPr>
          <w:rFonts w:ascii="Arial" w:cs="Arial" w:eastAsia="Arial" w:hAnsi="Arial"/>
          <w:sz w:val="23"/>
          <w:szCs w:val="23"/>
          <w:color w:val="auto"/>
          <w:vertAlign w:val="superscript"/>
        </w:rPr>
      </w:pPr>
      <w:r>
        <w:rPr>
          <w:rFonts w:ascii="Arial" w:cs="Arial" w:eastAsia="Arial" w:hAnsi="Arial"/>
          <w:sz w:val="18"/>
          <w:szCs w:val="18"/>
          <w:color w:val="auto"/>
        </w:rPr>
        <w:t>Represents the mid-point of guidance.</w:t>
      </w:r>
    </w:p>
    <w:p>
      <w:pPr>
        <w:spacing w:after="0" w:line="201"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18"/>
          <w:szCs w:val="18"/>
          <w:color w:val="auto"/>
        </w:rPr>
        <w:t>c.</w:t>
      </w:r>
      <w:r>
        <w:rPr>
          <w:rFonts w:ascii="Arial" w:cs="Arial" w:eastAsia="Arial" w:hAnsi="Arial"/>
          <w:sz w:val="16"/>
          <w:szCs w:val="16"/>
          <w:i w:val="1"/>
          <w:iCs w:val="1"/>
          <w:color w:val="auto"/>
        </w:rPr>
        <w:t>Supply and Logistics</w:t>
      </w:r>
      <w:r>
        <w:rPr>
          <w:rFonts w:ascii="Arial" w:cs="Arial" w:eastAsia="Arial" w:hAnsi="Arial"/>
          <w:sz w:val="16"/>
          <w:szCs w:val="16"/>
          <w:color w:val="auto"/>
        </w:rPr>
        <w:t>. Our Supply and Logistics segment operations generally consist of the following merchant-related activities:</w:t>
      </w:r>
    </w:p>
    <w:p>
      <w:pPr>
        <w:spacing w:after="0" w:line="225" w:lineRule="exact"/>
        <w:rPr>
          <w:rFonts w:ascii="Arial" w:cs="Arial" w:eastAsia="Arial" w:hAnsi="Arial"/>
          <w:sz w:val="23"/>
          <w:szCs w:val="23"/>
          <w:color w:val="auto"/>
          <w:vertAlign w:val="superscript"/>
        </w:rPr>
      </w:pPr>
    </w:p>
    <w:p>
      <w:pPr>
        <w:ind w:left="1220" w:right="360" w:hanging="321"/>
        <w:spacing w:after="0" w:line="277" w:lineRule="auto"/>
        <w:tabs>
          <w:tab w:leader="none" w:pos="1184"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purchase of U.S. and Canadian crude oil at the wellhead, the bulk purchase of crude oil at pipeline, terminal and rail facilities and the purchase of cargos at their load port and various other locations in transit;</w:t>
      </w:r>
    </w:p>
    <w:p>
      <w:pPr>
        <w:spacing w:after="0" w:line="170" w:lineRule="exact"/>
        <w:rPr>
          <w:rFonts w:ascii="Arial" w:cs="Arial" w:eastAsia="Arial" w:hAnsi="Arial"/>
          <w:sz w:val="18"/>
          <w:szCs w:val="18"/>
          <w:color w:val="auto"/>
        </w:rPr>
      </w:pPr>
    </w:p>
    <w:p>
      <w:pPr>
        <w:ind w:left="1180" w:hanging="281"/>
        <w:spacing w:after="0"/>
        <w:tabs>
          <w:tab w:leader="none" w:pos="11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storage of inventory during contango market conditions and the seasonal storage of NGL and natural gas;</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purchase of NGL from producers, refiners, processors and other marketers;</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resale or exchange of crude oil and NGL at various points along the distribution chain to refiners or other resellers;</w:t>
      </w:r>
    </w:p>
    <w:p>
      <w:pPr>
        <w:spacing w:after="0" w:line="225" w:lineRule="exact"/>
        <w:rPr>
          <w:rFonts w:ascii="Arial" w:cs="Arial" w:eastAsia="Arial" w:hAnsi="Arial"/>
          <w:sz w:val="18"/>
          <w:szCs w:val="18"/>
          <w:color w:val="auto"/>
        </w:rPr>
      </w:pPr>
    </w:p>
    <w:p>
      <w:pPr>
        <w:ind w:left="1220" w:right="260" w:hanging="321"/>
        <w:spacing w:after="0" w:line="277" w:lineRule="auto"/>
        <w:tabs>
          <w:tab w:leader="none" w:pos="1184"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transportation of crude oil and NGL on trucks, barges, railcars, pipelines and ocean-going vessels from various delivery points, market hub locations or directly to end users such as refineries, processors and fractionation facilities; and</w:t>
      </w:r>
    </w:p>
    <w:p>
      <w:pPr>
        <w:sectPr>
          <w:pgSz w:w="11900" w:h="16838" w:orient="portrait"/>
          <w:cols w:equalWidth="0" w:num="1">
            <w:col w:w="11400"/>
          </w:cols>
          <w:pgMar w:left="240" w:top="140" w:right="259" w:bottom="0" w:gutter="0" w:footer="0" w:header="0"/>
        </w:sectPr>
      </w:pPr>
    </w:p>
    <w:bookmarkStart w:id="4" w:name="page5"/>
    <w:bookmarkEnd w:id="4"/>
    <w:p>
      <w:pPr>
        <w:ind w:left="1172" w:hanging="281"/>
        <w:spacing w:after="0"/>
        <w:tabs>
          <w:tab w:leader="none" w:pos="117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purchase and sale of natural gas.</w:t>
      </w:r>
    </w:p>
    <w:p>
      <w:pPr>
        <w:spacing w:after="0" w:line="225" w:lineRule="exact"/>
        <w:rPr>
          <w:sz w:val="20"/>
          <w:szCs w:val="20"/>
          <w:color w:val="auto"/>
        </w:rPr>
      </w:pPr>
    </w:p>
    <w:p>
      <w:pPr>
        <w:ind w:left="972" w:right="40"/>
        <w:spacing w:after="0" w:line="290" w:lineRule="auto"/>
        <w:rPr>
          <w:sz w:val="20"/>
          <w:szCs w:val="20"/>
          <w:color w:val="auto"/>
        </w:rPr>
      </w:pPr>
      <w:r>
        <w:rPr>
          <w:rFonts w:ascii="Arial" w:cs="Arial" w:eastAsia="Arial" w:hAnsi="Arial"/>
          <w:sz w:val="16"/>
          <w:szCs w:val="16"/>
          <w:color w:val="auto"/>
        </w:rPr>
        <w:t>We characterize a substantial portion of our baseline profit generated by our Supply and Logistics segment as fee equivalent. This portion of the segment profit is generated by the purchase and resale of crude oil on an index-related basis, which results in us generating a gross margin for such activities. This gross margin is reduced by the transportation, facilities and other logistical costs associated with delivering the crude oil to market and carrying costs for hedged inventory as well as any operating and G&amp;A expenses. The level of profit associated with a portion of the other activities we conduct in the Supply and Logistics segment is influenced by overall market structure and the degree of market volatility as well as variable operating expenses. Forecasted operating results for the three-month period ending December 31, 2015 reflect current market structure as well as seasonal, and weather-related and other anticipated variations in crude oil, NGL and natural gas sales. Variations in weather, market structure or volatility could cause actual results to differ materially from forecasted results.</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72"/>
        <w:spacing w:after="0" w:line="293" w:lineRule="auto"/>
        <w:rPr>
          <w:sz w:val="20"/>
          <w:szCs w:val="20"/>
          <w:color w:val="auto"/>
        </w:rPr>
      </w:pPr>
      <w:r>
        <w:rPr>
          <w:rFonts w:ascii="Arial" w:cs="Arial" w:eastAsia="Arial" w:hAnsi="Arial"/>
          <w:sz w:val="16"/>
          <w:szCs w:val="16"/>
          <w:color w:val="auto"/>
        </w:rPr>
        <w:t>We forecast adjusted segment profit using the volume assumptions stated below, as well as estimates of unit margins, field operating costs, G&amp;A expenses and carrying costs for hedged inventory, based on current and anticipated market conditions. Actual volumes are influenced by temporary market-driven storage and withdrawal of crude oil, maintenance schedules at refineries, actual production levels, weather, and other external factors beyond our control. Field operating costs do not include depreciation. Realized unit margins for any given lease-gathered barrel could vary significantly based on a variety of factors including location and quality differentials as well as contract structure. Accordingly, the projected segment profit per barrel can vary significantly even if aggregate volumes are in line with the forecasted levels.</w:t>
      </w:r>
    </w:p>
    <w:p>
      <w:pPr>
        <w:spacing w:after="0" w:line="157" w:lineRule="exact"/>
        <w:rPr>
          <w:sz w:val="20"/>
          <w:szCs w:val="20"/>
          <w:color w:val="auto"/>
        </w:rPr>
      </w:pPr>
    </w:p>
    <w:tbl>
      <w:tblPr>
        <w:tblLayout w:type="fixed"/>
        <w:tblInd w:w="1292"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Actual</w:t>
            </w:r>
          </w:p>
        </w:tc>
        <w:tc>
          <w:tcPr>
            <w:tcW w:w="120" w:type="dxa"/>
            <w:vAlign w:val="bottom"/>
          </w:tcPr>
          <w:p>
            <w:pPr>
              <w:spacing w:after="0"/>
              <w:rPr>
                <w:sz w:val="14"/>
                <w:szCs w:val="14"/>
                <w:color w:val="auto"/>
              </w:rPr>
            </w:pPr>
          </w:p>
        </w:tc>
        <w:tc>
          <w:tcPr>
            <w:tcW w:w="2840" w:type="dxa"/>
            <w:vAlign w:val="bottom"/>
            <w:gridSpan w:val="6"/>
          </w:tcPr>
          <w:p>
            <w:pPr>
              <w:jc w:val="right"/>
              <w:ind w:right="1280"/>
              <w:spacing w:after="0"/>
              <w:rPr>
                <w:sz w:val="20"/>
                <w:szCs w:val="20"/>
                <w:color w:val="auto"/>
              </w:rPr>
            </w:pPr>
            <w:r>
              <w:rPr>
                <w:rFonts w:ascii="Arial" w:cs="Arial" w:eastAsia="Arial" w:hAnsi="Arial"/>
                <w:sz w:val="14"/>
                <w:szCs w:val="14"/>
                <w:b w:val="1"/>
                <w:bCs w:val="1"/>
                <w:color w:val="auto"/>
              </w:rPr>
              <w:t>Guidance</w:t>
            </w:r>
          </w:p>
        </w:tc>
      </w:tr>
      <w:tr>
        <w:trPr>
          <w:trHeight w:val="119"/>
        </w:trPr>
        <w:tc>
          <w:tcPr>
            <w:tcW w:w="4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59"/>
              <w:spacing w:after="0" w:line="119" w:lineRule="exact"/>
              <w:rPr>
                <w:sz w:val="20"/>
                <w:szCs w:val="20"/>
                <w:color w:val="auto"/>
              </w:rPr>
            </w:pPr>
            <w:r>
              <w:rPr>
                <w:rFonts w:ascii="Arial" w:cs="Arial" w:eastAsia="Arial" w:hAnsi="Arial"/>
                <w:sz w:val="13"/>
                <w:szCs w:val="13"/>
                <w:b w:val="1"/>
                <w:bCs w:val="1"/>
                <w:color w:val="auto"/>
              </w:rPr>
              <w:t>Nine Months</w:t>
            </w: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Three Months</w:t>
            </w:r>
          </w:p>
        </w:tc>
        <w:tc>
          <w:tcPr>
            <w:tcW w:w="1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77"/>
              <w:spacing w:after="0" w:line="119" w:lineRule="exact"/>
              <w:rPr>
                <w:sz w:val="20"/>
                <w:szCs w:val="20"/>
                <w:color w:val="auto"/>
              </w:rPr>
            </w:pPr>
            <w:r>
              <w:rPr>
                <w:rFonts w:ascii="Arial" w:cs="Arial" w:eastAsia="Arial" w:hAnsi="Arial"/>
                <w:sz w:val="13"/>
                <w:szCs w:val="13"/>
                <w:b w:val="1"/>
                <w:bCs w:val="1"/>
                <w:color w:val="auto"/>
              </w:rPr>
              <w:t>Twelve Months</w:t>
            </w:r>
          </w:p>
        </w:tc>
        <w:tc>
          <w:tcPr>
            <w:tcW w:w="220" w:type="dxa"/>
            <w:vAlign w:val="bottom"/>
            <w:gridSpan w:val="2"/>
          </w:tcPr>
          <w:p>
            <w:pPr>
              <w:spacing w:after="0"/>
              <w:rPr>
                <w:sz w:val="10"/>
                <w:szCs w:val="10"/>
                <w:color w:val="auto"/>
              </w:rPr>
            </w:pPr>
          </w:p>
        </w:tc>
      </w:tr>
      <w:tr>
        <w:trPr>
          <w:trHeight w:val="149"/>
        </w:trPr>
        <w:tc>
          <w:tcPr>
            <w:tcW w:w="4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Ending</w:t>
            </w:r>
          </w:p>
        </w:tc>
        <w:tc>
          <w:tcPr>
            <w:tcW w:w="140" w:type="dxa"/>
            <w:vAlign w:val="bottom"/>
          </w:tcPr>
          <w:p>
            <w:pPr>
              <w:spacing w:after="0"/>
              <w:rPr>
                <w:sz w:val="12"/>
                <w:szCs w:val="12"/>
                <w:color w:val="auto"/>
              </w:rPr>
            </w:pPr>
          </w:p>
        </w:tc>
        <w:tc>
          <w:tcPr>
            <w:tcW w:w="14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Ending</w:t>
            </w:r>
          </w:p>
        </w:tc>
      </w:tr>
      <w:tr>
        <w:trPr>
          <w:trHeight w:val="171"/>
        </w:trPr>
        <w:tc>
          <w:tcPr>
            <w:tcW w:w="4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Sep 30, 2015</w:t>
            </w: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Dec 31, 2015</w:t>
            </w:r>
          </w:p>
        </w:tc>
        <w:tc>
          <w:tcPr>
            <w:tcW w:w="140" w:type="dxa"/>
            <w:vAlign w:val="bottom"/>
          </w:tcPr>
          <w:p>
            <w:pPr>
              <w:spacing w:after="0"/>
              <w:rPr>
                <w:sz w:val="14"/>
                <w:szCs w:val="14"/>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Dec 31, 2015</w:t>
            </w:r>
          </w:p>
        </w:tc>
      </w:tr>
      <w:tr>
        <w:trPr>
          <w:trHeight w:val="196"/>
        </w:trPr>
        <w:tc>
          <w:tcPr>
            <w:tcW w:w="4460" w:type="dxa"/>
            <w:vAlign w:val="bottom"/>
            <w:tcBorders>
              <w:top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Average Daily Volumes (MBbls/d)</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Crude Oil Lease Gathering Purchases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900</w:t>
            </w: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943</w:t>
            </w:r>
          </w:p>
        </w:tc>
        <w:tc>
          <w:tcPr>
            <w:tcW w:w="200" w:type="dxa"/>
            <w:vAlign w:val="bottom"/>
          </w:tcPr>
          <w:p>
            <w:pPr>
              <w:spacing w:after="0"/>
              <w:rPr>
                <w:sz w:val="18"/>
                <w:szCs w:val="18"/>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NGL Sales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w:t>
            </w:r>
          </w:p>
        </w:tc>
        <w:tc>
          <w:tcPr>
            <w:tcW w:w="200" w:type="dxa"/>
            <w:vAlign w:val="bottom"/>
            <w:shd w:val="clear" w:color="auto" w:fill="CCEEFF"/>
          </w:tcPr>
          <w:p>
            <w:pPr>
              <w:spacing w:after="0"/>
              <w:rPr>
                <w:sz w:val="18"/>
                <w:szCs w:val="18"/>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Waterborne Cargos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r>
      <w:tr>
        <w:trPr>
          <w:trHeight w:val="210"/>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Supply and Logistics Segment Total</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7"/>
        </w:trPr>
        <w:tc>
          <w:tcPr>
            <w:tcW w:w="4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Profit per Barrel ($/Bbl)</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Excluding Selected Items Impacting Comparability</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r>
              <w:rPr>
                <w:rFonts w:ascii="Arial" w:cs="Arial" w:eastAsia="Arial" w:hAnsi="Arial"/>
                <w:sz w:val="11"/>
                <w:szCs w:val="11"/>
                <w:color w:val="auto"/>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1.38</w:t>
            </w:r>
            <w:r>
              <w:rPr>
                <w:rFonts w:ascii="Arial" w:cs="Arial" w:eastAsia="Arial" w:hAnsi="Arial"/>
                <w:sz w:val="11"/>
                <w:szCs w:val="11"/>
                <w:color w:val="auto"/>
              </w:rPr>
              <w:t>(1)</w:t>
            </w:r>
          </w:p>
        </w:tc>
      </w:tr>
      <w:tr>
        <w:trPr>
          <w:trHeight w:val="20"/>
        </w:trPr>
        <w:tc>
          <w:tcPr>
            <w:tcW w:w="4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1292" w:hanging="320"/>
        <w:spacing w:after="0"/>
        <w:tabs>
          <w:tab w:leader="none" w:pos="1292" w:val="left"/>
        </w:tabs>
        <w:numPr>
          <w:ilvl w:val="1"/>
          <w:numId w:val="8"/>
        </w:numPr>
        <w:rPr>
          <w:rFonts w:ascii="Arial" w:cs="Arial" w:eastAsia="Arial" w:hAnsi="Arial"/>
          <w:sz w:val="23"/>
          <w:szCs w:val="23"/>
          <w:color w:val="auto"/>
          <w:vertAlign w:val="superscript"/>
        </w:rPr>
      </w:pPr>
      <w:r>
        <w:rPr>
          <w:rFonts w:ascii="Arial" w:cs="Arial" w:eastAsia="Arial" w:hAnsi="Arial"/>
          <w:sz w:val="18"/>
          <w:szCs w:val="18"/>
          <w:color w:val="auto"/>
        </w:rPr>
        <w:t>Represents the mid-point of guidance.</w:t>
      </w:r>
    </w:p>
    <w:p>
      <w:pPr>
        <w:spacing w:after="0" w:line="201" w:lineRule="exact"/>
        <w:rPr>
          <w:rFonts w:ascii="Arial" w:cs="Arial" w:eastAsia="Arial" w:hAnsi="Arial"/>
          <w:sz w:val="23"/>
          <w:szCs w:val="23"/>
          <w:color w:val="auto"/>
          <w:vertAlign w:val="superscript"/>
        </w:rPr>
      </w:pPr>
    </w:p>
    <w:p>
      <w:pPr>
        <w:ind w:left="332" w:right="140" w:hanging="332"/>
        <w:spacing w:after="0" w:line="264" w:lineRule="auto"/>
        <w:tabs>
          <w:tab w:leader="none" w:pos="332"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We forecast depreciation and amortization based on our existing depreciable assets, forecasted capital expenditures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projected in-service dates. Depreciation may also vary due to gains and losses on intermittent sales of assets, asset retirement obligations, asset impairments, acceleration of depreciation or foreign exchange rates.</w:t>
      </w:r>
    </w:p>
    <w:p>
      <w:pPr>
        <w:spacing w:after="0" w:line="181" w:lineRule="exact"/>
        <w:rPr>
          <w:rFonts w:ascii="Arial" w:cs="Arial" w:eastAsia="Arial" w:hAnsi="Arial"/>
          <w:sz w:val="18"/>
          <w:szCs w:val="18"/>
          <w:color w:val="auto"/>
        </w:rPr>
      </w:pPr>
    </w:p>
    <w:p>
      <w:pPr>
        <w:ind w:left="332" w:hanging="332"/>
        <w:spacing w:after="0" w:line="276" w:lineRule="auto"/>
        <w:tabs>
          <w:tab w:leader="none" w:pos="332"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Capital Expenditures and Acquisitions. </w:t>
      </w:r>
      <w:r>
        <w:rPr>
          <w:rFonts w:ascii="Arial" w:cs="Arial" w:eastAsia="Arial" w:hAnsi="Arial"/>
          <w:sz w:val="17"/>
          <w:szCs w:val="17"/>
          <w:color w:val="auto"/>
        </w:rPr>
        <w:t>Although acquisitions constitute a key element of our growth strategy, the forecasted results and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do not include any forecasts for acquisitions that we may commit to after the date hereof. We forecast capital expenditures during the calendar year of 2015 to be approximately $2.2 billion for expansion projects with an additional $200 to $220 million for maintenance capital projects. During the first nine months of 2015, we invested $1,837 million and $154 million for expansion and maintenance projects, respectively. The following are some of the more notable projects and forecasted expenditures for the year ending December 31, 2015:</w:t>
      </w:r>
    </w:p>
    <w:p>
      <w:pPr>
        <w:spacing w:after="0" w:line="164" w:lineRule="exact"/>
        <w:rPr>
          <w:sz w:val="20"/>
          <w:szCs w:val="20"/>
          <w:color w:val="auto"/>
        </w:rPr>
      </w:pPr>
    </w:p>
    <w:tbl>
      <w:tblPr>
        <w:tblLayout w:type="fixed"/>
        <w:tblInd w:w="161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Calendar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4"/>
          </w:tcPr>
          <w:p>
            <w:pPr>
              <w:jc w:val="center"/>
              <w:ind w:right="34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Expansion Capital</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 Permian Basin Area Projects</w:t>
            </w:r>
          </w:p>
        </w:tc>
        <w:tc>
          <w:tcPr>
            <w:tcW w:w="1320" w:type="dxa"/>
            <w:vAlign w:val="bottom"/>
            <w:gridSpan w:val="4"/>
          </w:tcPr>
          <w:p>
            <w:pPr>
              <w:jc w:val="center"/>
              <w:ind w:left="230"/>
              <w:spacing w:after="0"/>
              <w:rPr>
                <w:sz w:val="20"/>
                <w:szCs w:val="20"/>
                <w:color w:val="auto"/>
              </w:rPr>
            </w:pPr>
            <w:r>
              <w:rPr>
                <w:rFonts w:ascii="Arial" w:cs="Arial" w:eastAsia="Arial" w:hAnsi="Arial"/>
                <w:sz w:val="18"/>
                <w:szCs w:val="18"/>
                <w:color w:val="auto"/>
                <w:w w:val="89"/>
              </w:rPr>
              <w:t>$445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 Rail Terminal Projects </w:t>
            </w:r>
            <w:r>
              <w:rPr>
                <w:rFonts w:ascii="Arial" w:cs="Arial" w:eastAsia="Arial" w:hAnsi="Arial"/>
                <w:sz w:val="23"/>
                <w:szCs w:val="23"/>
                <w:color w:val="auto"/>
                <w:vertAlign w:val="superscript"/>
              </w:rPr>
              <w:t>(1)</w:t>
            </w:r>
          </w:p>
        </w:tc>
        <w:tc>
          <w:tcPr>
            <w:tcW w:w="1320" w:type="dxa"/>
            <w:vAlign w:val="bottom"/>
            <w:gridSpan w:val="4"/>
            <w:shd w:val="clear" w:color="auto" w:fill="CCEEFF"/>
          </w:tcPr>
          <w:p>
            <w:pPr>
              <w:jc w:val="center"/>
              <w:ind w:left="230"/>
              <w:spacing w:after="0"/>
              <w:rPr>
                <w:sz w:val="20"/>
                <w:szCs w:val="20"/>
                <w:color w:val="auto"/>
              </w:rPr>
            </w:pPr>
            <w:r>
              <w:rPr>
                <w:rFonts w:ascii="Arial" w:cs="Arial" w:eastAsia="Arial" w:hAnsi="Arial"/>
                <w:sz w:val="18"/>
                <w:szCs w:val="18"/>
                <w:color w:val="auto"/>
                <w:w w:val="93"/>
              </w:rPr>
              <w:t>295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 Fort Saskatchewan Facility Projects / NGL Line</w:t>
            </w:r>
          </w:p>
        </w:tc>
        <w:tc>
          <w:tcPr>
            <w:tcW w:w="1320" w:type="dxa"/>
            <w:vAlign w:val="bottom"/>
            <w:gridSpan w:val="4"/>
          </w:tcPr>
          <w:p>
            <w:pPr>
              <w:jc w:val="center"/>
              <w:ind w:left="230"/>
              <w:spacing w:after="0"/>
              <w:rPr>
                <w:sz w:val="20"/>
                <w:szCs w:val="20"/>
                <w:color w:val="auto"/>
              </w:rPr>
            </w:pPr>
            <w:r>
              <w:rPr>
                <w:rFonts w:ascii="Arial" w:cs="Arial" w:eastAsia="Arial" w:hAnsi="Arial"/>
                <w:sz w:val="18"/>
                <w:szCs w:val="18"/>
                <w:color w:val="auto"/>
                <w:w w:val="93"/>
              </w:rPr>
              <w:t>270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 Cactus Pipeline </w:t>
            </w:r>
            <w:r>
              <w:rPr>
                <w:rFonts w:ascii="Arial" w:cs="Arial" w:eastAsia="Arial" w:hAnsi="Arial"/>
                <w:sz w:val="23"/>
                <w:szCs w:val="23"/>
                <w:color w:val="auto"/>
                <w:vertAlign w:val="superscript"/>
              </w:rPr>
              <w:t>(2)</w:t>
            </w:r>
          </w:p>
        </w:tc>
        <w:tc>
          <w:tcPr>
            <w:tcW w:w="1320" w:type="dxa"/>
            <w:vAlign w:val="bottom"/>
            <w:gridSpan w:val="4"/>
            <w:shd w:val="clear" w:color="auto" w:fill="CCEEFF"/>
          </w:tcPr>
          <w:p>
            <w:pPr>
              <w:jc w:val="center"/>
              <w:ind w:left="230"/>
              <w:spacing w:after="0"/>
              <w:rPr>
                <w:sz w:val="20"/>
                <w:szCs w:val="20"/>
                <w:color w:val="auto"/>
              </w:rPr>
            </w:pPr>
            <w:r>
              <w:rPr>
                <w:rFonts w:ascii="Arial" w:cs="Arial" w:eastAsia="Arial" w:hAnsi="Arial"/>
                <w:sz w:val="18"/>
                <w:szCs w:val="18"/>
                <w:color w:val="auto"/>
                <w:w w:val="93"/>
              </w:rPr>
              <w:t>150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 Red River Pipeline (Cushing to Longview)</w:t>
            </w:r>
          </w:p>
        </w:tc>
        <w:tc>
          <w:tcPr>
            <w:tcW w:w="1320" w:type="dxa"/>
            <w:vAlign w:val="bottom"/>
            <w:gridSpan w:val="4"/>
          </w:tcPr>
          <w:p>
            <w:pPr>
              <w:jc w:val="center"/>
              <w:ind w:left="230"/>
              <w:spacing w:after="0"/>
              <w:rPr>
                <w:sz w:val="20"/>
                <w:szCs w:val="20"/>
                <w:color w:val="auto"/>
              </w:rPr>
            </w:pPr>
            <w:r>
              <w:rPr>
                <w:rFonts w:ascii="Arial" w:cs="Arial" w:eastAsia="Arial" w:hAnsi="Arial"/>
                <w:sz w:val="18"/>
                <w:szCs w:val="18"/>
                <w:color w:val="auto"/>
                <w:w w:val="93"/>
              </w:rPr>
              <w:t>140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 Saddlehorn Pipeline</w:t>
            </w:r>
          </w:p>
        </w:tc>
        <w:tc>
          <w:tcPr>
            <w:tcW w:w="1320" w:type="dxa"/>
            <w:vAlign w:val="bottom"/>
            <w:gridSpan w:val="4"/>
            <w:shd w:val="clear" w:color="auto" w:fill="CCEEFF"/>
          </w:tcPr>
          <w:p>
            <w:pPr>
              <w:jc w:val="center"/>
              <w:ind w:left="230"/>
              <w:spacing w:after="0"/>
              <w:rPr>
                <w:sz w:val="20"/>
                <w:szCs w:val="20"/>
                <w:color w:val="auto"/>
              </w:rPr>
            </w:pPr>
            <w:r>
              <w:rPr>
                <w:rFonts w:ascii="Arial" w:cs="Arial" w:eastAsia="Arial" w:hAnsi="Arial"/>
                <w:sz w:val="18"/>
                <w:szCs w:val="18"/>
                <w:color w:val="auto"/>
                <w:w w:val="93"/>
              </w:rPr>
              <w:t>135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 Eagle Ford JV Project</w:t>
            </w:r>
          </w:p>
        </w:tc>
        <w:tc>
          <w:tcPr>
            <w:tcW w:w="1320" w:type="dxa"/>
            <w:vAlign w:val="bottom"/>
            <w:gridSpan w:val="4"/>
          </w:tcPr>
          <w:p>
            <w:pPr>
              <w:jc w:val="center"/>
              <w:ind w:left="210"/>
              <w:spacing w:after="0"/>
              <w:rPr>
                <w:sz w:val="20"/>
                <w:szCs w:val="20"/>
                <w:color w:val="auto"/>
              </w:rPr>
            </w:pPr>
            <w:r>
              <w:rPr>
                <w:rFonts w:ascii="Arial" w:cs="Arial" w:eastAsia="Arial" w:hAnsi="Arial"/>
                <w:sz w:val="18"/>
                <w:szCs w:val="18"/>
                <w:color w:val="auto"/>
                <w:w w:val="89"/>
              </w:rPr>
              <w:t>80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 Cowboy Pipeline (Cheyenne to Carr)</w:t>
            </w:r>
          </w:p>
        </w:tc>
        <w:tc>
          <w:tcPr>
            <w:tcW w:w="1320" w:type="dxa"/>
            <w:vAlign w:val="bottom"/>
            <w:gridSpan w:val="4"/>
            <w:shd w:val="clear" w:color="auto" w:fill="CCEEFF"/>
          </w:tcPr>
          <w:p>
            <w:pPr>
              <w:jc w:val="center"/>
              <w:ind w:left="210"/>
              <w:spacing w:after="0"/>
              <w:rPr>
                <w:sz w:val="20"/>
                <w:szCs w:val="20"/>
                <w:color w:val="auto"/>
              </w:rPr>
            </w:pPr>
            <w:r>
              <w:rPr>
                <w:rFonts w:ascii="Arial" w:cs="Arial" w:eastAsia="Arial" w:hAnsi="Arial"/>
                <w:sz w:val="18"/>
                <w:szCs w:val="18"/>
                <w:color w:val="auto"/>
                <w:w w:val="89"/>
              </w:rPr>
              <w:t>50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 Eagle Ford Area Projects</w:t>
            </w:r>
          </w:p>
        </w:tc>
        <w:tc>
          <w:tcPr>
            <w:tcW w:w="1320" w:type="dxa"/>
            <w:vAlign w:val="bottom"/>
            <w:gridSpan w:val="4"/>
          </w:tcPr>
          <w:p>
            <w:pPr>
              <w:jc w:val="center"/>
              <w:ind w:left="210"/>
              <w:spacing w:after="0"/>
              <w:rPr>
                <w:sz w:val="20"/>
                <w:szCs w:val="20"/>
                <w:color w:val="auto"/>
              </w:rPr>
            </w:pPr>
            <w:r>
              <w:rPr>
                <w:rFonts w:ascii="Arial" w:cs="Arial" w:eastAsia="Arial" w:hAnsi="Arial"/>
                <w:sz w:val="18"/>
                <w:szCs w:val="18"/>
                <w:color w:val="auto"/>
                <w:w w:val="89"/>
              </w:rPr>
              <w:t>45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 Cushing Terminal Expansions</w:t>
            </w:r>
          </w:p>
        </w:tc>
        <w:tc>
          <w:tcPr>
            <w:tcW w:w="1320" w:type="dxa"/>
            <w:vAlign w:val="bottom"/>
            <w:gridSpan w:val="4"/>
            <w:shd w:val="clear" w:color="auto" w:fill="CCEEFF"/>
          </w:tcPr>
          <w:p>
            <w:pPr>
              <w:jc w:val="center"/>
              <w:ind w:left="210"/>
              <w:spacing w:after="0"/>
              <w:rPr>
                <w:sz w:val="20"/>
                <w:szCs w:val="20"/>
                <w:color w:val="auto"/>
              </w:rPr>
            </w:pPr>
            <w:r>
              <w:rPr>
                <w:rFonts w:ascii="Arial" w:cs="Arial" w:eastAsia="Arial" w:hAnsi="Arial"/>
                <w:sz w:val="18"/>
                <w:szCs w:val="18"/>
                <w:color w:val="auto"/>
                <w:w w:val="89"/>
              </w:rPr>
              <w:t>40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 Diamond Pipeline</w:t>
            </w:r>
          </w:p>
        </w:tc>
        <w:tc>
          <w:tcPr>
            <w:tcW w:w="1320" w:type="dxa"/>
            <w:vAlign w:val="bottom"/>
            <w:gridSpan w:val="4"/>
          </w:tcPr>
          <w:p>
            <w:pPr>
              <w:jc w:val="center"/>
              <w:ind w:left="210"/>
              <w:spacing w:after="0"/>
              <w:rPr>
                <w:sz w:val="20"/>
                <w:szCs w:val="20"/>
                <w:color w:val="auto"/>
              </w:rPr>
            </w:pPr>
            <w:r>
              <w:rPr>
                <w:rFonts w:ascii="Arial" w:cs="Arial" w:eastAsia="Arial" w:hAnsi="Arial"/>
                <w:sz w:val="18"/>
                <w:szCs w:val="18"/>
                <w:color w:val="auto"/>
                <w:w w:val="89"/>
              </w:rPr>
              <w:t>40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 St. James Terminal Expansions</w:t>
            </w:r>
          </w:p>
        </w:tc>
        <w:tc>
          <w:tcPr>
            <w:tcW w:w="1320" w:type="dxa"/>
            <w:vAlign w:val="bottom"/>
            <w:gridSpan w:val="4"/>
            <w:shd w:val="clear" w:color="auto" w:fill="CCEEFF"/>
          </w:tcPr>
          <w:p>
            <w:pPr>
              <w:jc w:val="center"/>
              <w:ind w:left="210"/>
              <w:spacing w:after="0"/>
              <w:rPr>
                <w:sz w:val="20"/>
                <w:szCs w:val="20"/>
                <w:color w:val="auto"/>
              </w:rPr>
            </w:pPr>
            <w:r>
              <w:rPr>
                <w:rFonts w:ascii="Arial" w:cs="Arial" w:eastAsia="Arial" w:hAnsi="Arial"/>
                <w:sz w:val="18"/>
                <w:szCs w:val="18"/>
                <w:color w:val="auto"/>
                <w:w w:val="89"/>
              </w:rPr>
              <w:t>35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 Line 63 Reactivation</w:t>
            </w:r>
          </w:p>
        </w:tc>
        <w:tc>
          <w:tcPr>
            <w:tcW w:w="1320" w:type="dxa"/>
            <w:vAlign w:val="bottom"/>
            <w:gridSpan w:val="4"/>
          </w:tcPr>
          <w:p>
            <w:pPr>
              <w:jc w:val="center"/>
              <w:ind w:left="210"/>
              <w:spacing w:after="0"/>
              <w:rPr>
                <w:sz w:val="20"/>
                <w:szCs w:val="20"/>
                <w:color w:val="auto"/>
              </w:rPr>
            </w:pPr>
            <w:r>
              <w:rPr>
                <w:rFonts w:ascii="Arial" w:cs="Arial" w:eastAsia="Arial" w:hAnsi="Arial"/>
                <w:sz w:val="18"/>
                <w:szCs w:val="18"/>
                <w:color w:val="auto"/>
                <w:w w:val="89"/>
              </w:rPr>
              <w:t>25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 Other Projects</w:t>
            </w:r>
          </w:p>
        </w:tc>
        <w:tc>
          <w:tcPr>
            <w:tcW w:w="1320" w:type="dxa"/>
            <w:vAlign w:val="bottom"/>
            <w:tcBorders>
              <w:bottom w:val="single" w:sz="8" w:color="auto"/>
            </w:tcBorders>
            <w:gridSpan w:val="4"/>
            <w:shd w:val="clear" w:color="auto" w:fill="CCEEFF"/>
          </w:tcPr>
          <w:p>
            <w:pPr>
              <w:jc w:val="center"/>
              <w:ind w:left="230"/>
              <w:spacing w:after="0"/>
              <w:rPr>
                <w:sz w:val="20"/>
                <w:szCs w:val="20"/>
                <w:color w:val="auto"/>
              </w:rPr>
            </w:pPr>
            <w:r>
              <w:rPr>
                <w:rFonts w:ascii="Arial" w:cs="Arial" w:eastAsia="Arial" w:hAnsi="Arial"/>
                <w:sz w:val="18"/>
                <w:szCs w:val="18"/>
                <w:color w:val="auto"/>
                <w:w w:val="93"/>
              </w:rPr>
              <w:t>450</w:t>
            </w:r>
          </w:p>
        </w:tc>
        <w:tc>
          <w:tcPr>
            <w:tcW w:w="3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320" w:type="dxa"/>
            <w:vAlign w:val="bottom"/>
            <w:gridSpan w:val="4"/>
          </w:tcPr>
          <w:p>
            <w:pPr>
              <w:jc w:val="center"/>
              <w:ind w:left="230"/>
              <w:spacing w:after="0"/>
              <w:rPr>
                <w:sz w:val="20"/>
                <w:szCs w:val="20"/>
                <w:color w:val="auto"/>
              </w:rPr>
            </w:pPr>
            <w:r>
              <w:rPr>
                <w:rFonts w:ascii="Arial" w:cs="Arial" w:eastAsia="Arial" w:hAnsi="Arial"/>
                <w:sz w:val="18"/>
                <w:szCs w:val="18"/>
                <w:color w:val="auto"/>
                <w:w w:val="87"/>
              </w:rPr>
              <w:t>$2,200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 xml:space="preserve">Potential Adjustments for Timing / Scope Refinement </w:t>
            </w:r>
            <w:r>
              <w:rPr>
                <w:rFonts w:ascii="Arial" w:cs="Arial" w:eastAsia="Arial" w:hAnsi="Arial"/>
                <w:sz w:val="20"/>
                <w:szCs w:val="20"/>
                <w:color w:val="auto"/>
                <w:vertAlign w:val="superscript"/>
              </w:rPr>
              <w:t>(3)</w:t>
            </w:r>
          </w:p>
        </w:tc>
        <w:tc>
          <w:tcPr>
            <w:tcW w:w="1640" w:type="dxa"/>
            <w:vAlign w:val="bottom"/>
            <w:gridSpan w:val="5"/>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 xml:space="preserve">- </w:t>
            </w:r>
            <w:r>
              <w:rPr>
                <w:rFonts w:ascii="Arial" w:cs="Arial" w:eastAsia="Arial" w:hAnsi="Arial"/>
                <w:sz w:val="18"/>
                <w:szCs w:val="18"/>
                <w:u w:val="single" w:color="auto"/>
                <w:color w:val="auto"/>
                <w:w w:val="89"/>
              </w:rPr>
              <w:t>$</w:t>
            </w:r>
            <w:r>
              <w:rPr>
                <w:rFonts w:ascii="Arial" w:cs="Arial" w:eastAsia="Arial" w:hAnsi="Arial"/>
                <w:sz w:val="18"/>
                <w:szCs w:val="18"/>
                <w:color w:val="auto"/>
                <w:w w:val="89"/>
              </w:rPr>
              <w:t xml:space="preserve">100 + </w:t>
            </w:r>
            <w:r>
              <w:rPr>
                <w:rFonts w:ascii="Arial" w:cs="Arial" w:eastAsia="Arial" w:hAnsi="Arial"/>
                <w:sz w:val="18"/>
                <w:szCs w:val="18"/>
                <w:u w:val="single" w:color="auto"/>
                <w:color w:val="auto"/>
                <w:w w:val="89"/>
              </w:rPr>
              <w:t>$</w:t>
            </w:r>
            <w:r>
              <w:rPr>
                <w:rFonts w:ascii="Arial" w:cs="Arial" w:eastAsia="Arial" w:hAnsi="Arial"/>
                <w:sz w:val="18"/>
                <w:szCs w:val="18"/>
                <w:color w:val="auto"/>
                <w:w w:val="89"/>
              </w:rPr>
              <w:t>100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vMerge w:val="continue"/>
          </w:tcPr>
          <w:p>
            <w:pPr>
              <w:spacing w:after="0"/>
              <w:rPr>
                <w:sz w:val="22"/>
                <w:szCs w:val="22"/>
                <w:color w:val="auto"/>
              </w:rPr>
            </w:pPr>
          </w:p>
        </w:tc>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Projected Expansion Capital Expenditures</w:t>
            </w:r>
          </w:p>
        </w:tc>
        <w:tc>
          <w:tcPr>
            <w:tcW w:w="16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90"/>
              </w:rPr>
              <w:t>$2,100 - $2,300</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Maintenance Capital Expenditures</w:t>
            </w:r>
          </w:p>
        </w:tc>
        <w:tc>
          <w:tcPr>
            <w:tcW w:w="1320" w:type="dxa"/>
            <w:vAlign w:val="bottom"/>
            <w:gridSpan w:val="4"/>
          </w:tcPr>
          <w:p>
            <w:pPr>
              <w:jc w:val="center"/>
              <w:ind w:left="230"/>
              <w:spacing w:after="0"/>
              <w:rPr>
                <w:sz w:val="20"/>
                <w:szCs w:val="20"/>
                <w:color w:val="auto"/>
              </w:rPr>
            </w:pPr>
            <w:r>
              <w:rPr>
                <w:rFonts w:ascii="Arial" w:cs="Arial" w:eastAsia="Arial" w:hAnsi="Arial"/>
                <w:sz w:val="18"/>
                <w:szCs w:val="18"/>
                <w:color w:val="auto"/>
                <w:w w:val="91"/>
              </w:rPr>
              <w:t>$200 - $220</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3" w:lineRule="exact"/>
        <w:rPr>
          <w:sz w:val="20"/>
          <w:szCs w:val="20"/>
          <w:color w:val="auto"/>
        </w:rPr>
      </w:pPr>
    </w:p>
    <w:p>
      <w:pPr>
        <w:ind w:left="1292" w:hanging="320"/>
        <w:spacing w:after="0"/>
        <w:tabs>
          <w:tab w:leader="none" w:pos="1292"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railcar purchases and projects located in or near St. James, LA, Kerrobert, Canada and Tampa, CO.</w:t>
      </w:r>
    </w:p>
    <w:p>
      <w:pPr>
        <w:spacing w:after="0" w:line="1" w:lineRule="exact"/>
        <w:rPr>
          <w:rFonts w:ascii="Arial" w:cs="Arial" w:eastAsia="Arial" w:hAnsi="Arial"/>
          <w:sz w:val="23"/>
          <w:szCs w:val="23"/>
          <w:color w:val="auto"/>
          <w:vertAlign w:val="superscript"/>
        </w:rPr>
      </w:pPr>
    </w:p>
    <w:p>
      <w:pPr>
        <w:ind w:left="1292" w:hanging="320"/>
        <w:spacing w:after="0" w:line="194" w:lineRule="auto"/>
        <w:tabs>
          <w:tab w:leader="none" w:pos="1292"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linefill costs associated with the project.</w:t>
      </w:r>
    </w:p>
    <w:p>
      <w:pPr>
        <w:spacing w:after="0" w:line="2" w:lineRule="exact"/>
        <w:rPr>
          <w:rFonts w:ascii="Arial" w:cs="Arial" w:eastAsia="Arial" w:hAnsi="Arial"/>
          <w:sz w:val="23"/>
          <w:szCs w:val="23"/>
          <w:color w:val="auto"/>
          <w:vertAlign w:val="superscript"/>
        </w:rPr>
      </w:pPr>
    </w:p>
    <w:p>
      <w:pPr>
        <w:ind w:left="1292" w:hanging="320"/>
        <w:spacing w:after="0" w:line="213" w:lineRule="auto"/>
        <w:tabs>
          <w:tab w:leader="none" w:pos="1292"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Potential variation to current capital costs estimates may result from (i) changes to project design, (ii) final cost of materials and labor and</w:t>
      </w:r>
    </w:p>
    <w:p>
      <w:pPr>
        <w:spacing w:after="0" w:line="1" w:lineRule="exact"/>
        <w:rPr>
          <w:rFonts w:ascii="Arial" w:cs="Arial" w:eastAsia="Arial" w:hAnsi="Arial"/>
          <w:sz w:val="21"/>
          <w:szCs w:val="21"/>
          <w:color w:val="auto"/>
          <w:vertAlign w:val="superscript"/>
        </w:rPr>
      </w:pPr>
    </w:p>
    <w:p>
      <w:pPr>
        <w:ind w:left="1612" w:hanging="315"/>
        <w:spacing w:after="0"/>
        <w:tabs>
          <w:tab w:leader="none" w:pos="1612" w:val="left"/>
        </w:tabs>
        <w:numPr>
          <w:ilvl w:val="1"/>
          <w:numId w:val="10"/>
        </w:numPr>
        <w:rPr>
          <w:rFonts w:ascii="Arial" w:cs="Arial" w:eastAsia="Arial" w:hAnsi="Arial"/>
          <w:sz w:val="18"/>
          <w:szCs w:val="18"/>
          <w:color w:val="auto"/>
        </w:rPr>
      </w:pPr>
      <w:r>
        <w:rPr>
          <w:rFonts w:ascii="Arial" w:cs="Arial" w:eastAsia="Arial" w:hAnsi="Arial"/>
          <w:sz w:val="18"/>
          <w:szCs w:val="18"/>
          <w:color w:val="auto"/>
        </w:rPr>
        <w:t>timing of incurrence of costs due to uncontrollable factors such as permits, regulatory approvals and weather.</w:t>
      </w:r>
    </w:p>
    <w:p>
      <w:pPr>
        <w:sectPr>
          <w:pgSz w:w="11900" w:h="16838" w:orient="portrait"/>
          <w:cols w:equalWidth="0" w:num="1">
            <w:col w:w="11392"/>
          </w:cols>
          <w:pgMar w:left="248" w:top="125" w:right="259" w:bottom="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Capital Structure. </w:t>
      </w:r>
      <w:r>
        <w:rPr>
          <w:rFonts w:ascii="Arial" w:cs="Arial" w:eastAsia="Arial" w:hAnsi="Arial"/>
          <w:sz w:val="18"/>
          <w:szCs w:val="18"/>
          <w:color w:val="auto"/>
        </w:rPr>
        <w:t>This guidance is based on our capital structure as of September 30, 2015.</w:t>
      </w:r>
    </w:p>
    <w:p>
      <w:pPr>
        <w:spacing w:after="0" w:line="225" w:lineRule="exact"/>
        <w:rPr>
          <w:rFonts w:ascii="Arial" w:cs="Arial" w:eastAsia="Arial" w:hAnsi="Arial"/>
          <w:sz w:val="18"/>
          <w:szCs w:val="18"/>
          <w:color w:val="auto"/>
        </w:rPr>
      </w:pPr>
    </w:p>
    <w:p>
      <w:pPr>
        <w:ind w:left="340" w:right="120" w:hanging="332"/>
        <w:spacing w:after="0" w:line="259"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Debt balances are projected based on estimated cash flows, estimated distribution rates, estimated capital expenditures for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expansion projects, anticipated equity proceeds from the continuous offering program, expected timing of collections and payments and forecasted levels of inventory and other working capital sources and uses. Interest rate assumptions for variable-rate debt are based on the LIBOR curve as of late October 2015.</w:t>
      </w:r>
    </w:p>
    <w:p>
      <w:pPr>
        <w:spacing w:after="0" w:line="186" w:lineRule="exact"/>
        <w:rPr>
          <w:rFonts w:ascii="Arial" w:cs="Arial" w:eastAsia="Arial" w:hAnsi="Arial"/>
          <w:sz w:val="18"/>
          <w:szCs w:val="18"/>
          <w:color w:val="auto"/>
        </w:rPr>
      </w:pPr>
    </w:p>
    <w:p>
      <w:pPr>
        <w:ind w:left="340" w:right="260"/>
        <w:spacing w:after="0" w:line="342" w:lineRule="auto"/>
        <w:rPr>
          <w:rFonts w:ascii="Arial" w:cs="Arial" w:eastAsia="Arial" w:hAnsi="Arial"/>
          <w:sz w:val="18"/>
          <w:szCs w:val="18"/>
          <w:color w:val="auto"/>
        </w:rPr>
      </w:pPr>
      <w:r>
        <w:rPr>
          <w:rFonts w:ascii="Arial" w:cs="Arial" w:eastAsia="Arial" w:hAnsi="Arial"/>
          <w:sz w:val="16"/>
          <w:szCs w:val="16"/>
          <w:color w:val="auto"/>
        </w:rPr>
        <w:t>Interest expense is net of amounts capitalized for expansion capital projects and does not include interest on borrowings for hedged inventory. We treat interest on hedged inventory borrowings as carrying costs of crude oil, NGL, and natural gas and include it in purchases and related costs.</w:t>
      </w:r>
    </w:p>
    <w:p>
      <w:pPr>
        <w:spacing w:after="0" w:line="123" w:lineRule="exact"/>
        <w:rPr>
          <w:rFonts w:ascii="Arial" w:cs="Arial" w:eastAsia="Arial" w:hAnsi="Arial"/>
          <w:sz w:val="18"/>
          <w:szCs w:val="18"/>
          <w:color w:val="auto"/>
        </w:rPr>
      </w:pPr>
    </w:p>
    <w:p>
      <w:pPr>
        <w:ind w:left="340" w:right="100" w:hanging="314"/>
        <w:spacing w:after="0" w:line="259" w:lineRule="auto"/>
        <w:tabs>
          <w:tab w:leader="none" w:pos="344"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We expect our Canadian income tax expense to be approximately $33 million and $99 million for the three-month and twelve-month</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ending December 31, 2015, respectively, of which approximately $28 million and $100 million, respectively, is classified as a current income tax expense. For the twelve-month period ending December 31, 2015 we expect to have a deferred tax benefit of $1 million. All or part of the annual income tax expense of $99 million may result in a tax credit to our equity holders.</w:t>
      </w:r>
    </w:p>
    <w:p>
      <w:pPr>
        <w:spacing w:after="0" w:line="187" w:lineRule="exact"/>
        <w:rPr>
          <w:sz w:val="20"/>
          <w:szCs w:val="20"/>
          <w:color w:val="auto"/>
        </w:rPr>
      </w:pPr>
    </w:p>
    <w:p>
      <w:pPr>
        <w:ind w:left="340" w:right="120" w:hanging="332"/>
        <w:spacing w:after="0" w:line="25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Equity-Indexed Compensation Plans. </w:t>
      </w:r>
      <w:r>
        <w:rPr>
          <w:rFonts w:ascii="Arial" w:cs="Arial" w:eastAsia="Arial" w:hAnsi="Arial"/>
          <w:sz w:val="18"/>
          <w:szCs w:val="18"/>
          <w:color w:val="auto"/>
        </w:rPr>
        <w:t>The majority of grants outstanding under our various equity-indexed compensation plans contain vesting criteria</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based on a combination of performance benchmarks and service periods. The grants will vest in various percentages, typically on the later to occur of specified vesting dates and the dates on which minimum distribution levels are reached. Among the various grants outstanding as of November 2, 2015, estimated vesting dates range from November 2015 to August 2020 and annualized benchmark distribution levels range from $2.075 to $3.50.</w:t>
      </w:r>
    </w:p>
    <w:p>
      <w:pPr>
        <w:spacing w:after="0" w:line="188" w:lineRule="exact"/>
        <w:rPr>
          <w:rFonts w:ascii="Arial" w:cs="Arial" w:eastAsia="Arial" w:hAnsi="Arial"/>
          <w:sz w:val="18"/>
          <w:szCs w:val="18"/>
          <w:color w:val="auto"/>
        </w:rPr>
      </w:pPr>
    </w:p>
    <w:p>
      <w:pPr>
        <w:ind w:left="340" w:right="120"/>
        <w:spacing w:after="0" w:line="254" w:lineRule="auto"/>
        <w:rPr>
          <w:rFonts w:ascii="Arial" w:cs="Arial" w:eastAsia="Arial" w:hAnsi="Arial"/>
          <w:sz w:val="18"/>
          <w:szCs w:val="18"/>
          <w:color w:val="auto"/>
        </w:rPr>
      </w:pPr>
      <w:r>
        <w:rPr>
          <w:rFonts w:ascii="Arial" w:cs="Arial" w:eastAsia="Arial" w:hAnsi="Arial"/>
          <w:sz w:val="18"/>
          <w:szCs w:val="18"/>
          <w:color w:val="auto"/>
        </w:rPr>
        <w:t>On October 7, 2015, we declared an annualized distribution of $2.80 payable on November 13, 2015 to our unitholders of record as of October 30, 2015. For the purposes of guidance, we have made the assessment that an annualized $2.90 distribution level is probable of occurring, and accordingly, guidance includes an accrual over the applicable service period at an assumed market price of $30 per unit as well as an accrual associated with awards that will vest on a certain date. The actual amount of equity-indexed compensation expense in any given period will be directly influenced by (i) our unit price at the end of each reporting period, (ii) our unit price on the vesting date, (iii) our then current probability assessment regarding distributions, and (iv) new equity-indexed compensation award grants, including the timing of such grant issuances. For example, a $2 change in the unit price would change the fourth-quarter equity-indexed compensation expense by approximately $3 million. Therefore, actual net income could differ from our projections.</w:t>
      </w:r>
    </w:p>
    <w:p>
      <w:pPr>
        <w:spacing w:after="0" w:line="192" w:lineRule="exact"/>
        <w:rPr>
          <w:rFonts w:ascii="Arial" w:cs="Arial" w:eastAsia="Arial" w:hAnsi="Arial"/>
          <w:sz w:val="18"/>
          <w:szCs w:val="18"/>
          <w:color w:val="auto"/>
        </w:rPr>
      </w:pPr>
    </w:p>
    <w:p>
      <w:pPr>
        <w:ind w:left="340" w:right="28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Reconciliation of Net Income to EBITDA and Adjusted EBITDA. </w:t>
      </w:r>
      <w:r>
        <w:rPr>
          <w:rFonts w:ascii="Arial" w:cs="Arial" w:eastAsia="Arial" w:hAnsi="Arial"/>
          <w:sz w:val="18"/>
          <w:szCs w:val="18"/>
          <w:color w:val="auto"/>
        </w:rPr>
        <w:t>The following table reconciles net income to EBITDA and Adjusted EBITDA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indicated periods.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Actual</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4"/>
          </w:tcPr>
          <w:p>
            <w:pPr>
              <w:jc w:val="right"/>
              <w:ind w:right="65"/>
              <w:spacing w:after="0"/>
              <w:rPr>
                <w:sz w:val="20"/>
                <w:szCs w:val="20"/>
                <w:color w:val="auto"/>
              </w:rPr>
            </w:pPr>
            <w:r>
              <w:rPr>
                <w:rFonts w:ascii="Arial" w:cs="Arial" w:eastAsia="Arial" w:hAnsi="Arial"/>
                <w:sz w:val="14"/>
                <w:szCs w:val="14"/>
                <w:b w:val="1"/>
                <w:bCs w:val="1"/>
                <w:color w:val="auto"/>
              </w:rPr>
              <w:t>Guidance</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77"/>
              <w:spacing w:after="0" w:line="119" w:lineRule="exact"/>
              <w:rPr>
                <w:sz w:val="20"/>
                <w:szCs w:val="20"/>
                <w:color w:val="auto"/>
              </w:rPr>
            </w:pPr>
            <w:r>
              <w:rPr>
                <w:rFonts w:ascii="Arial" w:cs="Arial" w:eastAsia="Arial" w:hAnsi="Arial"/>
                <w:sz w:val="13"/>
                <w:szCs w:val="13"/>
                <w:b w:val="1"/>
                <w:bCs w:val="1"/>
                <w:color w:val="auto"/>
              </w:rPr>
              <w:t>9 Months</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3 Months Ending</w:t>
            </w:r>
          </w:p>
        </w:tc>
        <w:tc>
          <w:tcPr>
            <w:tcW w:w="7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260" w:type="dxa"/>
            <w:vAlign w:val="bottom"/>
            <w:tcBorders>
              <w:top w:val="single" w:sz="8" w:color="auto"/>
            </w:tcBorders>
            <w:gridSpan w:val="5"/>
          </w:tcPr>
          <w:p>
            <w:pPr>
              <w:jc w:val="right"/>
              <w:ind w:right="632"/>
              <w:spacing w:after="0" w:line="119" w:lineRule="exact"/>
              <w:rPr>
                <w:sz w:val="20"/>
                <w:szCs w:val="20"/>
                <w:color w:val="auto"/>
              </w:rPr>
            </w:pPr>
            <w:r>
              <w:rPr>
                <w:rFonts w:ascii="Arial" w:cs="Arial" w:eastAsia="Arial" w:hAnsi="Arial"/>
                <w:sz w:val="13"/>
                <w:szCs w:val="13"/>
                <w:b w:val="1"/>
                <w:bCs w:val="1"/>
                <w:color w:val="auto"/>
              </w:rPr>
              <w:t>12 Months Ending</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4"/>
                <w:szCs w:val="14"/>
                <w:b w:val="1"/>
                <w:bCs w:val="1"/>
                <w:color w:val="auto"/>
              </w:rPr>
              <w:t>Dec 31, 2015</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Dec 31, 2015</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0"/>
              </w:rPr>
              <w:t>Sep 30, 2015</w:t>
            </w: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Low</w:t>
            </w: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w w:val="96"/>
              </w:rPr>
              <w:t>High</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Low</w:t>
            </w: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to EBITDA and Adjusted EBITDA</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659</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294</w:t>
            </w:r>
          </w:p>
        </w:tc>
        <w:tc>
          <w:tcPr>
            <w:tcW w:w="400" w:type="dxa"/>
            <w:vAlign w:val="bottom"/>
          </w:tcPr>
          <w:p>
            <w:pPr>
              <w:jc w:val="right"/>
              <w:ind w:right="214"/>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366</w:t>
            </w:r>
          </w:p>
        </w:tc>
        <w:tc>
          <w:tcPr>
            <w:tcW w:w="4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953</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EBITDA</w:t>
            </w:r>
          </w:p>
        </w:tc>
        <w:tc>
          <w:tcPr>
            <w:tcW w:w="2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28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w w:val="98"/>
              </w:rPr>
              <w:t>Selected Items Impacting Comparability of EBITDA</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8</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i w:val="1"/>
          <w:iCs w:val="1"/>
          <w:color w:val="auto"/>
        </w:rPr>
        <w:t>Implied DCF.</w:t>
      </w:r>
      <w:r>
        <w:rPr>
          <w:rFonts w:ascii="Arial" w:cs="Arial" w:eastAsia="Arial" w:hAnsi="Arial"/>
          <w:sz w:val="18"/>
          <w:szCs w:val="18"/>
          <w:color w:val="auto"/>
        </w:rPr>
        <w:t xml:space="preserve"> The following table reconciles adjusted EBITDA to implied DCF for the indicated periods.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Actual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2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Mid-Point Guidance</w:t>
            </w:r>
          </w:p>
        </w:tc>
      </w:tr>
      <w:tr>
        <w:trPr>
          <w:trHeight w:val="119"/>
        </w:trPr>
        <w:tc>
          <w:tcPr>
            <w:tcW w:w="35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98"/>
              <w:spacing w:after="0" w:line="119" w:lineRule="exact"/>
              <w:rPr>
                <w:sz w:val="20"/>
                <w:szCs w:val="20"/>
                <w:color w:val="auto"/>
              </w:rPr>
            </w:pPr>
            <w:r>
              <w:rPr>
                <w:rFonts w:ascii="Arial" w:cs="Arial" w:eastAsia="Arial" w:hAnsi="Arial"/>
                <w:sz w:val="13"/>
                <w:szCs w:val="13"/>
                <w:b w:val="1"/>
                <w:bCs w:val="1"/>
                <w:color w:val="auto"/>
              </w:rPr>
              <w:t>Nine Months</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Three Months</w:t>
            </w: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77"/>
              <w:spacing w:after="0" w:line="119" w:lineRule="exact"/>
              <w:rPr>
                <w:sz w:val="20"/>
                <w:szCs w:val="20"/>
                <w:color w:val="auto"/>
              </w:rPr>
            </w:pPr>
            <w:r>
              <w:rPr>
                <w:rFonts w:ascii="Arial" w:cs="Arial" w:eastAsia="Arial" w:hAnsi="Arial"/>
                <w:sz w:val="13"/>
                <w:szCs w:val="13"/>
                <w:b w:val="1"/>
                <w:bCs w:val="1"/>
                <w:color w:val="auto"/>
                <w:w w:val="98"/>
              </w:rPr>
              <w:t>Twelve Months</w:t>
            </w:r>
          </w:p>
        </w:tc>
        <w:tc>
          <w:tcPr>
            <w:tcW w:w="100" w:type="dxa"/>
            <w:vAlign w:val="bottom"/>
            <w:gridSpan w:val="2"/>
          </w:tcPr>
          <w:p>
            <w:pPr>
              <w:spacing w:after="0"/>
              <w:rPr>
                <w:sz w:val="10"/>
                <w:szCs w:val="10"/>
                <w:color w:val="auto"/>
              </w:rPr>
            </w:pPr>
          </w:p>
        </w:tc>
      </w:tr>
      <w:tr>
        <w:trPr>
          <w:trHeight w:val="149"/>
        </w:trPr>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Ending</w:t>
            </w:r>
          </w:p>
        </w:tc>
        <w:tc>
          <w:tcPr>
            <w:tcW w:w="160" w:type="dxa"/>
            <w:vAlign w:val="bottom"/>
          </w:tcPr>
          <w:p>
            <w:pPr>
              <w:spacing w:after="0"/>
              <w:rPr>
                <w:sz w:val="12"/>
                <w:szCs w:val="12"/>
                <w:color w:val="auto"/>
              </w:rPr>
            </w:pPr>
          </w:p>
        </w:tc>
        <w:tc>
          <w:tcPr>
            <w:tcW w:w="13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Ending</w:t>
            </w:r>
          </w:p>
        </w:tc>
      </w:tr>
      <w:tr>
        <w:trPr>
          <w:trHeight w:val="171"/>
        </w:trPr>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Sep 30, 2015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Dec 31, 2015</w:t>
            </w:r>
          </w:p>
        </w:tc>
        <w:tc>
          <w:tcPr>
            <w:tcW w:w="16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Dec 31, 2015</w:t>
            </w:r>
          </w:p>
        </w:tc>
      </w:tr>
      <w:tr>
        <w:trPr>
          <w:trHeight w:val="142"/>
        </w:trPr>
        <w:tc>
          <w:tcPr>
            <w:tcW w:w="35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1,605</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2,200</w:t>
            </w:r>
          </w:p>
        </w:tc>
        <w:tc>
          <w:tcPr>
            <w:tcW w:w="80" w:type="dxa"/>
            <w:vAlign w:val="bottom"/>
            <w:shd w:val="clear" w:color="auto" w:fill="CCEEFF"/>
          </w:tcPr>
          <w:p>
            <w:pPr>
              <w:spacing w:after="0"/>
              <w:rPr>
                <w:sz w:val="18"/>
                <w:szCs w:val="18"/>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(422)</w:t>
            </w: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 capital expenditures</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Current income tax expense</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r>
      <w:tr>
        <w:trPr>
          <w:trHeight w:val="210"/>
        </w:trPr>
        <w:tc>
          <w:tcPr>
            <w:tcW w:w="3560" w:type="dxa"/>
            <w:vAlign w:val="bottom"/>
          </w:tcPr>
          <w:p>
            <w:pPr>
              <w:spacing w:after="0" w:line="210"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3"/>
                <w:szCs w:val="23"/>
                <w:color w:val="auto"/>
                <w:vertAlign w:val="superscript"/>
              </w:rPr>
              <w:t>(1)</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00" w:right="540" w:hanging="320"/>
        <w:spacing w:after="0" w:line="227" w:lineRule="auto"/>
        <w:tabs>
          <w:tab w:leader="none" w:pos="1287"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Including costs of $65 million related to our Line 901 incident that occurred during May 2015, Implied DCF would have been $1,023 million for the nine months ended September 30, 2015.</w:t>
      </w:r>
    </w:p>
    <w:p>
      <w:pPr>
        <w:sectPr>
          <w:pgSz w:w="11900" w:h="16838" w:orient="portrait"/>
          <w:cols w:equalWidth="0" w:num="1">
            <w:col w:w="11460"/>
          </w:cols>
          <w:pgMar w:left="240" w:top="125" w:right="199" w:bottom="260" w:gutter="0" w:footer="0" w:header="0"/>
        </w:sect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26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 and Associated Risks</w:t>
      </w:r>
    </w:p>
    <w:p>
      <w:pPr>
        <w:spacing w:after="0" w:line="229" w:lineRule="exact"/>
        <w:rPr>
          <w:sz w:val="20"/>
          <w:szCs w:val="20"/>
          <w:color w:val="auto"/>
        </w:rPr>
      </w:pPr>
    </w:p>
    <w:p>
      <w:pPr>
        <w:ind w:firstLine="285"/>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growth projects;</w:t>
      </w:r>
    </w:p>
    <w:p>
      <w:pPr>
        <w:spacing w:after="0" w:line="225" w:lineRule="exact"/>
        <w:rPr>
          <w:rFonts w:ascii="Arial" w:cs="Arial" w:eastAsia="Arial" w:hAnsi="Arial"/>
          <w:sz w:val="18"/>
          <w:szCs w:val="18"/>
          <w:color w:val="auto"/>
        </w:rPr>
      </w:pPr>
    </w:p>
    <w:p>
      <w:pPr>
        <w:jc w:val="both"/>
        <w:ind w:left="340" w:right="80" w:hanging="332"/>
        <w:spacing w:after="0" w:line="286" w:lineRule="auto"/>
        <w:tabs>
          <w:tab w:leader="none" w:pos="304"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65" w:lineRule="exact"/>
        <w:rPr>
          <w:rFonts w:ascii="Arial" w:cs="Arial" w:eastAsia="Arial" w:hAnsi="Arial"/>
          <w:sz w:val="17"/>
          <w:szCs w:val="17"/>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340" w:right="240" w:hanging="332"/>
        <w:spacing w:after="0" w:line="277" w:lineRule="auto"/>
        <w:tabs>
          <w:tab w:leader="none" w:pos="3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or other event, including attacks on our electronic and computer systems;</w:t>
      </w:r>
    </w:p>
    <w:p>
      <w:pPr>
        <w:spacing w:after="0" w:line="225" w:lineRule="exact"/>
        <w:rPr>
          <w:rFonts w:ascii="Arial" w:cs="Arial" w:eastAsia="Arial" w:hAnsi="Arial"/>
          <w:sz w:val="18"/>
          <w:szCs w:val="18"/>
          <w:color w:val="auto"/>
        </w:rPr>
      </w:pPr>
    </w:p>
    <w:p>
      <w:pPr>
        <w:ind w:left="340" w:right="300" w:hanging="332"/>
        <w:spacing w:after="0" w:line="308" w:lineRule="auto"/>
        <w:tabs>
          <w:tab w:leader="none" w:pos="30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46" w:lineRule="exact"/>
        <w:rPr>
          <w:rFonts w:ascii="Arial" w:cs="Arial" w:eastAsia="Arial" w:hAnsi="Arial"/>
          <w:sz w:val="17"/>
          <w:szCs w:val="17"/>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continued creditworthiness of, and performance by, our counterparties, including financial institutions and trading companies with which we do business;</w:t>
      </w:r>
    </w:p>
    <w:p>
      <w:pPr>
        <w:spacing w:after="0" w:line="248" w:lineRule="exact"/>
        <w:rPr>
          <w:rFonts w:ascii="Arial" w:cs="Arial" w:eastAsia="Arial" w:hAnsi="Arial"/>
          <w:sz w:val="16"/>
          <w:szCs w:val="16"/>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340" w:right="360" w:hanging="332"/>
        <w:spacing w:after="0" w:line="277" w:lineRule="auto"/>
        <w:tabs>
          <w:tab w:leader="none" w:pos="3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assets, including our ability to satisfy our contractual obligations to our customers;</w:t>
      </w:r>
    </w:p>
    <w:p>
      <w:pPr>
        <w:spacing w:after="0" w:line="225" w:lineRule="exact"/>
        <w:rPr>
          <w:rFonts w:ascii="Arial" w:cs="Arial" w:eastAsia="Arial" w:hAnsi="Arial"/>
          <w:sz w:val="18"/>
          <w:szCs w:val="18"/>
          <w:color w:val="auto"/>
        </w:rPr>
      </w:pPr>
    </w:p>
    <w:p>
      <w:pPr>
        <w:ind w:left="340" w:right="660" w:hanging="332"/>
        <w:spacing w:after="0" w:line="277" w:lineRule="auto"/>
        <w:tabs>
          <w:tab w:leader="none" w:pos="3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340" w:right="680" w:hanging="332"/>
        <w:spacing w:after="0" w:line="277" w:lineRule="auto"/>
        <w:tabs>
          <w:tab w:leader="none" w:pos="3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340" w:right="480" w:hanging="332"/>
        <w:spacing w:after="0" w:line="277" w:lineRule="auto"/>
        <w:tabs>
          <w:tab w:leader="none" w:pos="3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337" w:right="279" w:bottom="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229" w:lineRule="exact"/>
        <w:rPr>
          <w:sz w:val="20"/>
          <w:szCs w:val="20"/>
          <w:color w:val="auto"/>
        </w:rPr>
      </w:pPr>
    </w:p>
    <w:p>
      <w:pPr>
        <w:ind w:right="880" w:firstLine="28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720" w:type="dxa"/>
            <w:vAlign w:val="bottom"/>
            <w:gridSpan w:val="2"/>
          </w:tcPr>
          <w:p>
            <w:pPr>
              <w:ind w:left="214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4"/>
                <w:szCs w:val="24"/>
                <w:color w:val="auto"/>
              </w:rPr>
            </w:pPr>
          </w:p>
        </w:tc>
        <w:tc>
          <w:tcPr>
            <w:tcW w:w="2760" w:type="dxa"/>
            <w:vAlign w:val="bottom"/>
          </w:tcPr>
          <w:p>
            <w:pPr>
              <w:ind w:left="214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700" w:type="dxa"/>
            <w:vAlign w:val="bottom"/>
          </w:tcPr>
          <w:p>
            <w:pPr>
              <w:spacing w:after="0"/>
              <w:rPr>
                <w:sz w:val="24"/>
                <w:szCs w:val="24"/>
                <w:color w:val="auto"/>
              </w:rPr>
            </w:pPr>
          </w:p>
        </w:tc>
        <w:tc>
          <w:tcPr>
            <w:tcW w:w="2760" w:type="dxa"/>
            <w:vAlign w:val="bottom"/>
          </w:tcPr>
          <w:p>
            <w:pPr>
              <w:ind w:left="214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PLAINS AAP, L. P., its sole member</w:t>
            </w:r>
          </w:p>
        </w:tc>
        <w:tc>
          <w:tcPr>
            <w:tcW w:w="40" w:type="dxa"/>
            <w:vAlign w:val="bottom"/>
          </w:tcPr>
          <w:p>
            <w:pPr>
              <w:spacing w:after="0"/>
              <w:rPr>
                <w:sz w:val="24"/>
                <w:szCs w:val="24"/>
                <w:color w:val="auto"/>
              </w:rPr>
            </w:pPr>
          </w:p>
        </w:tc>
      </w:tr>
      <w:tr>
        <w:trPr>
          <w:trHeight w:val="432"/>
        </w:trPr>
        <w:tc>
          <w:tcPr>
            <w:tcW w:w="3700" w:type="dxa"/>
            <w:vAlign w:val="bottom"/>
          </w:tcPr>
          <w:p>
            <w:pPr>
              <w:spacing w:after="0"/>
              <w:rPr>
                <w:sz w:val="24"/>
                <w:szCs w:val="24"/>
                <w:color w:val="auto"/>
              </w:rPr>
            </w:pPr>
          </w:p>
        </w:tc>
        <w:tc>
          <w:tcPr>
            <w:tcW w:w="2760" w:type="dxa"/>
            <w:vAlign w:val="bottom"/>
          </w:tcPr>
          <w:p>
            <w:pPr>
              <w:ind w:left="214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3, 2015</w:t>
            </w:r>
          </w:p>
        </w:tc>
        <w:tc>
          <w:tcPr>
            <w:tcW w:w="2760" w:type="dxa"/>
            <w:vAlign w:val="bottom"/>
          </w:tcPr>
          <w:p>
            <w:pPr>
              <w:ind w:left="21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Spurlin</w:t>
            </w:r>
          </w:p>
        </w:tc>
        <w:tc>
          <w:tcPr>
            <w:tcW w:w="40" w:type="dxa"/>
            <w:vAlign w:val="bottom"/>
          </w:tcPr>
          <w:p>
            <w:pPr>
              <w:spacing w:after="0"/>
              <w:rPr>
                <w:sz w:val="24"/>
                <w:szCs w:val="24"/>
                <w:color w:val="auto"/>
              </w:rPr>
            </w:pPr>
          </w:p>
        </w:tc>
      </w:tr>
      <w:tr>
        <w:trPr>
          <w:trHeight w:val="195"/>
        </w:trPr>
        <w:tc>
          <w:tcPr>
            <w:tcW w:w="37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Sharon Spurlin</w:t>
            </w:r>
          </w:p>
        </w:tc>
        <w:tc>
          <w:tcPr>
            <w:tcW w:w="40" w:type="dxa"/>
            <w:vAlign w:val="bottom"/>
          </w:tcPr>
          <w:p>
            <w:pPr>
              <w:spacing w:after="0"/>
              <w:rPr>
                <w:sz w:val="16"/>
                <w:szCs w:val="16"/>
                <w:color w:val="auto"/>
              </w:rPr>
            </w:pPr>
          </w:p>
        </w:tc>
      </w:tr>
      <w:tr>
        <w:trPr>
          <w:trHeight w:val="230"/>
        </w:trPr>
        <w:tc>
          <w:tcPr>
            <w:tcW w:w="37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Vice President and Treasurer</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4"/>
                <w:szCs w:val="24"/>
                <w:color w:val="auto"/>
              </w:rPr>
            </w:pPr>
          </w:p>
        </w:tc>
        <w:tc>
          <w:tcPr>
            <w:tcW w:w="2760" w:type="dxa"/>
            <w:vAlign w:val="bottom"/>
          </w:tcPr>
          <w:p>
            <w:pPr>
              <w:ind w:left="1920"/>
              <w:spacing w:after="0"/>
              <w:rPr>
                <w:sz w:val="20"/>
                <w:szCs w:val="20"/>
                <w:color w:val="auto"/>
              </w:rPr>
            </w:pPr>
            <w:r>
              <w:rPr>
                <w:rFonts w:ascii="Arial" w:cs="Arial" w:eastAsia="Arial" w:hAnsi="Arial"/>
                <w:sz w:val="18"/>
                <w:szCs w:val="18"/>
                <w:color w:val="auto"/>
              </w:rPr>
              <w:t>12</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00" w:type="dxa"/>
            <w:vAlign w:val="bottom"/>
            <w:tcBorders>
              <w:bottom w:val="single" w:sz="8" w:color="808080"/>
            </w:tcBorders>
          </w:tcPr>
          <w:p>
            <w:pPr>
              <w:spacing w:after="0"/>
              <w:rPr>
                <w:sz w:val="11"/>
                <w:szCs w:val="11"/>
                <w:color w:val="auto"/>
              </w:rPr>
            </w:pPr>
          </w:p>
        </w:tc>
        <w:tc>
          <w:tcPr>
            <w:tcW w:w="276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729" w:right="199" w:bottom="1440" w:gutter="0" w:footer="0" w:header="0"/>
        </w:sectPr>
      </w:pPr>
    </w:p>
    <w:bookmarkStart w:id="8" w:name="page9"/>
    <w:bookmarkEnd w:id="8"/>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154940</wp:posOffset>
            </wp:positionV>
            <wp:extent cx="6174740" cy="728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474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Third-Quarter 2015 Results</w:t>
      </w:r>
    </w:p>
    <w:p>
      <w:pPr>
        <w:spacing w:after="0" w:line="229" w:lineRule="exact"/>
        <w:rPr>
          <w:sz w:val="20"/>
          <w:szCs w:val="20"/>
          <w:color w:val="auto"/>
        </w:rPr>
      </w:pPr>
    </w:p>
    <w:p>
      <w:pPr>
        <w:ind w:right="300" w:firstLine="689"/>
        <w:spacing w:after="0" w:line="277" w:lineRule="auto"/>
        <w:rPr>
          <w:sz w:val="20"/>
          <w:szCs w:val="20"/>
          <w:color w:val="auto"/>
        </w:rPr>
      </w:pPr>
      <w:r>
        <w:rPr>
          <w:rFonts w:ascii="Arial" w:cs="Arial" w:eastAsia="Arial" w:hAnsi="Arial"/>
          <w:sz w:val="18"/>
          <w:szCs w:val="18"/>
          <w:color w:val="auto"/>
        </w:rPr>
        <w:t>(Houston — November 3, 2015) Plains All American Pipeline, L.P. (NYSE: PAA) and Plains GP Holdings (NYSE: PAGP) today reported third-quarter 2015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4"/>
          </w:tcPr>
          <w:p>
            <w:pPr>
              <w:jc w:val="center"/>
              <w:ind w:left="318"/>
              <w:spacing w:after="0"/>
              <w:rPr>
                <w:sz w:val="20"/>
                <w:szCs w:val="20"/>
                <w:color w:val="auto"/>
              </w:rPr>
            </w:pPr>
            <w:r>
              <w:rPr>
                <w:rFonts w:ascii="Arial" w:cs="Arial" w:eastAsia="Arial" w:hAnsi="Arial"/>
                <w:sz w:val="14"/>
                <w:szCs w:val="14"/>
                <w:b w:val="1"/>
                <w:bCs w:val="1"/>
                <w:color w:val="auto"/>
                <w:w w:val="91"/>
              </w:rPr>
              <w:t>September 30,</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83"/>
              </w:rPr>
              <w:t>2014</w:t>
            </w:r>
          </w:p>
        </w:tc>
        <w:tc>
          <w:tcPr>
            <w:tcW w:w="240" w:type="dxa"/>
            <w:vAlign w:val="bottom"/>
          </w:tcPr>
          <w:p>
            <w:pPr>
              <w:spacing w:after="0"/>
              <w:rPr>
                <w:sz w:val="12"/>
                <w:szCs w:val="12"/>
                <w:color w:val="auto"/>
              </w:rPr>
            </w:pPr>
          </w:p>
        </w:tc>
        <w:tc>
          <w:tcPr>
            <w:tcW w:w="114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Change</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02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0.52</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weighted average limited partner units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526</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1,625</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4"/>
          </w:tcPr>
          <w:p>
            <w:pPr>
              <w:jc w:val="center"/>
              <w:ind w:left="318"/>
              <w:spacing w:after="0"/>
              <w:rPr>
                <w:sz w:val="20"/>
                <w:szCs w:val="20"/>
                <w:color w:val="auto"/>
              </w:rPr>
            </w:pPr>
            <w:r>
              <w:rPr>
                <w:rFonts w:ascii="Arial" w:cs="Arial" w:eastAsia="Arial" w:hAnsi="Arial"/>
                <w:sz w:val="14"/>
                <w:szCs w:val="14"/>
                <w:b w:val="1"/>
                <w:bCs w:val="1"/>
                <w:color w:val="auto"/>
                <w:w w:val="91"/>
              </w:rPr>
              <w:t>September 30,</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83"/>
              </w:rPr>
              <w:t>2014</w:t>
            </w:r>
          </w:p>
        </w:tc>
        <w:tc>
          <w:tcPr>
            <w:tcW w:w="240" w:type="dxa"/>
            <w:vAlign w:val="bottom"/>
          </w:tcPr>
          <w:p>
            <w:pPr>
              <w:spacing w:after="0"/>
              <w:rPr>
                <w:sz w:val="12"/>
                <w:szCs w:val="12"/>
                <w:color w:val="auto"/>
              </w:rPr>
            </w:pPr>
          </w:p>
        </w:tc>
        <w:tc>
          <w:tcPr>
            <w:tcW w:w="114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Change</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02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limited partner unit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0.53</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527</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1,606</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Distribution per limited partner unit declared for the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period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0.700</w:t>
            </w:r>
          </w:p>
        </w:tc>
        <w:tc>
          <w:tcPr>
            <w:tcW w:w="1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0.660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0" w:hanging="652"/>
        <w:spacing w:after="0"/>
        <w:tabs>
          <w:tab w:leader="none" w:pos="64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20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“PAA reported third quarter results with adjusted EBITDA of $497 million, which was $17 million above the mid-point of our quarterly guidance range,” said Greg Armstrong, Chairman and CEO of Plains All American. “PAA will pay a quarterly distribution of $0.70 per limited partner unit next week, which is the equivalent of $2.80 per unit on an annualized basis, while PAGP will pay a quarterly distribution of $0.231 per Class A share, or $0.924 per share on an annualized basis. These distributions represent a 6.1% and 21.1% increase over comparative distributions paid in the same quarter of 2014,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remain constructive on the intermediate to long-term outlook for crude oil prices, activity levels, and PAA’s growth prospects. In the near term we remain cautious due to the impacts of excess capacity and related competitive pressures, and our fourth quarter guidance reflects our most current view of the near term environment,” said Armstrong. “PAA has a solid financial position with over $3 billion of liquidity and numerous capital projects scheduled to come on line or ramp up activity levels over the next 18 months that will contribute meaningfully to our cash flow. Accordingly, we believe PAA is well positioned to manage through the near term challenges and prosper over the intermediate to long term.”</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selected PAA financial information by segment for the third quarter and nine months ending September 30, 2015:</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w:t>
      </w:r>
    </w:p>
    <w:p>
      <w:pPr>
        <w:sectPr>
          <w:pgSz w:w="11900" w:h="16900" w:orient="portrait"/>
          <w:cols w:equalWidth="0" w:num="1">
            <w:col w:w="11420"/>
          </w:cols>
          <w:pgMar w:left="240" w:top="121" w:right="239" w:bottom="0" w:gutter="0" w:footer="0" w:header="0"/>
        </w:sectPr>
      </w:pPr>
    </w:p>
    <w:p>
      <w:pPr>
        <w:spacing w:after="0" w:line="188" w:lineRule="exact"/>
        <w:rPr>
          <w:sz w:val="20"/>
          <w:szCs w:val="20"/>
          <w:color w:val="auto"/>
        </w:rPr>
      </w:pPr>
    </w:p>
    <w:tbl>
      <w:tblPr>
        <w:tblLayout w:type="fixed"/>
        <w:tblInd w:w="3100" w:type="dxa"/>
        <w:tblCellMar>
          <w:top w:w="0" w:type="dxa"/>
          <w:left w:w="0" w:type="dxa"/>
          <w:bottom w:w="0" w:type="dxa"/>
          <w:right w:w="0" w:type="dxa"/>
        </w:tblCellMar>
      </w:tblPr>
      <w:tr>
        <w:trPr>
          <w:trHeight w:val="161"/>
        </w:trPr>
        <w:tc>
          <w:tcPr>
            <w:tcW w:w="45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Three Months Ended</w:t>
            </w:r>
          </w:p>
        </w:tc>
        <w:tc>
          <w:tcPr>
            <w:tcW w:w="3700" w:type="dxa"/>
            <w:vAlign w:val="bottom"/>
          </w:tcPr>
          <w:p>
            <w:pPr>
              <w:jc w:val="center"/>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 2015</w:t>
            </w:r>
          </w:p>
        </w:tc>
        <w:tc>
          <w:tcPr>
            <w:tcW w:w="720" w:type="dxa"/>
            <w:vAlign w:val="bottom"/>
          </w:tcPr>
          <w:p>
            <w:pPr>
              <w:spacing w:after="0"/>
              <w:rPr>
                <w:sz w:val="14"/>
                <w:szCs w:val="14"/>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 2014</w:t>
            </w:r>
          </w:p>
        </w:tc>
      </w:tr>
    </w:tbl>
    <w:p>
      <w:pPr>
        <w:spacing w:after="0" w:line="20" w:lineRule="exact"/>
        <w:rPr>
          <w:sz w:val="20"/>
          <w:szCs w:val="20"/>
          <w:color w:val="auto"/>
        </w:rPr>
      </w:pPr>
    </w:p>
    <w:p>
      <w:pPr>
        <w:sectPr>
          <w:pgSz w:w="11900" w:h="16900" w:orient="portrait"/>
          <w:cols w:equalWidth="0" w:num="1">
            <w:col w:w="11420"/>
          </w:cols>
          <w:pgMar w:left="240" w:top="121" w:right="23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Transportation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Facilities</w:t>
            </w:r>
          </w:p>
        </w:tc>
        <w:tc>
          <w:tcPr>
            <w:tcW w:w="140" w:type="dxa"/>
            <w:vAlign w:val="bottom"/>
          </w:tcPr>
          <w:p>
            <w:pPr>
              <w:spacing w:after="0"/>
              <w:rPr>
                <w:sz w:val="14"/>
                <w:szCs w:val="14"/>
                <w:color w:val="auto"/>
              </w:rPr>
            </w:pPr>
          </w:p>
        </w:tc>
        <w:tc>
          <w:tcPr>
            <w:tcW w:w="128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2"/>
              </w:rPr>
              <w:t>Supply and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Transportation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Supply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7"/>
              </w:rPr>
              <w:t>Logistics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8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Selected items impacting comparability</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of segment profit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128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i w:val="1"/>
                <w:iCs w:val="1"/>
                <w:color w:val="auto"/>
              </w:rPr>
              <w:t>253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i w:val="1"/>
                <w:iCs w:val="1"/>
                <w:color w:val="auto"/>
              </w:rPr>
              <w:t>148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95</w:t>
            </w:r>
          </w:p>
        </w:tc>
        <w:tc>
          <w:tcPr>
            <w:tcW w:w="380" w:type="dxa"/>
            <w:vAlign w:val="bottom"/>
            <w:tcBorders>
              <w:right w:val="single" w:sz="8" w:color="auto"/>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237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149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88"/>
              </w:rPr>
              <w:t>Percentage change in adjusted segment</w:t>
            </w:r>
          </w:p>
        </w:tc>
        <w:tc>
          <w:tcPr>
            <w:tcW w:w="16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i w:val="1"/>
                <w:iCs w:val="1"/>
                <w:color w:val="auto"/>
              </w:rPr>
              <w:t>(1)%</w:t>
            </w:r>
          </w:p>
        </w:tc>
        <w:tc>
          <w:tcPr>
            <w:tcW w:w="140" w:type="dxa"/>
            <w:vAlign w:val="bottom"/>
            <w:shd w:val="clear" w:color="auto" w:fill="CCEEFF"/>
          </w:tcPr>
          <w:p>
            <w:pPr>
              <w:spacing w:after="0"/>
              <w:rPr>
                <w:sz w:val="17"/>
                <w:szCs w:val="17"/>
                <w:color w:val="auto"/>
              </w:rPr>
            </w:pPr>
          </w:p>
        </w:tc>
        <w:tc>
          <w:tcPr>
            <w:tcW w:w="12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i w:val="1"/>
                <w:iCs w:val="1"/>
                <w:color w:val="auto"/>
              </w:rPr>
              <w:t>(33)%</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profit versus 2014 period</w:t>
            </w:r>
          </w:p>
        </w:tc>
        <w:tc>
          <w:tcPr>
            <w:tcW w:w="16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tcPr>
          <w:p>
            <w:pPr>
              <w:ind w:left="108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rPr>
              <w:t>September 30, 2015</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ind w:left="1100"/>
              <w:spacing w:after="0"/>
              <w:rPr>
                <w:sz w:val="20"/>
                <w:szCs w:val="20"/>
                <w:color w:val="auto"/>
              </w:rPr>
            </w:pPr>
            <w:r>
              <w:rPr>
                <w:rFonts w:ascii="Arial" w:cs="Arial" w:eastAsia="Arial" w:hAnsi="Arial"/>
                <w:sz w:val="14"/>
                <w:szCs w:val="14"/>
                <w:b w:val="1"/>
                <w:bCs w:val="1"/>
                <w:color w:val="auto"/>
              </w:rPr>
              <w:t>September 30, 2014</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9"/>
              </w:rPr>
              <w:t>Transportation</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6"/>
              </w:rPr>
              <w:t>Facilities</w:t>
            </w:r>
          </w:p>
        </w:tc>
        <w:tc>
          <w:tcPr>
            <w:tcW w:w="140" w:type="dxa"/>
            <w:vAlign w:val="bottom"/>
          </w:tcPr>
          <w:p>
            <w:pPr>
              <w:spacing w:after="0"/>
              <w:rPr>
                <w:sz w:val="10"/>
                <w:szCs w:val="10"/>
                <w:color w:val="auto"/>
              </w:rPr>
            </w:pPr>
          </w:p>
        </w:tc>
        <w:tc>
          <w:tcPr>
            <w:tcW w:w="90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w w:val="99"/>
              </w:rPr>
              <w:t>Supply and</w:t>
            </w:r>
          </w:p>
        </w:tc>
        <w:tc>
          <w:tcPr>
            <w:tcW w:w="38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Transportation</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7"/>
              </w:rPr>
              <w:t>Logistics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38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Selected items impacting comparability</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of segment profit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0"/>
                <w:szCs w:val="20"/>
                <w:color w:val="auto"/>
              </w:rPr>
            </w:pPr>
          </w:p>
        </w:tc>
        <w:tc>
          <w:tcPr>
            <w:tcW w:w="128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152</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i w:val="1"/>
                <w:iCs w:val="1"/>
                <w:color w:val="auto"/>
              </w:rPr>
              <w:t>755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i w:val="1"/>
                <w:iCs w:val="1"/>
                <w:color w:val="auto"/>
              </w:rPr>
              <w:t>439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79"/>
              </w:rPr>
              <w:t>$</w:t>
            </w:r>
          </w:p>
        </w:tc>
        <w:tc>
          <w:tcPr>
            <w:tcW w:w="128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b w:val="1"/>
                <w:bCs w:val="1"/>
                <w:i w:val="1"/>
                <w:iCs w:val="1"/>
                <w:color w:val="auto"/>
              </w:rPr>
              <w:t>410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680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446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88"/>
              </w:rPr>
              <w:t>Percentage change in adjusted segment</w:t>
            </w:r>
          </w:p>
        </w:tc>
        <w:tc>
          <w:tcPr>
            <w:tcW w:w="16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11%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i w:val="1"/>
                <w:iCs w:val="1"/>
                <w:color w:val="auto"/>
              </w:rPr>
              <w:t>(2)%</w:t>
            </w:r>
          </w:p>
        </w:tc>
        <w:tc>
          <w:tcPr>
            <w:tcW w:w="140" w:type="dxa"/>
            <w:vAlign w:val="bottom"/>
            <w:shd w:val="clear" w:color="auto" w:fill="CCEEFF"/>
          </w:tcPr>
          <w:p>
            <w:pPr>
              <w:spacing w:after="0"/>
              <w:rPr>
                <w:sz w:val="17"/>
                <w:szCs w:val="17"/>
                <w:color w:val="auto"/>
              </w:rPr>
            </w:pPr>
          </w:p>
        </w:tc>
        <w:tc>
          <w:tcPr>
            <w:tcW w:w="12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i w:val="1"/>
                <w:iCs w:val="1"/>
                <w:color w:val="auto"/>
              </w:rPr>
              <w:t>(14)%</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profit versus 2014 period</w:t>
            </w:r>
          </w:p>
        </w:tc>
        <w:tc>
          <w:tcPr>
            <w:tcW w:w="16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04"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200" w:hanging="11"/>
        <w:spacing w:after="0" w:line="254" w:lineRule="auto"/>
        <w:rPr>
          <w:sz w:val="20"/>
          <w:szCs w:val="20"/>
          <w:color w:val="auto"/>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non-GAAP financial measures may not be impacted by each of the selected items impacting comparability.</w:t>
      </w:r>
    </w:p>
    <w:p>
      <w:pPr>
        <w:spacing w:after="0" w:line="200" w:lineRule="exact"/>
        <w:rPr>
          <w:sz w:val="20"/>
          <w:szCs w:val="20"/>
          <w:color w:val="auto"/>
        </w:rPr>
      </w:pPr>
    </w:p>
    <w:p>
      <w:pPr>
        <w:sectPr>
          <w:pgSz w:w="11900" w:h="16838" w:orient="portrait"/>
          <w:cols w:equalWidth="0" w:num="2">
            <w:col w:w="140" w:space="500"/>
            <w:col w:w="10780"/>
          </w:cols>
          <w:pgMar w:left="240" w:top="104" w:right="239" w:bottom="0" w:gutter="0" w:footer="0" w:header="0"/>
          <w:type w:val="continuous"/>
        </w:sectPr>
      </w:pPr>
    </w:p>
    <w:p>
      <w:pPr>
        <w:spacing w:after="0" w:line="1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Third-quarter 2015 Transportation adjusted segment profit increased by 7% over comparable 2014 results. This increase was driven by higher crude oil pipeline volumes associated with our Cactus pipeline and other recently completed organic growth projects primarily within the Permian Basin and Eagle Ford producing regions, earnings from our 50% interest in the BridgeTex pipeline and lower field operating costs. These increases were partially offset by lost revenues associated with the shutdown of our All American system in California, lower pipeline loss allowance revenues and the impact of a weaker Canadian dollar.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Third-quarter 2015 Facilities adjusted segment profit decreased by 1% versus comparable 2014 results. This decrease was primarily due to a less favorable Canadian dollar and a less favorable environment for both our rail and natural gas storage activities, which was partially offset by lower field operating costs.</w:t>
      </w:r>
    </w:p>
    <w:p>
      <w:pPr>
        <w:spacing w:after="0" w:line="181"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Third-quarter 2015 Supply and Logistics adjusted segment profit exceeded the high end of our quarterly guidance range but decreased by 33% compared to 2014 results. This decrease was primarily driven by lower margins and volumes associated with our crude oil lease gathering activities due to less favorable crude oil market conditions, partially offset by higher margins in our NGL sales activities, which benefitted from a stronger US dollar.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PAGP’s sole assets are its ownership interest in PAA’s general partner and incentive distribution rights.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Q3 2015</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Q2 2015</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Q3 2014</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10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0.231</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0.227</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0.19075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5580" w:type="dxa"/>
            <w:vAlign w:val="bottom"/>
          </w:tcPr>
          <w:p>
            <w:pPr>
              <w:spacing w:after="0"/>
              <w:rPr>
                <w:sz w:val="20"/>
                <w:szCs w:val="20"/>
                <w:color w:val="auto"/>
              </w:rPr>
            </w:pPr>
            <w:r>
              <w:rPr>
                <w:rFonts w:ascii="Arial" w:cs="Arial" w:eastAsia="Arial" w:hAnsi="Arial"/>
                <w:sz w:val="18"/>
                <w:szCs w:val="18"/>
                <w:b w:val="1"/>
                <w:bCs w:val="1"/>
                <w:color w:val="auto"/>
              </w:rPr>
              <w:t>Q3 2015 distribution percentage growth from prior periods</w:t>
            </w: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r>
      <w:tr>
        <w:trPr>
          <w:trHeight w:val="20"/>
        </w:trPr>
        <w:tc>
          <w:tcPr>
            <w:tcW w:w="5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PAA and PAGP will hold a conference call on November 4, 2015 (see details below). Prior to this conference call, PAA will furnish a current report on Form 8-K, which will include material in this news release as well as PAA’s financial and operational guidance for the fourth quarter and full year of 2015. A copy of the Form 8-K will be available at www.plainsallamerican.com, where PAA and PAGP routinely post important information.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PAA and PAGP conference call will be held at 11:00 a.m. EST on Wednesday, November 4, 2015 to discuss the following items:</w:t>
      </w:r>
    </w:p>
    <w:p>
      <w:pPr>
        <w:spacing w:after="0" w:line="225"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PAA’s third-quarter 2015 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status of major organic growth projects;</w:t>
      </w:r>
    </w:p>
    <w:p>
      <w:pPr>
        <w:spacing w:after="0" w:line="20" w:lineRule="exact"/>
        <w:rPr>
          <w:sz w:val="20"/>
          <w:szCs w:val="20"/>
          <w:color w:val="auto"/>
        </w:rPr>
      </w:pPr>
    </w:p>
    <w:p>
      <w:pPr>
        <w:sectPr>
          <w:pgSz w:w="11900" w:h="16838" w:orient="portrait"/>
          <w:cols w:equalWidth="0" w:num="1">
            <w:col w:w="11420"/>
          </w:cols>
          <w:pgMar w:left="240" w:top="104" w:right="239" w:bottom="0" w:gutter="0" w:footer="0" w:header="0"/>
          <w:type w:val="continuous"/>
        </w:sectPr>
      </w:pPr>
    </w:p>
    <w:bookmarkStart w:id="10" w:name="page11"/>
    <w:bookmarkEnd w:id="10"/>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Capitalization and liquidity;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and operating guidance for the fourth quarter and full year of 2015;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Access Instructions</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To access the Internet webcast of the conference call, please go to www.plainsallamerican.com, navigate to “Investor Relations,” select “PAA” or “PAGP,” then “News &amp; Events,” and then “Quarterly Earnings.” Following the live webcast, the call will be archived for a period of sixty (60) days on the website.</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Alternatively, access to the live conference call is available by dialing toll free (800) 230-1059. International callers should dial (612) 234-9959. No password is required. The slide presentation accompanying the conference call will be available a few minutes prior to the call at the above referenced website.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Telephonic Replay Instructions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To listen to a telephonic replay of the conference call, please dial (800) 475-6701, or (320) 365-3844 for international callers, and enter replay access code 365414. The replay will be available beginning Wednesday, November 4, 2015, at approximately 1:00 p.m. EST and will continue until 11:59 p.m. EST on December 4,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that are known as “non-GAAP financial measures” (such as adjusted EBITDA and implied distributable cash flow (“DCF”)) in its evaluation of past performance and prospects for the future.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We have defined all such items as “Selected Items Impacting Comparability.” We consider an understanding of these selected items impacting comparability to be material to the evaluation of our operating results and prospects.</w:t>
      </w:r>
    </w:p>
    <w:p>
      <w:pPr>
        <w:spacing w:after="0" w:line="18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Quarterly Report on Form 10-Q.</w:t>
      </w:r>
    </w:p>
    <w:p>
      <w:pPr>
        <w:spacing w:after="0" w:line="154" w:lineRule="exact"/>
        <w:rPr>
          <w:sz w:val="20"/>
          <w:szCs w:val="20"/>
          <w:color w:val="auto"/>
        </w:rPr>
      </w:pPr>
    </w:p>
    <w:p>
      <w:pPr>
        <w:jc w:val="both"/>
        <w:ind w:right="120" w:firstLine="648"/>
        <w:spacing w:after="0" w:line="297" w:lineRule="auto"/>
        <w:rPr>
          <w:sz w:val="20"/>
          <w:szCs w:val="20"/>
          <w:color w:val="auto"/>
        </w:rPr>
      </w:pPr>
      <w:r>
        <w:rPr>
          <w:rFonts w:ascii="Arial" w:cs="Arial" w:eastAsia="Arial" w:hAnsi="Arial"/>
          <w:sz w:val="16"/>
          <w:szCs w:val="16"/>
          <w:color w:val="auto"/>
        </w:rPr>
        <w:t>Adjusted EBITDA and other non-GAAP financial measures are reconciled to the most comparable measures as reported in accordance with GAAP for the periods presented in the tables attached to this release, and should be viewed in addition to, and not in lieu of, our Consolidated Financial Statements and notes thereto. In addition, PAA maintains on its website (www.plainsallamerican.com) a reconciliation of adjusted EBITDA and certain commonly used non-GAAP financial information to the most comparable GAAP measures. To access the information, investors should click on “PAA” under the “Investor Relations” tab on the home page, select the “Financial Information” tab and navigate to the “Non-GAAP Reconciliations” link.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failure to implement or capitalize, or delays in implementing or capitalizing, on planned growth projects; 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 the effects of competition; unanticipated changes in crude oil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w:t>
      </w:r>
    </w:p>
    <w:p>
      <w:pPr>
        <w:sectPr>
          <w:pgSz w:w="11900" w:h="16838" w:orient="portrait"/>
          <w:cols w:equalWidth="0" w:num="1">
            <w:col w:w="11400"/>
          </w:cols>
          <w:pgMar w:left="240" w:top="125" w:right="259" w:bottom="0" w:gutter="0" w:footer="0" w:header="0"/>
        </w:sectPr>
      </w:pPr>
    </w:p>
    <w:bookmarkStart w:id="11" w:name="page12"/>
    <w:bookmarkEnd w:id="11"/>
    <w:p>
      <w:pPr>
        <w:spacing w:after="0" w:line="6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various grades of crude oil, refined products and natural gas and resulting changes in pricing conditions or transportation throughput requirements; the occurrence of a natural disaster, catastrophe, terrorist attack or other event, including attacks on our electronic and computer systems;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currency exchange rate of the Canadian dollar; continued creditworthiness of, and performance by, our counterparties, including financial institutions and trading companies with which we do business; maintenance of our credit rating and ability to receive open credit from our suppliers and trade counterparties; weather interference with business operations or project construction, including the impact of extreme weather events or conditions;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increased costs, or lack of availability, of insurance; non-utilization of our assets and facilities; the effectiveness of our risk management activities; shortages or cost increases of supplies, materials or labor; the impact of current and future laws, rulings, governmental regulations, accounting standards and statements and related interpretations; fluctuations in the debt and equity markets, including the price of our units at the time of vesting under our long-term incentive plans; risks related to the development and operation of our assets, including our ability to satisfy our contractual obligations to our customers; inability to recognize current revenue attributable to deficiency payments received from customers who fail to ship or move more than minimum contracted volumes until the related credits expire or are used;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4.4 million barrels per day of crude oil and NGL in its Transportation segment. PAA is headquartered in Houston, Texas.</w:t>
      </w:r>
    </w:p>
    <w:p>
      <w:pPr>
        <w:spacing w:after="0" w:line="188"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Plains GP Holdings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76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23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left="413"/>
              <w:spacing w:after="0"/>
              <w:rPr>
                <w:sz w:val="20"/>
                <w:szCs w:val="20"/>
                <w:color w:val="auto"/>
              </w:rPr>
            </w:pPr>
            <w:r>
              <w:rPr>
                <w:rFonts w:ascii="Arial" w:cs="Arial" w:eastAsia="Arial" w:hAnsi="Arial"/>
                <w:sz w:val="14"/>
                <w:szCs w:val="14"/>
                <w:b w:val="1"/>
                <w:bCs w:val="1"/>
                <w:color w:val="auto"/>
                <w:w w:val="89"/>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5,551</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11,127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18,156</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4,701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10,166</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15,591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5,218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10,723</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404</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911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Interest expense, net</w:t>
            </w:r>
          </w:p>
        </w:tc>
        <w:tc>
          <w:tcPr>
            <w:tcW w:w="7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7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(expense)/benefit</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7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25" w:right="2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5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00" w:type="dxa"/>
            <w:vAlign w:val="bottom"/>
            <w:gridSpan w:val="2"/>
          </w:tcPr>
          <w:p>
            <w:pPr>
              <w:ind w:left="180"/>
              <w:spacing w:after="0"/>
              <w:rPr>
                <w:sz w:val="20"/>
                <w:szCs w:val="20"/>
                <w:color w:val="auto"/>
              </w:rPr>
            </w:pPr>
            <w:r>
              <w:rPr>
                <w:rFonts w:ascii="Arial" w:cs="Arial" w:eastAsia="Arial" w:hAnsi="Arial"/>
                <w:sz w:val="18"/>
                <w:szCs w:val="18"/>
                <w:b w:val="1"/>
                <w:bCs w:val="1"/>
                <w:color w:val="auto"/>
              </w:rPr>
              <w:t>LIMITED PARTNERS</w:t>
            </w:r>
          </w:p>
        </w:tc>
        <w:tc>
          <w:tcPr>
            <w:tcW w:w="1340" w:type="dxa"/>
            <w:vAlign w:val="bottom"/>
          </w:tcPr>
          <w:p>
            <w:pPr>
              <w:spacing w:after="0"/>
              <w:rPr>
                <w:sz w:val="22"/>
                <w:szCs w:val="22"/>
                <w:color w:val="auto"/>
              </w:rPr>
            </w:pPr>
          </w:p>
        </w:tc>
        <w:tc>
          <w:tcPr>
            <w:tcW w:w="780" w:type="dxa"/>
            <w:vAlign w:val="bottom"/>
          </w:tcPr>
          <w:p>
            <w:pPr>
              <w:jc w:val="right"/>
              <w:ind w:right="62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2"/>
                <w:szCs w:val="22"/>
                <w:color w:val="auto"/>
              </w:rPr>
            </w:pPr>
          </w:p>
        </w:tc>
        <w:tc>
          <w:tcPr>
            <w:tcW w:w="9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5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tcBorders>
              <w:top w:val="single" w:sz="8" w:color="CCEEFF"/>
              <w:bottom w:val="single" w:sz="8" w:color="CCEEFF"/>
            </w:tcBorders>
            <w:gridSpan w:val="2"/>
            <w:shd w:val="clear" w:color="auto" w:fill="CCEEFF"/>
          </w:tcPr>
          <w:p>
            <w:pPr>
              <w:ind w:left="180"/>
              <w:spacing w:after="0" w:line="195" w:lineRule="exact"/>
              <w:rPr>
                <w:sz w:val="20"/>
                <w:szCs w:val="20"/>
                <w:color w:val="auto"/>
              </w:rPr>
            </w:pPr>
            <w:r>
              <w:rPr>
                <w:rFonts w:ascii="Arial" w:cs="Arial" w:eastAsia="Arial" w:hAnsi="Arial"/>
                <w:sz w:val="18"/>
                <w:szCs w:val="18"/>
                <w:b w:val="1"/>
                <w:bCs w:val="1"/>
                <w:color w:val="auto"/>
              </w:rPr>
              <w:t>GENERAL PARTNER</w:t>
            </w:r>
          </w:p>
        </w:tc>
        <w:tc>
          <w:tcPr>
            <w:tcW w:w="13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BASIC NET INCOME PER LIMITED PARTNER UNIT</w:t>
            </w:r>
          </w:p>
        </w:tc>
        <w:tc>
          <w:tcPr>
            <w:tcW w:w="1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5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DILUTED NET INCOME PER LIMITED PARTNER UNIT</w:t>
            </w: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0.53</w:t>
            </w:r>
          </w:p>
        </w:tc>
        <w:tc>
          <w:tcPr>
            <w:tcW w:w="5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40" w:type="dxa"/>
            <w:vAlign w:val="bottom"/>
            <w:gridSpan w:val="3"/>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rPr>
              <w:t>BASIC WEIGHTED AVERAGE LIMITED PARTNER UNITS</w:t>
            </w:r>
          </w:p>
        </w:tc>
        <w:tc>
          <w:tcPr>
            <w:tcW w:w="78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370</w:t>
            </w:r>
          </w:p>
        </w:tc>
        <w:tc>
          <w:tcPr>
            <w:tcW w:w="36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OUTSTANDING</w:t>
            </w:r>
          </w:p>
        </w:tc>
        <w:tc>
          <w:tcPr>
            <w:tcW w:w="1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40" w:type="dxa"/>
            <w:vAlign w:val="bottom"/>
            <w:gridSpan w:val="3"/>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rPr>
              <w:t>DILUTED WEIGHTED AVERAGE LIMITED PARTNER UNITS</w:t>
            </w:r>
          </w:p>
        </w:tc>
        <w:tc>
          <w:tcPr>
            <w:tcW w:w="78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0" w:type="dxa"/>
            <w:vAlign w:val="bottom"/>
            <w:vMerge w:val="restart"/>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OUTSTANDING</w:t>
            </w:r>
          </w:p>
        </w:tc>
        <w:tc>
          <w:tcPr>
            <w:tcW w:w="1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ADJUSTED RESULTS</w:t>
            </w:r>
          </w:p>
        </w:tc>
        <w:tc>
          <w:tcPr>
            <w:tcW w:w="1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20" w:type="dxa"/>
            <w:vAlign w:val="bottom"/>
            <w:gridSpan w:val="3"/>
            <w:vMerge w:val="continue"/>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gridSpan w:val="3"/>
          </w:tcPr>
          <w:p>
            <w:pPr>
              <w:spacing w:after="0"/>
              <w:rPr>
                <w:sz w:val="20"/>
                <w:szCs w:val="20"/>
                <w:color w:val="auto"/>
              </w:rPr>
            </w:pPr>
            <w:r>
              <w:rPr>
                <w:rFonts w:ascii="Arial" w:cs="Arial" w:eastAsia="Arial" w:hAnsi="Arial"/>
                <w:sz w:val="18"/>
                <w:szCs w:val="18"/>
                <w:color w:val="auto"/>
              </w:rPr>
              <w:t>(in millions, except per unit data)</w:t>
            </w: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80" w:type="dxa"/>
            <w:vAlign w:val="bottom"/>
            <w:gridSpan w:val="5"/>
          </w:tcPr>
          <w:p>
            <w:pPr>
              <w:jc w:val="right"/>
              <w:ind w:right="17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gridSpan w:val="6"/>
          </w:tcPr>
          <w:p>
            <w:pPr>
              <w:ind w:left="28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w w:val="96"/>
              </w:rPr>
              <w:t>September 30,</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1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c>
          <w:tcPr>
            <w:tcW w:w="5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LIMITED PARTNER UNIT</w:t>
            </w: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5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w:t>
            </w:r>
          </w:p>
        </w:tc>
        <w:tc>
          <w:tcPr>
            <w:tcW w:w="9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w:t>
            </w:r>
          </w:p>
        </w:tc>
        <w:tc>
          <w:tcPr>
            <w:tcW w:w="5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ind w:left="680"/>
              <w:spacing w:after="0"/>
              <w:rPr>
                <w:sz w:val="20"/>
                <w:szCs w:val="20"/>
                <w:color w:val="auto"/>
              </w:rPr>
            </w:pPr>
            <w:r>
              <w:rPr>
                <w:rFonts w:ascii="Arial" w:cs="Arial" w:eastAsia="Arial" w:hAnsi="Arial"/>
                <w:sz w:val="18"/>
                <w:szCs w:val="18"/>
                <w:color w:val="auto"/>
                <w:w w:val="90"/>
              </w:rPr>
              <w:t>– more –</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2340" w:type="dxa"/>
            <w:vAlign w:val="bottom"/>
            <w:tcBorders>
              <w:bottom w:val="single" w:sz="8" w:color="auto"/>
            </w:tcBorders>
            <w:gridSpan w:val="7"/>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920" w:type="dxa"/>
            <w:vAlign w:val="bottom"/>
          </w:tcPr>
          <w:p>
            <w:pPr>
              <w:ind w:left="500"/>
              <w:spacing w:after="0"/>
              <w:rPr>
                <w:sz w:val="20"/>
                <w:szCs w:val="20"/>
                <w:color w:val="auto"/>
              </w:rPr>
            </w:pPr>
            <w:r>
              <w:rPr>
                <w:rFonts w:ascii="Arial" w:cs="Arial" w:eastAsia="Arial" w:hAnsi="Arial"/>
                <w:sz w:val="18"/>
                <w:szCs w:val="18"/>
                <w:b w:val="1"/>
                <w:bCs w:val="1"/>
                <w:color w:val="auto"/>
              </w:rPr>
              <w:t>333 Clay Street, Suite 1600</w:t>
            </w:r>
          </w:p>
        </w:tc>
        <w:tc>
          <w:tcPr>
            <w:tcW w:w="2120" w:type="dxa"/>
            <w:vAlign w:val="bottom"/>
            <w:gridSpan w:val="2"/>
          </w:tcPr>
          <w:p>
            <w:pPr>
              <w:jc w:val="right"/>
              <w:ind w:right="286"/>
              <w:spacing w:after="0"/>
              <w:rPr>
                <w:sz w:val="20"/>
                <w:szCs w:val="20"/>
                <w:color w:val="auto"/>
              </w:rPr>
            </w:pPr>
            <w:r>
              <w:rPr>
                <w:rFonts w:ascii="Arial" w:cs="Arial" w:eastAsia="Arial" w:hAnsi="Arial"/>
                <w:sz w:val="18"/>
                <w:szCs w:val="18"/>
                <w:b w:val="1"/>
                <w:bCs w:val="1"/>
                <w:color w:val="auto"/>
                <w:w w:val="92"/>
              </w:rPr>
              <w:t>Houston, Texas 77002</w:t>
            </w:r>
          </w:p>
        </w:tc>
        <w:tc>
          <w:tcPr>
            <w:tcW w:w="2340" w:type="dxa"/>
            <w:vAlign w:val="bottom"/>
            <w:gridSpan w:val="7"/>
          </w:tcPr>
          <w:p>
            <w:pPr>
              <w:jc w:val="right"/>
              <w:spacing w:after="0"/>
              <w:rPr>
                <w:sz w:val="20"/>
                <w:szCs w:val="20"/>
                <w:color w:val="auto"/>
              </w:rPr>
            </w:pPr>
            <w:r>
              <w:rPr>
                <w:rFonts w:ascii="Arial" w:cs="Arial" w:eastAsia="Arial" w:hAnsi="Arial"/>
                <w:sz w:val="18"/>
                <w:szCs w:val="18"/>
                <w:b w:val="1"/>
                <w:bCs w:val="1"/>
                <w:color w:val="auto"/>
                <w:w w:val="94"/>
              </w:rPr>
              <w:t>713-646-4100 / 866-809-1291</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2015</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2,958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13,350</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2,417</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1,954</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910</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Other long-term assets, net</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462</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3,478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net of unamortized discount</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9,757</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Other long-term debt</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553</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2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14,001</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8,158</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partners’ capital</w:t>
            </w:r>
          </w:p>
        </w:tc>
        <w:tc>
          <w:tcPr>
            <w:tcW w:w="2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8,216</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22,217</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22,256</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2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960" w:type="dxa"/>
            <w:vAlign w:val="bottom"/>
            <w:gridSpan w:val="3"/>
            <w:vMerge w:val="continue"/>
          </w:tcPr>
          <w:p>
            <w:pPr>
              <w:spacing w:after="0"/>
              <w:rPr>
                <w:sz w:val="24"/>
                <w:szCs w:val="24"/>
                <w:color w:val="auto"/>
              </w:rPr>
            </w:pPr>
          </w:p>
        </w:tc>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3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2015</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9,970</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8,762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40" w:right="19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7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9,970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8,762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Partners’ capital</w:t>
            </w:r>
          </w:p>
        </w:tc>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8,216</w:t>
            </w:r>
          </w:p>
        </w:tc>
        <w:tc>
          <w:tcPr>
            <w:tcW w:w="4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8,191</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book capitalization</w:t>
            </w:r>
          </w:p>
        </w:tc>
        <w:tc>
          <w:tcPr>
            <w:tcW w:w="22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Total book capitalization, including short-term debt</w:t>
            </w:r>
          </w:p>
        </w:tc>
        <w:tc>
          <w:tcPr>
            <w:tcW w:w="226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tcBorders>
              <w:bottom w:val="single" w:sz="8" w:color="CCEEFF"/>
            </w:tcBorders>
            <w:vMerge w:val="continue"/>
          </w:tcPr>
          <w:p>
            <w:pPr>
              <w:spacing w:after="0"/>
              <w:rPr>
                <w:sz w:val="20"/>
                <w:szCs w:val="20"/>
                <w:color w:val="auto"/>
              </w:rPr>
            </w:pPr>
          </w:p>
        </w:tc>
        <w:tc>
          <w:tcPr>
            <w:tcW w:w="226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18,867</w:t>
            </w:r>
          </w:p>
        </w:tc>
        <w:tc>
          <w:tcPr>
            <w:tcW w:w="28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18,240</w:t>
            </w: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Long-term debt-to-total book capitalization</w:t>
            </w:r>
          </w:p>
        </w:tc>
        <w:tc>
          <w:tcPr>
            <w:tcW w:w="1980" w:type="dxa"/>
            <w:vAlign w:val="bottom"/>
          </w:tcPr>
          <w:p>
            <w:pPr>
              <w:spacing w:after="0"/>
              <w:rPr>
                <w:sz w:val="18"/>
                <w:szCs w:val="18"/>
                <w:color w:val="auto"/>
              </w:rPr>
            </w:pPr>
          </w:p>
        </w:tc>
        <w:tc>
          <w:tcPr>
            <w:tcW w:w="3700" w:type="dxa"/>
            <w:vAlign w:val="bottom"/>
          </w:tcPr>
          <w:p>
            <w:pPr>
              <w:jc w:val="right"/>
              <w:ind w:right="550"/>
              <w:spacing w:after="0"/>
              <w:rPr>
                <w:sz w:val="20"/>
                <w:szCs w:val="20"/>
                <w:color w:val="auto"/>
              </w:rPr>
            </w:pPr>
            <w:r>
              <w:rPr>
                <w:rFonts w:ascii="Arial" w:cs="Arial" w:eastAsia="Arial" w:hAnsi="Arial"/>
                <w:sz w:val="18"/>
                <w:szCs w:val="18"/>
                <w:color w:val="auto"/>
              </w:rPr>
              <w:t>55%</w:t>
            </w: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1980" w:type="dxa"/>
            <w:vAlign w:val="bottom"/>
            <w:shd w:val="clear" w:color="auto" w:fill="CCEEFF"/>
          </w:tcPr>
          <w:p>
            <w:pPr>
              <w:spacing w:after="0"/>
              <w:rPr>
                <w:sz w:val="18"/>
                <w:szCs w:val="18"/>
                <w:color w:val="auto"/>
              </w:rPr>
            </w:pPr>
          </w:p>
        </w:tc>
        <w:tc>
          <w:tcPr>
            <w:tcW w:w="37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r>
      <w:tr>
        <w:trPr>
          <w:trHeight w:val="432"/>
        </w:trPr>
        <w:tc>
          <w:tcPr>
            <w:tcW w:w="4740" w:type="dxa"/>
            <w:vAlign w:val="bottom"/>
          </w:tcPr>
          <w:p>
            <w:pPr>
              <w:spacing w:after="0"/>
              <w:rPr>
                <w:sz w:val="24"/>
                <w:szCs w:val="24"/>
                <w:color w:val="auto"/>
              </w:rPr>
            </w:pPr>
          </w:p>
        </w:tc>
        <w:tc>
          <w:tcPr>
            <w:tcW w:w="1980" w:type="dxa"/>
            <w:vAlign w:val="bottom"/>
          </w:tcPr>
          <w:p>
            <w:pPr>
              <w:ind w:left="660"/>
              <w:spacing w:after="0"/>
              <w:rPr>
                <w:sz w:val="20"/>
                <w:szCs w:val="20"/>
                <w:color w:val="auto"/>
              </w:rPr>
            </w:pPr>
            <w:r>
              <w:rPr>
                <w:rFonts w:ascii="Arial" w:cs="Arial" w:eastAsia="Arial" w:hAnsi="Arial"/>
                <w:sz w:val="18"/>
                <w:szCs w:val="18"/>
                <w:color w:val="auto"/>
              </w:rPr>
              <w:t>– more –</w:t>
            </w:r>
          </w:p>
        </w:tc>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8"/>
        </w:trPr>
        <w:tc>
          <w:tcPr>
            <w:tcW w:w="4740" w:type="dxa"/>
            <w:vAlign w:val="bottom"/>
          </w:tcPr>
          <w:p>
            <w:pPr>
              <w:ind w:left="2300"/>
              <w:spacing w:after="0"/>
              <w:rPr>
                <w:sz w:val="20"/>
                <w:szCs w:val="20"/>
                <w:color w:val="auto"/>
              </w:rPr>
            </w:pPr>
            <w:r>
              <w:rPr>
                <w:rFonts w:ascii="Arial" w:cs="Arial" w:eastAsia="Arial" w:hAnsi="Arial"/>
                <w:sz w:val="18"/>
                <w:szCs w:val="18"/>
                <w:b w:val="1"/>
                <w:bCs w:val="1"/>
                <w:color w:val="auto"/>
              </w:rPr>
              <w:t>333 Clay Street, Suite 1600</w:t>
            </w:r>
          </w:p>
        </w:tc>
        <w:tc>
          <w:tcPr>
            <w:tcW w:w="1980" w:type="dxa"/>
            <w:vAlign w:val="bottom"/>
          </w:tcPr>
          <w:p>
            <w:pPr>
              <w:ind w:left="80"/>
              <w:spacing w:after="0"/>
              <w:rPr>
                <w:sz w:val="20"/>
                <w:szCs w:val="20"/>
                <w:color w:val="auto"/>
              </w:rPr>
            </w:pPr>
            <w:r>
              <w:rPr>
                <w:rFonts w:ascii="Arial" w:cs="Arial" w:eastAsia="Arial" w:hAnsi="Arial"/>
                <w:sz w:val="18"/>
                <w:szCs w:val="18"/>
                <w:b w:val="1"/>
                <w:bCs w:val="1"/>
                <w:color w:val="auto"/>
                <w:w w:val="99"/>
              </w:rPr>
              <w:t>Houston, Texas 77002</w:t>
            </w:r>
          </w:p>
        </w:tc>
        <w:tc>
          <w:tcPr>
            <w:tcW w:w="3700" w:type="dxa"/>
            <w:vAlign w:val="bottom"/>
          </w:tcPr>
          <w:p>
            <w:pPr>
              <w:jc w:val="right"/>
              <w:ind w:right="1210"/>
              <w:spacing w:after="0"/>
              <w:rPr>
                <w:sz w:val="20"/>
                <w:szCs w:val="20"/>
                <w:color w:val="auto"/>
              </w:rPr>
            </w:pPr>
            <w:r>
              <w:rPr>
                <w:rFonts w:ascii="Arial" w:cs="Arial" w:eastAsia="Arial" w:hAnsi="Arial"/>
                <w:sz w:val="18"/>
                <w:szCs w:val="18"/>
                <w:b w:val="1"/>
                <w:bCs w:val="1"/>
                <w:color w:val="auto"/>
                <w:w w:val="99"/>
              </w:rPr>
              <w:t>713-646-4100 / 866-809-1291</w:t>
            </w: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30"/>
        </w:trPr>
        <w:tc>
          <w:tcPr>
            <w:tcW w:w="474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center"/>
              <w:ind w:left="734"/>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center"/>
              <w:ind w:left="734"/>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center"/>
              <w:ind w:left="734"/>
              <w:spacing w:after="0"/>
              <w:rPr>
                <w:sz w:val="20"/>
                <w:szCs w:val="20"/>
                <w:color w:val="auto"/>
              </w:rPr>
            </w:pPr>
            <w:r>
              <w:rPr>
                <w:rFonts w:ascii="Arial" w:cs="Arial" w:eastAsia="Arial" w:hAnsi="Arial"/>
                <w:sz w:val="14"/>
                <w:szCs w:val="14"/>
                <w:b w:val="1"/>
                <w:bCs w:val="1"/>
                <w:color w:val="auto"/>
                <w:w w:val="91"/>
              </w:rPr>
              <w:t>September 30, 2015</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left="734"/>
              <w:spacing w:after="0"/>
              <w:rPr>
                <w:sz w:val="20"/>
                <w:szCs w:val="20"/>
                <w:color w:val="auto"/>
              </w:rPr>
            </w:pPr>
            <w:r>
              <w:rPr>
                <w:rFonts w:ascii="Arial" w:cs="Arial" w:eastAsia="Arial" w:hAnsi="Arial"/>
                <w:sz w:val="14"/>
                <w:szCs w:val="14"/>
                <w:b w:val="1"/>
                <w:bCs w:val="1"/>
                <w:color w:val="auto"/>
                <w:w w:val="91"/>
              </w:rPr>
              <w:t>September 30, 2014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Transportation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Facilities</w:t>
            </w:r>
          </w:p>
        </w:tc>
        <w:tc>
          <w:tcPr>
            <w:tcW w:w="100" w:type="dxa"/>
            <w:vAlign w:val="bottom"/>
          </w:tcPr>
          <w:p>
            <w:pPr>
              <w:spacing w:after="0"/>
              <w:rPr>
                <w:sz w:val="10"/>
                <w:szCs w:val="10"/>
                <w:color w:val="auto"/>
              </w:rPr>
            </w:pPr>
          </w:p>
        </w:tc>
        <w:tc>
          <w:tcPr>
            <w:tcW w:w="84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w w:val="99"/>
              </w:rPr>
              <w:t>Supply and</w:t>
            </w:r>
          </w:p>
        </w:tc>
        <w:tc>
          <w:tcPr>
            <w:tcW w:w="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Transportation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0"/>
              </w:rPr>
              <w:t>Facilities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33"/>
              <w:spacing w:after="0" w:line="119" w:lineRule="exact"/>
              <w:rPr>
                <w:sz w:val="20"/>
                <w:szCs w:val="20"/>
                <w:color w:val="auto"/>
              </w:rPr>
            </w:pPr>
            <w:r>
              <w:rPr>
                <w:rFonts w:ascii="Arial" w:cs="Arial" w:eastAsia="Arial" w:hAnsi="Arial"/>
                <w:sz w:val="13"/>
                <w:szCs w:val="13"/>
                <w:b w:val="1"/>
                <w:bCs w:val="1"/>
                <w:color w:val="auto"/>
                <w:w w:val="99"/>
              </w:rPr>
              <w:t>Supply and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(5,032)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(10,488)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(expense)/benefit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(expense)/benefit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Selected items impacting comparability of segment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ind w:left="360"/>
              <w:spacing w:after="0" w:line="231" w:lineRule="exact"/>
              <w:rPr>
                <w:sz w:val="20"/>
                <w:szCs w:val="20"/>
                <w:color w:val="auto"/>
              </w:rPr>
            </w:pPr>
            <w:r>
              <w:rPr>
                <w:rFonts w:ascii="Arial" w:cs="Arial" w:eastAsia="Arial" w:hAnsi="Arial"/>
                <w:sz w:val="18"/>
                <w:szCs w:val="18"/>
                <w:color w:val="auto"/>
              </w:rPr>
              <w:t xml:space="preserve">profit </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segment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8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6"/>
          </w:tcPr>
          <w:p>
            <w:pPr>
              <w:jc w:val="center"/>
              <w:ind w:left="734"/>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jc w:val="center"/>
              <w:ind w:left="734"/>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center"/>
              <w:ind w:left="734"/>
              <w:spacing w:after="0"/>
              <w:rPr>
                <w:sz w:val="20"/>
                <w:szCs w:val="20"/>
                <w:color w:val="auto"/>
              </w:rPr>
            </w:pPr>
            <w:r>
              <w:rPr>
                <w:rFonts w:ascii="Arial" w:cs="Arial" w:eastAsia="Arial" w:hAnsi="Arial"/>
                <w:sz w:val="14"/>
                <w:szCs w:val="14"/>
                <w:b w:val="1"/>
                <w:bCs w:val="1"/>
                <w:color w:val="auto"/>
                <w:w w:val="91"/>
              </w:rPr>
              <w:t>September 30, 2015</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left="734"/>
              <w:spacing w:after="0"/>
              <w:rPr>
                <w:sz w:val="20"/>
                <w:szCs w:val="20"/>
                <w:color w:val="auto"/>
              </w:rPr>
            </w:pPr>
            <w:r>
              <w:rPr>
                <w:rFonts w:ascii="Arial" w:cs="Arial" w:eastAsia="Arial" w:hAnsi="Arial"/>
                <w:sz w:val="14"/>
                <w:szCs w:val="14"/>
                <w:b w:val="1"/>
                <w:bCs w:val="1"/>
                <w:color w:val="auto"/>
                <w:w w:val="91"/>
              </w:rPr>
              <w:t>September 30, 2014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Transportation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Facilities</w:t>
            </w:r>
          </w:p>
        </w:tc>
        <w:tc>
          <w:tcPr>
            <w:tcW w:w="100" w:type="dxa"/>
            <w:vAlign w:val="bottom"/>
          </w:tcPr>
          <w:p>
            <w:pPr>
              <w:spacing w:after="0"/>
              <w:rPr>
                <w:sz w:val="10"/>
                <w:szCs w:val="10"/>
                <w:color w:val="auto"/>
              </w:rPr>
            </w:pPr>
          </w:p>
        </w:tc>
        <w:tc>
          <w:tcPr>
            <w:tcW w:w="84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w w:val="99"/>
              </w:rPr>
              <w:t>Supply and</w:t>
            </w:r>
          </w:p>
        </w:tc>
        <w:tc>
          <w:tcPr>
            <w:tcW w:w="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Transportation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0"/>
              </w:rPr>
              <w:t>Facilities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33"/>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17,238</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(16,553)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(expense)/benefit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Equity-indexed compensation (expense)/benefit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Selected items impacting comparability of segment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ind w:left="360"/>
              <w:spacing w:after="0" w:line="231" w:lineRule="exact"/>
              <w:rPr>
                <w:sz w:val="20"/>
                <w:szCs w:val="20"/>
                <w:color w:val="auto"/>
              </w:rPr>
            </w:pPr>
            <w:r>
              <w:rPr>
                <w:rFonts w:ascii="Arial" w:cs="Arial" w:eastAsia="Arial" w:hAnsi="Arial"/>
                <w:sz w:val="18"/>
                <w:szCs w:val="18"/>
                <w:color w:val="auto"/>
              </w:rPr>
              <w:t xml:space="preserve">profit </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segment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8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460" w:right="80" w:hanging="452"/>
        <w:spacing w:after="0" w:line="219" w:lineRule="auto"/>
        <w:tabs>
          <w:tab w:leader="none" w:pos="453"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ind w:left="460" w:right="180" w:hanging="452"/>
        <w:spacing w:after="0" w:line="243" w:lineRule="auto"/>
        <w:tabs>
          <w:tab w:leader="none" w:pos="453"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460" w:hanging="452"/>
        <w:spacing w:after="0" w:line="196" w:lineRule="auto"/>
        <w:tabs>
          <w:tab w:leader="none" w:pos="46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56" w:right="199" w:bottom="374"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10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652"/>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60" w:type="dxa"/>
            <w:vAlign w:val="bottom"/>
            <w:gridSpan w:val="2"/>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3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7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Transportation segment (average daily volumes in thousands of barrels per</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day):</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Tariff activities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All American</w:t>
            </w:r>
          </w:p>
        </w:tc>
        <w:tc>
          <w:tcPr>
            <w:tcW w:w="1380" w:type="dxa"/>
            <w:vAlign w:val="bottom"/>
            <w:gridSpan w:val="3"/>
          </w:tcPr>
          <w:p>
            <w:pPr>
              <w:jc w:val="right"/>
              <w:ind w:right="9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Bakken Area Systems </w:t>
            </w:r>
            <w:r>
              <w:rPr>
                <w:rFonts w:ascii="Arial" w:cs="Arial" w:eastAsia="Arial" w:hAnsi="Arial"/>
                <w:sz w:val="23"/>
                <w:szCs w:val="23"/>
                <w:color w:val="auto"/>
                <w:vertAlign w:val="superscript"/>
              </w:rPr>
              <w:t>(2)</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Basin / Mesa / Sunrise</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815</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743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831</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BridgeTex</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Cactus</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Capline</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Eagle Ford Area Systems </w:t>
            </w:r>
            <w:r>
              <w:rPr>
                <w:rFonts w:ascii="Arial" w:cs="Arial" w:eastAsia="Arial" w:hAnsi="Arial"/>
                <w:sz w:val="23"/>
                <w:szCs w:val="23"/>
                <w:color w:val="auto"/>
                <w:vertAlign w:val="superscript"/>
              </w:rPr>
              <w:t>(2)</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247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298</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Line 63 / Line 2000</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Manito</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Mid-Continent Area Systems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342</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Permian Basin Area Systems</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860</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776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817</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Rainbow</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Rangeland</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58</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Salt Lake City Area Systems </w:t>
            </w:r>
            <w:r>
              <w:rPr>
                <w:rFonts w:ascii="Arial" w:cs="Arial" w:eastAsia="Arial" w:hAnsi="Arial"/>
                <w:sz w:val="23"/>
                <w:szCs w:val="23"/>
                <w:color w:val="auto"/>
                <w:vertAlign w:val="superscript"/>
              </w:rPr>
              <w:t>(2)</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South Saskatchewan</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White Cliffs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777</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823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752</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NGL Pipelines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340"/>
              <w:spacing w:after="0"/>
              <w:rPr>
                <w:sz w:val="20"/>
                <w:szCs w:val="20"/>
                <w:color w:val="auto"/>
              </w:rPr>
            </w:pPr>
            <w:r>
              <w:rPr>
                <w:rFonts w:ascii="Arial" w:cs="Arial" w:eastAsia="Arial" w:hAnsi="Arial"/>
                <w:sz w:val="18"/>
                <w:szCs w:val="18"/>
                <w:color w:val="auto"/>
              </w:rPr>
              <w:t>Co-Ed</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Tariff activities total</w:t>
            </w: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4,433</w:t>
            </w:r>
          </w:p>
        </w:tc>
        <w:tc>
          <w:tcPr>
            <w:tcW w:w="2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4,095</w:t>
            </w:r>
          </w:p>
        </w:tc>
        <w:tc>
          <w:tcPr>
            <w:tcW w:w="2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4,326</w:t>
            </w: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Trucking</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Transportation segment total</w:t>
            </w:r>
          </w:p>
        </w:tc>
        <w:tc>
          <w:tcPr>
            <w:tcW w:w="72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4,545</w:t>
            </w:r>
          </w:p>
        </w:tc>
        <w:tc>
          <w:tcPr>
            <w:tcW w:w="24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4,226</w:t>
            </w:r>
          </w:p>
        </w:tc>
        <w:tc>
          <w:tcPr>
            <w:tcW w:w="24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4,440</w:t>
            </w:r>
          </w:p>
        </w:tc>
        <w:tc>
          <w:tcPr>
            <w:tcW w:w="2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Crude oil, refined products and NGL terminalling and storage (average</w:t>
            </w: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38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monthly capacity in millions of barrels)</w:t>
            </w:r>
          </w:p>
        </w:tc>
        <w:tc>
          <w:tcPr>
            <w:tcW w:w="660" w:type="dxa"/>
            <w:vAlign w:val="bottom"/>
            <w:gridSpan w:val="2"/>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w w:val="94"/>
              </w:rPr>
              <w:t>Rail load / unload volumes (average volumes in thousands of barrels per day)</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w:t>
            </w:r>
          </w:p>
        </w:tc>
        <w:tc>
          <w:tcPr>
            <w:tcW w:w="24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241</w:t>
            </w:r>
          </w:p>
        </w:tc>
        <w:tc>
          <w:tcPr>
            <w:tcW w:w="240" w:type="dxa"/>
            <w:vAlign w:val="bottom"/>
            <w:tcBorders>
              <w:bottom w:val="single" w:sz="8" w:color="CCEEFF"/>
            </w:tcBorders>
            <w:vMerge w:val="continue"/>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w:t>
            </w:r>
          </w:p>
        </w:tc>
        <w:tc>
          <w:tcPr>
            <w:tcW w:w="2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rPr>
              <w:t>Natural gas storage (average monthly working capacity in billions of cubic</w:t>
            </w:r>
          </w:p>
        </w:tc>
        <w:tc>
          <w:tcPr>
            <w:tcW w:w="7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7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feet)</w:t>
            </w:r>
          </w:p>
        </w:tc>
        <w:tc>
          <w:tcPr>
            <w:tcW w:w="660" w:type="dxa"/>
            <w:vAlign w:val="bottom"/>
            <w:gridSpan w:val="2"/>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w:t>
            </w:r>
          </w:p>
        </w:tc>
        <w:tc>
          <w:tcPr>
            <w:tcW w:w="24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w:t>
            </w:r>
          </w:p>
        </w:tc>
        <w:tc>
          <w:tcPr>
            <w:tcW w:w="240" w:type="dxa"/>
            <w:vAlign w:val="bottom"/>
            <w:tcBorders>
              <w:bottom w:val="single" w:sz="8" w:color="CCEEFF"/>
            </w:tcBorders>
            <w:vMerge w:val="continue"/>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w:t>
            </w:r>
          </w:p>
        </w:tc>
        <w:tc>
          <w:tcPr>
            <w:tcW w:w="2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40" w:type="dxa"/>
            <w:vAlign w:val="bottom"/>
            <w:tcBorders>
              <w:bottom w:val="single" w:sz="8" w:color="CCEEFF"/>
            </w:tcBorders>
            <w:shd w:val="clear" w:color="auto" w:fill="CCEEFF"/>
          </w:tcPr>
          <w:p>
            <w:pPr>
              <w:ind w:left="160"/>
              <w:spacing w:after="0" w:line="197" w:lineRule="exact"/>
              <w:rPr>
                <w:sz w:val="20"/>
                <w:szCs w:val="20"/>
                <w:color w:val="auto"/>
              </w:rPr>
            </w:pPr>
            <w:r>
              <w:rPr>
                <w:rFonts w:ascii="Arial" w:cs="Arial" w:eastAsia="Arial" w:hAnsi="Arial"/>
                <w:sz w:val="17"/>
                <w:szCs w:val="17"/>
                <w:color w:val="auto"/>
              </w:rPr>
              <w:t xml:space="preserve">Facilities segment total (average monthly volumes in millions of barrels) </w:t>
            </w:r>
            <w:r>
              <w:rPr>
                <w:rFonts w:ascii="Arial" w:cs="Arial" w:eastAsia="Arial" w:hAnsi="Arial"/>
                <w:sz w:val="22"/>
                <w:szCs w:val="22"/>
                <w:color w:val="auto"/>
                <w:vertAlign w:val="superscript"/>
              </w:rPr>
              <w:t>(3)</w:t>
            </w:r>
          </w:p>
        </w:tc>
        <w:tc>
          <w:tcPr>
            <w:tcW w:w="7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w:t>
            </w: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w:t>
            </w: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7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Supply and Logistics segment (average daily volumes in thousands of</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barrels per day):</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Crude oil lease gathering purchases</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927</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971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958</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Waterborne cargos</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Supply and Logistics segment total</w:t>
            </w: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1,114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1,124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right="240" w:hanging="452"/>
        <w:spacing w:after="0" w:line="227" w:lineRule="auto"/>
        <w:tabs>
          <w:tab w:leader="none" w:pos="453"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Volumes associated with assets employed through acquisitions and capital expansion projects represent total volumes (attributable to our interest) for the number of days or months we employed the assets divided by the number of days or months in the period.</w:t>
      </w:r>
    </w:p>
    <w:p>
      <w:pPr>
        <w:ind w:left="460" w:hanging="452"/>
        <w:spacing w:after="0" w:line="196" w:lineRule="auto"/>
        <w:tabs>
          <w:tab w:leader="none" w:pos="46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Area systems include volumes (attributable to our interest) from our investments in unconsolidated entities.</w:t>
      </w:r>
    </w:p>
    <w:p>
      <w:pPr>
        <w:spacing w:after="0" w:line="1" w:lineRule="exact"/>
        <w:rPr>
          <w:rFonts w:ascii="Arial" w:cs="Arial" w:eastAsia="Arial" w:hAnsi="Arial"/>
          <w:sz w:val="23"/>
          <w:szCs w:val="23"/>
          <w:color w:val="auto"/>
          <w:vertAlign w:val="superscript"/>
        </w:rPr>
      </w:pPr>
    </w:p>
    <w:p>
      <w:pPr>
        <w:ind w:left="460" w:right="200" w:hanging="452"/>
        <w:spacing w:after="0" w:line="267" w:lineRule="auto"/>
        <w:tabs>
          <w:tab w:leader="none" w:pos="453"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5" w:name="page16"/>
    <w:bookmarkEnd w:id="15"/>
    <w:p>
      <w:pPr>
        <w:spacing w:after="0" w:line="46" w:lineRule="exact"/>
        <w:rPr>
          <w:sz w:val="20"/>
          <w:szCs w:val="20"/>
          <w:color w:val="auto"/>
        </w:rPr>
      </w:pPr>
    </w:p>
    <w:p>
      <w:pPr>
        <w:ind w:right="400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LIMITED PARTNER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160" w:type="dxa"/>
            <w:vAlign w:val="bottom"/>
            <w:gridSpan w:val="5"/>
          </w:tcPr>
          <w:p>
            <w:pPr>
              <w:jc w:val="right"/>
              <w:ind w:right="15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w w:val="96"/>
              </w:rPr>
              <w:t>September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Limited Partner Unit</w:t>
            </w: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780" w:type="dxa"/>
            <w:vAlign w:val="bottom"/>
          </w:tcPr>
          <w:p>
            <w:pPr>
              <w:jc w:val="right"/>
              <w:ind w:right="626"/>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86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323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657</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(148)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7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attributable to limited partners</w:t>
            </w: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ind w:left="180"/>
              <w:spacing w:after="0" w:line="201" w:lineRule="exact"/>
              <w:rPr>
                <w:sz w:val="20"/>
                <w:szCs w:val="20"/>
                <w:color w:val="auto"/>
              </w:rPr>
            </w:pPr>
            <w:r>
              <w:rPr>
                <w:rFonts w:ascii="Arial" w:cs="Arial" w:eastAsia="Arial" w:hAnsi="Arial"/>
                <w:sz w:val="18"/>
                <w:szCs w:val="18"/>
                <w:color w:val="auto"/>
              </w:rPr>
              <w:t>Less: Undistributed earnings allocated and distributions to participating</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360"/>
              <w:spacing w:after="0" w:line="231" w:lineRule="exact"/>
              <w:rPr>
                <w:sz w:val="20"/>
                <w:szCs w:val="20"/>
                <w:color w:val="auto"/>
              </w:rPr>
            </w:pPr>
            <w:r>
              <w:rPr>
                <w:rFonts w:ascii="Arial" w:cs="Arial" w:eastAsia="Arial" w:hAnsi="Arial"/>
                <w:sz w:val="18"/>
                <w:szCs w:val="18"/>
                <w:color w:val="auto"/>
              </w:rPr>
              <w:t xml:space="preserve">securities </w:t>
            </w:r>
            <w:r>
              <w:rPr>
                <w:rFonts w:ascii="Arial" w:cs="Arial" w:eastAsia="Arial" w:hAnsi="Arial"/>
                <w:sz w:val="23"/>
                <w:szCs w:val="23"/>
                <w:color w:val="auto"/>
                <w:vertAlign w:val="superscript"/>
              </w:rPr>
              <w:t>(1)</w:t>
            </w:r>
          </w:p>
        </w:tc>
        <w:tc>
          <w:tcPr>
            <w:tcW w:w="78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5"/>
              </w:rPr>
              <w:t>Net income attributable to limited partners in accordance with application of the</w:t>
            </w: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vMerge w:val="continue"/>
            <w:shd w:val="clear" w:color="auto" w:fill="CCEEFF"/>
          </w:tcPr>
          <w:p>
            <w:pPr>
              <w:spacing w:after="0"/>
              <w:rPr>
                <w:sz w:val="15"/>
                <w:szCs w:val="15"/>
                <w:color w:val="auto"/>
              </w:rPr>
            </w:pPr>
          </w:p>
        </w:tc>
        <w:tc>
          <w:tcPr>
            <w:tcW w:w="780" w:type="dxa"/>
            <w:vAlign w:val="bottom"/>
            <w:vMerge w:val="restart"/>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spacing w:after="0"/>
              <w:rPr>
                <w:sz w:val="15"/>
                <w:szCs w:val="15"/>
                <w:color w:val="auto"/>
              </w:rPr>
            </w:pPr>
          </w:p>
        </w:tc>
        <w:tc>
          <w:tcPr>
            <w:tcW w:w="780" w:type="dxa"/>
            <w:vAlign w:val="bottom"/>
            <w:vMerge w:val="restart"/>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vMerge w:val="restart"/>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211</w:t>
            </w:r>
          </w:p>
        </w:tc>
        <w:tc>
          <w:tcPr>
            <w:tcW w:w="4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two-class method for MLPs</w:t>
            </w:r>
          </w:p>
        </w:tc>
        <w:tc>
          <w:tcPr>
            <w:tcW w:w="7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limited partner units outstanding</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w:t>
            </w: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0.54</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780" w:type="dxa"/>
            <w:vAlign w:val="bottom"/>
          </w:tcPr>
          <w:p>
            <w:pPr>
              <w:jc w:val="right"/>
              <w:ind w:right="626"/>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86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323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657</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(148)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7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attributable to limited partners</w:t>
            </w: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ind w:left="180"/>
              <w:spacing w:after="0" w:line="201" w:lineRule="exact"/>
              <w:rPr>
                <w:sz w:val="20"/>
                <w:szCs w:val="20"/>
                <w:color w:val="auto"/>
              </w:rPr>
            </w:pPr>
            <w:r>
              <w:rPr>
                <w:rFonts w:ascii="Arial" w:cs="Arial" w:eastAsia="Arial" w:hAnsi="Arial"/>
                <w:sz w:val="18"/>
                <w:szCs w:val="18"/>
                <w:color w:val="auto"/>
              </w:rPr>
              <w:t>Less: Undistributed earnings allocated and distributions to participating</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360"/>
              <w:spacing w:after="0" w:line="231" w:lineRule="exact"/>
              <w:rPr>
                <w:sz w:val="20"/>
                <w:szCs w:val="20"/>
                <w:color w:val="auto"/>
              </w:rPr>
            </w:pPr>
            <w:r>
              <w:rPr>
                <w:rFonts w:ascii="Arial" w:cs="Arial" w:eastAsia="Arial" w:hAnsi="Arial"/>
                <w:sz w:val="18"/>
                <w:szCs w:val="18"/>
                <w:color w:val="auto"/>
              </w:rPr>
              <w:t xml:space="preserve">securities </w:t>
            </w:r>
            <w:r>
              <w:rPr>
                <w:rFonts w:ascii="Arial" w:cs="Arial" w:eastAsia="Arial" w:hAnsi="Arial"/>
                <w:sz w:val="23"/>
                <w:szCs w:val="23"/>
                <w:color w:val="auto"/>
                <w:vertAlign w:val="superscript"/>
              </w:rPr>
              <w:t>(1)</w:t>
            </w:r>
          </w:p>
        </w:tc>
        <w:tc>
          <w:tcPr>
            <w:tcW w:w="78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5"/>
              </w:rPr>
              <w:t>Net income attributable to limited partners in accordance with application of the</w:t>
            </w: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vMerge w:val="continue"/>
            <w:shd w:val="clear" w:color="auto" w:fill="CCEEFF"/>
          </w:tcPr>
          <w:p>
            <w:pPr>
              <w:spacing w:after="0"/>
              <w:rPr>
                <w:sz w:val="15"/>
                <w:szCs w:val="15"/>
                <w:color w:val="auto"/>
              </w:rPr>
            </w:pPr>
          </w:p>
        </w:tc>
        <w:tc>
          <w:tcPr>
            <w:tcW w:w="780" w:type="dxa"/>
            <w:vAlign w:val="bottom"/>
            <w:vMerge w:val="restart"/>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spacing w:after="0"/>
              <w:rPr>
                <w:sz w:val="15"/>
                <w:szCs w:val="15"/>
                <w:color w:val="auto"/>
              </w:rPr>
            </w:pPr>
          </w:p>
        </w:tc>
        <w:tc>
          <w:tcPr>
            <w:tcW w:w="780" w:type="dxa"/>
            <w:vAlign w:val="bottom"/>
            <w:vMerge w:val="restart"/>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vMerge w:val="restart"/>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211</w:t>
            </w:r>
          </w:p>
        </w:tc>
        <w:tc>
          <w:tcPr>
            <w:tcW w:w="4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two-class method for MLPs</w:t>
            </w:r>
          </w:p>
        </w:tc>
        <w:tc>
          <w:tcPr>
            <w:tcW w:w="7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limited partner units outstanding</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Effect of dilutive securities: Weighted average LTIP units </w:t>
            </w:r>
            <w:r>
              <w:rPr>
                <w:rFonts w:ascii="Arial" w:cs="Arial" w:eastAsia="Arial" w:hAnsi="Arial"/>
                <w:sz w:val="23"/>
                <w:szCs w:val="23"/>
                <w:color w:val="auto"/>
                <w:vertAlign w:val="superscript"/>
              </w:rPr>
              <w:t>(2)</w:t>
            </w:r>
          </w:p>
        </w:tc>
        <w:tc>
          <w:tcPr>
            <w:tcW w:w="7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limited partner units outstanding</w:t>
            </w: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limited partner unit</w:t>
            </w: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0.53</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right="40" w:hanging="452"/>
        <w:spacing w:after="0" w:line="238" w:lineRule="auto"/>
        <w:tabs>
          <w:tab w:leader="none" w:pos="453"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attributable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ind w:left="460" w:right="120" w:hanging="452"/>
        <w:spacing w:after="0" w:line="234" w:lineRule="auto"/>
        <w:tabs>
          <w:tab w:leader="none" w:pos="453"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940" w:type="dxa"/>
            <w:vAlign w:val="bottom"/>
            <w:gridSpan w:val="5"/>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w w:val="96"/>
              </w:rPr>
              <w:t>September 30,</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top w:val="single" w:sz="8" w:color="CCEEFF"/>
            </w:tcBorders>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 Income/(Loss)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line="216" w:lineRule="exact"/>
              <w:rPr>
                <w:sz w:val="20"/>
                <w:szCs w:val="20"/>
                <w:color w:val="auto"/>
              </w:rPr>
            </w:pPr>
            <w:r>
              <w:rPr>
                <w:rFonts w:ascii="Arial" w:cs="Arial" w:eastAsia="Arial" w:hAnsi="Arial"/>
                <w:sz w:val="18"/>
                <w:szCs w:val="18"/>
                <w:color w:val="auto"/>
              </w:rPr>
              <w:t xml:space="preserve">Gains/(losses) from derivative activities net of inventory valuation adjustments </w:t>
            </w:r>
            <w:r>
              <w:rPr>
                <w:rFonts w:ascii="Arial" w:cs="Arial" w:eastAsia="Arial" w:hAnsi="Arial"/>
                <w:sz w:val="23"/>
                <w:szCs w:val="23"/>
                <w:color w:val="auto"/>
                <w:vertAlign w:val="superscript"/>
              </w:rPr>
              <w:t>(2)</w:t>
            </w:r>
          </w:p>
        </w:tc>
        <w:tc>
          <w:tcPr>
            <w:tcW w:w="660" w:type="dxa"/>
            <w:vAlign w:val="bottom"/>
          </w:tcPr>
          <w:p>
            <w:pPr>
              <w:jc w:val="right"/>
              <w:ind w:right="50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76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(4)</w:t>
            </w:r>
          </w:p>
        </w:tc>
        <w:tc>
          <w:tcPr>
            <w:tcW w:w="6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gain/(loss) on foreign currency revaluation</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Line 901 incident</w:t>
            </w:r>
          </w:p>
        </w:tc>
        <w:tc>
          <w:tcPr>
            <w:tcW w:w="6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Deferred income tax expense </w:t>
            </w:r>
            <w:r>
              <w:rPr>
                <w:rFonts w:ascii="Arial" w:cs="Arial" w:eastAsia="Arial" w:hAnsi="Arial"/>
                <w:sz w:val="23"/>
                <w:szCs w:val="23"/>
                <w:color w:val="auto"/>
                <w:vertAlign w:val="superscript"/>
              </w:rPr>
              <w:t>(5)</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Selected items impacting comparability of net income attributable to PAA</w:t>
            </w: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Impact to basic net income per limited partner unit</w:t>
            </w:r>
          </w:p>
        </w:tc>
        <w:tc>
          <w:tcPr>
            <w:tcW w:w="660" w:type="dxa"/>
            <w:vAlign w:val="bottom"/>
            <w:shd w:val="clear" w:color="auto" w:fill="CCEEFF"/>
          </w:tcPr>
          <w:p>
            <w:pPr>
              <w:jc w:val="right"/>
              <w:ind w:right="50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(0.03)</w:t>
            </w:r>
          </w:p>
        </w:tc>
        <w:tc>
          <w:tcPr>
            <w:tcW w:w="76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(0.01)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Impact to diluted net income per limited partner unit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00" w:type="dxa"/>
            <w:vAlign w:val="bottom"/>
            <w:vMerge w:val="continue"/>
          </w:tcPr>
          <w:p>
            <w:pPr>
              <w:spacing w:after="0"/>
              <w:rPr>
                <w:sz w:val="17"/>
                <w:szCs w:val="17"/>
                <w:color w:val="auto"/>
              </w:rPr>
            </w:pPr>
          </w:p>
        </w:tc>
        <w:tc>
          <w:tcPr>
            <w:tcW w:w="66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(0.04</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2"/>
              </w:rPr>
              <w:t>(0.01</w:t>
            </w:r>
          </w:p>
        </w:tc>
        <w:tc>
          <w:tcPr>
            <w:tcW w:w="24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(0.58</w:t>
            </w:r>
          </w:p>
        </w:tc>
        <w:tc>
          <w:tcPr>
            <w:tcW w:w="24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84" w:orient="portrait"/>
          <w:cols w:equalWidth="0" w:num="1">
            <w:col w:w="11420"/>
          </w:cols>
          <w:pgMar w:left="240" w:top="337" w:right="239" w:bottom="0" w:gutter="0" w:footer="0" w:header="0"/>
        </w:sectPr>
      </w:pPr>
    </w:p>
    <w:bookmarkStart w:id="16" w:name="page17"/>
    <w:bookmarkEnd w:id="16"/>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ind w:left="460" w:hanging="452"/>
        <w:spacing w:after="0"/>
        <w:tabs>
          <w:tab w:leader="none" w:pos="46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jc w:val="both"/>
        <w:ind w:left="460" w:right="160" w:hanging="452"/>
        <w:spacing w:after="0" w:line="228" w:lineRule="auto"/>
        <w:tabs>
          <w:tab w:leader="none" w:pos="453"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Includes mark-to-market and other gains and losses resulting from derivative instruments that are related to underlying activities in another period (or the reversal of mark-to-market gains and losses from a prior period), gains and losses on derivatives that are related to investing activities (such as the purchase of linefill) and inventory valuation adjustments, as applicable.</w:t>
      </w:r>
    </w:p>
    <w:p>
      <w:pPr>
        <w:spacing w:after="0" w:line="2" w:lineRule="exact"/>
        <w:rPr>
          <w:rFonts w:ascii="Arial" w:cs="Arial" w:eastAsia="Arial" w:hAnsi="Arial"/>
          <w:sz w:val="23"/>
          <w:szCs w:val="23"/>
          <w:color w:val="auto"/>
          <w:vertAlign w:val="superscript"/>
        </w:rPr>
      </w:pPr>
    </w:p>
    <w:p>
      <w:pPr>
        <w:ind w:left="460" w:right="240" w:hanging="452"/>
        <w:spacing w:after="0" w:line="252" w:lineRule="auto"/>
        <w:tabs>
          <w:tab w:leader="none" w:pos="453"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Includes the impact of changes in the average cost of long-term inventory that result from fluctuations in market prices and writedowns of such inventory that result from price declines. Long-term inventory consists of minimum working inventory requirements in third-party assets and other working inventory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See Note 5 to our Consolidated Financial Statements included in Part IV of our 2014 Annual Report on Form 10-K for a complete discussion of our long-term inventory.</w:t>
      </w:r>
    </w:p>
    <w:p>
      <w:pPr>
        <w:spacing w:after="0" w:line="4" w:lineRule="exact"/>
        <w:rPr>
          <w:rFonts w:ascii="Arial" w:cs="Arial" w:eastAsia="Arial" w:hAnsi="Arial"/>
          <w:sz w:val="22"/>
          <w:szCs w:val="22"/>
          <w:color w:val="auto"/>
          <w:vertAlign w:val="superscript"/>
        </w:rPr>
      </w:pPr>
    </w:p>
    <w:p>
      <w:pPr>
        <w:ind w:left="460" w:right="560" w:hanging="452"/>
        <w:spacing w:after="0" w:line="243" w:lineRule="auto"/>
        <w:tabs>
          <w:tab w:leader="none" w:pos="453"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Includes equity-indexed compensation expense associated with LTIP awards that will or may be settled in units, as the dilutive impact of these outstanding awards is included in our diluted net income per unit calculation and the majority of these awards are expected to be settled in units.</w:t>
      </w:r>
    </w:p>
    <w:p>
      <w:pPr>
        <w:spacing w:after="0" w:line="1" w:lineRule="exact"/>
        <w:rPr>
          <w:rFonts w:ascii="Arial" w:cs="Arial" w:eastAsia="Arial" w:hAnsi="Arial"/>
          <w:sz w:val="21"/>
          <w:szCs w:val="21"/>
          <w:color w:val="auto"/>
          <w:vertAlign w:val="superscript"/>
        </w:rPr>
      </w:pPr>
    </w:p>
    <w:p>
      <w:pPr>
        <w:ind w:left="460" w:hanging="452"/>
        <w:spacing w:after="0" w:line="196" w:lineRule="auto"/>
        <w:tabs>
          <w:tab w:leader="none" w:pos="46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Includes the initial cumulative effect of the recent change in Canadian tax legislation.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32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ADJUSTED BASIC AND DILUTED EARNINGS PER LIMITED PARTNER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960" w:type="dxa"/>
            <w:vAlign w:val="bottom"/>
            <w:gridSpan w:val="5"/>
          </w:tcPr>
          <w:p>
            <w:pPr>
              <w:jc w:val="right"/>
              <w:ind w:right="7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w w:val="93"/>
              </w:rPr>
              <w:t>September 30,</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291"/>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Limited Partner Unit</w:t>
            </w:r>
          </w:p>
        </w:tc>
        <w:tc>
          <w:tcPr>
            <w:tcW w:w="6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680" w:type="dxa"/>
            <w:vAlign w:val="bottom"/>
          </w:tcPr>
          <w:p>
            <w:pPr>
              <w:jc w:val="right"/>
              <w:ind w:right="526"/>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78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323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657</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Selected items impacting comparability of net income attributable to PAA </w:t>
            </w:r>
            <w:r>
              <w:rPr>
                <w:rFonts w:ascii="Arial" w:cs="Arial" w:eastAsia="Arial" w:hAnsi="Arial"/>
                <w:sz w:val="23"/>
                <w:szCs w:val="23"/>
                <w:color w:val="auto"/>
                <w:vertAlign w:val="superscript"/>
              </w:rPr>
              <w:t>(1)</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(2)</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(148)</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(124)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(2)</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Adjusted net income attributable to limited partners</w:t>
            </w: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80"/>
              <w:spacing w:after="0" w:line="216" w:lineRule="exact"/>
              <w:rPr>
                <w:sz w:val="20"/>
                <w:szCs w:val="20"/>
                <w:color w:val="auto"/>
              </w:rPr>
            </w:pPr>
            <w:r>
              <w:rPr>
                <w:rFonts w:ascii="Arial" w:cs="Arial" w:eastAsia="Arial" w:hAnsi="Arial"/>
                <w:sz w:val="18"/>
                <w:szCs w:val="18"/>
                <w:color w:val="auto"/>
                <w:w w:val="94"/>
              </w:rPr>
              <w:t xml:space="preserve">Less: Undistributed earnings allocated and distributions to participating securities </w:t>
            </w:r>
            <w:r>
              <w:rPr>
                <w:rFonts w:ascii="Arial" w:cs="Arial" w:eastAsia="Arial" w:hAnsi="Arial"/>
                <w:sz w:val="23"/>
                <w:szCs w:val="23"/>
                <w:color w:val="auto"/>
                <w:w w:val="94"/>
                <w:vertAlign w:val="superscript"/>
              </w:rPr>
              <w:t>(2)</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limited partners’ net income</w:t>
            </w:r>
          </w:p>
        </w:tc>
        <w:tc>
          <w:tcPr>
            <w:tcW w:w="680" w:type="dxa"/>
            <w:vAlign w:val="bottom"/>
            <w:tcBorders>
              <w:top w:val="single" w:sz="8" w:color="auto"/>
              <w:bottom w:val="single" w:sz="8" w:color="auto"/>
            </w:tcBorders>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limited partner units outstanding</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Basic adjusted net income per limited partner unit</w:t>
            </w:r>
          </w:p>
        </w:tc>
        <w:tc>
          <w:tcPr>
            <w:tcW w:w="68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0.28</w:t>
            </w:r>
          </w:p>
        </w:tc>
        <w:tc>
          <w:tcPr>
            <w:tcW w:w="7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0.53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Limited Partner Unit</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680" w:type="dxa"/>
            <w:vAlign w:val="bottom"/>
          </w:tcPr>
          <w:p>
            <w:pPr>
              <w:jc w:val="right"/>
              <w:ind w:right="526"/>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78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323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657</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Selected items impacting comparability of net income attributable to PAA </w:t>
            </w:r>
            <w:r>
              <w:rPr>
                <w:rFonts w:ascii="Arial" w:cs="Arial" w:eastAsia="Arial" w:hAnsi="Arial"/>
                <w:sz w:val="23"/>
                <w:szCs w:val="23"/>
                <w:color w:val="auto"/>
                <w:vertAlign w:val="superscript"/>
              </w:rPr>
              <w:t>(1)</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(2)</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(148)</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(124)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(2)</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Adjusted net income attributable to limited partners</w:t>
            </w: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80"/>
              <w:spacing w:after="0" w:line="216" w:lineRule="exact"/>
              <w:rPr>
                <w:sz w:val="20"/>
                <w:szCs w:val="20"/>
                <w:color w:val="auto"/>
              </w:rPr>
            </w:pPr>
            <w:r>
              <w:rPr>
                <w:rFonts w:ascii="Arial" w:cs="Arial" w:eastAsia="Arial" w:hAnsi="Arial"/>
                <w:sz w:val="18"/>
                <w:szCs w:val="18"/>
                <w:color w:val="auto"/>
                <w:w w:val="94"/>
              </w:rPr>
              <w:t xml:space="preserve">Less: Undistributed earnings allocated and distributions to participating securities </w:t>
            </w:r>
            <w:r>
              <w:rPr>
                <w:rFonts w:ascii="Arial" w:cs="Arial" w:eastAsia="Arial" w:hAnsi="Arial"/>
                <w:sz w:val="23"/>
                <w:szCs w:val="23"/>
                <w:color w:val="auto"/>
                <w:w w:val="94"/>
                <w:vertAlign w:val="superscript"/>
              </w:rPr>
              <w:t>(2)</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limited partners’ net income</w:t>
            </w:r>
          </w:p>
        </w:tc>
        <w:tc>
          <w:tcPr>
            <w:tcW w:w="680" w:type="dxa"/>
            <w:vAlign w:val="bottom"/>
            <w:tcBorders>
              <w:top w:val="single" w:sz="8" w:color="auto"/>
              <w:bottom w:val="single" w:sz="8" w:color="auto"/>
            </w:tcBorders>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limited partner units outstanding</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limited partner unit</w:t>
            </w:r>
          </w:p>
        </w:tc>
        <w:tc>
          <w:tcPr>
            <w:tcW w:w="680" w:type="dxa"/>
            <w:vAlign w:val="bottom"/>
            <w:shd w:val="clear" w:color="auto" w:fill="CCEEFF"/>
          </w:tcPr>
          <w:p>
            <w:pPr>
              <w:jc w:val="right"/>
              <w:ind w:right="52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0.28</w:t>
            </w:r>
          </w:p>
        </w:tc>
        <w:tc>
          <w:tcPr>
            <w:tcW w:w="7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0.53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460" w:right="260" w:hanging="452"/>
        <w:spacing w:after="0" w:line="233" w:lineRule="auto"/>
        <w:tabs>
          <w:tab w:leader="none" w:pos="453"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We calculate adjusted net income attributable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14</w:t>
      </w:r>
    </w:p>
    <w:p>
      <w:pPr>
        <w:sectPr>
          <w:pgSz w:w="11900" w:h="16847" w:orient="portrait"/>
          <w:cols w:equalWidth="0" w:num="1">
            <w:col w:w="11420"/>
          </w:cols>
          <w:pgMar w:left="240" w:top="537" w:right="239" w:bottom="0" w:gutter="0" w:footer="0" w:header="0"/>
        </w:sectPr>
      </w:pPr>
    </w:p>
    <w:bookmarkStart w:id="17" w:name="page18"/>
    <w:bookmarkEnd w:id="17"/>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980" w:type="dxa"/>
            <w:vAlign w:val="bottom"/>
            <w:gridSpan w:val="5"/>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5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w w:val="93"/>
              </w:rPr>
              <w:t>September 30,</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8"/>
        </w:trPr>
        <w:tc>
          <w:tcPr>
            <w:tcW w:w="652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7"/>
              </w:rPr>
              <w:t>Net Income to Earnings Before Interest, Taxes, Depreciation and Amortization</w:t>
            </w: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(“EBITDA”) and Excluding Selected Items Impacting Comparability</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EBITDA”) Reconciliations</w:t>
            </w: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Net Income</w:t>
            </w:r>
          </w:p>
        </w:tc>
        <w:tc>
          <w:tcPr>
            <w:tcW w:w="680" w:type="dxa"/>
            <w:vAlign w:val="bottom"/>
          </w:tcPr>
          <w:p>
            <w:pPr>
              <w:jc w:val="right"/>
              <w:ind w:right="526"/>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82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324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659</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996</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Interest expense, net</w:t>
            </w:r>
          </w:p>
        </w:tc>
        <w:tc>
          <w:tcPr>
            <w:tcW w:w="6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Add: Income tax expense</w:t>
            </w: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Depreciation and amortization</w:t>
            </w:r>
          </w:p>
        </w:tc>
        <w:tc>
          <w:tcPr>
            <w:tcW w:w="6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EBITDA</w:t>
            </w:r>
          </w:p>
        </w:tc>
        <w:tc>
          <w:tcPr>
            <w:tcW w:w="680" w:type="dxa"/>
            <w:vAlign w:val="bottom"/>
            <w:tcBorders>
              <w:top w:val="single" w:sz="8" w:color="auto"/>
            </w:tcBorders>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526</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Selected items impacting comparability of EBITDA </w:t>
            </w:r>
            <w:r>
              <w:rPr>
                <w:rFonts w:ascii="Arial" w:cs="Arial" w:eastAsia="Arial" w:hAnsi="Arial"/>
                <w:sz w:val="23"/>
                <w:szCs w:val="23"/>
                <w:color w:val="auto"/>
                <w:vertAlign w:val="superscript"/>
              </w:rPr>
              <w:t>(1)</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Adjusted EBITDA</w:t>
            </w:r>
          </w:p>
        </w:tc>
        <w:tc>
          <w:tcPr>
            <w:tcW w:w="68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527</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980" w:type="dxa"/>
            <w:vAlign w:val="bottom"/>
            <w:gridSpan w:val="5"/>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5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w w:val="93"/>
              </w:rPr>
              <w:t>September 30,</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6"/>
        </w:trPr>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 to Implied Distributable Cash Flow (“DCF”) Reconciliation</w:t>
            </w:r>
          </w:p>
        </w:tc>
        <w:tc>
          <w:tcPr>
            <w:tcW w:w="6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Adjusted EBITDA</w:t>
            </w: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497</w:t>
            </w:r>
          </w:p>
        </w:tc>
        <w:tc>
          <w:tcPr>
            <w:tcW w:w="8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527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1,605</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1,606</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(107)</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r>
      <w:tr>
        <w:trPr>
          <w:trHeight w:val="216"/>
        </w:trPr>
        <w:tc>
          <w:tcPr>
            <w:tcW w:w="6520" w:type="dxa"/>
            <w:vAlign w:val="bottom"/>
          </w:tcPr>
          <w:p>
            <w:pPr>
              <w:ind w:left="200"/>
              <w:spacing w:after="0"/>
              <w:rPr>
                <w:sz w:val="20"/>
                <w:szCs w:val="20"/>
                <w:color w:val="auto"/>
              </w:rPr>
            </w:pPr>
            <w:r>
              <w:rPr>
                <w:rFonts w:ascii="Arial" w:cs="Arial" w:eastAsia="Arial" w:hAnsi="Arial"/>
                <w:sz w:val="18"/>
                <w:szCs w:val="18"/>
                <w:color w:val="auto"/>
              </w:rPr>
              <w:t>Maintenance capital</w:t>
            </w:r>
          </w:p>
        </w:tc>
        <w:tc>
          <w:tcPr>
            <w:tcW w:w="6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16"/>
        </w:trPr>
        <w:tc>
          <w:tcPr>
            <w:tcW w:w="6520" w:type="dxa"/>
            <w:vAlign w:val="bottom"/>
          </w:tcPr>
          <w:p>
            <w:pPr>
              <w:ind w:left="200"/>
              <w:spacing w:after="0"/>
              <w:rPr>
                <w:sz w:val="20"/>
                <w:szCs w:val="20"/>
                <w:color w:val="auto"/>
              </w:rPr>
            </w:pPr>
            <w:r>
              <w:rPr>
                <w:rFonts w:ascii="Arial" w:cs="Arial" w:eastAsia="Arial" w:hAnsi="Arial"/>
                <w:sz w:val="18"/>
                <w:szCs w:val="18"/>
                <w:color w:val="auto"/>
              </w:rPr>
              <w:t>Equity earnings in unconsolidated entities, net of distributions</w:t>
            </w: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(1)</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0"/>
        </w:trPr>
        <w:tc>
          <w:tcPr>
            <w:tcW w:w="6520" w:type="dxa"/>
            <w:vAlign w:val="bottom"/>
          </w:tcPr>
          <w:p>
            <w:pPr>
              <w:spacing w:after="0" w:line="210"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3"/>
                <w:szCs w:val="23"/>
                <w:color w:val="auto"/>
                <w:vertAlign w:val="superscript"/>
              </w:rPr>
              <w:t>(2)</w:t>
            </w:r>
          </w:p>
        </w:tc>
        <w:tc>
          <w:tcPr>
            <w:tcW w:w="680" w:type="dxa"/>
            <w:vAlign w:val="bottom"/>
            <w:tcBorders>
              <w:top w:val="single" w:sz="8" w:color="auto"/>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369</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Includes distributions that pertain to the current period’s net income, which are paid in the subsequent period.</w:t>
      </w:r>
    </w:p>
    <w:p>
      <w:pPr>
        <w:spacing w:after="0" w:line="1" w:lineRule="exact"/>
        <w:rPr>
          <w:rFonts w:ascii="Arial" w:cs="Arial" w:eastAsia="Arial" w:hAnsi="Arial"/>
          <w:sz w:val="23"/>
          <w:szCs w:val="23"/>
          <w:color w:val="auto"/>
          <w:vertAlign w:val="superscript"/>
        </w:rPr>
      </w:pPr>
    </w:p>
    <w:p>
      <w:pPr>
        <w:ind w:left="460" w:right="300" w:hanging="452"/>
        <w:spacing w:after="0" w:line="219" w:lineRule="auto"/>
        <w:tabs>
          <w:tab w:leader="none" w:pos="453"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Including costs of $65 million related to our Line 901 incident that occurred during May 2015, Implied DCF would have been $1,023 million for the nine months ended September 30, 2015.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1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w w:val="96"/>
              </w:rPr>
              <w:t>2014</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4"/>
              </w:rPr>
              <w:t>Net Cash Provided by Operating Activities Reconciliation</w:t>
            </w:r>
          </w:p>
        </w:tc>
        <w:tc>
          <w:tcPr>
            <w:tcW w:w="1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EBITDA</w:t>
            </w:r>
          </w:p>
        </w:tc>
        <w:tc>
          <w:tcPr>
            <w:tcW w:w="19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483</w:t>
            </w: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526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1,364</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assets and liabilities, net of acquisitions</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Other items to reconcile to net cash provided by operating activities: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expense/(benefit)</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9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900" w:type="dxa"/>
            <w:vAlign w:val="bottom"/>
            <w:vMerge w:val="restart"/>
          </w:tcPr>
          <w:p>
            <w:pPr>
              <w:ind w:left="780"/>
              <w:spacing w:after="0"/>
              <w:rPr>
                <w:sz w:val="20"/>
                <w:szCs w:val="20"/>
                <w:color w:val="auto"/>
              </w:rPr>
            </w:pPr>
            <w:r>
              <w:rPr>
                <w:rFonts w:ascii="Arial" w:cs="Arial" w:eastAsia="Arial" w:hAnsi="Arial"/>
                <w:sz w:val="18"/>
                <w:szCs w:val="18"/>
                <w:color w:val="auto"/>
              </w:rPr>
              <w:t>– more –</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6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2300"/>
              <w:spacing w:after="0"/>
              <w:rPr>
                <w:sz w:val="20"/>
                <w:szCs w:val="20"/>
                <w:color w:val="auto"/>
              </w:rPr>
            </w:pPr>
            <w:r>
              <w:rPr>
                <w:rFonts w:ascii="Arial" w:cs="Arial" w:eastAsia="Arial" w:hAnsi="Arial"/>
                <w:sz w:val="18"/>
                <w:szCs w:val="18"/>
                <w:b w:val="1"/>
                <w:bCs w:val="1"/>
                <w:color w:val="auto"/>
              </w:rPr>
              <w:t>333 Clay Street, Suite 1600</w:t>
            </w:r>
          </w:p>
        </w:tc>
        <w:tc>
          <w:tcPr>
            <w:tcW w:w="1900" w:type="dxa"/>
            <w:vAlign w:val="bottom"/>
          </w:tcPr>
          <w:p>
            <w:pPr>
              <w:ind w:left="200"/>
              <w:spacing w:after="0"/>
              <w:rPr>
                <w:sz w:val="20"/>
                <w:szCs w:val="20"/>
                <w:color w:val="auto"/>
              </w:rPr>
            </w:pPr>
            <w:r>
              <w:rPr>
                <w:rFonts w:ascii="Arial" w:cs="Arial" w:eastAsia="Arial" w:hAnsi="Arial"/>
                <w:sz w:val="18"/>
                <w:szCs w:val="18"/>
                <w:b w:val="1"/>
                <w:bCs w:val="1"/>
                <w:color w:val="auto"/>
                <w:w w:val="88"/>
              </w:rPr>
              <w:t>Houston, Texas 77002</w:t>
            </w:r>
          </w:p>
        </w:tc>
        <w:tc>
          <w:tcPr>
            <w:tcW w:w="240" w:type="dxa"/>
            <w:vAlign w:val="bottom"/>
          </w:tcPr>
          <w:p>
            <w:pPr>
              <w:spacing w:after="0"/>
              <w:rPr>
                <w:sz w:val="20"/>
                <w:szCs w:val="20"/>
                <w:color w:val="auto"/>
              </w:rPr>
            </w:pPr>
          </w:p>
        </w:tc>
        <w:tc>
          <w:tcPr>
            <w:tcW w:w="2520" w:type="dxa"/>
            <w:vAlign w:val="bottom"/>
            <w:gridSpan w:val="7"/>
          </w:tcPr>
          <w:p>
            <w:pPr>
              <w:jc w:val="right"/>
              <w:ind w:right="85"/>
              <w:spacing w:after="0"/>
              <w:rPr>
                <w:sz w:val="20"/>
                <w:szCs w:val="20"/>
                <w:color w:val="auto"/>
              </w:rPr>
            </w:pPr>
            <w:r>
              <w:rPr>
                <w:rFonts w:ascii="Arial" w:cs="Arial" w:eastAsia="Arial" w:hAnsi="Arial"/>
                <w:sz w:val="18"/>
                <w:szCs w:val="18"/>
                <w:b w:val="1"/>
                <w:bCs w:val="1"/>
                <w:color w:val="auto"/>
                <w:w w:val="97"/>
              </w:rPr>
              <w:t>713-646-4100 / 866-809-1291</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462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2015</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 2014</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PAA</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PAA</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2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righ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tcPr>
          <w:p>
            <w:pPr>
              <w:jc w:val="center"/>
              <w:ind w:right="6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5,551</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11,127</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4,701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4,701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10,166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w w:val="97"/>
              </w:rPr>
              <w:t>General and administrative expenses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337" w:right="199" w:bottom="0" w:gutter="0" w:footer="0" w:header="0"/>
        </w:sectPr>
      </w:pPr>
    </w:p>
    <w:bookmarkStart w:id="18" w:name="page19"/>
    <w:bookmarkEnd w:id="1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5,219</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10,723</w:t>
            </w:r>
          </w:p>
        </w:tc>
        <w:tc>
          <w:tcPr>
            <w:tcW w:w="3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332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404</w:t>
            </w:r>
          </w:p>
        </w:tc>
        <w:tc>
          <w:tcPr>
            <w:tcW w:w="4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2"/>
              </w:rPr>
              <w:t>Equity earnings in unconsolidated entities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(85)</w:t>
            </w:r>
          </w:p>
        </w:tc>
        <w:tc>
          <w:tcPr>
            <w:tcW w:w="4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344</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324</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180"/>
              <w:spacing w:after="0" w:line="201" w:lineRule="exact"/>
              <w:rPr>
                <w:sz w:val="20"/>
                <w:szCs w:val="20"/>
                <w:color w:val="auto"/>
              </w:rPr>
            </w:pPr>
            <w:r>
              <w:rPr>
                <w:rFonts w:ascii="Arial" w:cs="Arial" w:eastAsia="Arial" w:hAnsi="Arial"/>
                <w:sz w:val="18"/>
                <w:szCs w:val="18"/>
                <w:color w:val="auto"/>
              </w:rPr>
              <w:t>Net income attributable to</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w:t>
            </w: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100" w:type="dxa"/>
            <w:vAlign w:val="bottom"/>
            <w:vMerge w:val="continue"/>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0" w:type="dxa"/>
            <w:vAlign w:val="bottom"/>
            <w:vMerge w:val="restart"/>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5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right w:val="single" w:sz="8" w:color="auto"/>
            </w:tcBorders>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323</w:t>
            </w:r>
          </w:p>
        </w:tc>
        <w:tc>
          <w:tcPr>
            <w:tcW w:w="460" w:type="dxa"/>
            <w:vAlign w:val="bottom"/>
            <w:vMerge w:val="restart"/>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(307)</w:t>
            </w: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PAGP</w:t>
            </w:r>
          </w:p>
        </w:tc>
        <w:tc>
          <w:tcPr>
            <w:tcW w:w="10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80" w:type="dxa"/>
            <w:vAlign w:val="bottom"/>
            <w:tcBorders>
              <w:right w:val="single" w:sz="8" w:color="auto"/>
            </w:tcBorders>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900" w:type="dxa"/>
            <w:vAlign w:val="bottom"/>
            <w:gridSpan w:val="9"/>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WEIGHTED AVERAGE CLASS A SHARES</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 2015</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2014</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Consolidating</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Borders>
              <w:right w:val="single" w:sz="8" w:color="auto"/>
            </w:tcBorders>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PAGP</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PAA</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40"/>
              <w:spacing w:after="0" w:line="172" w:lineRule="exact"/>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8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18,156</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18,156</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15,591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15,591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31,116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17,248</w:t>
            </w: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32,744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908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1,261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7"/>
              </w:rPr>
              <w:t>Equity earnings in unconsolidated entities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(expense)/benefit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ind w:left="180"/>
              <w:spacing w:after="0" w:line="201" w:lineRule="exact"/>
              <w:rPr>
                <w:sz w:val="20"/>
                <w:szCs w:val="20"/>
                <w:color w:val="auto"/>
              </w:rPr>
            </w:pPr>
            <w:r>
              <w:rPr>
                <w:rFonts w:ascii="Arial" w:cs="Arial" w:eastAsia="Arial" w:hAnsi="Arial"/>
                <w:sz w:val="18"/>
                <w:szCs w:val="18"/>
                <w:color w:val="auto"/>
                <w:w w:val="94"/>
              </w:rPr>
              <w:t>Net income attributable to noncontrolling</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interests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(911)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w:t>
            </w: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vMerge w:val="continue"/>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657</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(564)</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994</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(949)</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PAGP</w:t>
            </w:r>
          </w:p>
        </w:tc>
        <w:tc>
          <w:tcPr>
            <w:tcW w:w="30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980" w:type="dxa"/>
            <w:vAlign w:val="bottom"/>
            <w:tcBorders>
              <w:right w:val="single" w:sz="8" w:color="auto"/>
            </w:tcBorders>
            <w:gridSpan w:val="2"/>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19" w:name="page20"/>
    <w:bookmarkEnd w:id="1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WEIGHTED AVERAGE CLASS A SHARES</w:t>
            </w:r>
          </w:p>
        </w:tc>
        <w:tc>
          <w:tcPr>
            <w:tcW w:w="4160" w:type="dxa"/>
            <w:vAlign w:val="bottom"/>
            <w:gridSpan w:val="2"/>
            <w:shd w:val="clear" w:color="auto" w:fill="CCEEFF"/>
          </w:tcPr>
          <w:p>
            <w:pPr>
              <w:jc w:val="right"/>
              <w:ind w:right="3140"/>
              <w:spacing w:after="0"/>
              <w:rPr>
                <w:sz w:val="20"/>
                <w:szCs w:val="20"/>
                <w:color w:val="auto"/>
              </w:rPr>
            </w:pPr>
            <w:r>
              <w:rPr>
                <w:rFonts w:ascii="Arial" w:cs="Arial" w:eastAsia="Arial" w:hAnsi="Arial"/>
                <w:sz w:val="18"/>
                <w:szCs w:val="18"/>
                <w:color w:val="auto"/>
              </w:rPr>
              <w:t>220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r>
      <w:tr>
        <w:trPr>
          <w:trHeight w:val="221"/>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OUTSTANDING</w:t>
            </w:r>
          </w:p>
        </w:tc>
        <w:tc>
          <w:tcPr>
            <w:tcW w:w="1020" w:type="dxa"/>
            <w:vAlign w:val="bottom"/>
            <w:tcBorders>
              <w:bottom w:val="single" w:sz="8" w:color="auto"/>
            </w:tcBorders>
            <w:shd w:val="clear" w:color="auto" w:fill="CCEEFF"/>
          </w:tcPr>
          <w:p>
            <w:pPr>
              <w:spacing w:after="0"/>
              <w:rPr>
                <w:sz w:val="19"/>
                <w:szCs w:val="19"/>
                <w:color w:val="auto"/>
              </w:rPr>
            </w:pPr>
          </w:p>
        </w:tc>
        <w:tc>
          <w:tcPr>
            <w:tcW w:w="3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2015</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2014</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Borders>
              <w:right w:val="single" w:sz="8" w:color="auto"/>
            </w:tcBorders>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PAGP</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Consolidating</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Borders>
              <w:right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2,958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2,961</w:t>
            </w:r>
          </w:p>
        </w:tc>
        <w:tc>
          <w:tcPr>
            <w:tcW w:w="4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4,179</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13,369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2,417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Deferred tax asset</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1,849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Long-term inventory</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22,217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24,088</w:t>
            </w:r>
          </w:p>
        </w:tc>
        <w:tc>
          <w:tcPr>
            <w:tcW w:w="240" w:type="dxa"/>
            <w:vAlign w:val="bottom"/>
            <w:tcBorders>
              <w:bottom w:val="single" w:sz="8" w:color="CCEEFF"/>
              <w:right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22,256</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23,983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8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 PARTNERS’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b w:val="1"/>
                <w:bCs w:val="1"/>
                <w:color w:val="auto"/>
              </w:rPr>
              <w:t>CAPITAL</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3,480</w:t>
            </w:r>
          </w:p>
        </w:tc>
        <w:tc>
          <w:tcPr>
            <w:tcW w:w="4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Senior notes, net of unamortized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discount</w:t>
            </w:r>
          </w:p>
        </w:tc>
        <w:tc>
          <w:tcPr>
            <w:tcW w:w="2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9,757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9,757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8,757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8,757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w w:val="99"/>
              </w:rPr>
              <w:t>Other long-term liabilities and deferred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credits</w:t>
            </w:r>
          </w:p>
        </w:tc>
        <w:tc>
          <w:tcPr>
            <w:tcW w:w="2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553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14,562</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Partners’ capital excluding</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1,797</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(6,476)</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7,729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7,666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9,526</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tcPr>
          <w:p>
            <w:pPr>
              <w:ind w:left="360"/>
              <w:spacing w:after="0" w:line="182" w:lineRule="exact"/>
              <w:rPr>
                <w:sz w:val="20"/>
                <w:szCs w:val="20"/>
                <w:color w:val="auto"/>
              </w:rPr>
            </w:pPr>
            <w:r>
              <w:rPr>
                <w:rFonts w:ascii="Arial" w:cs="Arial" w:eastAsia="Arial" w:hAnsi="Arial"/>
                <w:sz w:val="18"/>
                <w:szCs w:val="18"/>
                <w:color w:val="auto"/>
              </w:rPr>
              <w:t>Total liabilities and partners’</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22,217</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1,871</w:t>
            </w:r>
          </w:p>
        </w:tc>
        <w:tc>
          <w:tcPr>
            <w:tcW w:w="140" w:type="dxa"/>
            <w:vAlign w:val="bottom"/>
          </w:tcPr>
          <w:p>
            <w:pPr>
              <w:spacing w:after="0"/>
              <w:rPr>
                <w:sz w:val="15"/>
                <w:szCs w:val="15"/>
                <w:color w:val="auto"/>
              </w:rPr>
            </w:pPr>
          </w:p>
        </w:tc>
        <w:tc>
          <w:tcPr>
            <w:tcW w:w="3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8"/>
                <w:szCs w:val="18"/>
                <w:color w:val="auto"/>
              </w:rPr>
              <w:t>24,088</w:t>
            </w:r>
          </w:p>
        </w:tc>
        <w:tc>
          <w:tcPr>
            <w:tcW w:w="460" w:type="dxa"/>
            <w:vAlign w:val="bottom"/>
            <w:gridSpan w:val="2"/>
            <w:vMerge w:val="restart"/>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22,256</w:t>
            </w:r>
          </w:p>
        </w:tc>
        <w:tc>
          <w:tcPr>
            <w:tcW w:w="200" w:type="dxa"/>
            <w:vAlign w:val="bottom"/>
            <w:gridSpan w:val="2"/>
            <w:vMerge w:val="restart"/>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1,727</w:t>
            </w:r>
          </w:p>
        </w:tc>
        <w:tc>
          <w:tcPr>
            <w:tcW w:w="240" w:type="dxa"/>
            <w:vAlign w:val="bottom"/>
            <w:gridSpan w:val="2"/>
            <w:vMerge w:val="restart"/>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23,983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80" w:type="dxa"/>
            <w:vAlign w:val="bottom"/>
          </w:tcPr>
          <w:p>
            <w:pPr>
              <w:ind w:left="540"/>
              <w:spacing w:after="0"/>
              <w:rPr>
                <w:sz w:val="20"/>
                <w:szCs w:val="20"/>
                <w:color w:val="auto"/>
              </w:rPr>
            </w:pPr>
            <w:r>
              <w:rPr>
                <w:rFonts w:ascii="Arial" w:cs="Arial" w:eastAsia="Arial" w:hAnsi="Arial"/>
                <w:sz w:val="18"/>
                <w:szCs w:val="18"/>
                <w:color w:val="auto"/>
              </w:rPr>
              <w:t>capital</w:t>
            </w:r>
          </w:p>
        </w:tc>
        <w:tc>
          <w:tcPr>
            <w:tcW w:w="2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160" w:type="dxa"/>
            <w:vAlign w:val="bottom"/>
            <w:tcBorders>
              <w:right w:val="single" w:sz="8" w:color="auto"/>
            </w:tcBorders>
            <w:gridSpan w:val="2"/>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DISTRIBUTION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Q3 2015 PAGP DISTRIBUTION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 xml:space="preserve">Q3 2015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PAA Distribution/LP Unit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GP Distribution/LP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0.3872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Distribution/LP Unit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PAA LP Units Outstanding at 10/30/15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99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30" w:right="2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Gross GP Distribution</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Less: IDR Reduction</w:t>
            </w:r>
          </w:p>
        </w:tc>
        <w:tc>
          <w:tcPr>
            <w:tcW w:w="5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Net Distribution from PAA to AAP </w:t>
            </w:r>
            <w:r>
              <w:rPr>
                <w:rFonts w:ascii="Arial" w:cs="Arial" w:eastAsia="Arial" w:hAnsi="Arial"/>
                <w:sz w:val="23"/>
                <w:szCs w:val="23"/>
                <w:color w:val="auto"/>
                <w:vertAlign w:val="superscript"/>
              </w:rPr>
              <w:t>(2)</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Less: Debt Service</w:t>
            </w:r>
          </w:p>
        </w:tc>
        <w:tc>
          <w:tcPr>
            <w:tcW w:w="5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G&amp;A Expense</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Plus: Projected Cash Available</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Available for Distribution by AAP</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AAP Partners</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Direct AAP Owners &amp; AAP Management (65% economic interest)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PAGP (35% economic interest)</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distributions to AAP Partners</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Distribution to PAGP Investors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PAGP Class A Shares Outstanding at 10/30/15</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PAGP Distribution/Class A Share</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jc w:val="right"/>
              <w:ind w:right="102"/>
              <w:spacing w:after="0"/>
              <w:rPr>
                <w:sz w:val="20"/>
                <w:szCs w:val="20"/>
                <w:color w:val="auto"/>
              </w:rPr>
            </w:pPr>
            <w:r>
              <w:rPr>
                <w:rFonts w:ascii="Arial" w:cs="Arial" w:eastAsia="Arial" w:hAnsi="Arial"/>
                <w:sz w:val="12"/>
                <w:szCs w:val="12"/>
                <w:color w:val="auto"/>
                <w:w w:val="81"/>
              </w:rPr>
              <w:t>(1)</w:t>
            </w:r>
          </w:p>
        </w:tc>
        <w:tc>
          <w:tcPr>
            <w:tcW w:w="4220" w:type="dxa"/>
            <w:vAlign w:val="bottom"/>
          </w:tcPr>
          <w:p>
            <w:pPr>
              <w:ind w:left="160"/>
              <w:spacing w:after="0"/>
              <w:rPr>
                <w:sz w:val="20"/>
                <w:szCs w:val="20"/>
                <w:color w:val="auto"/>
              </w:rPr>
            </w:pPr>
            <w:r>
              <w:rPr>
                <w:rFonts w:ascii="Arial" w:cs="Arial" w:eastAsia="Arial" w:hAnsi="Arial"/>
                <w:sz w:val="18"/>
                <w:szCs w:val="18"/>
                <w:color w:val="auto"/>
              </w:rPr>
              <w:t>Amounts may not recalculate due to rounding.</w:t>
            </w:r>
          </w:p>
        </w:tc>
      </w:tr>
      <w:tr>
        <w:trPr>
          <w:trHeight w:val="230"/>
        </w:trPr>
        <w:tc>
          <w:tcPr>
            <w:tcW w:w="300" w:type="dxa"/>
            <w:vAlign w:val="bottom"/>
          </w:tcPr>
          <w:p>
            <w:pPr>
              <w:jc w:val="right"/>
              <w:ind w:right="102"/>
              <w:spacing w:after="0"/>
              <w:rPr>
                <w:sz w:val="20"/>
                <w:szCs w:val="20"/>
                <w:color w:val="auto"/>
              </w:rPr>
            </w:pPr>
            <w:r>
              <w:rPr>
                <w:rFonts w:ascii="Arial" w:cs="Arial" w:eastAsia="Arial" w:hAnsi="Arial"/>
                <w:sz w:val="12"/>
                <w:szCs w:val="12"/>
                <w:color w:val="auto"/>
                <w:w w:val="81"/>
              </w:rPr>
              <w:t>(2)</w:t>
            </w:r>
          </w:p>
        </w:tc>
        <w:tc>
          <w:tcPr>
            <w:tcW w:w="4220" w:type="dxa"/>
            <w:vAlign w:val="bottom"/>
          </w:tcPr>
          <w:p>
            <w:pPr>
              <w:ind w:left="160"/>
              <w:spacing w:after="0"/>
              <w:rPr>
                <w:sz w:val="20"/>
                <w:szCs w:val="20"/>
                <w:color w:val="auto"/>
              </w:rPr>
            </w:pPr>
            <w:r>
              <w:rPr>
                <w:rFonts w:ascii="Arial" w:cs="Arial" w:eastAsia="Arial" w:hAnsi="Arial"/>
                <w:sz w:val="18"/>
                <w:szCs w:val="18"/>
                <w:color w:val="auto"/>
                <w:w w:val="92"/>
              </w:rPr>
              <w:t>Plains AAP, L.P. (“AAP”) is the general partner of PAA.</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48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140" w:type="dxa"/>
            <w:vAlign w:val="bottom"/>
            <w:gridSpan w:val="6"/>
          </w:tcPr>
          <w:p>
            <w:pPr>
              <w:ind w:left="28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 w:type="dxa"/>
            <w:vAlign w:val="bottom"/>
            <w:tcBorders>
              <w:bottom w:val="single" w:sz="8" w:color="CCEEFF"/>
            </w:tcBorders>
          </w:tcPr>
          <w:p>
            <w:pPr>
              <w:spacing w:after="0"/>
              <w:rPr>
                <w:sz w:val="12"/>
                <w:szCs w:val="12"/>
                <w:color w:val="auto"/>
              </w:rPr>
            </w:pPr>
          </w:p>
        </w:tc>
        <w:tc>
          <w:tcPr>
            <w:tcW w:w="414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w w:val="96"/>
              </w:rPr>
              <w:t>2014</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Net Income per Class A Share</w:t>
            </w:r>
          </w:p>
        </w:tc>
        <w:tc>
          <w:tcPr>
            <w:tcW w:w="1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ind w:left="200"/>
              <w:spacing w:after="0"/>
              <w:rPr>
                <w:sz w:val="20"/>
                <w:szCs w:val="20"/>
                <w:color w:val="auto"/>
              </w:rPr>
            </w:pPr>
            <w:r>
              <w:rPr>
                <w:rFonts w:ascii="Arial" w:cs="Arial" w:eastAsia="Arial" w:hAnsi="Arial"/>
                <w:sz w:val="18"/>
                <w:szCs w:val="18"/>
                <w:color w:val="auto"/>
              </w:rPr>
              <w:t>Net income attributable to PAGP</w:t>
            </w:r>
          </w:p>
        </w:tc>
        <w:tc>
          <w:tcPr>
            <w:tcW w:w="2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9"/>
              </w:rPr>
              <w:t>Basic and diluted weighted average Class A shares outstanding</w:t>
            </w: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 and diluted net income per Class A share</w:t>
            </w:r>
          </w:p>
        </w:tc>
        <w:tc>
          <w:tcPr>
            <w:tcW w:w="2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0.42</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Contacts:</w:t>
            </w:r>
          </w:p>
        </w:tc>
        <w:tc>
          <w:tcPr>
            <w:tcW w:w="1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8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780" w:type="dxa"/>
            <w:vAlign w:val="bottom"/>
            <w:gridSpan w:val="2"/>
          </w:tcPr>
          <w:p>
            <w:pPr>
              <w:spacing w:after="0"/>
              <w:rPr>
                <w:sz w:val="20"/>
                <w:szCs w:val="20"/>
                <w:color w:val="auto"/>
              </w:rPr>
            </w:pPr>
            <w:r>
              <w:rPr>
                <w:rFonts w:ascii="Arial" w:cs="Arial" w:eastAsia="Arial" w:hAnsi="Arial"/>
                <w:sz w:val="18"/>
                <w:szCs w:val="18"/>
                <w:color w:val="auto"/>
              </w:rPr>
              <w:t>Ryan Smith</w:t>
            </w:r>
          </w:p>
        </w:tc>
        <w:tc>
          <w:tcPr>
            <w:tcW w:w="2080" w:type="dxa"/>
            <w:vAlign w:val="bottom"/>
            <w:gridSpan w:val="2"/>
          </w:tcPr>
          <w:p>
            <w:pPr>
              <w:ind w:left="940"/>
              <w:spacing w:after="0"/>
              <w:rPr>
                <w:sz w:val="20"/>
                <w:szCs w:val="20"/>
                <w:color w:val="auto"/>
              </w:rPr>
            </w:pPr>
            <w:r>
              <w:rPr>
                <w:rFonts w:ascii="Arial" w:cs="Arial" w:eastAsia="Arial" w:hAnsi="Arial"/>
                <w:sz w:val="18"/>
                <w:szCs w:val="18"/>
                <w:color w:val="auto"/>
              </w:rPr>
              <w:t>Al Swanson</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Director, Investor Relations</w:t>
            </w:r>
          </w:p>
        </w:tc>
        <w:tc>
          <w:tcPr>
            <w:tcW w:w="3360" w:type="dxa"/>
            <w:vAlign w:val="bottom"/>
            <w:gridSpan w:val="6"/>
          </w:tcPr>
          <w:p>
            <w:pPr>
              <w:ind w:left="940"/>
              <w:spacing w:after="0"/>
              <w:rPr>
                <w:sz w:val="20"/>
                <w:szCs w:val="20"/>
                <w:color w:val="auto"/>
              </w:rPr>
            </w:pPr>
            <w:r>
              <w:rPr>
                <w:rFonts w:ascii="Arial" w:cs="Arial" w:eastAsia="Arial" w:hAnsi="Arial"/>
                <w:sz w:val="18"/>
                <w:szCs w:val="18"/>
                <w:color w:val="auto"/>
                <w:w w:val="97"/>
              </w:rPr>
              <w:t>Executive Vice President, CFO</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2080" w:type="dxa"/>
            <w:vAlign w:val="bottom"/>
            <w:gridSpan w:val="2"/>
          </w:tcPr>
          <w:p>
            <w:pPr>
              <w:ind w:left="940"/>
              <w:spacing w:after="0"/>
              <w:rPr>
                <w:sz w:val="20"/>
                <w:szCs w:val="20"/>
                <w:color w:val="auto"/>
              </w:rPr>
            </w:pPr>
            <w:r>
              <w:rPr>
                <w:rFonts w:ascii="Arial" w:cs="Arial" w:eastAsia="Arial" w:hAnsi="Arial"/>
                <w:sz w:val="18"/>
                <w:szCs w:val="18"/>
                <w:color w:val="auto"/>
                <w:w w:val="90"/>
              </w:rPr>
              <w:t>(800) 564-3036</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7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2420" w:type="dxa"/>
            <w:vAlign w:val="bottom"/>
            <w:tcBorders>
              <w:bottom w:val="single" w:sz="8" w:color="auto"/>
            </w:tcBorders>
            <w:gridSpan w:val="7"/>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4140" w:type="dxa"/>
            <w:vAlign w:val="bottom"/>
          </w:tcPr>
          <w:p>
            <w:pPr>
              <w:ind w:left="1660"/>
              <w:spacing w:after="0"/>
              <w:rPr>
                <w:sz w:val="20"/>
                <w:szCs w:val="20"/>
                <w:color w:val="auto"/>
              </w:rPr>
            </w:pPr>
            <w:r>
              <w:rPr>
                <w:rFonts w:ascii="Arial" w:cs="Arial" w:eastAsia="Arial" w:hAnsi="Arial"/>
                <w:sz w:val="18"/>
                <w:szCs w:val="18"/>
                <w:b w:val="1"/>
                <w:bCs w:val="1"/>
                <w:color w:val="auto"/>
              </w:rPr>
              <w:t>333 Clay Street, Suite 1600</w:t>
            </w:r>
          </w:p>
        </w:tc>
        <w:tc>
          <w:tcPr>
            <w:tcW w:w="2080" w:type="dxa"/>
            <w:vAlign w:val="bottom"/>
            <w:gridSpan w:val="2"/>
          </w:tcPr>
          <w:p>
            <w:pPr>
              <w:ind w:left="40"/>
              <w:spacing w:after="0"/>
              <w:rPr>
                <w:sz w:val="20"/>
                <w:szCs w:val="20"/>
                <w:color w:val="auto"/>
              </w:rPr>
            </w:pPr>
            <w:r>
              <w:rPr>
                <w:rFonts w:ascii="Arial" w:cs="Arial" w:eastAsia="Arial" w:hAnsi="Arial"/>
                <w:sz w:val="18"/>
                <w:szCs w:val="18"/>
                <w:b w:val="1"/>
                <w:bCs w:val="1"/>
                <w:color w:val="auto"/>
              </w:rPr>
              <w:t>Houston, Texas 77002</w:t>
            </w:r>
          </w:p>
        </w:tc>
        <w:tc>
          <w:tcPr>
            <w:tcW w:w="2420" w:type="dxa"/>
            <w:vAlign w:val="bottom"/>
            <w:gridSpan w:val="7"/>
          </w:tcPr>
          <w:p>
            <w:pPr>
              <w:jc w:val="right"/>
              <w:ind w:right="85"/>
              <w:spacing w:after="0"/>
              <w:rPr>
                <w:sz w:val="20"/>
                <w:szCs w:val="20"/>
                <w:color w:val="auto"/>
              </w:rPr>
            </w:pPr>
            <w:r>
              <w:rPr>
                <w:rFonts w:ascii="Arial" w:cs="Arial" w:eastAsia="Arial" w:hAnsi="Arial"/>
                <w:sz w:val="18"/>
                <w:szCs w:val="18"/>
                <w:b w:val="1"/>
                <w:bCs w:val="1"/>
                <w:color w:val="auto"/>
                <w:w w:val="93"/>
              </w:rPr>
              <w:t>713-646-4100 / 866-809-1291</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64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4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o"/>
      <w:numFmt w:val="bullet"/>
      <w:start w:val="1"/>
    </w:lvl>
  </w:abstractNum>
  <w:abstractNum w:abstractNumId="1">
    <w:nsid w:val="1BEFD79F"/>
    <w:multiLevelType w:val="hybridMultilevel"/>
    <w:lvl w:ilvl="0">
      <w:lvlJc w:val="left"/>
      <w:lvlText w:val="(%1)"/>
      <w:numFmt w:val="lowerLetter"/>
      <w:start w:val="1"/>
    </w:lvl>
  </w:abstractNum>
  <w:abstractNum w:abstractNumId="2">
    <w:nsid w:val="41A7C4C9"/>
    <w:multiLevelType w:val="hybridMultilevel"/>
    <w:lvl w:ilvl="0">
      <w:lvlJc w:val="left"/>
      <w:lvlText w:val="%1."/>
      <w:numFmt w:val="decimal"/>
      <w:start w:val="2"/>
    </w:lvl>
    <w:lvl w:ilvl="1">
      <w:lvlJc w:val="left"/>
      <w:lvlText w:val="%2."/>
      <w:numFmt w:val="lowerLetter"/>
      <w:start w:val="1"/>
    </w:lvl>
  </w:abstractNum>
  <w:abstractNum w:abstractNumId="3">
    <w:nsid w:val="6B68079A"/>
    <w:multiLevelType w:val="hybridMultilevel"/>
    <w:lvl w:ilvl="0">
      <w:lvlJc w:val="left"/>
      <w:lvlText w:val="%1"/>
      <w:numFmt w:val="lowerLetter"/>
      <w:start w:val="1"/>
    </w:lvl>
    <w:lvl w:ilvl="1">
      <w:lvlJc w:val="left"/>
      <w:lvlText w:val="(%2)"/>
      <w:numFmt w:val="decimal"/>
      <w:start w:val="1"/>
    </w:lvl>
  </w:abstractNum>
  <w:abstractNum w:abstractNumId="4">
    <w:nsid w:val="4E6AFB66"/>
    <w:multiLevelType w:val="hybridMultilevel"/>
    <w:lvl w:ilvl="0">
      <w:lvlJc w:val="left"/>
      <w:lvlText w:val="%1."/>
      <w:numFmt w:val="lowerLetter"/>
      <w:start w:val="2"/>
    </w:lvl>
    <w:lvl w:ilvl="1">
      <w:lvlJc w:val="left"/>
      <w:lvlText w:val="%2"/>
      <w:numFmt w:val="decimal"/>
      <w:start w:val="1"/>
    </w:lvl>
  </w:abstractNum>
  <w:abstractNum w:abstractNumId="5">
    <w:nsid w:val="25E45D32"/>
    <w:multiLevelType w:val="hybridMultilevel"/>
    <w:lvl w:ilvl="0">
      <w:lvlJc w:val="left"/>
      <w:lvlText w:val="%1"/>
      <w:numFmt w:val="lowerLetter"/>
      <w:start w:val="1"/>
    </w:lvl>
    <w:lvl w:ilvl="1">
      <w:lvlJc w:val="left"/>
      <w:lvlText w:val="·"/>
      <w:numFmt w:val="bullet"/>
      <w:start w:val="1"/>
    </w:lvl>
    <w:lvl w:ilvl="2">
      <w:lvlJc w:val="left"/>
      <w:lvlText w:val="(%3)"/>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lvl w:ilvl="1">
      <w:lvlJc w:val="left"/>
      <w:lvlText w:val="(%2)"/>
      <w:numFmt w:val="decimal"/>
      <w:start w:val="1"/>
    </w:lvl>
  </w:abstractNum>
  <w:abstractNum w:abstractNumId="8">
    <w:nsid w:val="3F2DBA31"/>
    <w:multiLevelType w:val="hybridMultilevel"/>
    <w:lvl w:ilvl="0">
      <w:lvlJc w:val="left"/>
      <w:lvlText w:val="%1."/>
      <w:numFmt w:val="decimal"/>
      <w:start w:val="3"/>
    </w:lvl>
    <w:lvl w:ilvl="1">
      <w:lvlJc w:val="left"/>
      <w:lvlText w:val="%2"/>
      <w:numFmt w:val="decimal"/>
      <w:start w:val="1"/>
    </w:lvl>
  </w:abstractNum>
  <w:abstractNum w:abstractNumId="9">
    <w:nsid w:val="7C83E458"/>
    <w:multiLevelType w:val="hybridMultilevel"/>
    <w:lvl w:ilvl="0">
      <w:lvlJc w:val="left"/>
      <w:lvlText w:val="(%1)"/>
      <w:numFmt w:val="decimal"/>
      <w:start w:val="1"/>
    </w:lvl>
    <w:lvl w:ilvl="1">
      <w:lvlJc w:val="left"/>
      <w:lvlText w:val="(%2)"/>
      <w:numFmt w:val="lowerRoman"/>
      <w:start w:val="3"/>
    </w:lvl>
  </w:abstractNum>
  <w:abstractNum w:abstractNumId="10">
    <w:nsid w:val="257130A3"/>
    <w:multiLevelType w:val="hybridMultilevel"/>
    <w:lvl w:ilvl="0">
      <w:lvlJc w:val="left"/>
      <w:lvlText w:val="%1."/>
      <w:numFmt w:val="decimal"/>
      <w:start w:val="5"/>
    </w:lvl>
    <w:lvl w:ilvl="1">
      <w:lvlJc w:val="left"/>
      <w:lvlText w:val="%2."/>
      <w:numFmt w:val="decimal"/>
      <w:start w:val="7"/>
    </w:lvl>
  </w:abstractNum>
  <w:abstractNum w:abstractNumId="11">
    <w:nsid w:val="62BBD95A"/>
    <w:multiLevelType w:val="hybridMultilevel"/>
    <w:lvl w:ilvl="0">
      <w:lvlJc w:val="left"/>
      <w:lvlText w:val="%1."/>
      <w:numFmt w:val="decimal"/>
      <w:start w:val="8"/>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3"/>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2020-01-25T02:27:16Z</dcterms:created>
  <dcterms:modified xsi:type="dcterms:W3CDTF">2020-01-25T02:27:16Z</dcterms:modified>
</cp:coreProperties>
</file>