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6,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60"/>
          </w:cols>
          <w:pgMar w:left="240" w:top="544" w:right="29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6, 2018, the Registrant issued a press release reporting its third-quarter 2018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Exhibit 99.1 — Press Release dated November 6, 2018</w:t>
        </w:r>
      </w:hyperlink>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By: PAA GP LLC, its general partner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By: PLAINS AAP, L.P., its sole member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By: PLAINS ALL AMERICAN GP LLC, its general partner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6, 2018</w:t>
            </w: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By:  /s/ Sharon Spurlin</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Sharon Spurlin</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440" w:type="dxa"/>
            <w:vAlign w:val="bottom"/>
          </w:tcPr>
          <w:p>
            <w:pPr>
              <w:ind w:left="194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2018 Results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(Houston — November 6, 2018) Plains All American Pipeline, L.P. (NYSE: PAA) and Plains GP Holdings (NYSE: PAGP) today reported third-quarter 2018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Third-Quarter Highlights</w:t>
      </w:r>
    </w:p>
    <w:p>
      <w:pPr>
        <w:spacing w:after="0" w:line="229" w:lineRule="exact"/>
        <w:rPr>
          <w:sz w:val="20"/>
          <w:szCs w:val="20"/>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Delivered 3Q18 financial and operating results ahead of expectations</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Increased 2018 Adjusted EBITDA guidance</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Announced and closed sale of 30% interest in BridgeTex for net proceeds of $862 million, resulting in a gain of $210 million</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Continued progress on leverage reduction plan with visibility to complete during 1H19</w:t>
      </w:r>
    </w:p>
    <w:p>
      <w:pPr>
        <w:spacing w:after="0" w:line="225"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“We are pleased to report solid third-quarter results and increased guidance for the full year that reflects continued execution of our business plan and constructive industry fundamentals,” stated Willie Chiang, Chief Executive Officer of Plains All American Pipeline. “We are on track with our deleveraging objectives, our capital program and other commercial and operating initiatives and believe that we are well positioned for the future.”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Diluted net income/(loss)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0.87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280" w:type="dxa"/>
            <w:vAlign w:val="bottom"/>
            <w:tcBorders>
              <w:right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0.76</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Diluted weighted average common units outstanding</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28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Distribution per common unit declared for the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3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Diluted adjusted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105%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0.69</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w:t>
            </w:r>
          </w:p>
        </w:tc>
        <w:tc>
          <w:tcPr>
            <w:tcW w:w="128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30%</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Implied DCF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1280" w:type="dxa"/>
            <w:vAlign w:val="bottom"/>
            <w:tcBorders>
              <w:right w:val="single" w:sz="8" w:color="auto"/>
            </w:tcBorders>
            <w:gridSpan w:val="2"/>
          </w:tcPr>
          <w:p>
            <w:pPr>
              <w:ind w:left="720"/>
              <w:spacing w:after="0"/>
              <w:rPr>
                <w:sz w:val="20"/>
                <w:szCs w:val="20"/>
                <w:color w:val="auto"/>
              </w:rPr>
            </w:pPr>
            <w:r>
              <w:rPr>
                <w:rFonts w:ascii="Arial" w:cs="Arial" w:eastAsia="Arial" w:hAnsi="Arial"/>
                <w:sz w:val="18"/>
                <w:szCs w:val="18"/>
                <w:color w:val="auto"/>
              </w:rPr>
              <w:t>34%</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3" w:lineRule="exact"/>
        <w:rPr>
          <w:sz w:val="20"/>
          <w:szCs w:val="20"/>
          <w:color w:val="auto"/>
        </w:rPr>
      </w:pPr>
    </w:p>
    <w:p>
      <w:pPr>
        <w:ind w:left="340" w:right="180" w:hanging="332"/>
        <w:spacing w:after="0" w:line="234"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third quarter and first nine months of 2018 and 2017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Segment Adjusted EBITDA</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Facilities</w:t>
            </w:r>
          </w:p>
        </w:tc>
        <w:tc>
          <w:tcPr>
            <w:tcW w:w="220" w:type="dxa"/>
            <w:vAlign w:val="bottom"/>
          </w:tcPr>
          <w:p>
            <w:pPr>
              <w:spacing w:after="0"/>
              <w:rPr>
                <w:sz w:val="10"/>
                <w:szCs w:val="10"/>
                <w:color w:val="auto"/>
              </w:rPr>
            </w:pPr>
          </w:p>
        </w:tc>
        <w:tc>
          <w:tcPr>
            <w:tcW w:w="11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September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Three Months Ended September 30, 2017</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(5)%</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234%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i w:val="1"/>
                <w:iCs w:val="1"/>
                <w:color w:val="auto"/>
              </w:rPr>
              <w:t>(1)%</w:t>
            </w:r>
          </w:p>
        </w:tc>
        <w:tc>
          <w:tcPr>
            <w:tcW w:w="220" w:type="dxa"/>
            <w:vAlign w:val="bottom"/>
          </w:tcPr>
          <w:p>
            <w:pPr>
              <w:spacing w:after="0"/>
              <w:rPr>
                <w:sz w:val="13"/>
                <w:szCs w:val="13"/>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Segment Adjusted EBITDA</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Facilities</w:t>
            </w:r>
          </w:p>
        </w:tc>
        <w:tc>
          <w:tcPr>
            <w:tcW w:w="220" w:type="dxa"/>
            <w:vAlign w:val="bottom"/>
          </w:tcPr>
          <w:p>
            <w:pPr>
              <w:spacing w:after="0"/>
              <w:rPr>
                <w:sz w:val="10"/>
                <w:szCs w:val="10"/>
                <w:color w:val="auto"/>
              </w:rPr>
            </w:pPr>
          </w:p>
        </w:tc>
        <w:tc>
          <w:tcPr>
            <w:tcW w:w="11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Supply and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Nine Months Ended September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Nine Months Ended September 30, 2017</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933</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(4)%</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475%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3%</w:t>
            </w:r>
          </w:p>
        </w:tc>
        <w:tc>
          <w:tcPr>
            <w:tcW w:w="220" w:type="dxa"/>
            <w:vAlign w:val="bottom"/>
          </w:tcPr>
          <w:p>
            <w:pPr>
              <w:spacing w:after="0"/>
              <w:rPr>
                <w:sz w:val="13"/>
                <w:szCs w:val="13"/>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Third-quarter 2018 Transportation Segment Adjusted EBITDA increased by 7% over comparable 2017 results. This increase was primarily driven by increased volume on our Permian Basin systems. Third-quarter 2018 results also benefited from the Diamond pipeline being placed into service in late 2017. These favorable results were partially offset by the impact of asset sales in the Rocky Mountain and Central regions.</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Third-quarter 2018 Facilities Segment Adjusted EBITDA decreased by 5% versus comparable 2017 results, primarily due to the impact of asset sales. This was partially offset by increased revenue from capacity expansions and increased throughput at our Cushing terminal, as well as increased activity at our St. James terminal and certain crude oil rail terminals.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Third-quarter 2018 Supply and Logistics Segment Adjusted EBITDA increased versus comparable 2017 results due to favorable regional crude oil differentials, higher lease gathering margins and volumes, and a benefit from an audit recovery in our NGL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2018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 (G)</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1,287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Adjusted other income/(expense), net</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(451)</w:t>
            </w:r>
          </w:p>
        </w:tc>
        <w:tc>
          <w:tcPr>
            <w:tcW w:w="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(420)</w:t>
            </w:r>
          </w:p>
        </w:tc>
        <w:tc>
          <w:tcPr>
            <w:tcW w:w="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1,312</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General partner cash distributions</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0.87x</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0.94x</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b w:val="1"/>
                <w:bCs w:val="1"/>
                <w:color w:val="auto"/>
              </w:rPr>
              <w:t>Transportation</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0.67</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0.68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b w:val="1"/>
                <w:bCs w:val="1"/>
                <w:color w:val="auto"/>
              </w:rPr>
              <w:t>Facilities</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0.85</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Expansion Capital</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1,405</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1,135</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w w:val="92"/>
              </w:rPr>
              <w:t>Fourth-Quarter Adjusted EBITDA as Percentage of Full Year</w:t>
            </w: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60" w:type="dxa"/>
            <w:vAlign w:val="bottom"/>
          </w:tcPr>
          <w:p>
            <w:pPr>
              <w:ind w:left="620"/>
              <w:spacing w:after="0"/>
              <w:rPr>
                <w:sz w:val="20"/>
                <w:szCs w:val="20"/>
                <w:color w:val="auto"/>
              </w:rPr>
            </w:pPr>
            <w:r>
              <w:rPr>
                <w:rFonts w:ascii="Arial" w:cs="Arial" w:eastAsia="Arial" w:hAnsi="Arial"/>
                <w:sz w:val="18"/>
                <w:szCs w:val="18"/>
                <w:color w:val="auto"/>
              </w:rPr>
              <w:t>- more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760" w:type="dxa"/>
            <w:vAlign w:val="bottom"/>
          </w:tcPr>
          <w:p>
            <w:pPr>
              <w:ind w:left="20"/>
              <w:spacing w:after="0"/>
              <w:rPr>
                <w:sz w:val="20"/>
                <w:szCs w:val="20"/>
                <w:color w:val="auto"/>
              </w:rPr>
            </w:pPr>
            <w:r>
              <w:rPr>
                <w:rFonts w:ascii="Arial" w:cs="Arial" w:eastAsia="Arial" w:hAnsi="Arial"/>
                <w:sz w:val="18"/>
                <w:szCs w:val="18"/>
                <w:b w:val="1"/>
                <w:bCs w:val="1"/>
                <w:color w:val="auto"/>
                <w:w w:val="90"/>
              </w:rPr>
              <w:t>Houston, Texas 77002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5"/>
          </w:tcPr>
          <w:p>
            <w:pPr>
              <w:jc w:val="right"/>
              <w:ind w:right="391"/>
              <w:spacing w:after="0"/>
              <w:rPr>
                <w:sz w:val="20"/>
                <w:szCs w:val="20"/>
                <w:color w:val="auto"/>
              </w:rPr>
            </w:pPr>
            <w:r>
              <w:rPr>
                <w:rFonts w:ascii="Arial" w:cs="Arial" w:eastAsia="Arial" w:hAnsi="Arial"/>
                <w:sz w:val="18"/>
                <w:szCs w:val="18"/>
                <w:b w:val="1"/>
                <w:bCs w:val="1"/>
                <w:color w:val="auto"/>
                <w:w w:val="95"/>
              </w:rPr>
              <w:t>713-646-4100 / 866-809-1291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 2018 Guidance forecasts are intended to be + / - amounts.</w:t>
      </w:r>
    </w:p>
    <w:p>
      <w:pPr>
        <w:spacing w:after="0" w:line="23" w:lineRule="exact"/>
        <w:rPr>
          <w:sz w:val="20"/>
          <w:szCs w:val="20"/>
          <w:color w:val="auto"/>
        </w:rPr>
      </w:pPr>
    </w:p>
    <w:p>
      <w:pPr>
        <w:ind w:left="340" w:right="40" w:hanging="332"/>
        <w:spacing w:after="0" w:line="254" w:lineRule="auto"/>
        <w:tabs>
          <w:tab w:leader="none" w:pos="32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2016 and 2017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3" w:lineRule="exact"/>
        <w:rPr>
          <w:rFonts w:ascii="Arial" w:cs="Arial" w:eastAsia="Arial" w:hAnsi="Arial"/>
          <w:sz w:val="22"/>
          <w:szCs w:val="22"/>
          <w:color w:val="auto"/>
          <w:vertAlign w:val="superscript"/>
        </w:rPr>
      </w:pPr>
    </w:p>
    <w:p>
      <w:pPr>
        <w:ind w:left="320" w:hanging="312"/>
        <w:spacing w:after="0" w:line="205" w:lineRule="auto"/>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140" w:hanging="332"/>
        <w:spacing w:after="0" w:line="236"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year presented. The distribution requirement of our Series A preferred units was paid-in-kind for all 2016 and 2017 quarterly distributions and for the February 2018 quarterly distribution. Distributions on our Series A preferred units must be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4"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or to be paid during the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Q3 2018</w:t>
            </w: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Q2 2018</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Q3 2017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Q3 2018 distribution percentage change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3"/>
              </w:rPr>
              <w:t>—%</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November 6, 2018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third-quarter 2018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2018 and preliminary 2019;</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auto"/>
        </w:rPr>
        <w:t>https://event.webcasts.com/starthere.jsp?ei=1213672&amp;tp_key=802fe3c91a</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and gains on sales of investments in unconsolidated entities, adjusted for certain selected items impacting comparability (“Adjusted EBITDA”) and implied distributable cash flow (“DCF”).</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the failure to consummate, or significant delay in consummating, sales of assets or interests as a part of our strategic divestiture program;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38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center"/>
              <w:ind w:left="53"/>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73"/>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5,873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7,768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5,327</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22,838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5,829</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Gain on sale of investment in unconsolidated entities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TAX</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(expense)/benefit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Deferred income tax (expense)/benefit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 ATTRIBUTABLE TO PAA</w:t>
            </w:r>
          </w:p>
        </w:tc>
        <w:tc>
          <w:tcPr>
            <w:tcW w:w="7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INCOME/(LOSS) PER COMMON UNIT: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Net income/(loss) allocated to common unitholders — Basic</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9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net income/(loss) per common unit</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0.91</w:t>
            </w:r>
          </w:p>
        </w:tc>
        <w:tc>
          <w:tcPr>
            <w:tcW w:w="9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Net income/(loss) allocated to common unitholders — Diluted</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9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947</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net income/(loss) per common unit</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0.87</w:t>
            </w:r>
          </w:p>
        </w:tc>
        <w:tc>
          <w:tcPr>
            <w:tcW w:w="9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4"/>
          </w:tcPr>
          <w:p>
            <w:pPr>
              <w:jc w:val="center"/>
              <w:ind w:left="53"/>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73"/>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9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96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color w:val="auto"/>
              </w:rPr>
              <w:t>- more -</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210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89"/>
              </w:rPr>
              <w:t>Houston, Texas 77002</w:t>
            </w:r>
          </w:p>
        </w:tc>
        <w:tc>
          <w:tcPr>
            <w:tcW w:w="2920" w:type="dxa"/>
            <w:vAlign w:val="bottom"/>
            <w:gridSpan w:val="6"/>
          </w:tcPr>
          <w:p>
            <w:pPr>
              <w:jc w:val="right"/>
              <w:ind w:right="573"/>
              <w:spacing w:after="0"/>
              <w:rPr>
                <w:sz w:val="20"/>
                <w:szCs w:val="20"/>
                <w:color w:val="auto"/>
              </w:rPr>
            </w:pPr>
            <w:r>
              <w:rPr>
                <w:rFonts w:ascii="Arial" w:cs="Arial" w:eastAsia="Arial" w:hAnsi="Arial"/>
                <w:sz w:val="18"/>
                <w:szCs w:val="18"/>
                <w:b w:val="1"/>
                <w:bCs w:val="1"/>
                <w:color w:val="auto"/>
                <w:w w:val="93"/>
              </w:rPr>
              <w:t>713-646-4100 / 866-809-1291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0" w:type="dxa"/>
            <w:vAlign w:val="bottom"/>
            <w:gridSpan w:val="3"/>
          </w:tcPr>
          <w:p>
            <w:pPr>
              <w:ind w:left="18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4,127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2,540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gridSpan w:val="3"/>
          </w:tcPr>
          <w:p>
            <w:pPr>
              <w:ind w:left="18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4,656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14,577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11,350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6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3"/>
                <w:szCs w:val="23"/>
                <w:color w:val="auto"/>
                <w:vertAlign w:val="superscript"/>
              </w:rPr>
              <w:t>(1)</w:t>
            </w:r>
          </w:p>
        </w:tc>
        <w:tc>
          <w:tcPr>
            <w:tcW w:w="18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9,140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9,140</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11,350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82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Borders>
              <w:bottom w:val="single" w:sz="8" w:color="CCEEFF"/>
            </w:tcBorders>
            <w:gridSpan w:val="2"/>
            <w:vMerge w:val="continue"/>
          </w:tcPr>
          <w:p>
            <w:pPr>
              <w:spacing w:after="0"/>
              <w:rPr>
                <w:sz w:val="20"/>
                <w:szCs w:val="20"/>
                <w:color w:val="auto"/>
              </w:rPr>
            </w:pPr>
          </w:p>
        </w:tc>
        <w:tc>
          <w:tcPr>
            <w:tcW w:w="18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20,919</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20,878</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27"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borrowings for cash margin deposits with our clearing brokers, which are associated with financial derivatives used for hedging purposes, and for short-term hedged inventory purchases.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gridSpan w:val="5"/>
          </w:tcPr>
          <w:p>
            <w:pPr>
              <w:jc w:val="right"/>
              <w:ind w:right="26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right"/>
              <w:ind w:right="27"/>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Income/(Loss) per Common Unit</w:t>
            </w:r>
          </w:p>
        </w:tc>
        <w:tc>
          <w:tcPr>
            <w:tcW w:w="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68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710</w:t>
            </w:r>
          </w:p>
        </w:tc>
        <w:tc>
          <w:tcPr>
            <w:tcW w:w="940" w:type="dxa"/>
            <w:vAlign w:val="bottom"/>
            <w:gridSpan w:val="2"/>
          </w:tcPr>
          <w:p>
            <w:pPr>
              <w:jc w:val="right"/>
              <w:ind w:right="66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Net income/(loss) allocated to common unitholders</w:t>
            </w:r>
          </w:p>
        </w:tc>
        <w:tc>
          <w:tcPr>
            <w:tcW w:w="8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946</w:t>
            </w:r>
          </w:p>
        </w:tc>
        <w:tc>
          <w:tcPr>
            <w:tcW w:w="18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net income/(loss) per common unit</w:t>
            </w:r>
          </w:p>
        </w:tc>
        <w:tc>
          <w:tcPr>
            <w:tcW w:w="168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0.91</w:t>
            </w:r>
          </w:p>
        </w:tc>
        <w:tc>
          <w:tcPr>
            <w:tcW w:w="940" w:type="dxa"/>
            <w:vAlign w:val="bottom"/>
            <w:gridSpan w:val="2"/>
          </w:tcPr>
          <w:p>
            <w:pPr>
              <w:jc w:val="right"/>
              <w:ind w:right="66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Diluted Net Income/(Loss) per Common Unit</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68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w:t>
            </w:r>
          </w:p>
        </w:tc>
        <w:tc>
          <w:tcPr>
            <w:tcW w:w="940" w:type="dxa"/>
            <w:vAlign w:val="bottom"/>
            <w:gridSpan w:val="2"/>
            <w:shd w:val="clear" w:color="auto" w:fill="CCEEFF"/>
          </w:tcPr>
          <w:p>
            <w:pPr>
              <w:jc w:val="right"/>
              <w:ind w:right="66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income/(loss) allocated to common unitholders</w:t>
            </w:r>
          </w:p>
        </w:tc>
        <w:tc>
          <w:tcPr>
            <w:tcW w:w="8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income/(loss) per common unit</w:t>
            </w:r>
          </w:p>
        </w:tc>
        <w:tc>
          <w:tcPr>
            <w:tcW w:w="168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0.87</w:t>
            </w:r>
          </w:p>
        </w:tc>
        <w:tc>
          <w:tcPr>
            <w:tcW w:w="940" w:type="dxa"/>
            <w:vAlign w:val="bottom"/>
            <w:gridSpan w:val="2"/>
            <w:shd w:val="clear" w:color="auto" w:fill="CCEEFF"/>
          </w:tcPr>
          <w:p>
            <w:pPr>
              <w:jc w:val="right"/>
              <w:ind w:right="66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38"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420" w:hanging="332"/>
        <w:spacing w:after="0" w:line="231"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nine months ended September 30, 2018 and the three and nine months ended September 30, 2017 as the effect was antidilutive.</w:t>
      </w:r>
    </w:p>
    <w:p>
      <w:pPr>
        <w:ind w:left="340" w:right="60" w:hanging="332"/>
        <w:spacing w:after="0" w:line="255"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Our Long-term Incentive Plan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are deemed to be dilutive are reduced by a hypothetical common unit repurchase based on the remaining unamortized fair value, as prescribed by the treasury stock method in guidance issued by the FASB. Such LTIP awards were excluded from the calculation of diluted net loss per common unit for the three months ended September 30, 2017 as the effect was antidilutive.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w w:val="96"/>
              </w:rPr>
              <w:t>September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98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investment in unconsolidated entities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(162)</w:t>
            </w:r>
          </w:p>
        </w:tc>
        <w:tc>
          <w:tcPr>
            <w:tcW w:w="380" w:type="dxa"/>
            <w:vAlign w:val="bottom"/>
            <w:gridSpan w:val="2"/>
            <w:vMerge w:val="restart"/>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480" w:type="dxa"/>
            <w:vAlign w:val="bottom"/>
            <w:gridSpan w:val="2"/>
            <w:vMerge w:val="restart"/>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PAA</w:t>
            </w:r>
          </w:p>
        </w:tc>
        <w:tc>
          <w:tcPr>
            <w:tcW w:w="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right="60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acquisition-related expenses associated with the Alpha Crude Connector acquisition.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w w:val="98"/>
              </w:rPr>
              <w:t>September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1,099</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(349)</w:t>
            </w: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0.43</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(349)</w:t>
            </w:r>
          </w:p>
        </w:tc>
        <w:tc>
          <w:tcPr>
            <w:tcW w:w="76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common units outstanding</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(4)</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0.43</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60" w:hanging="332"/>
        <w:spacing w:after="0" w:line="236"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are deemed to be dilutive are reduced by a hypothetical common unit repurchase based on the remaining unamortized fair value, as prescribed by the treasury stock method in guidance issued by the FASB.</w:t>
      </w:r>
    </w:p>
    <w:p>
      <w:pPr>
        <w:spacing w:after="0" w:line="4"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nine months ended September 30, 2018 and 2017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1,099</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Income tax (benefit)/expense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investment in unconsolidated entities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Current income tax benefit/(expense)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4"/>
              </w:rPr>
              <w:t xml:space="preserve">Adjusted equity earnings in unconsolidated entities, net of distributions </w:t>
            </w:r>
            <w:r>
              <w:rPr>
                <w:rFonts w:ascii="Arial" w:cs="Arial" w:eastAsia="Arial" w:hAnsi="Arial"/>
                <w:sz w:val="23"/>
                <w:szCs w:val="23"/>
                <w:color w:val="auto"/>
                <w:w w:val="94"/>
                <w:vertAlign w:val="superscript"/>
              </w:rPr>
              <w:t>(4)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797</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per Common Unit</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0.90</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Common Unit Distribution Coverage Ratio</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1.82x</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0.75x</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1.70x</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Implied DCF Excess / (Shortage)</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120" w:hanging="332"/>
        <w:spacing w:after="0" w:line="227"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of unconsolidated entities.</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140" w:hanging="332"/>
        <w:spacing w:after="0" w:line="260"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w:t>
      </w:r>
    </w:p>
    <w:p>
      <w:pPr>
        <w:spacing w:after="0" w:line="3"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80" w:hanging="332"/>
        <w:spacing w:after="0" w:line="233"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Twelve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6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Interest expense, net </w:t>
            </w:r>
            <w:r>
              <w:rPr>
                <w:rFonts w:ascii="Arial" w:cs="Arial" w:eastAsia="Arial" w:hAnsi="Arial"/>
                <w:sz w:val="22"/>
                <w:szCs w:val="22"/>
                <w:color w:val="auto"/>
                <w:vertAlign w:val="superscript"/>
              </w:rPr>
              <w:t>(2)</w:t>
            </w:r>
          </w:p>
        </w:tc>
        <w:tc>
          <w:tcPr>
            <w:tcW w:w="1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(483)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(3)</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Implied DCF</w:t>
            </w:r>
          </w:p>
        </w:tc>
        <w:tc>
          <w:tcPr>
            <w:tcW w:w="1620" w:type="dxa"/>
            <w:vAlign w:val="bottom"/>
          </w:tcPr>
          <w:p>
            <w:pPr>
              <w:spacing w:after="0"/>
              <w:rPr>
                <w:sz w:val="18"/>
                <w:szCs w:val="18"/>
                <w:color w:val="auto"/>
              </w:rPr>
            </w:pPr>
          </w:p>
        </w:tc>
        <w:tc>
          <w:tcPr>
            <w:tcW w:w="720" w:type="dxa"/>
            <w:vAlign w:val="bottom"/>
            <w:tcBorders>
              <w:top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(4)</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General partner cash distributions </w:t>
            </w:r>
            <w:r>
              <w:rPr>
                <w:rFonts w:ascii="Arial" w:cs="Arial" w:eastAsia="Arial" w:hAnsi="Arial"/>
                <w:sz w:val="23"/>
                <w:szCs w:val="23"/>
                <w:color w:val="auto"/>
                <w:vertAlign w:val="superscript"/>
              </w:rPr>
              <w:t>(5)</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40" w:type="dxa"/>
            <w:vAlign w:val="bottom"/>
            <w:gridSpan w:val="2"/>
            <w:shd w:val="clear" w:color="auto" w:fill="CCEEFF"/>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(8)</w:t>
            </w:r>
          </w:p>
        </w:tc>
        <w:tc>
          <w:tcPr>
            <w:tcW w:w="2340" w:type="dxa"/>
            <w:vAlign w:val="bottom"/>
            <w:gridSpan w:val="2"/>
            <w:shd w:val="clear" w:color="auto" w:fill="CCEEFF"/>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1,386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0.94x</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0.87x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234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12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of unconsolidated entities.</w:t>
      </w:r>
    </w:p>
    <w:p>
      <w:pPr>
        <w:ind w:left="320" w:hanging="312"/>
        <w:spacing w:after="0" w:line="205" w:lineRule="auto"/>
        <w:tabs>
          <w:tab w:leader="none" w:pos="32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ind w:left="340" w:right="40" w:hanging="332"/>
        <w:spacing w:after="0" w:line="265"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$0.5250 quarterly ($2.10 annualized) per unit distribution requirement of our Series A preferred units was paid-in-kind for all 2016 and 2017 quarterly distributions as such, no Series A preferred unit distributions were included for any periods presented. Distributions on our Series A preferred units must be paid in cash beginning with the May 2018 quarterly distribution. The $61.25 per unit annual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1" w:lineRule="exact"/>
        <w:rPr>
          <w:rFonts w:ascii="Arial" w:cs="Arial" w:eastAsia="Arial" w:hAnsi="Arial"/>
          <w:sz w:val="21"/>
          <w:szCs w:val="21"/>
          <w:color w:val="auto"/>
          <w:vertAlign w:val="superscript"/>
        </w:rPr>
      </w:pPr>
    </w:p>
    <w:p>
      <w:pPr>
        <w:ind w:left="340" w:right="34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Simplification Transactions, which closed on November 15, 2016, simplified our governance structure and permanently eliminated our incentive distribution rights (IDRs) and the economic rights associated with our 2% general partner interest.</w:t>
      </w:r>
    </w:p>
    <w:p>
      <w:pPr>
        <w:spacing w:after="0" w:line="1"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periods of 717 million and 464 million, respectively.</w:t>
      </w:r>
    </w:p>
    <w:p>
      <w:pPr>
        <w:spacing w:after="0" w:line="1" w:lineRule="exact"/>
        <w:rPr>
          <w:rFonts w:ascii="Arial" w:cs="Arial" w:eastAsia="Arial" w:hAnsi="Arial"/>
          <w:sz w:val="23"/>
          <w:szCs w:val="23"/>
          <w:color w:val="auto"/>
          <w:vertAlign w:val="superscript"/>
        </w:rPr>
      </w:pPr>
    </w:p>
    <w:p>
      <w:pPr>
        <w:ind w:left="340" w:right="160" w:hanging="332"/>
        <w:spacing w:after="0" w:line="234"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of 784 million and 522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 For the twelve months ended December 31, 2016, includes $565 million of cash distributions paid to the general partner during the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Per Common Unit to Adjusted Net Income Per Common Unit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income/(loss) per common unit</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(0.48)</w:t>
            </w: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income/(loss) per common unit</w:t>
            </w:r>
          </w:p>
        </w:tc>
        <w:tc>
          <w:tcPr>
            <w:tcW w:w="1540" w:type="dxa"/>
            <w:vAlign w:val="bottom"/>
            <w:gridSpan w:val="2"/>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(0.01)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(0.44)</w:t>
            </w: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4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Per Common Unit to Implied DCF Per Common Unit and Common Equivalent Unit Reconciliations: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income/(loss) per common unit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1.30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(0.36)</w:t>
            </w: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5"/>
              </w:rPr>
              <w:t>1.52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income/(loss) per common unit</w:t>
            </w:r>
          </w:p>
        </w:tc>
        <w:tc>
          <w:tcPr>
            <w:tcW w:w="1180" w:type="dxa"/>
            <w:vAlign w:val="bottom"/>
            <w:gridSpan w:val="2"/>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0.91</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(0.01)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1.30</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23"/>
                <w:szCs w:val="23"/>
                <w:color w:val="auto"/>
                <w:w w:val="97"/>
                <w:vertAlign w:val="superscript"/>
              </w:rPr>
              <w:t>(1) (3)</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(0.37)</w:t>
            </w:r>
          </w:p>
        </w:tc>
        <w:tc>
          <w:tcPr>
            <w:tcW w:w="7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5"/>
              </w:rPr>
              <w:t>1.48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8"/>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0.96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5"/>
              </w:rPr>
              <w:t>1.82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0.96</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23"/>
                <w:szCs w:val="23"/>
                <w:color w:val="auto"/>
                <w:w w:val="97"/>
                <w:vertAlign w:val="superscript"/>
              </w:rPr>
              <w:t>(1) (5)</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0.71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5"/>
              </w:rPr>
              <w:t>1.67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726 million, 725 million, 726 million and 714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68 million, 71 million and 66 million, respectively.</w:t>
      </w: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717 million and 464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67 million and 58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7"/>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(8,191)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7"/>
              </w:rPr>
              <w:t>Segment general and administrative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volume commitments, net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 on foreign currency</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Maintenance capital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41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40" w:hanging="332"/>
        <w:spacing w:after="0" w:line="22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(24,076)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volume commitments, net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Net (gain)/loss on foreign 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Significant acquisition-related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Maintenance capital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300" w:hanging="332"/>
        <w:spacing w:after="0" w:line="22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692"/>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Transportation segment (average daily volumes in thousands of barrels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3,880</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2,963</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3,621</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480</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456</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5,746</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5,075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5,920</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5,247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Trucking volumes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7"/>
              </w:rPr>
              <w:t>Natural gas storage (average monthly working capacity in billions of cubic</w:t>
            </w:r>
          </w:p>
        </w:tc>
        <w:tc>
          <w:tcPr>
            <w:tcW w:w="7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feet)</w:t>
            </w:r>
          </w:p>
        </w:tc>
        <w:tc>
          <w:tcPr>
            <w:tcW w:w="7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2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2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7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7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(3)</w:t>
            </w:r>
          </w:p>
        </w:tc>
        <w:tc>
          <w:tcPr>
            <w:tcW w:w="7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1,042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929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1,034</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1,237</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1,131</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Fee-based Segment Adjusted EBITDA to Adjusted EBITDA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7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8"/>
                <w:szCs w:val="18"/>
                <w:color w:val="auto"/>
              </w:rPr>
            </w:pPr>
          </w:p>
        </w:tc>
      </w:tr>
      <w:tr>
        <w:trPr>
          <w:trHeight w:val="210"/>
        </w:trPr>
        <w:tc>
          <w:tcPr>
            <w:tcW w:w="4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1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7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4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476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1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8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$3 million, $1 million, $(6) million and $7 million for the three and nine months ended September 30, 2018 and 2017, respectively. See the “Selected Items Impacting Comparability” table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7"/>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388</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7"/>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1,077</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auto"/>
            </w:tcBorders>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69" w:lineRule="auto"/>
        <w:tabs>
          <w:tab w:leader="none" w:pos="32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2017 and the first nine months of 2018, assuming an effective date of 1/1/17. Divested assets include certain pipelines in the Rocky Mountain and Central regions that were previously reported in our Transportation segment, and certain Bay Area, California terminal assets, a natural gas storage facility and a natural gas processing facility that were previously reported in our Facilities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7,768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Gain on sale of investment in unconsolidated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entities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(expense)/benefit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Deferred income tax (expense)/benefit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710</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(599)</w:t>
            </w:r>
          </w:p>
        </w:tc>
        <w:tc>
          <w:tcPr>
            <w:tcW w:w="2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5"/>
                <w:szCs w:val="15"/>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w:t>
            </w:r>
          </w:p>
        </w:tc>
        <w:tc>
          <w:tcPr>
            <w:tcW w:w="26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PER CLASS A SHARE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right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22,838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24,311</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Gain on sale of investment in unconsolidated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entities</w:t>
            </w: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1,099</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(945)</w:t>
            </w:r>
          </w:p>
        </w:tc>
        <w:tc>
          <w:tcPr>
            <w:tcW w:w="3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5"/>
                <w:szCs w:val="15"/>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665</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(596)</w:t>
            </w:r>
          </w:p>
        </w:tc>
        <w:tc>
          <w:tcPr>
            <w:tcW w:w="28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2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PER CLASS A SHARE</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2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right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September 30,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4,127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4,131</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2,540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27,290</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Senior notes, net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8,939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9"/>
              </w:rPr>
              <w:t>Other long-term liabilities and deferred credits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10,964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10,964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27,290</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8"/>
              </w:rPr>
              <w:t>September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53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Basic and Diluted Net Income per Class A Share </w:t>
            </w:r>
            <w:r>
              <w:rPr>
                <w:rFonts w:ascii="Arial" w:cs="Arial" w:eastAsia="Arial" w:hAnsi="Arial"/>
                <w:sz w:val="22"/>
                <w:szCs w:val="22"/>
                <w:b w:val="1"/>
                <w:bCs w:val="1"/>
                <w:color w:val="auto"/>
                <w:vertAlign w:val="superscript"/>
              </w:rPr>
              <w:t>(1)</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3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13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For the three and nine months ended September 30, 2018 and 2017, the possible exchange of any AAP units and certain AAP Management Units would not have had a dilutive effect on basic net income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260" w:type="dxa"/>
            <w:vAlign w:val="bottom"/>
          </w:tcPr>
          <w:p>
            <w:pPr>
              <w:ind w:left="1060"/>
              <w:spacing w:after="0"/>
              <w:rPr>
                <w:sz w:val="20"/>
                <w:szCs w:val="20"/>
                <w:color w:val="auto"/>
              </w:rPr>
            </w:pPr>
            <w:r>
              <w:rPr>
                <w:rFonts w:ascii="Arial" w:cs="Arial" w:eastAsia="Arial" w:hAnsi="Arial"/>
                <w:sz w:val="18"/>
                <w:szCs w:val="18"/>
                <w:color w:val="auto"/>
              </w:rPr>
              <w:t>Brett Magill</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20" w:type="dxa"/>
            <w:vAlign w:val="bottom"/>
            <w:gridSpan w:val="2"/>
          </w:tcPr>
          <w:p>
            <w:pPr>
              <w:ind w:left="106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260" w:type="dxa"/>
            <w:vAlign w:val="bottom"/>
          </w:tcPr>
          <w:p>
            <w:pPr>
              <w:ind w:left="1060"/>
              <w:spacing w:after="0"/>
              <w:rPr>
                <w:sz w:val="20"/>
                <w:szCs w:val="20"/>
                <w:color w:val="auto"/>
              </w:rPr>
            </w:pPr>
            <w:r>
              <w:rPr>
                <w:rFonts w:ascii="Arial" w:cs="Arial" w:eastAsia="Arial" w:hAnsi="Arial"/>
                <w:sz w:val="18"/>
                <w:szCs w:val="18"/>
                <w:color w:val="auto"/>
                <w:w w:val="95"/>
              </w:rPr>
              <w:t>(866) 809-1291</w:t>
            </w: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6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60" w:type="dxa"/>
            <w:vAlign w:val="bottom"/>
          </w:tcPr>
          <w:p>
            <w:pPr>
              <w:jc w:val="right"/>
              <w:ind w:right="2210"/>
              <w:spacing w:after="0"/>
              <w:rPr>
                <w:sz w:val="20"/>
                <w:szCs w:val="20"/>
                <w:color w:val="auto"/>
              </w:rPr>
            </w:pPr>
            <w:r>
              <w:rPr>
                <w:rFonts w:ascii="Arial" w:cs="Arial" w:eastAsia="Arial" w:hAnsi="Arial"/>
                <w:sz w:val="18"/>
                <w:szCs w:val="18"/>
                <w:b w:val="1"/>
                <w:bCs w:val="1"/>
                <w:color w:val="auto"/>
                <w:w w:val="93"/>
              </w:rPr>
              <w:t>713-646-4100 / 866-809-1291</w:t>
            </w:r>
          </w:p>
        </w:tc>
        <w:tc>
          <w:tcPr>
            <w:tcW w:w="40" w:type="dxa"/>
            <w:vAlign w:val="bottom"/>
          </w:tcPr>
          <w:p>
            <w:pPr>
              <w:spacing w:after="0"/>
              <w:rPr>
                <w:sz w:val="20"/>
                <w:szCs w:val="20"/>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2020-01-10T21:12:51Z</dcterms:created>
  <dcterms:modified xsi:type="dcterms:W3CDTF">2020-01-10T21:12:51Z</dcterms:modified>
</cp:coreProperties>
</file>