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 xml:space="preserve">Date of Report (Date of earliest event reported) — </w:t>
      </w:r>
      <w:r>
        <w:rPr>
          <w:rFonts w:ascii="Arial" w:cs="Arial" w:eastAsia="Arial" w:hAnsi="Arial"/>
          <w:sz w:val="17"/>
          <w:szCs w:val="17"/>
          <w:b w:val="1"/>
          <w:bCs w:val="1"/>
          <w:color w:val="auto"/>
        </w:rPr>
        <w:t>February 4, 2020</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83" w:right="2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(IRS Employer Identification No.)</w:t>
      </w:r>
    </w:p>
    <w:p>
      <w:pPr>
        <w:spacing w:after="0" w:line="34" w:lineRule="exact"/>
        <w:rPr>
          <w:sz w:val="24"/>
          <w:szCs w:val="24"/>
          <w:color w:val="auto"/>
        </w:rPr>
      </w:pPr>
    </w:p>
    <w:p>
      <w:pPr>
        <w:sectPr>
          <w:pgSz w:w="11900" w:h="16838" w:orient="portrait"/>
          <w:cols w:equalWidth="0" w:num="3">
            <w:col w:w="4000" w:space="720"/>
            <w:col w:w="2860" w:space="720"/>
            <w:col w:w="3120"/>
          </w:cols>
          <w:pgMar w:left="240" w:top="783" w:right="2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incorporation)</w:t>
      </w:r>
    </w:p>
    <w:p>
      <w:pPr>
        <w:spacing w:after="0" w:line="220"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783"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4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Class A Shares</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1"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February 4, 2020, the Registrant issued a press release reporting its fourth-quarter 2019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6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Exhibit 99.1 — Press Release dated February 4, 2020</w:t>
        </w:r>
      </w:hyperlink>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104 —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8000" w:type="dxa"/>
            <w:vAlign w:val="bottom"/>
            <w:gridSpan w:val="2"/>
          </w:tcPr>
          <w:p>
            <w:pPr>
              <w:ind w:left="1740"/>
              <w:spacing w:after="0"/>
              <w:rPr>
                <w:sz w:val="20"/>
                <w:szCs w:val="20"/>
                <w:color w:val="auto"/>
              </w:rPr>
            </w:pPr>
            <w:r>
              <w:rPr>
                <w:rFonts w:ascii="Arial" w:cs="Arial" w:eastAsia="Arial" w:hAnsi="Arial"/>
                <w:sz w:val="18"/>
                <w:szCs w:val="18"/>
                <w:color w:val="auto"/>
              </w:rPr>
              <w:t>PLAINS GP HOLDINGS, L.P.</w:t>
            </w:r>
          </w:p>
        </w:tc>
      </w:tr>
      <w:tr>
        <w:trPr>
          <w:trHeight w:val="432"/>
        </w:trPr>
        <w:tc>
          <w:tcPr>
            <w:tcW w:w="3420" w:type="dxa"/>
            <w:vAlign w:val="bottom"/>
          </w:tcPr>
          <w:p>
            <w:pPr>
              <w:spacing w:after="0"/>
              <w:rPr>
                <w:sz w:val="24"/>
                <w:szCs w:val="24"/>
                <w:color w:val="auto"/>
              </w:rPr>
            </w:pPr>
          </w:p>
        </w:tc>
        <w:tc>
          <w:tcPr>
            <w:tcW w:w="2300" w:type="dxa"/>
            <w:vAlign w:val="bottom"/>
          </w:tcPr>
          <w:p>
            <w:pPr>
              <w:ind w:left="1740"/>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February 4, 2020</w:t>
            </w:r>
          </w:p>
        </w:tc>
        <w:tc>
          <w:tcPr>
            <w:tcW w:w="2300" w:type="dxa"/>
            <w:vAlign w:val="bottom"/>
          </w:tcPr>
          <w:p>
            <w:pPr>
              <w:ind w:left="1740"/>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 Swanson</w:t>
            </w:r>
          </w:p>
        </w:tc>
      </w:tr>
      <w:tr>
        <w:trPr>
          <w:trHeight w:val="195"/>
        </w:trPr>
        <w:tc>
          <w:tcPr>
            <w:tcW w:w="34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Name: Al Swanson</w:t>
            </w:r>
          </w:p>
        </w:tc>
      </w:tr>
      <w:tr>
        <w:trPr>
          <w:trHeight w:val="230"/>
        </w:trPr>
        <w:tc>
          <w:tcPr>
            <w:tcW w:w="34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Executive Vice President and Chief Financial Officer</w:t>
            </w:r>
          </w:p>
        </w:tc>
      </w:tr>
      <w:tr>
        <w:trPr>
          <w:trHeight w:val="648"/>
        </w:trPr>
        <w:tc>
          <w:tcPr>
            <w:tcW w:w="34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11430</wp:posOffset>
            </wp:positionV>
            <wp:extent cx="5857240" cy="754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5724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Fourth-Quarter and Full-Year 2019 Results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(Houston — February 4, 2020) Plains All American Pipeline, L.P. (NYSE: PAA) and Plains GP Holdings (NYSE: PAGP) today reported fourth-quarter and full-year 2019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 &amp; Announcements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Delivered fourth-quarter and full-year 2019 financial and operating results ahead of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Progressing strategic / complementary projects that align with long-term industry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 material annual reductions of organic growth capital investment in 2021 and 2022 as projects are completed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Advancing portfolio optimization initiatives: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Targeting ~$600 million of 2020 divestitures (non-core asset sales and strategic JVs)</w:t>
      </w:r>
    </w:p>
    <w:p>
      <w:pPr>
        <w:spacing w:after="0" w:line="225" w:lineRule="exact"/>
        <w:rPr>
          <w:rFonts w:ascii="Arial" w:cs="Arial" w:eastAsia="Arial" w:hAnsi="Arial"/>
          <w:sz w:val="18"/>
          <w:szCs w:val="18"/>
          <w:color w:val="auto"/>
        </w:rPr>
      </w:pPr>
    </w:p>
    <w:p>
      <w:pPr>
        <w:ind w:left="1300" w:right="480" w:hanging="320"/>
        <w:spacing w:after="0" w:line="27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Completed a ~$300 million strategic transaction with Felix Midstream (extension and modification of existing acreage dedication and gathering agreement and bolt-on acquisition of Delaware Basin gathering system)</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executed well on our 2019 goals and key initiatives, capping the year with fourth-quarter and full-year 2019 results that exceeded expectations,” stated Willie Chiang, Chairman &amp; CEO of Plains All American Pipeline. “We enter 2020 expecting a more competitive market environment. We have a solid financial position and continue to optimize our base business, high-grade our asset portfolio, execute our capital program and streamline the organization to drive efficiencies. Looking to 2021 and beyond, we expect continued growth in fee-based cash flow and a meaningful reduction in capital investment to improve leverage and benefit free cash flow.”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Page 2</w:t>
            </w:r>
          </w:p>
        </w:tc>
        <w:tc>
          <w:tcPr>
            <w:tcW w:w="394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3"/>
        </w:trPr>
        <w:tc>
          <w:tcPr>
            <w:tcW w:w="4440" w:type="dxa"/>
            <w:vAlign w:val="bottom"/>
            <w:gridSpan w:val="4"/>
          </w:tcPr>
          <w:p>
            <w:pPr>
              <w:spacing w:after="0"/>
              <w:rPr>
                <w:sz w:val="20"/>
                <w:szCs w:val="20"/>
                <w:color w:val="auto"/>
              </w:rPr>
            </w:pPr>
            <w:r>
              <w:rPr>
                <w:rFonts w:ascii="Arial" w:cs="Arial" w:eastAsia="Arial" w:hAnsi="Arial"/>
                <w:sz w:val="18"/>
                <w:szCs w:val="18"/>
                <w:b w:val="1"/>
                <w:bCs w:val="1"/>
                <w:color w:val="auto"/>
              </w:rPr>
              <w:t>Plains All American Pipeline, L.P.</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2"/>
        </w:trPr>
        <w:tc>
          <w:tcPr>
            <w:tcW w:w="44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Summary Financial Information </w:t>
            </w:r>
            <w:r>
              <w:rPr>
                <w:rFonts w:ascii="Arial" w:cs="Arial" w:eastAsia="Arial" w:hAnsi="Arial"/>
                <w:sz w:val="18"/>
                <w:szCs w:val="18"/>
                <w:color w:val="auto"/>
              </w:rPr>
              <w:t>(unaudited)</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2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(in millions, except per unit data)</w:t>
            </w:r>
          </w:p>
        </w:tc>
        <w:tc>
          <w:tcPr>
            <w:tcW w:w="192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92"/>
              </w:rPr>
              <w:t>Three Months Ended</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7"/>
          </w:tcPr>
          <w:p>
            <w:pPr>
              <w:jc w:val="center"/>
              <w:ind w:right="480"/>
              <w:spacing w:after="0"/>
              <w:rPr>
                <w:sz w:val="20"/>
                <w:szCs w:val="20"/>
                <w:color w:val="auto"/>
              </w:rPr>
            </w:pPr>
            <w:r>
              <w:rPr>
                <w:rFonts w:ascii="Arial" w:cs="Arial" w:eastAsia="Arial" w:hAnsi="Arial"/>
                <w:sz w:val="18"/>
                <w:szCs w:val="18"/>
                <w:b w:val="1"/>
                <w:bCs w:val="1"/>
                <w:color w:val="auto"/>
                <w:w w:val="90"/>
              </w:rPr>
              <w:t>Twelve Months Ended</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88"/>
              </w:rPr>
              <w:t>December 31,</w:t>
            </w: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7"/>
          </w:tcPr>
          <w:p>
            <w:pPr>
              <w:jc w:val="center"/>
              <w:ind w:right="480"/>
              <w:spacing w:after="0"/>
              <w:rPr>
                <w:sz w:val="20"/>
                <w:szCs w:val="20"/>
                <w:color w:val="auto"/>
              </w:rPr>
            </w:pPr>
            <w:r>
              <w:rPr>
                <w:rFonts w:ascii="Arial" w:cs="Arial" w:eastAsia="Arial" w:hAnsi="Arial"/>
                <w:sz w:val="18"/>
                <w:szCs w:val="18"/>
                <w:b w:val="1"/>
                <w:bCs w:val="1"/>
                <w:color w:val="auto"/>
                <w:w w:val="88"/>
              </w:rPr>
              <w:t>December 31,</w:t>
            </w: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23"/>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i w:val="1"/>
                <w:iCs w:val="1"/>
                <w:color w:val="auto"/>
              </w:rPr>
              <w:t>GAAP Results</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Change</w:t>
            </w: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Borders>
              <w:bottom w:val="single" w:sz="8" w:color="CCEEFF"/>
            </w:tcBorders>
          </w:tcPr>
          <w:p>
            <w:pPr>
              <w:spacing w:after="0"/>
              <w:rPr>
                <w:sz w:val="19"/>
                <w:szCs w:val="19"/>
                <w:color w:val="auto"/>
              </w:rPr>
            </w:pPr>
          </w:p>
        </w:tc>
      </w:tr>
      <w:tr>
        <w:trPr>
          <w:trHeight w:val="210"/>
        </w:trPr>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4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40" w:type="dxa"/>
            <w:vAlign w:val="bottom"/>
            <w:gridSpan w:val="4"/>
          </w:tcPr>
          <w:p>
            <w:pPr>
              <w:spacing w:after="0"/>
              <w:rPr>
                <w:sz w:val="20"/>
                <w:szCs w:val="20"/>
                <w:color w:val="auto"/>
              </w:rPr>
            </w:pPr>
            <w:r>
              <w:rPr>
                <w:rFonts w:ascii="Arial" w:cs="Arial" w:eastAsia="Arial" w:hAnsi="Arial"/>
                <w:sz w:val="18"/>
                <w:szCs w:val="18"/>
                <w:color w:val="auto"/>
              </w:rPr>
              <w:t>Diluted net income per common unit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32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4440" w:type="dxa"/>
            <w:vAlign w:val="bottom"/>
            <w:gridSpan w:val="4"/>
            <w:shd w:val="clear" w:color="auto" w:fill="CCEEFF"/>
          </w:tcPr>
          <w:p>
            <w:pPr>
              <w:spacing w:after="0" w:line="269" w:lineRule="exact"/>
              <w:rPr>
                <w:sz w:val="20"/>
                <w:szCs w:val="20"/>
                <w:color w:val="auto"/>
              </w:rPr>
            </w:pPr>
            <w:r>
              <w:rPr>
                <w:rFonts w:ascii="Arial" w:cs="Arial" w:eastAsia="Arial" w:hAnsi="Arial"/>
                <w:sz w:val="18"/>
                <w:szCs w:val="18"/>
                <w:color w:val="auto"/>
                <w:w w:val="98"/>
              </w:rPr>
              <w:t xml:space="preserve">Diluted weighted average common units outstanding </w:t>
            </w:r>
            <w:r>
              <w:rPr>
                <w:rFonts w:ascii="Arial" w:cs="Arial" w:eastAsia="Arial" w:hAnsi="Arial"/>
                <w:sz w:val="30"/>
                <w:szCs w:val="30"/>
                <w:color w:val="auto"/>
                <w:w w:val="98"/>
                <w:vertAlign w:val="superscript"/>
              </w:rPr>
              <w:t>(1)</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23"/>
                <w:szCs w:val="23"/>
                <w:color w:val="auto"/>
              </w:rPr>
            </w:pPr>
          </w:p>
        </w:tc>
        <w:tc>
          <w:tcPr>
            <w:tcW w:w="1140" w:type="dxa"/>
            <w:vAlign w:val="bottom"/>
            <w:tcBorders>
              <w:right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0"/>
        </w:trPr>
        <w:tc>
          <w:tcPr>
            <w:tcW w:w="4440" w:type="dxa"/>
            <w:vAlign w:val="bottom"/>
            <w:gridSpan w:val="4"/>
          </w:tcPr>
          <w:p>
            <w:pPr>
              <w:spacing w:after="0"/>
              <w:rPr>
                <w:sz w:val="20"/>
                <w:szCs w:val="20"/>
                <w:color w:val="auto"/>
              </w:rPr>
            </w:pPr>
            <w:r>
              <w:rPr>
                <w:rFonts w:ascii="Arial" w:cs="Arial" w:eastAsia="Arial" w:hAnsi="Arial"/>
                <w:sz w:val="18"/>
                <w:szCs w:val="18"/>
                <w:color w:val="auto"/>
              </w:rPr>
              <w:t>Distribution per common unit declared for the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3" w:lineRule="exact"/>
        <w:rPr>
          <w:sz w:val="20"/>
          <w:szCs w:val="20"/>
          <w:color w:val="auto"/>
        </w:rPr>
      </w:pPr>
    </w:p>
    <w:p>
      <w:pPr>
        <w:ind w:left="340" w:right="180" w:hanging="332"/>
        <w:spacing w:after="0" w:line="209" w:lineRule="auto"/>
        <w:tabs>
          <w:tab w:leader="none" w:pos="34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For the twelve months ended December 31, 2019 and the three and twelve months ended December 31, 2018, includes all potentially dilutive securities outstanding (our Series A preferred units and equity-indexed compensation awards) during the period. See the “Computation of Basic and Diluted Net Income Per Common Unit” table attached hereto for additional information.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Twelve Months Ended</w:t>
            </w: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 xml:space="preserve">Non-GAAP Results </w:t>
            </w:r>
            <w:r>
              <w:rPr>
                <w:rFonts w:ascii="Arial" w:cs="Arial" w:eastAsia="Arial" w:hAnsi="Arial"/>
                <w:sz w:val="30"/>
                <w:szCs w:val="30"/>
                <w:b w:val="1"/>
                <w:bCs w:val="1"/>
                <w:i w:val="1"/>
                <w:iCs w:val="1"/>
                <w:color w:val="auto"/>
                <w:vertAlign w:val="superscript"/>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9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Diluted adjusted net income per common unit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124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w:t>
            </w:r>
          </w:p>
        </w:tc>
        <w:tc>
          <w:tcPr>
            <w:tcW w:w="1240" w:type="dxa"/>
            <w:vAlign w:val="bottom"/>
            <w:tcBorders>
              <w:right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Implied DCF per common unit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0.72</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0.94</w:t>
            </w:r>
          </w:p>
        </w:tc>
        <w:tc>
          <w:tcPr>
            <w:tcW w:w="124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6" w:lineRule="exact"/>
        <w:rPr>
          <w:sz w:val="20"/>
          <w:szCs w:val="20"/>
          <w:color w:val="auto"/>
        </w:rPr>
      </w:pPr>
    </w:p>
    <w:p>
      <w:pPr>
        <w:ind w:left="340" w:right="180" w:hanging="332"/>
        <w:spacing w:after="0" w:line="218" w:lineRule="auto"/>
        <w:tabs>
          <w:tab w:leader="none" w:pos="34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Implied DCF) and their reconciliation to the most directly comparable measures as reported in accordance with GAAP.</w:t>
      </w:r>
    </w:p>
    <w:p>
      <w:pPr>
        <w:spacing w:after="0" w:line="203"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fourth quarter and full year of 2019 and 2018 is presented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11"/>
          </w:tcPr>
          <w:p>
            <w:pPr>
              <w:jc w:val="center"/>
              <w:ind w:left="470"/>
              <w:spacing w:after="0"/>
              <w:rPr>
                <w:sz w:val="20"/>
                <w:szCs w:val="20"/>
                <w:color w:val="auto"/>
              </w:rPr>
            </w:pPr>
            <w:r>
              <w:rPr>
                <w:rFonts w:ascii="Arial" w:cs="Arial" w:eastAsia="Arial" w:hAnsi="Arial"/>
                <w:sz w:val="18"/>
                <w:szCs w:val="18"/>
                <w:b w:val="1"/>
                <w:bCs w:val="1"/>
                <w:color w:val="auto"/>
                <w:w w:val="93"/>
              </w:rPr>
              <w:t>Segment Adjusted EBITDA</w:t>
            </w:r>
          </w:p>
        </w:tc>
        <w:tc>
          <w:tcPr>
            <w:tcW w:w="10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0"/>
              </w:rPr>
              <w:t>Supply and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00" w:type="dxa"/>
            <w:vAlign w:val="bottom"/>
          </w:tcPr>
          <w:p>
            <w:pPr>
              <w:spacing w:after="0"/>
              <w:rPr>
                <w:sz w:val="20"/>
                <w:szCs w:val="20"/>
                <w:color w:val="auto"/>
              </w:rPr>
            </w:pPr>
          </w:p>
        </w:tc>
        <w:tc>
          <w:tcPr>
            <w:tcW w:w="1440" w:type="dxa"/>
            <w:vAlign w:val="bottom"/>
            <w:gridSpan w:val="5"/>
          </w:tcPr>
          <w:p>
            <w:pPr>
              <w:ind w:left="40"/>
              <w:spacing w:after="0"/>
              <w:rPr>
                <w:sz w:val="20"/>
                <w:szCs w:val="20"/>
                <w:color w:val="auto"/>
              </w:rPr>
            </w:pPr>
            <w:r>
              <w:rPr>
                <w:rFonts w:ascii="Arial" w:cs="Arial" w:eastAsia="Arial" w:hAnsi="Arial"/>
                <w:sz w:val="18"/>
                <w:szCs w:val="18"/>
                <w:b w:val="1"/>
                <w:bCs w:val="1"/>
                <w:color w:val="auto"/>
              </w:rPr>
              <w:t>Transportation</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w w:val="95"/>
              </w:rPr>
              <w:t>Facilities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5"/>
              </w:rPr>
              <w:t>Logistics</w:t>
            </w:r>
          </w:p>
        </w:tc>
        <w:tc>
          <w:tcPr>
            <w:tcW w:w="0" w:type="dxa"/>
            <w:vAlign w:val="bottom"/>
          </w:tcPr>
          <w:p>
            <w:pPr>
              <w:spacing w:after="0"/>
              <w:rPr>
                <w:sz w:val="1"/>
                <w:szCs w:val="1"/>
                <w:color w:val="auto"/>
              </w:rPr>
            </w:pPr>
          </w:p>
        </w:tc>
      </w:tr>
      <w:tr>
        <w:trPr>
          <w:trHeight w:val="223"/>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December 31, 2019</w:t>
            </w:r>
          </w:p>
        </w:tc>
        <w:tc>
          <w:tcPr>
            <w:tcW w:w="500" w:type="dxa"/>
            <w:vAlign w:val="bottom"/>
            <w:tcBorders>
              <w:top w:val="single" w:sz="8" w:color="auto"/>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Three Months Ended December 31, 2018</w:t>
            </w: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0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w:t>
            </w:r>
          </w:p>
        </w:tc>
        <w:tc>
          <w:tcPr>
            <w:tcW w:w="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w:t>
            </w:r>
          </w:p>
        </w:tc>
        <w:tc>
          <w:tcPr>
            <w:tcW w:w="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gridSpan w:val="2"/>
          </w:tcPr>
          <w:p>
            <w:pPr>
              <w:jc w:val="right"/>
              <w:ind w:right="5"/>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342</w:t>
            </w:r>
          </w:p>
        </w:tc>
        <w:tc>
          <w:tcPr>
            <w:tcW w:w="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9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rPr>
              <w:t>Percentage change in Segment Adjusted EBITDA versus 2018 period</w:t>
            </w:r>
          </w:p>
        </w:tc>
        <w:tc>
          <w:tcPr>
            <w:tcW w:w="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6</w:t>
            </w:r>
          </w:p>
        </w:tc>
        <w:tc>
          <w:tcPr>
            <w:tcW w:w="200" w:type="dxa"/>
            <w:vAlign w:val="bottom"/>
            <w:tcBorders>
              <w:bottom w:val="single" w:sz="8" w:color="CCEEFF"/>
            </w:tcBorders>
            <w:gridSpan w:val="2"/>
            <w:shd w:val="clear" w:color="auto" w:fill="CCEEFF"/>
          </w:tcPr>
          <w:p>
            <w:pPr>
              <w:jc w:val="right"/>
              <w:ind w:right="60"/>
              <w:spacing w:after="0" w:line="190" w:lineRule="exact"/>
              <w:rPr>
                <w:sz w:val="20"/>
                <w:szCs w:val="20"/>
                <w:color w:val="auto"/>
              </w:rPr>
            </w:pPr>
            <w:r>
              <w:rPr>
                <w:rFonts w:ascii="Arial" w:cs="Arial" w:eastAsia="Arial" w:hAnsi="Arial"/>
                <w:sz w:val="18"/>
                <w:szCs w:val="18"/>
                <w:b w:val="1"/>
                <w:bCs w:val="1"/>
                <w:i w:val="1"/>
                <w:iCs w:val="1"/>
                <w:color w:val="auto"/>
                <w:w w:val="74"/>
              </w:rPr>
              <w:t>%</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(3</w:t>
            </w:r>
          </w:p>
        </w:tc>
        <w:tc>
          <w:tcPr>
            <w:tcW w:w="320" w:type="dxa"/>
            <w:vAlign w:val="bottom"/>
            <w:tcBorders>
              <w:bottom w:val="single" w:sz="8" w:color="CCEEFF"/>
            </w:tcBorders>
            <w:gridSpan w:val="2"/>
            <w:shd w:val="clear" w:color="auto" w:fill="CCEEFF"/>
          </w:tcPr>
          <w:p>
            <w:pPr>
              <w:jc w:val="right"/>
              <w:ind w:right="120"/>
              <w:spacing w:after="0" w:line="190" w:lineRule="exact"/>
              <w:rPr>
                <w:sz w:val="20"/>
                <w:szCs w:val="20"/>
                <w:color w:val="auto"/>
              </w:rPr>
            </w:pPr>
            <w:r>
              <w:rPr>
                <w:rFonts w:ascii="Arial" w:cs="Arial" w:eastAsia="Arial" w:hAnsi="Arial"/>
                <w:sz w:val="18"/>
                <w:szCs w:val="18"/>
                <w:b w:val="1"/>
                <w:bCs w:val="1"/>
                <w:i w:val="1"/>
                <w:iCs w:val="1"/>
                <w:color w:val="auto"/>
                <w:w w:val="81"/>
              </w:rPr>
              <w:t>)%</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(32</w:t>
            </w:r>
          </w:p>
        </w:tc>
        <w:tc>
          <w:tcPr>
            <w:tcW w:w="220" w:type="dxa"/>
            <w:vAlign w:val="bottom"/>
            <w:tcBorders>
              <w:bottom w:val="single" w:sz="8" w:color="CCEEFF"/>
            </w:tcBorders>
            <w:gridSpan w:val="2"/>
            <w:shd w:val="clear" w:color="auto" w:fill="CCEEFF"/>
          </w:tcPr>
          <w:p>
            <w:pPr>
              <w:jc w:val="right"/>
              <w:spacing w:after="0" w:line="190" w:lineRule="exact"/>
              <w:rPr>
                <w:sz w:val="20"/>
                <w:szCs w:val="20"/>
                <w:color w:val="auto"/>
              </w:rPr>
            </w:pPr>
            <w:r>
              <w:rPr>
                <w:rFonts w:ascii="Arial" w:cs="Arial" w:eastAsia="Arial" w:hAnsi="Arial"/>
                <w:sz w:val="18"/>
                <w:szCs w:val="18"/>
                <w:b w:val="1"/>
                <w:bCs w:val="1"/>
                <w:i w:val="1"/>
                <w:iCs w:val="1"/>
                <w:color w:val="auto"/>
                <w:w w:val="90"/>
              </w:rPr>
              <w:t>)%</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20" w:type="dxa"/>
            <w:vAlign w:val="bottom"/>
            <w:gridSpan w:val="14"/>
          </w:tcPr>
          <w:p>
            <w:pPr>
              <w:jc w:val="right"/>
              <w:ind w:right="1260"/>
              <w:spacing w:after="0"/>
              <w:rPr>
                <w:sz w:val="20"/>
                <w:szCs w:val="20"/>
                <w:color w:val="auto"/>
              </w:rPr>
            </w:pPr>
            <w:r>
              <w:rPr>
                <w:rFonts w:ascii="Arial" w:cs="Arial" w:eastAsia="Arial" w:hAnsi="Arial"/>
                <w:sz w:val="18"/>
                <w:szCs w:val="18"/>
                <w:b w:val="1"/>
                <w:bCs w:val="1"/>
                <w:color w:val="auto"/>
              </w:rPr>
              <w:t>Segment Adjusted EBITDA</w:t>
            </w:r>
          </w:p>
        </w:tc>
        <w:tc>
          <w:tcPr>
            <w:tcW w:w="0" w:type="dxa"/>
            <w:vAlign w:val="bottom"/>
          </w:tcPr>
          <w:p>
            <w:pPr>
              <w:spacing w:after="0"/>
              <w:rPr>
                <w:sz w:val="1"/>
                <w:szCs w:val="1"/>
                <w:color w:val="auto"/>
              </w:rPr>
            </w:pPr>
          </w:p>
        </w:tc>
      </w:tr>
      <w:tr>
        <w:trPr>
          <w:trHeight w:val="191"/>
        </w:trPr>
        <w:tc>
          <w:tcPr>
            <w:tcW w:w="6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0"/>
              <w:spacing w:after="0" w:line="191" w:lineRule="exact"/>
              <w:rPr>
                <w:sz w:val="20"/>
                <w:szCs w:val="20"/>
                <w:color w:val="auto"/>
              </w:rPr>
            </w:pPr>
            <w:r>
              <w:rPr>
                <w:rFonts w:ascii="Arial" w:cs="Arial" w:eastAsia="Arial" w:hAnsi="Arial"/>
                <w:sz w:val="18"/>
                <w:szCs w:val="18"/>
                <w:b w:val="1"/>
                <w:bCs w:val="1"/>
                <w:color w:val="auto"/>
                <w:w w:val="90"/>
              </w:rPr>
              <w:t>Supply and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gridSpan w:val="4"/>
          </w:tcPr>
          <w:p>
            <w:pPr>
              <w:ind w:left="40"/>
              <w:spacing w:after="0"/>
              <w:rPr>
                <w:sz w:val="20"/>
                <w:szCs w:val="20"/>
                <w:color w:val="auto"/>
              </w:rPr>
            </w:pPr>
            <w:r>
              <w:rPr>
                <w:rFonts w:ascii="Arial" w:cs="Arial" w:eastAsia="Arial" w:hAnsi="Arial"/>
                <w:sz w:val="18"/>
                <w:szCs w:val="18"/>
                <w:b w:val="1"/>
                <w:bCs w:val="1"/>
                <w:color w:val="auto"/>
              </w:rPr>
              <w:t>Transportation</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0"/>
              </w:rPr>
              <w:t>Facilities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5"/>
              </w:rPr>
              <w:t>Logistics</w:t>
            </w:r>
          </w:p>
        </w:tc>
        <w:tc>
          <w:tcPr>
            <w:tcW w:w="0" w:type="dxa"/>
            <w:vAlign w:val="bottom"/>
          </w:tcPr>
          <w:p>
            <w:pPr>
              <w:spacing w:after="0"/>
              <w:rPr>
                <w:sz w:val="1"/>
                <w:szCs w:val="1"/>
                <w:color w:val="auto"/>
              </w:rPr>
            </w:pPr>
          </w:p>
        </w:tc>
      </w:tr>
      <w:tr>
        <w:trPr>
          <w:trHeight w:val="223"/>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Twelve Months Ended December 31, 2019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Twelve Months Ended December 31, 2018</w:t>
            </w:r>
          </w:p>
        </w:tc>
        <w:tc>
          <w:tcPr>
            <w:tcW w:w="4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1,508</w:t>
            </w:r>
          </w:p>
        </w:tc>
        <w:tc>
          <w:tcPr>
            <w:tcW w:w="160" w:type="dxa"/>
            <w:vAlign w:val="bottom"/>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711</w:t>
            </w:r>
          </w:p>
        </w:tc>
        <w:tc>
          <w:tcPr>
            <w:tcW w:w="2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462</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Percentage change in Segment Adjusted EBITDA versus 2018 period</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i w:val="1"/>
                <w:iCs w:val="1"/>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w:t>
            </w:r>
          </w:p>
        </w:tc>
        <w:tc>
          <w:tcPr>
            <w:tcW w:w="3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i w:val="1"/>
                <w:iCs w:val="1"/>
                <w:color w:val="auto"/>
                <w:w w:val="8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74</w:t>
            </w:r>
          </w:p>
        </w:tc>
        <w:tc>
          <w:tcPr>
            <w:tcW w:w="1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w w:val="74"/>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line="199" w:lineRule="exact"/>
              <w:rPr>
                <w:sz w:val="20"/>
                <w:szCs w:val="20"/>
                <w:color w:val="auto"/>
              </w:rPr>
            </w:pPr>
            <w:r>
              <w:rPr>
                <w:rFonts w:ascii="Arial" w:cs="Arial" w:eastAsia="Arial" w:hAnsi="Arial"/>
                <w:sz w:val="18"/>
                <w:szCs w:val="18"/>
                <w:b w:val="1"/>
                <w:bCs w:val="1"/>
                <w:i w:val="1"/>
                <w:iCs w:val="1"/>
                <w:color w:val="auto"/>
                <w:w w:val="91"/>
              </w:rPr>
              <w:t>Percentage change in Segment Adjusted EBITDA versus 2018 period further adjusted for</w:t>
            </w: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94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6940" w:type="dxa"/>
            <w:vAlign w:val="bottom"/>
          </w:tcPr>
          <w:p>
            <w:pPr>
              <w:ind w:left="180"/>
              <w:spacing w:after="0" w:line="294" w:lineRule="exact"/>
              <w:rPr>
                <w:sz w:val="20"/>
                <w:szCs w:val="20"/>
                <w:color w:val="auto"/>
              </w:rPr>
            </w:pPr>
            <w:r>
              <w:rPr>
                <w:rFonts w:ascii="Arial" w:cs="Arial" w:eastAsia="Arial" w:hAnsi="Arial"/>
                <w:sz w:val="18"/>
                <w:szCs w:val="18"/>
                <w:b w:val="1"/>
                <w:bCs w:val="1"/>
                <w:i w:val="1"/>
                <w:iCs w:val="1"/>
                <w:color w:val="auto"/>
              </w:rPr>
              <w:t xml:space="preserve">impact of divested assets </w:t>
            </w:r>
            <w:r>
              <w:rPr>
                <w:rFonts w:ascii="Arial" w:cs="Arial" w:eastAsia="Arial" w:hAnsi="Arial"/>
                <w:sz w:val="30"/>
                <w:szCs w:val="30"/>
                <w:b w:val="1"/>
                <w:bCs w:val="1"/>
                <w:i w:val="1"/>
                <w:iCs w:val="1"/>
                <w:color w:val="auto"/>
                <w:vertAlign w:val="superscript"/>
              </w:rPr>
              <w:t>(1)</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b w:val="1"/>
                <w:bCs w:val="1"/>
                <w:i w:val="1"/>
                <w:iCs w:val="1"/>
                <w:color w:val="auto"/>
              </w:rPr>
              <w:t>19%</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i w:val="1"/>
                <w:iCs w:val="1"/>
                <w:color w:val="auto"/>
              </w:rPr>
              <w:t>(1)%</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0" w:right="260" w:hanging="332"/>
        <w:spacing w:after="0" w:line="218" w:lineRule="auto"/>
        <w:tabs>
          <w:tab w:leader="none" w:pos="3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Estimated impact of divestitures completed during 2018 and 2019, assuming an effective date of January 1, 2018. Divested assets primarily included a 30% interest in BridgeTex Pipeline Company, LLC and certain pipelines in the Rocky Mountain region that were previously reported in our Transportation segment, and a natural gas processing facility and certain crude oil and NGL terminals that were previously reported in our Facilities segment.</w:t>
      </w:r>
    </w:p>
    <w:p>
      <w:pPr>
        <w:spacing w:after="0" w:line="20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Fourth-quarter 2019 Transportation Segment Adjusted EBITDA increased by 6% over comparable 2018 results, primarily driven by higher volumes on our Permian Basin systems, including the Cactus II pipeline, which went into service in August 2019.</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Fourth-quarter 2019 Facilities Segment Adjusted EBITDA decreased by 3% versus comparable 2018 results, primarily due to lower activity at certain of our rail terminals.</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Fourth-quarter 2019 Supply and Logistics Segment Adjusted EBITDA decreased by 32% versus comparable 2018 results primarily due to less favorable crude oil differentials in the Permian Basin, partially offset by higher NGL margins.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4"/>
              </w:rPr>
              <w:t>Page 4</w:t>
            </w:r>
          </w:p>
        </w:tc>
        <w:tc>
          <w:tcPr>
            <w:tcW w:w="64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940" w:type="dxa"/>
            <w:vAlign w:val="bottom"/>
            <w:gridSpan w:val="4"/>
          </w:tcPr>
          <w:p>
            <w:pPr>
              <w:spacing w:after="0"/>
              <w:rPr>
                <w:sz w:val="20"/>
                <w:szCs w:val="20"/>
                <w:color w:val="auto"/>
              </w:rPr>
            </w:pPr>
            <w:r>
              <w:rPr>
                <w:rFonts w:ascii="Arial" w:cs="Arial" w:eastAsia="Arial" w:hAnsi="Arial"/>
                <w:sz w:val="18"/>
                <w:szCs w:val="18"/>
                <w:b w:val="1"/>
                <w:bCs w:val="1"/>
                <w:color w:val="auto"/>
              </w:rPr>
              <w:t>2020 Full-Year Guidance</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The table below presents our full-year 2020 financial and operating guidance:</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9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Financial and Operating Guidance </w:t>
            </w:r>
            <w:r>
              <w:rPr>
                <w:rFonts w:ascii="Arial" w:cs="Arial" w:eastAsia="Arial" w:hAnsi="Arial"/>
                <w:sz w:val="18"/>
                <w:szCs w:val="18"/>
                <w:color w:val="auto"/>
              </w:rPr>
              <w:t>(unaudited)</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80" w:type="dxa"/>
            <w:vAlign w:val="bottom"/>
            <w:gridSpan w:val="3"/>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gridSpan w:val="4"/>
          </w:tcPr>
          <w:p>
            <w:pPr>
              <w:spacing w:after="0"/>
              <w:rPr>
                <w:sz w:val="20"/>
                <w:szCs w:val="20"/>
                <w:color w:val="auto"/>
              </w:rPr>
            </w:pPr>
            <w:r>
              <w:rPr>
                <w:rFonts w:ascii="Arial" w:cs="Arial" w:eastAsia="Arial" w:hAnsi="Arial"/>
                <w:sz w:val="18"/>
                <w:szCs w:val="18"/>
                <w:color w:val="auto"/>
              </w:rPr>
              <w:t>(in millions, except volumes, per unit and per barrel data)</w:t>
            </w: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80" w:type="dxa"/>
            <w:vAlign w:val="bottom"/>
            <w:gridSpan w:val="10"/>
          </w:tcPr>
          <w:p>
            <w:pPr>
              <w:jc w:val="right"/>
              <w:ind w:right="920"/>
              <w:spacing w:after="0"/>
              <w:rPr>
                <w:sz w:val="20"/>
                <w:szCs w:val="20"/>
                <w:color w:val="auto"/>
              </w:rPr>
            </w:pPr>
            <w:r>
              <w:rPr>
                <w:rFonts w:ascii="Arial" w:cs="Arial" w:eastAsia="Arial" w:hAnsi="Arial"/>
                <w:sz w:val="18"/>
                <w:szCs w:val="18"/>
                <w:b w:val="1"/>
                <w:bCs w:val="1"/>
                <w:color w:val="auto"/>
              </w:rPr>
              <w:t>Twelve Months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 (G)</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 /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240"/>
              <w:spacing w:after="0"/>
              <w:rPr>
                <w:sz w:val="20"/>
                <w:szCs w:val="20"/>
                <w:color w:val="auto"/>
              </w:rPr>
            </w:pPr>
            <w:r>
              <w:rPr>
                <w:rFonts w:ascii="Arial" w:cs="Arial" w:eastAsia="Arial" w:hAnsi="Arial"/>
                <w:sz w:val="18"/>
                <w:szCs w:val="18"/>
                <w:color w:val="auto"/>
              </w:rPr>
              <w:t>Transportation</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1,508</w:t>
            </w:r>
          </w:p>
        </w:tc>
        <w:tc>
          <w:tcPr>
            <w:tcW w:w="86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1,722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Facilities</w:t>
            </w:r>
          </w:p>
        </w:tc>
        <w:tc>
          <w:tcPr>
            <w:tcW w:w="8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711</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705</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Fee-Based</w:t>
            </w: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2,219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tcBorders>
          </w:tcPr>
          <w:p>
            <w:pPr>
              <w:jc w:val="right"/>
              <w:ind w:right="645"/>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2,427</w:t>
            </w:r>
          </w:p>
        </w:tc>
        <w:tc>
          <w:tcPr>
            <w:tcW w:w="3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Supply and Logistics</w:t>
            </w: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240"/>
              <w:spacing w:after="0"/>
              <w:rPr>
                <w:sz w:val="20"/>
                <w:szCs w:val="20"/>
                <w:color w:val="auto"/>
              </w:rPr>
            </w:pPr>
            <w:r>
              <w:rPr>
                <w:rFonts w:ascii="Arial" w:cs="Arial" w:eastAsia="Arial" w:hAnsi="Arial"/>
                <w:sz w:val="18"/>
                <w:szCs w:val="18"/>
                <w:color w:val="auto"/>
              </w:rPr>
              <w:t>Adjusted other income/(expense), net</w:t>
            </w:r>
          </w:p>
        </w:tc>
        <w:tc>
          <w:tcPr>
            <w:tcW w:w="82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top w:val="single" w:sz="8" w:color="CCEEFF"/>
              <w:bottom w:val="single" w:sz="8" w:color="CCEEFF"/>
            </w:tcBorders>
            <w:gridSpan w:val="3"/>
            <w:shd w:val="clear" w:color="auto" w:fill="CCEEFF"/>
          </w:tcPr>
          <w:p>
            <w:pPr>
              <w:spacing w:after="0" w:line="223" w:lineRule="exact"/>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25"/>
                <w:szCs w:val="25"/>
                <w:b w:val="1"/>
                <w:bCs w:val="1"/>
                <w:color w:val="auto"/>
                <w:vertAlign w:val="superscript"/>
              </w:rPr>
              <w:t>(1)</w:t>
            </w: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2,684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3,237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gridSpan w:val="3"/>
            <w:vMerge w:val="restart"/>
          </w:tcPr>
          <w:p>
            <w:pPr>
              <w:ind w:left="240"/>
              <w:spacing w:after="0" w:line="250"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8"/>
                <w:szCs w:val="28"/>
                <w:color w:val="auto"/>
                <w:vertAlign w:val="superscript"/>
              </w:rPr>
              <w:t>(2)</w:t>
            </w:r>
          </w:p>
        </w:tc>
        <w:tc>
          <w:tcPr>
            <w:tcW w:w="8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3"/>
            <w:vMerge w:val="continue"/>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(419)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(407)</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Maintenance capital</w:t>
            </w: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240"/>
              <w:spacing w:after="0"/>
              <w:rPr>
                <w:sz w:val="20"/>
                <w:szCs w:val="20"/>
                <w:color w:val="auto"/>
              </w:rPr>
            </w:pPr>
            <w:r>
              <w:rPr>
                <w:rFonts w:ascii="Arial" w:cs="Arial" w:eastAsia="Arial" w:hAnsi="Arial"/>
                <w:sz w:val="18"/>
                <w:szCs w:val="18"/>
                <w:color w:val="auto"/>
              </w:rPr>
              <w:t>Current income tax expense</w:t>
            </w:r>
          </w:p>
        </w:tc>
        <w:tc>
          <w:tcPr>
            <w:tcW w:w="8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gridSpan w:val="3"/>
            <w:vMerge w:val="restart"/>
          </w:tcPr>
          <w:p>
            <w:pPr>
              <w:spacing w:after="0" w:line="256"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9"/>
                <w:szCs w:val="29"/>
                <w:b w:val="1"/>
                <w:bCs w:val="1"/>
                <w:color w:val="auto"/>
                <w:vertAlign w:val="superscript"/>
              </w:rPr>
              <w:t>(1)</w:t>
            </w: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920" w:type="dxa"/>
            <w:vAlign w:val="bottom"/>
            <w:gridSpan w:val="3"/>
            <w:vMerge w:val="continue"/>
          </w:tcPr>
          <w:p>
            <w:pPr>
              <w:spacing w:after="0"/>
              <w:rPr>
                <w:sz w:val="20"/>
                <w:szCs w:val="20"/>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1,948</w:t>
            </w:r>
          </w:p>
        </w:tc>
        <w:tc>
          <w:tcPr>
            <w:tcW w:w="240" w:type="dxa"/>
            <w:vAlign w:val="bottom"/>
          </w:tcPr>
          <w:p>
            <w:pPr>
              <w:spacing w:after="0"/>
              <w:rPr>
                <w:sz w:val="20"/>
                <w:szCs w:val="20"/>
                <w:color w:val="auto"/>
              </w:rPr>
            </w:pPr>
          </w:p>
        </w:tc>
        <w:tc>
          <w:tcPr>
            <w:tcW w:w="860" w:type="dxa"/>
            <w:vAlign w:val="bottom"/>
            <w:gridSpan w:val="2"/>
          </w:tcPr>
          <w:p>
            <w:pPr>
              <w:jc w:val="right"/>
              <w:ind w:right="645"/>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2,376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gridSpan w:val="3"/>
            <w:shd w:val="clear" w:color="auto" w:fill="CCEEFF"/>
          </w:tcPr>
          <w:p>
            <w:pPr>
              <w:ind w:left="240"/>
              <w:spacing w:after="0" w:line="256"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9"/>
                <w:szCs w:val="29"/>
                <w:color w:val="auto"/>
                <w:vertAlign w:val="superscript"/>
              </w:rPr>
              <w:t>(3)</w:t>
            </w:r>
          </w:p>
        </w:tc>
        <w:tc>
          <w:tcPr>
            <w:tcW w:w="8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63"/>
        </w:trPr>
        <w:tc>
          <w:tcPr>
            <w:tcW w:w="6940" w:type="dxa"/>
            <w:vAlign w:val="bottom"/>
            <w:gridSpan w:val="4"/>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1,787</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2,178</w:t>
            </w:r>
          </w:p>
        </w:tc>
        <w:tc>
          <w:tcPr>
            <w:tcW w:w="3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20" w:type="dxa"/>
            <w:vAlign w:val="bottom"/>
            <w:gridSpan w:val="3"/>
          </w:tcPr>
          <w:p>
            <w:pPr>
              <w:spacing w:after="0" w:line="256" w:lineRule="exact"/>
              <w:rPr>
                <w:sz w:val="20"/>
                <w:szCs w:val="20"/>
                <w:color w:val="auto"/>
              </w:rPr>
            </w:pPr>
            <w:r>
              <w:rPr>
                <w:rFonts w:ascii="Arial" w:cs="Arial" w:eastAsia="Arial" w:hAnsi="Arial"/>
                <w:sz w:val="18"/>
                <w:szCs w:val="18"/>
                <w:b w:val="1"/>
                <w:bCs w:val="1"/>
                <w:color w:val="auto"/>
              </w:rPr>
              <w:t xml:space="preserve">Implied DCF per Common Unit </w:t>
            </w:r>
            <w:r>
              <w:rPr>
                <w:rFonts w:ascii="Arial" w:cs="Arial" w:eastAsia="Arial" w:hAnsi="Arial"/>
                <w:sz w:val="29"/>
                <w:szCs w:val="29"/>
                <w:b w:val="1"/>
                <w:bCs w:val="1"/>
                <w:color w:val="auto"/>
                <w:vertAlign w:val="superscript"/>
              </w:rPr>
              <w:t>(1)</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2.46</w:t>
            </w:r>
          </w:p>
        </w:tc>
        <w:tc>
          <w:tcPr>
            <w:tcW w:w="86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2.99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Implied DCF per Common Unit and Common Equivalent Unit </w:t>
            </w:r>
            <w:r>
              <w:rPr>
                <w:rFonts w:ascii="Arial" w:cs="Arial" w:eastAsia="Arial" w:hAnsi="Arial"/>
                <w:sz w:val="29"/>
                <w:szCs w:val="29"/>
                <w:b w:val="1"/>
                <w:bCs w:val="1"/>
                <w:color w:val="auto"/>
                <w:vertAlign w:val="superscript"/>
              </w:rPr>
              <w:t>(1)</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86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9"/>
                <w:szCs w:val="29"/>
                <w:b w:val="1"/>
                <w:bCs w:val="1"/>
                <w:color w:val="auto"/>
                <w:vertAlign w:val="superscript"/>
              </w:rPr>
              <w:t>(4)</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86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Common Unit Distribution Coverage Ratio</w:t>
            </w:r>
          </w:p>
        </w:tc>
        <w:tc>
          <w:tcPr>
            <w:tcW w:w="8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2.05x</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2.17x</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1.57x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20" w:type="dxa"/>
            <w:vAlign w:val="bottom"/>
            <w:gridSpan w:val="3"/>
          </w:tcPr>
          <w:p>
            <w:pPr>
              <w:spacing w:after="0" w:line="256" w:lineRule="exact"/>
              <w:rPr>
                <w:sz w:val="20"/>
                <w:szCs w:val="20"/>
                <w:color w:val="auto"/>
              </w:rPr>
            </w:pPr>
            <w:r>
              <w:rPr>
                <w:rFonts w:ascii="Arial" w:cs="Arial" w:eastAsia="Arial" w:hAnsi="Arial"/>
                <w:sz w:val="18"/>
                <w:szCs w:val="18"/>
                <w:b w:val="1"/>
                <w:bCs w:val="1"/>
                <w:color w:val="auto"/>
              </w:rPr>
              <w:t xml:space="preserve">Diluted Adjusted Net Income per Common Unit </w:t>
            </w:r>
            <w:r>
              <w:rPr>
                <w:rFonts w:ascii="Arial" w:cs="Arial" w:eastAsia="Arial" w:hAnsi="Arial"/>
                <w:sz w:val="29"/>
                <w:szCs w:val="29"/>
                <w:b w:val="1"/>
                <w:bCs w:val="1"/>
                <w:color w:val="auto"/>
                <w:vertAlign w:val="superscript"/>
              </w:rPr>
              <w:t>(1)</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1.88</w:t>
            </w:r>
          </w:p>
        </w:tc>
        <w:tc>
          <w:tcPr>
            <w:tcW w:w="86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2.51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Operating Data</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Transportation</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320"/>
              <w:spacing w:after="0"/>
              <w:rPr>
                <w:sz w:val="20"/>
                <w:szCs w:val="20"/>
                <w:color w:val="auto"/>
              </w:rPr>
            </w:pPr>
            <w:r>
              <w:rPr>
                <w:rFonts w:ascii="Arial" w:cs="Arial" w:eastAsia="Arial" w:hAnsi="Arial"/>
                <w:sz w:val="18"/>
                <w:szCs w:val="18"/>
                <w:color w:val="auto"/>
              </w:rPr>
              <w:t>Average daily volumes (MBbls/d)</w:t>
            </w:r>
          </w:p>
        </w:tc>
        <w:tc>
          <w:tcPr>
            <w:tcW w:w="8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5,889</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6,893</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Segment Adjusted EBITDA per barrel</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0.70</w:t>
            </w:r>
          </w:p>
        </w:tc>
        <w:tc>
          <w:tcPr>
            <w:tcW w:w="86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Facilities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320"/>
              <w:spacing w:after="0"/>
              <w:rPr>
                <w:sz w:val="20"/>
                <w:szCs w:val="20"/>
                <w:color w:val="auto"/>
              </w:rPr>
            </w:pPr>
            <w:r>
              <w:rPr>
                <w:rFonts w:ascii="Arial" w:cs="Arial" w:eastAsia="Arial" w:hAnsi="Arial"/>
                <w:sz w:val="18"/>
                <w:szCs w:val="18"/>
                <w:color w:val="auto"/>
              </w:rPr>
              <w:t>Average capacity (MMBbls/Mo)</w:t>
            </w:r>
          </w:p>
        </w:tc>
        <w:tc>
          <w:tcPr>
            <w:tcW w:w="8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Segment Adjusted EBITDA per barrel</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0.48</w:t>
            </w:r>
          </w:p>
        </w:tc>
        <w:tc>
          <w:tcPr>
            <w:tcW w:w="86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320"/>
              <w:spacing w:after="0"/>
              <w:rPr>
                <w:sz w:val="20"/>
                <w:szCs w:val="20"/>
                <w:color w:val="auto"/>
              </w:rPr>
            </w:pPr>
            <w:r>
              <w:rPr>
                <w:rFonts w:ascii="Arial" w:cs="Arial" w:eastAsia="Arial" w:hAnsi="Arial"/>
                <w:sz w:val="18"/>
                <w:szCs w:val="18"/>
                <w:color w:val="auto"/>
              </w:rPr>
              <w:t>Average daily volumes (MBbls/d)</w:t>
            </w:r>
          </w:p>
        </w:tc>
        <w:tc>
          <w:tcPr>
            <w:tcW w:w="8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1,309</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1,369</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Segment Adjusted EBITDA per barrel</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0.97</w:t>
            </w:r>
          </w:p>
        </w:tc>
        <w:tc>
          <w:tcPr>
            <w:tcW w:w="86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Expansion Capital</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1,888</w:t>
            </w:r>
          </w:p>
        </w:tc>
        <w:tc>
          <w:tcPr>
            <w:tcW w:w="86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8"/>
              </w:rPr>
              <w:t>1,340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First-Quarter Adjusted EBITDA as Percentage of Full Year</w:t>
            </w: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(G) 2020 Guidance forecasts are intended to be + / - amounts.</w:t>
      </w:r>
    </w:p>
    <w:p>
      <w:pPr>
        <w:spacing w:after="0" w:line="225" w:lineRule="exact"/>
        <w:rPr>
          <w:sz w:val="20"/>
          <w:szCs w:val="20"/>
          <w:color w:val="auto"/>
        </w:rPr>
      </w:pPr>
    </w:p>
    <w:p>
      <w:pPr>
        <w:ind w:left="340" w:right="40" w:hanging="332"/>
        <w:spacing w:after="0" w:line="245" w:lineRule="auto"/>
        <w:tabs>
          <w:tab w:leader="none" w:pos="34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Non-GAAP Reconciliation tables attached hereto for information regarding non-GAAP financial measures and, for the historical 2018 and 2019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202"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711"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13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01" w:lineRule="exact"/>
        <w:rPr>
          <w:rFonts w:ascii="Arial" w:cs="Arial" w:eastAsia="Arial" w:hAnsi="Arial"/>
          <w:sz w:val="28"/>
          <w:szCs w:val="28"/>
          <w:color w:val="auto"/>
          <w:vertAlign w:val="superscript"/>
        </w:rPr>
      </w:pPr>
    </w:p>
    <w:p>
      <w:pPr>
        <w:jc w:val="both"/>
        <w:ind w:left="340" w:right="380" w:hanging="332"/>
        <w:spacing w:after="0" w:line="223" w:lineRule="auto"/>
        <w:tabs>
          <w:tab w:leader="none" w:pos="3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Cash distributions paid to our preferred unitholders during the year presented. Distributions on our Series A preferred units were paid-in-kind for the February 2018 quarterly distribution. Distributions on our Series A preferred units have been paid in cash since the May 2018 quarterly distribution. Distributions on our Series B preferred units are payable in cash semi-annually in arrears on May 15 and November 15.</w:t>
      </w:r>
    </w:p>
    <w:p>
      <w:pPr>
        <w:spacing w:after="0" w:line="87" w:lineRule="exact"/>
        <w:rPr>
          <w:rFonts w:ascii="Arial" w:cs="Arial" w:eastAsia="Arial" w:hAnsi="Arial"/>
          <w:sz w:val="28"/>
          <w:szCs w:val="28"/>
          <w:color w:val="auto"/>
          <w:vertAlign w:val="superscript"/>
        </w:rPr>
      </w:pPr>
    </w:p>
    <w:p>
      <w:pPr>
        <w:ind w:left="340" w:hanging="332"/>
        <w:spacing w:after="0"/>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Cash distributions per common unit paid during 2018 and 2019. 2020(G) reflects the current distribution rate of $1.44 per common unit.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Q4 2019</w:t>
            </w:r>
          </w:p>
        </w:tc>
        <w:tc>
          <w:tcPr>
            <w:tcW w:w="200" w:type="dxa"/>
            <w:vAlign w:val="bottom"/>
          </w:tcPr>
          <w:p>
            <w:pPr>
              <w:spacing w:after="0"/>
              <w:rPr>
                <w:sz w:val="20"/>
                <w:szCs w:val="20"/>
                <w:color w:val="auto"/>
              </w:rPr>
            </w:pPr>
          </w:p>
        </w:tc>
        <w:tc>
          <w:tcPr>
            <w:tcW w:w="12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Q3 2019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Q4 2018</w:t>
            </w:r>
          </w:p>
        </w:tc>
      </w:tr>
      <w:tr>
        <w:trPr>
          <w:trHeight w:val="223"/>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1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b w:val="1"/>
                <w:bCs w:val="1"/>
                <w:color w:val="auto"/>
              </w:rPr>
              <w:t>Q4 2019 distribution percentage change from prior periods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joint conference call at 4:00 p.m. CT on Tuesday, February 4, 2020 to discuss the following items:</w:t>
      </w:r>
    </w:p>
    <w:p>
      <w:pPr>
        <w:spacing w:after="0" w:line="225" w:lineRule="exact"/>
        <w:rPr>
          <w:sz w:val="20"/>
          <w:szCs w:val="20"/>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fourth-quarter and full-year 2019 performance;</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and operating guidance;</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Plains’ outlook for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To access the internet webcast please go to </w:t>
      </w:r>
      <w:r>
        <w:rPr>
          <w:rFonts w:ascii="Arial" w:cs="Arial" w:eastAsia="Arial" w:hAnsi="Arial"/>
          <w:sz w:val="18"/>
          <w:szCs w:val="18"/>
          <w:u w:val="single" w:color="auto"/>
          <w:color w:val="0000FF"/>
        </w:rPr>
        <w:t>https://event.webcasts.com/starthere.jsp?ei=1277780&amp;tp_key=2a3486ef6a</w:t>
      </w:r>
      <w:r>
        <w:rPr>
          <w:rFonts w:ascii="Arial" w:cs="Arial" w:eastAsia="Arial" w:hAnsi="Arial"/>
          <w:sz w:val="18"/>
          <w:szCs w:val="18"/>
          <w:color w:val="0000FF"/>
        </w:rPr>
        <w: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Alternatively, the webcast can be accessed on our website (www.plainsallamerican.com)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A transcript will also be available after the call at the above referenced website.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of, and gains and losses on significant asset sales by, unconsolidated entities), gains and losses on asset sales and asset impairments and gains on investments in unconsolidated entities, adjusted for certain selected items impacting comparability (“Adjusted EBITDA”) and Implied distributable cash flow (“DCF”).</w:t>
      </w:r>
    </w:p>
    <w:p>
      <w:pPr>
        <w:spacing w:after="0" w:line="173"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38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expansion projects and numerous other factors. These types of variations may not be separately identified in this release, but will be discussed, as applicable, in management’s discussion and analysis of operating results in our Annual Report on Form 10-K.</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including the effects of capacity overbuild in areas where we operate; market distortions caused by over-commitments to infrastructure projects, which impacts volumes, margins, returns and overall earnings; unanticipated changes in crude oil and NGL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NGL and natural gas and resulting changes in pricing conditions or transportation throughput requirements; maintenance of our credit rating and ability to receive open credit from our suppliers and trade counterparties; the occurrence of a natural disaster, catastrophe, terrorist attack (including eco-terrorist attacks) or other event, including cyber or other attacks on our electronic and computer systems; failure to implement or capitalize, or delays in implementing or capitalizing, on expansion projects, whether due to permitting delays, permitting withdrawals or other factors; shortages or cost increases of supplies, materials or labor; the impact of current and future laws, rulings, governmental regulations, accounting standards and statements, and related interpretations;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effectiveness of our risk management activities; fluctuations in the debt and equity markets, including the price of our units at the time of vesting under our long-term incentive plans; risks related to the development and operation of our assets, including our ability to satisfy our contractual obligations to our customers;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as well as in the storage of natural gas and the processing, transportation, fractionation, storage and marketing of NGL as discussed in the Partnerships’ filings with the Securities and Exchange Commission.</w:t>
      </w:r>
    </w:p>
    <w:p>
      <w:pPr>
        <w:spacing w:after="0" w:line="3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00" w:type="dxa"/>
            <w:vAlign w:val="bottom"/>
            <w:gridSpan w:val="6"/>
          </w:tcPr>
          <w:p>
            <w:pPr>
              <w:jc w:val="center"/>
              <w:ind w:right="62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0"/>
              </w:rPr>
              <w:t>Twelve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310"/>
              <w:spacing w:after="0"/>
              <w:rPr>
                <w:sz w:val="20"/>
                <w:szCs w:val="20"/>
                <w:color w:val="auto"/>
              </w:rPr>
            </w:pPr>
            <w:r>
              <w:rPr>
                <w:rFonts w:ascii="Arial" w:cs="Arial" w:eastAsia="Arial" w:hAnsi="Arial"/>
                <w:sz w:val="18"/>
                <w:szCs w:val="18"/>
                <w:b w:val="1"/>
                <w:bCs w:val="1"/>
                <w:color w:val="auto"/>
                <w:w w:val="88"/>
              </w:rPr>
              <w:t>December 31,</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6,955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29,452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w w:val="99"/>
              </w:rPr>
              <w:t>(Gains)/losses on asset sales and asset impairments, net</w:t>
            </w: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10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Equity earnings in unconsolidated entities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Gain/(loss) on investment in unconsolidated entities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Current income tax expense</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Net income allocated to common unitholders — Basic</w:t>
            </w:r>
          </w:p>
        </w:tc>
        <w:tc>
          <w:tcPr>
            <w:tcW w:w="14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1,063</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1,967</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Basic net income per common unit</w:t>
            </w:r>
          </w:p>
        </w:tc>
        <w:tc>
          <w:tcPr>
            <w:tcW w:w="14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0.35</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2.70</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w w:val="98"/>
              </w:rPr>
              <w:t>Net income allocated to common unitholders — Diluted</w:t>
            </w:r>
          </w:p>
        </w:tc>
        <w:tc>
          <w:tcPr>
            <w:tcW w:w="14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1,104</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2,119</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 weighted average common units outstanding</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Diluted net income per common unit</w:t>
            </w:r>
          </w:p>
        </w:tc>
        <w:tc>
          <w:tcPr>
            <w:tcW w:w="14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0.35</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1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80" w:type="dxa"/>
            <w:vAlign w:val="bottom"/>
            <w:gridSpan w:val="3"/>
            <w:vMerge w:val="continue"/>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 except per unit data)</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00" w:type="dxa"/>
            <w:vAlign w:val="bottom"/>
            <w:gridSpan w:val="6"/>
            <w:vMerge w:val="restart"/>
          </w:tcPr>
          <w:p>
            <w:pPr>
              <w:jc w:val="center"/>
              <w:ind w:right="58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6"/>
            <w:vMerge w:val="restart"/>
          </w:tcPr>
          <w:p>
            <w:pPr>
              <w:jc w:val="center"/>
              <w:ind w:right="420"/>
              <w:spacing w:after="0"/>
              <w:rPr>
                <w:sz w:val="20"/>
                <w:szCs w:val="20"/>
                <w:color w:val="auto"/>
              </w:rPr>
            </w:pPr>
            <w:r>
              <w:rPr>
                <w:rFonts w:ascii="Arial" w:cs="Arial" w:eastAsia="Arial" w:hAnsi="Arial"/>
                <w:sz w:val="18"/>
                <w:szCs w:val="18"/>
                <w:b w:val="1"/>
                <w:bCs w:val="1"/>
                <w:color w:val="auto"/>
                <w:w w:val="90"/>
              </w:rPr>
              <w:t>Twelve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00" w:type="dxa"/>
            <w:vAlign w:val="bottom"/>
            <w:gridSpan w:val="6"/>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310"/>
              <w:spacing w:after="0"/>
              <w:rPr>
                <w:sz w:val="20"/>
                <w:szCs w:val="20"/>
                <w:color w:val="auto"/>
              </w:rPr>
            </w:pPr>
            <w:r>
              <w:rPr>
                <w:rFonts w:ascii="Arial" w:cs="Arial" w:eastAsia="Arial" w:hAnsi="Arial"/>
                <w:sz w:val="18"/>
                <w:szCs w:val="18"/>
                <w:b w:val="1"/>
                <w:bCs w:val="1"/>
                <w:color w:val="auto"/>
                <w:w w:val="88"/>
              </w:rPr>
              <w:t>December 31,</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10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146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0.63</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0.80</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6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949</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3,237</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more -</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ind w:left="1700"/>
              <w:spacing w:after="0"/>
              <w:rPr>
                <w:sz w:val="20"/>
                <w:szCs w:val="20"/>
                <w:color w:val="auto"/>
              </w:rPr>
            </w:pPr>
            <w:r>
              <w:rPr>
                <w:rFonts w:ascii="Arial" w:cs="Arial" w:eastAsia="Arial" w:hAnsi="Arial"/>
                <w:sz w:val="18"/>
                <w:szCs w:val="18"/>
                <w:b w:val="1"/>
                <w:bCs w:val="1"/>
                <w:color w:val="auto"/>
              </w:rPr>
              <w:t>333 Clay Street, Suite 1600</w:t>
            </w:r>
          </w:p>
        </w:tc>
        <w:tc>
          <w:tcPr>
            <w:tcW w:w="246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Houston, Texas 77002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0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713-646-4100 / 866-809-1291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7"/>
              </w:rPr>
              <w:t>December 31,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3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4,612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15,355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2,540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3,683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981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operating lease right-of-use assets, net</w:t>
            </w: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assets</w:t>
            </w:r>
          </w:p>
        </w:tc>
        <w:tc>
          <w:tcPr>
            <w:tcW w:w="236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28,677</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5,017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Senior notes, net</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8,939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8,941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 net</w:t>
            </w: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Long-term operating lease liabilities</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387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tcPr>
          <w:p>
            <w:pPr>
              <w:ind w:left="200"/>
              <w:spacing w:after="0"/>
              <w:rPr>
                <w:sz w:val="20"/>
                <w:szCs w:val="20"/>
                <w:color w:val="auto"/>
              </w:rPr>
            </w:pPr>
            <w:r>
              <w:rPr>
                <w:rFonts w:ascii="Arial" w:cs="Arial" w:eastAsia="Arial" w:hAnsi="Arial"/>
                <w:sz w:val="18"/>
                <w:szCs w:val="18"/>
                <w:color w:val="auto"/>
              </w:rPr>
              <w:t>Total liabilities</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15,482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13,062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12,002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partners’ capital</w:t>
            </w:r>
          </w:p>
        </w:tc>
        <w:tc>
          <w:tcPr>
            <w:tcW w:w="23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13,195</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liabilities and partners’ capital</w:t>
            </w:r>
          </w:p>
        </w:tc>
        <w:tc>
          <w:tcPr>
            <w:tcW w:w="23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28,677</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60" w:type="dxa"/>
            <w:vAlign w:val="bottom"/>
            <w:gridSpan w:val="3"/>
            <w:vMerge w:val="continue"/>
          </w:tcPr>
          <w:p>
            <w:pPr>
              <w:spacing w:after="0"/>
              <w:rPr>
                <w:sz w:val="24"/>
                <w:szCs w:val="24"/>
                <w:color w:val="auto"/>
              </w:rPr>
            </w:pPr>
          </w:p>
        </w:tc>
        <w:tc>
          <w:tcPr>
            <w:tcW w:w="2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9,187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9,187</w:t>
            </w: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2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13,195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book capitalization</w:t>
            </w:r>
          </w:p>
        </w:tc>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gridSpan w:val="2"/>
            <w:vMerge w:val="restart"/>
          </w:tcPr>
          <w:p>
            <w:pPr>
              <w:ind w:left="320"/>
              <w:spacing w:after="0"/>
              <w:rPr>
                <w:sz w:val="20"/>
                <w:szCs w:val="20"/>
                <w:color w:val="auto"/>
              </w:rPr>
            </w:pPr>
            <w:r>
              <w:rPr>
                <w:rFonts w:ascii="Arial" w:cs="Arial" w:eastAsia="Arial" w:hAnsi="Arial"/>
                <w:sz w:val="18"/>
                <w:szCs w:val="18"/>
                <w:color w:val="auto"/>
              </w:rPr>
              <w:t>Total book capitalization, including short-term debt</w:t>
            </w:r>
          </w:p>
        </w:tc>
        <w:tc>
          <w:tcPr>
            <w:tcW w:w="2360" w:type="dxa"/>
            <w:vAlign w:val="bottom"/>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Borders>
              <w:bottom w:val="single" w:sz="8" w:color="CCEEFF"/>
            </w:tcBorders>
            <w:gridSpan w:val="2"/>
            <w:vMerge w:val="continue"/>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22,886</w:t>
            </w: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gridSpan w:val="2"/>
          </w:tcPr>
          <w:p>
            <w:pPr>
              <w:jc w:val="right"/>
              <w:ind w:right="5"/>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21,211</w:t>
            </w: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2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60" w:type="dxa"/>
            <w:vAlign w:val="bottom"/>
          </w:tcPr>
          <w:p>
            <w:pPr>
              <w:jc w:val="center"/>
              <w:ind w:right="370"/>
              <w:spacing w:after="0"/>
              <w:rPr>
                <w:sz w:val="20"/>
                <w:szCs w:val="20"/>
                <w:color w:val="auto"/>
              </w:rPr>
            </w:pPr>
            <w:r>
              <w:rPr>
                <w:rFonts w:ascii="Arial" w:cs="Arial" w:eastAsia="Arial" w:hAnsi="Arial"/>
                <w:sz w:val="18"/>
                <w:szCs w:val="18"/>
                <w:color w:val="auto"/>
                <w:w w:val="91"/>
              </w:rPr>
              <w:t>- more -</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9"/>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gridSpan w:val="2"/>
          </w:tcPr>
          <w:p>
            <w:pPr>
              <w:ind w:left="1700"/>
              <w:spacing w:after="0"/>
              <w:rPr>
                <w:sz w:val="20"/>
                <w:szCs w:val="20"/>
                <w:color w:val="auto"/>
              </w:rPr>
            </w:pPr>
            <w:r>
              <w:rPr>
                <w:rFonts w:ascii="Arial" w:cs="Arial" w:eastAsia="Arial" w:hAnsi="Arial"/>
                <w:sz w:val="18"/>
                <w:szCs w:val="18"/>
                <w:b w:val="1"/>
                <w:bCs w:val="1"/>
                <w:color w:val="auto"/>
              </w:rPr>
              <w:t>333 Clay Street, Suite 1600</w:t>
            </w:r>
          </w:p>
        </w:tc>
        <w:tc>
          <w:tcPr>
            <w:tcW w:w="236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Houston, Texas 77002</w:t>
            </w:r>
          </w:p>
        </w:tc>
        <w:tc>
          <w:tcPr>
            <w:tcW w:w="2840" w:type="dxa"/>
            <w:vAlign w:val="bottom"/>
            <w:gridSpan w:val="9"/>
          </w:tcPr>
          <w:p>
            <w:pPr>
              <w:jc w:val="center"/>
              <w:ind w:left="330"/>
              <w:spacing w:after="0"/>
              <w:rPr>
                <w:sz w:val="20"/>
                <w:szCs w:val="20"/>
                <w:color w:val="auto"/>
              </w:rPr>
            </w:pPr>
            <w:r>
              <w:rPr>
                <w:rFonts w:ascii="Arial" w:cs="Arial" w:eastAsia="Arial" w:hAnsi="Arial"/>
                <w:sz w:val="18"/>
                <w:szCs w:val="18"/>
                <w:b w:val="1"/>
                <w:bCs w:val="1"/>
                <w:color w:val="auto"/>
                <w:w w:val="91"/>
              </w:rPr>
              <w:t>713-646-4100 / 866-809-1291</w:t>
            </w: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30"/>
          <w:szCs w:val="30"/>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34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Net Income per Common Unit</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1,117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2,171</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unitholders</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Distributions to Series B preferred unitholders</w:t>
            </w:r>
          </w:p>
        </w:tc>
        <w:tc>
          <w:tcPr>
            <w:tcW w:w="8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allocated to common unitholders</w:t>
            </w:r>
          </w:p>
        </w:tc>
        <w:tc>
          <w:tcPr>
            <w:tcW w:w="84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1,063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8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0.35</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2.70</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840" w:type="dxa"/>
            <w:vAlign w:val="bottom"/>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1,117</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2,171</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Distributions to Series A preferred unitholders</w:t>
            </w:r>
          </w:p>
        </w:tc>
        <w:tc>
          <w:tcPr>
            <w:tcW w:w="8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Series B preferred unitholders</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allocated to common unitholders</w:t>
            </w:r>
          </w:p>
        </w:tc>
        <w:tc>
          <w:tcPr>
            <w:tcW w:w="840" w:type="dxa"/>
            <w:vAlign w:val="bottom"/>
            <w:tcBorders>
              <w:top w:val="single" w:sz="8" w:color="auto"/>
              <w:bottom w:val="single" w:sz="8" w:color="auto"/>
            </w:tcBorders>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1,104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ind w:left="480"/>
              <w:spacing w:after="0" w:line="256"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9"/>
                <w:szCs w:val="29"/>
                <w:color w:val="auto"/>
                <w:vertAlign w:val="superscript"/>
              </w:rPr>
              <w:t>(2)</w:t>
            </w:r>
          </w:p>
        </w:tc>
        <w:tc>
          <w:tcPr>
            <w:tcW w:w="8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tcPr>
          <w:p>
            <w:pPr>
              <w:ind w:left="480"/>
              <w:spacing w:after="0" w:line="25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9"/>
                <w:szCs w:val="29"/>
                <w:color w:val="auto"/>
                <w:vertAlign w:val="superscript"/>
              </w:rPr>
              <w:t>(3)</w:t>
            </w:r>
          </w:p>
        </w:tc>
        <w:tc>
          <w:tcPr>
            <w:tcW w:w="84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840" w:type="dxa"/>
            <w:vAlign w:val="bottom"/>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6" w:lineRule="exact"/>
        <w:rPr>
          <w:sz w:val="20"/>
          <w:szCs w:val="20"/>
          <w:color w:val="auto"/>
        </w:rPr>
      </w:pPr>
    </w:p>
    <w:p>
      <w:pPr>
        <w:ind w:left="340" w:hanging="332"/>
        <w:spacing w:after="0" w:line="218"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1" w:lineRule="exact"/>
        <w:rPr>
          <w:rFonts w:ascii="Arial" w:cs="Arial" w:eastAsia="Arial" w:hAnsi="Arial"/>
          <w:sz w:val="30"/>
          <w:szCs w:val="30"/>
          <w:color w:val="auto"/>
          <w:vertAlign w:val="superscript"/>
        </w:rPr>
      </w:pPr>
    </w:p>
    <w:p>
      <w:pPr>
        <w:ind w:left="340" w:right="240" w:hanging="332"/>
        <w:spacing w:after="0" w:line="187"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The possible conversion of our Series A preferred units was excluded from the calculation of diluted net income per common unit for the three months ended December 31, 2019 as the effect was antidilutive.</w:t>
      </w:r>
    </w:p>
    <w:p>
      <w:pPr>
        <w:spacing w:after="0" w:line="2" w:lineRule="exact"/>
        <w:rPr>
          <w:rFonts w:ascii="Arial" w:cs="Arial" w:eastAsia="Arial" w:hAnsi="Arial"/>
          <w:sz w:val="30"/>
          <w:szCs w:val="30"/>
          <w:color w:val="auto"/>
          <w:vertAlign w:val="superscript"/>
        </w:rPr>
      </w:pPr>
    </w:p>
    <w:p>
      <w:pPr>
        <w:ind w:left="340" w:right="40" w:hanging="332"/>
        <w:spacing w:after="0" w:line="214"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04"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38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Twelve Months Ended</w:t>
            </w:r>
          </w:p>
        </w:tc>
      </w:tr>
      <w:tr>
        <w:trPr>
          <w:trHeight w:val="234"/>
        </w:trPr>
        <w:tc>
          <w:tcPr>
            <w:tcW w:w="56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88"/>
              </w:rPr>
              <w:t>December 31,</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r>
      <w:tr>
        <w:trPr>
          <w:trHeight w:val="237"/>
        </w:trPr>
        <w:tc>
          <w:tcPr>
            <w:tcW w:w="5620" w:type="dxa"/>
            <w:vAlign w:val="bottom"/>
            <w:tcBorders>
              <w:top w:val="single" w:sz="8" w:color="CCEEFF"/>
            </w:tcBorders>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7"/>
                <w:szCs w:val="27"/>
                <w:b w:val="1"/>
                <w:bCs w:val="1"/>
                <w:color w:val="auto"/>
                <w:vertAlign w:val="superscript"/>
              </w:rPr>
              <w:t>(1)</w:t>
            </w:r>
          </w:p>
        </w:tc>
        <w:tc>
          <w:tcPr>
            <w:tcW w:w="84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05"/>
        </w:trPr>
        <w:tc>
          <w:tcPr>
            <w:tcW w:w="5620" w:type="dxa"/>
            <w:vAlign w:val="bottom"/>
          </w:tcPr>
          <w:p>
            <w:pPr>
              <w:spacing w:after="0" w:line="206" w:lineRule="exact"/>
              <w:rPr>
                <w:sz w:val="20"/>
                <w:szCs w:val="20"/>
                <w:color w:val="auto"/>
              </w:rPr>
            </w:pPr>
            <w:r>
              <w:rPr>
                <w:rFonts w:ascii="Arial" w:cs="Arial" w:eastAsia="Arial" w:hAnsi="Arial"/>
                <w:sz w:val="18"/>
                <w:szCs w:val="18"/>
                <w:color w:val="auto"/>
              </w:rPr>
              <w:t>Gains/(losses) from derivative activities net of inventory valuation</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7"/>
        </w:trPr>
        <w:tc>
          <w:tcPr>
            <w:tcW w:w="5620" w:type="dxa"/>
            <w:vAlign w:val="bottom"/>
          </w:tcPr>
          <w:p>
            <w:pPr>
              <w:ind w:left="180"/>
              <w:spacing w:after="0" w:line="26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30"/>
                <w:szCs w:val="30"/>
                <w:color w:val="auto"/>
                <w:vertAlign w:val="superscript"/>
              </w:rPr>
              <w:t>(2)</w:t>
            </w:r>
          </w:p>
        </w:tc>
        <w:tc>
          <w:tcPr>
            <w:tcW w:w="840" w:type="dxa"/>
            <w:vAlign w:val="bottom"/>
          </w:tcPr>
          <w:p>
            <w:pPr>
              <w:jc w:val="right"/>
              <w:ind w:right="679"/>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9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610</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9"/>
                <w:szCs w:val="29"/>
                <w:color w:val="auto"/>
                <w:vertAlign w:val="superscript"/>
              </w:rPr>
              <w:t>(3)</w:t>
            </w:r>
          </w:p>
        </w:tc>
        <w:tc>
          <w:tcPr>
            <w:tcW w:w="84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9"/>
                <w:szCs w:val="29"/>
                <w:color w:val="auto"/>
                <w:vertAlign w:val="superscript"/>
              </w:rPr>
              <w:t>(4)</w:t>
            </w:r>
          </w:p>
        </w:tc>
        <w:tc>
          <w:tcPr>
            <w:tcW w:w="84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9"/>
                <w:szCs w:val="29"/>
                <w:color w:val="auto"/>
                <w:vertAlign w:val="superscript"/>
              </w:rPr>
              <w:t>(5)</w:t>
            </w:r>
          </w:p>
        </w:tc>
        <w:tc>
          <w:tcPr>
            <w:tcW w:w="8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57"/>
        </w:trPr>
        <w:tc>
          <w:tcPr>
            <w:tcW w:w="5620" w:type="dxa"/>
            <w:vAlign w:val="bottom"/>
          </w:tcPr>
          <w:p>
            <w:pPr>
              <w:spacing w:after="0" w:line="256"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9"/>
                <w:szCs w:val="29"/>
                <w:color w:val="auto"/>
                <w:vertAlign w:val="superscript"/>
              </w:rPr>
              <w:t>(6)</w:t>
            </w:r>
          </w:p>
        </w:tc>
        <w:tc>
          <w:tcPr>
            <w:tcW w:w="84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70"/>
        </w:trPr>
        <w:tc>
          <w:tcPr>
            <w:tcW w:w="562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30"/>
                <w:szCs w:val="30"/>
                <w:color w:val="auto"/>
                <w:vertAlign w:val="superscript"/>
              </w:rPr>
              <w:t>(7)</w:t>
            </w:r>
          </w:p>
        </w:tc>
        <w:tc>
          <w:tcPr>
            <w:tcW w:w="8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Pr>
          <w:p>
            <w:pPr>
              <w:ind w:left="180"/>
              <w:spacing w:after="0"/>
              <w:rPr>
                <w:sz w:val="20"/>
                <w:szCs w:val="20"/>
                <w:color w:val="auto"/>
              </w:rPr>
            </w:pPr>
            <w:r>
              <w:rPr>
                <w:rFonts w:ascii="Arial" w:cs="Arial" w:eastAsia="Arial" w:hAnsi="Arial"/>
                <w:sz w:val="18"/>
                <w:szCs w:val="18"/>
                <w:color w:val="auto"/>
              </w:rPr>
              <w:t>Selected items impacting comparability - Adjusted EBITDA</w:t>
            </w:r>
          </w:p>
        </w:tc>
        <w:tc>
          <w:tcPr>
            <w:tcW w:w="840" w:type="dxa"/>
            <w:vAlign w:val="bottom"/>
            <w:tcBorders>
              <w:top w:val="single" w:sz="8" w:color="auto"/>
            </w:tcBorders>
          </w:tcPr>
          <w:p>
            <w:pPr>
              <w:jc w:val="right"/>
              <w:ind w:right="67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r>
      <w:tr>
        <w:trPr>
          <w:trHeight w:val="257"/>
        </w:trPr>
        <w:tc>
          <w:tcPr>
            <w:tcW w:w="5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9"/>
                <w:szCs w:val="29"/>
                <w:color w:val="auto"/>
                <w:vertAlign w:val="superscript"/>
              </w:rPr>
              <w:t>(2)</w:t>
            </w:r>
          </w:p>
        </w:tc>
        <w:tc>
          <w:tcPr>
            <w:tcW w:w="8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Gain/(loss) on investment in unconsolidated entities</w:t>
            </w:r>
          </w:p>
        </w:tc>
        <w:tc>
          <w:tcPr>
            <w:tcW w:w="8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182"/>
        </w:trPr>
        <w:tc>
          <w:tcPr>
            <w:tcW w:w="562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rPr>
              <w:t>Selected items impacting comparability - Adjusted net income</w:t>
            </w:r>
          </w:p>
        </w:tc>
        <w:tc>
          <w:tcPr>
            <w:tcW w:w="8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57"/>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attributable to PAA</w:t>
            </w: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30"/>
          <w:szCs w:val="30"/>
          <w:color w:val="auto"/>
          <w:vertAlign w:val="superscript"/>
        </w:rPr>
      </w:pPr>
    </w:p>
    <w:p>
      <w:pPr>
        <w:ind w:left="340" w:hanging="332"/>
        <w:spacing w:after="0" w:line="242" w:lineRule="auto"/>
        <w:tabs>
          <w:tab w:leader="none" w:pos="340"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3" w:lineRule="exact"/>
        <w:rPr>
          <w:rFonts w:ascii="Arial" w:cs="Arial" w:eastAsia="Arial" w:hAnsi="Arial"/>
          <w:sz w:val="28"/>
          <w:szCs w:val="28"/>
          <w:color w:val="auto"/>
          <w:vertAlign w:val="superscript"/>
        </w:rPr>
      </w:pPr>
    </w:p>
    <w:p>
      <w:pPr>
        <w:ind w:left="340" w:right="160" w:hanging="332"/>
        <w:spacing w:after="0" w:line="250" w:lineRule="auto"/>
        <w:tabs>
          <w:tab w:leader="none" w:pos="34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 w:lineRule="exact"/>
        <w:rPr>
          <w:rFonts w:ascii="Arial" w:cs="Arial" w:eastAsia="Arial" w:hAnsi="Arial"/>
          <w:sz w:val="26"/>
          <w:szCs w:val="26"/>
          <w:color w:val="auto"/>
          <w:vertAlign w:val="superscript"/>
        </w:rPr>
      </w:pPr>
    </w:p>
    <w:p>
      <w:pPr>
        <w:ind w:left="340" w:right="20" w:hanging="332"/>
        <w:spacing w:after="0" w:line="265" w:lineRule="auto"/>
        <w:tabs>
          <w:tab w:leader="none" w:pos="34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 w:lineRule="exact"/>
        <w:rPr>
          <w:rFonts w:ascii="Arial" w:cs="Arial" w:eastAsia="Arial" w:hAnsi="Arial"/>
          <w:sz w:val="26"/>
          <w:szCs w:val="26"/>
          <w:color w:val="auto"/>
          <w:vertAlign w:val="superscript"/>
        </w:rPr>
      </w:pPr>
    </w:p>
    <w:p>
      <w:pPr>
        <w:ind w:left="340" w:right="120" w:hanging="332"/>
        <w:spacing w:after="0" w:line="225"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Arial" w:cs="Arial" w:eastAsia="Arial" w:hAnsi="Arial"/>
          <w:sz w:val="30"/>
          <w:szCs w:val="30"/>
          <w:color w:val="auto"/>
          <w:vertAlign w:val="superscript"/>
        </w:rPr>
      </w:pPr>
    </w:p>
    <w:p>
      <w:pPr>
        <w:ind w:left="340" w:right="360" w:hanging="332"/>
        <w:spacing w:after="0" w:line="200" w:lineRule="auto"/>
        <w:tabs>
          <w:tab w:leader="none" w:pos="340"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ind w:left="340" w:right="580" w:hanging="332"/>
        <w:spacing w:after="0" w:line="187"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w:t>
      </w:r>
    </w:p>
    <w:p>
      <w:pPr>
        <w:spacing w:after="0" w:line="230"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698"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30"/>
          <w:szCs w:val="30"/>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340" w:type="dxa"/>
            <w:vAlign w:val="bottom"/>
            <w:gridSpan w:val="5"/>
          </w:tcPr>
          <w:p>
            <w:pPr>
              <w:jc w:val="right"/>
              <w:ind w:right="50"/>
              <w:spacing w:after="0" w:line="205" w:lineRule="exact"/>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gridSpan w:val="5"/>
          </w:tcPr>
          <w:p>
            <w:pPr>
              <w:jc w:val="right"/>
              <w:spacing w:after="0" w:line="205" w:lineRule="exact"/>
              <w:rPr>
                <w:sz w:val="20"/>
                <w:szCs w:val="20"/>
                <w:color w:val="auto"/>
              </w:rPr>
            </w:pPr>
            <w:r>
              <w:rPr>
                <w:rFonts w:ascii="Arial" w:cs="Arial" w:eastAsia="Arial" w:hAnsi="Arial"/>
                <w:sz w:val="18"/>
                <w:szCs w:val="18"/>
                <w:b w:val="1"/>
                <w:bCs w:val="1"/>
                <w:color w:val="auto"/>
              </w:rPr>
              <w:t>Twelve Months 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Adjusted Net Income per Common Unit</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1,117</w:t>
            </w:r>
          </w:p>
        </w:tc>
        <w:tc>
          <w:tcPr>
            <w:tcW w:w="8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2,171</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2,216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6" w:lineRule="exact"/>
              <w:rPr>
                <w:sz w:val="20"/>
                <w:szCs w:val="20"/>
                <w:color w:val="auto"/>
              </w:rPr>
            </w:pPr>
            <w:r>
              <w:rPr>
                <w:rFonts w:ascii="Arial" w:cs="Arial" w:eastAsia="Arial" w:hAnsi="Arial"/>
                <w:sz w:val="18"/>
                <w:szCs w:val="18"/>
                <w:color w:val="auto"/>
              </w:rPr>
              <w:t>Selected items impacting comparability - Adjusted net income</w:t>
            </w: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600" w:type="dxa"/>
            <w:vAlign w:val="bottom"/>
            <w:shd w:val="clear" w:color="auto" w:fill="CCEEFF"/>
          </w:tcPr>
          <w:p>
            <w:pPr>
              <w:ind w:left="320"/>
              <w:spacing w:after="0" w:line="281" w:lineRule="exact"/>
              <w:rPr>
                <w:sz w:val="20"/>
                <w:szCs w:val="20"/>
                <w:color w:val="auto"/>
              </w:rPr>
            </w:pPr>
            <w:r>
              <w:rPr>
                <w:rFonts w:ascii="Arial" w:cs="Arial" w:eastAsia="Arial" w:hAnsi="Arial"/>
                <w:sz w:val="18"/>
                <w:szCs w:val="18"/>
                <w:color w:val="auto"/>
              </w:rPr>
              <w:t xml:space="preserve">attributable to PAA </w:t>
            </w:r>
            <w:r>
              <w:rPr>
                <w:rFonts w:ascii="Arial" w:cs="Arial" w:eastAsia="Arial" w:hAnsi="Arial"/>
                <w:sz w:val="30"/>
                <w:szCs w:val="30"/>
                <w:color w:val="auto"/>
                <w:vertAlign w:val="superscript"/>
              </w:rPr>
              <w:t>(2)</w:t>
            </w:r>
          </w:p>
        </w:tc>
        <w:tc>
          <w:tcPr>
            <w:tcW w:w="8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840" w:type="dxa"/>
            <w:vAlign w:val="bottom"/>
            <w:tcBorders>
              <w:top w:val="single" w:sz="8" w:color="auto"/>
            </w:tcBorders>
          </w:tcPr>
          <w:p>
            <w:pPr>
              <w:jc w:val="right"/>
              <w:ind w:right="682"/>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ind w:right="64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2,063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8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net income allocated to common unitholders</w:t>
            </w:r>
          </w:p>
        </w:tc>
        <w:tc>
          <w:tcPr>
            <w:tcW w:w="84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1,859</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1,366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8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adjusted net income per common unit</w:t>
            </w: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0.64</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0.83</w:t>
            </w:r>
          </w:p>
        </w:tc>
        <w:tc>
          <w:tcPr>
            <w:tcW w:w="8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1,117</w:t>
            </w:r>
          </w:p>
        </w:tc>
        <w:tc>
          <w:tcPr>
            <w:tcW w:w="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2,171</w:t>
            </w:r>
          </w:p>
        </w:tc>
        <w:tc>
          <w:tcPr>
            <w:tcW w:w="8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2,216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ind w:left="160"/>
              <w:spacing w:after="0" w:line="206" w:lineRule="exact"/>
              <w:rPr>
                <w:sz w:val="20"/>
                <w:szCs w:val="20"/>
                <w:color w:val="auto"/>
              </w:rPr>
            </w:pPr>
            <w:r>
              <w:rPr>
                <w:rFonts w:ascii="Arial" w:cs="Arial" w:eastAsia="Arial" w:hAnsi="Arial"/>
                <w:sz w:val="18"/>
                <w:szCs w:val="18"/>
                <w:color w:val="auto"/>
              </w:rPr>
              <w:t>Selected items impacting comparability - Adjusted net income</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600" w:type="dxa"/>
            <w:vAlign w:val="bottom"/>
          </w:tcPr>
          <w:p>
            <w:pPr>
              <w:ind w:left="320"/>
              <w:spacing w:after="0" w:line="281" w:lineRule="exact"/>
              <w:rPr>
                <w:sz w:val="20"/>
                <w:szCs w:val="20"/>
                <w:color w:val="auto"/>
              </w:rPr>
            </w:pPr>
            <w:r>
              <w:rPr>
                <w:rFonts w:ascii="Arial" w:cs="Arial" w:eastAsia="Arial" w:hAnsi="Arial"/>
                <w:sz w:val="18"/>
                <w:szCs w:val="18"/>
                <w:color w:val="auto"/>
              </w:rPr>
              <w:t xml:space="preserve">attributable to PAA </w:t>
            </w:r>
            <w:r>
              <w:rPr>
                <w:rFonts w:ascii="Arial" w:cs="Arial" w:eastAsia="Arial" w:hAnsi="Arial"/>
                <w:sz w:val="30"/>
                <w:szCs w:val="30"/>
                <w:color w:val="auto"/>
                <w:vertAlign w:val="superscript"/>
              </w:rPr>
              <w:t>(2)</w:t>
            </w:r>
          </w:p>
        </w:tc>
        <w:tc>
          <w:tcPr>
            <w:tcW w:w="84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84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2,063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8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allocated to common unitholders</w:t>
            </w:r>
          </w:p>
        </w:tc>
        <w:tc>
          <w:tcPr>
            <w:tcW w:w="840" w:type="dxa"/>
            <w:vAlign w:val="bottom"/>
            <w:tcBorders>
              <w:top w:val="single" w:sz="8" w:color="auto"/>
              <w:bottom w:val="single" w:sz="8" w:color="auto"/>
            </w:tcBorders>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2,011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9"/>
                <w:szCs w:val="29"/>
                <w:color w:val="auto"/>
                <w:vertAlign w:val="superscript"/>
              </w:rPr>
              <w:t>(3)</w:t>
            </w:r>
          </w:p>
        </w:tc>
        <w:tc>
          <w:tcPr>
            <w:tcW w:w="84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ind w:left="160"/>
              <w:spacing w:after="0" w:line="269"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30"/>
                <w:szCs w:val="30"/>
                <w:color w:val="auto"/>
                <w:vertAlign w:val="superscript"/>
              </w:rPr>
              <w:t>(4)</w:t>
            </w:r>
          </w:p>
        </w:tc>
        <w:tc>
          <w:tcPr>
            <w:tcW w:w="840" w:type="dxa"/>
            <w:vAlign w:val="bottom"/>
          </w:tcPr>
          <w:p>
            <w:pPr>
              <w:spacing w:after="0"/>
              <w:rPr>
                <w:sz w:val="23"/>
                <w:szCs w:val="2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0.63</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0.80</w:t>
            </w:r>
          </w:p>
        </w:tc>
        <w:tc>
          <w:tcPr>
            <w:tcW w:w="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8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340" w:right="20" w:hanging="332"/>
        <w:spacing w:after="0" w:line="218"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115"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228" w:lineRule="exact"/>
        <w:rPr>
          <w:rFonts w:ascii="Arial" w:cs="Arial" w:eastAsia="Arial" w:hAnsi="Arial"/>
          <w:sz w:val="30"/>
          <w:szCs w:val="30"/>
          <w:color w:val="auto"/>
          <w:vertAlign w:val="superscript"/>
        </w:rPr>
      </w:pPr>
    </w:p>
    <w:p>
      <w:pPr>
        <w:ind w:left="340" w:right="40" w:hanging="332"/>
        <w:spacing w:after="0" w:line="194"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The possible conversion of our Series A preferred units was excluded from the calculation of diluted adjusted net income per common unit for the twelve months ended December 31, 2018 as the effect was antidilutive.</w:t>
      </w:r>
    </w:p>
    <w:p>
      <w:pPr>
        <w:spacing w:after="0" w:line="229" w:lineRule="exact"/>
        <w:rPr>
          <w:rFonts w:ascii="Arial" w:cs="Arial" w:eastAsia="Arial" w:hAnsi="Arial"/>
          <w:sz w:val="30"/>
          <w:szCs w:val="30"/>
          <w:color w:val="auto"/>
          <w:vertAlign w:val="superscript"/>
        </w:rPr>
      </w:pPr>
    </w:p>
    <w:p>
      <w:pPr>
        <w:ind w:left="340" w:right="40" w:hanging="332"/>
        <w:spacing w:after="0" w:line="218"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03"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Adjusted Net Income Per Common Unit Reconciliations: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36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5"/>
          </w:tcPr>
          <w:p>
            <w:pPr>
              <w:jc w:val="right"/>
              <w:spacing w:after="0"/>
              <w:rPr>
                <w:sz w:val="20"/>
                <w:szCs w:val="20"/>
                <w:color w:val="auto"/>
              </w:rPr>
            </w:pPr>
            <w:r>
              <w:rPr>
                <w:rFonts w:ascii="Arial" w:cs="Arial" w:eastAsia="Arial" w:hAnsi="Arial"/>
                <w:sz w:val="18"/>
                <w:szCs w:val="18"/>
                <w:b w:val="1"/>
                <w:bCs w:val="1"/>
                <w:color w:val="auto"/>
              </w:rPr>
              <w:t>Twelve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88"/>
              </w:rPr>
              <w:t>December 31,</w:t>
            </w:r>
          </w:p>
        </w:tc>
        <w:tc>
          <w:tcPr>
            <w:tcW w:w="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88"/>
              </w:rPr>
              <w:t>December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Basic net income per common unit</w:t>
            </w:r>
          </w:p>
        </w:tc>
        <w:tc>
          <w:tcPr>
            <w:tcW w:w="840" w:type="dxa"/>
            <w:vAlign w:val="bottom"/>
            <w:tcBorders>
              <w:top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70"/>
        </w:trPr>
        <w:tc>
          <w:tcPr>
            <w:tcW w:w="5620" w:type="dxa"/>
            <w:vAlign w:val="bottom"/>
          </w:tcPr>
          <w:p>
            <w:pPr>
              <w:ind w:left="60"/>
              <w:spacing w:after="0" w:line="269"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30"/>
                <w:szCs w:val="30"/>
                <w:color w:val="auto"/>
                <w:vertAlign w:val="superscript"/>
              </w:rPr>
              <w:t>(1)</w:t>
            </w:r>
          </w:p>
        </w:tc>
        <w:tc>
          <w:tcPr>
            <w:tcW w:w="840" w:type="dxa"/>
            <w:vAlign w:val="bottom"/>
          </w:tcPr>
          <w:p>
            <w:pPr>
              <w:spacing w:after="0"/>
              <w:rPr>
                <w:sz w:val="23"/>
                <w:szCs w:val="2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(0.63)</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(0.89)</w:t>
            </w:r>
          </w:p>
        </w:tc>
      </w:tr>
      <w:tr>
        <w:trPr>
          <w:trHeight w:val="223"/>
        </w:trPr>
        <w:tc>
          <w:tcPr>
            <w:tcW w:w="56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Basic adjusted net income per common unit</w:t>
            </w:r>
          </w:p>
        </w:tc>
        <w:tc>
          <w:tcPr>
            <w:tcW w:w="84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Diluted net income per common unit</w:t>
            </w: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0.35</w:t>
            </w:r>
          </w:p>
        </w:tc>
        <w:tc>
          <w:tcPr>
            <w:tcW w:w="9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88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w:t>
            </w:r>
          </w:p>
        </w:tc>
        <w:tc>
          <w:tcPr>
            <w:tcW w:w="9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r>
      <w:tr>
        <w:trPr>
          <w:trHeight w:val="270"/>
        </w:trPr>
        <w:tc>
          <w:tcPr>
            <w:tcW w:w="5620" w:type="dxa"/>
            <w:vAlign w:val="bottom"/>
          </w:tcPr>
          <w:p>
            <w:pPr>
              <w:ind w:left="60"/>
              <w:spacing w:after="0" w:line="269"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30"/>
                <w:szCs w:val="30"/>
                <w:color w:val="auto"/>
                <w:vertAlign w:val="superscript"/>
              </w:rPr>
              <w:t>(1)</w:t>
            </w:r>
          </w:p>
        </w:tc>
        <w:tc>
          <w:tcPr>
            <w:tcW w:w="840" w:type="dxa"/>
            <w:vAlign w:val="bottom"/>
          </w:tcPr>
          <w:p>
            <w:pPr>
              <w:spacing w:after="0"/>
              <w:rPr>
                <w:sz w:val="23"/>
                <w:szCs w:val="2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(0.58)</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(0.83)</w:t>
            </w:r>
          </w:p>
        </w:tc>
      </w:tr>
      <w:tr>
        <w:trPr>
          <w:trHeight w:val="223"/>
        </w:trPr>
        <w:tc>
          <w:tcPr>
            <w:tcW w:w="56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Diluted adjusted net income per common unit</w:t>
            </w:r>
          </w:p>
        </w:tc>
        <w:tc>
          <w:tcPr>
            <w:tcW w:w="84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340" w:right="540" w:hanging="332"/>
        <w:spacing w:after="0" w:line="194" w:lineRule="auto"/>
        <w:tabs>
          <w:tab w:leader="none" w:pos="34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202"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NON-GAAP RECONCILIATIONS (continued)</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 except per unit and ratio data)</w:t>
            </w:r>
          </w:p>
        </w:tc>
        <w:tc>
          <w:tcPr>
            <w:tcW w:w="1960" w:type="dxa"/>
            <w:vAlign w:val="bottom"/>
          </w:tcPr>
          <w:p>
            <w:pPr>
              <w:spacing w:after="0"/>
              <w:rPr>
                <w:sz w:val="20"/>
                <w:szCs w:val="20"/>
                <w:color w:val="auto"/>
              </w:rPr>
            </w:pPr>
          </w:p>
        </w:tc>
        <w:tc>
          <w:tcPr>
            <w:tcW w:w="2340" w:type="dxa"/>
            <w:vAlign w:val="bottom"/>
            <w:gridSpan w:val="5"/>
            <w:vMerge w:val="restart"/>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6"/>
            <w:vMerge w:val="restart"/>
          </w:tcPr>
          <w:p>
            <w:pPr>
              <w:jc w:val="right"/>
              <w:ind w:right="60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40" w:type="dxa"/>
            <w:vAlign w:val="bottom"/>
            <w:gridSpan w:val="5"/>
            <w:vMerge w:val="continue"/>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1,117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2,180</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Income tax expense</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(Gains)/losses on asset sales and asset impairments, net</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(Gain)/loss on investment in unconsolidated entities</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9"/>
                <w:szCs w:val="29"/>
                <w:color w:val="auto"/>
                <w:vertAlign w:val="superscript"/>
              </w:rPr>
              <w:t>(1)</w:t>
            </w:r>
          </w:p>
        </w:tc>
        <w:tc>
          <w:tcPr>
            <w:tcW w:w="8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gridSpan w:val="2"/>
            <w:shd w:val="clear" w:color="auto" w:fill="CCEEFF"/>
          </w:tcPr>
          <w:p>
            <w:pPr>
              <w:ind w:left="200"/>
              <w:spacing w:after="0" w:line="269"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30"/>
                <w:szCs w:val="30"/>
                <w:color w:val="auto"/>
                <w:vertAlign w:val="superscript"/>
              </w:rPr>
              <w:t>(2)</w:t>
            </w:r>
          </w:p>
        </w:tc>
        <w:tc>
          <w:tcPr>
            <w:tcW w:w="8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840" w:type="dxa"/>
            <w:vAlign w:val="bottom"/>
            <w:tcBorders>
              <w:top w:val="single" w:sz="8" w:color="auto"/>
            </w:tcBorders>
          </w:tcPr>
          <w:p>
            <w:pPr>
              <w:jc w:val="right"/>
              <w:ind w:right="682"/>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2"/>
            <w:shd w:val="clear" w:color="auto" w:fill="CCEEFF"/>
          </w:tcPr>
          <w:p>
            <w:pPr>
              <w:ind w:left="200"/>
              <w:spacing w:after="0" w:line="256"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9"/>
                <w:szCs w:val="29"/>
                <w:color w:val="auto"/>
                <w:vertAlign w:val="superscript"/>
              </w:rPr>
              <w:t>(3)</w:t>
            </w:r>
          </w:p>
        </w:tc>
        <w:tc>
          <w:tcPr>
            <w:tcW w:w="8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w:t>
            </w: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Maintenance capital</w:t>
            </w:r>
          </w:p>
        </w:tc>
        <w:tc>
          <w:tcPr>
            <w:tcW w:w="8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gridSpan w:val="2"/>
          </w:tcPr>
          <w:p>
            <w:pPr>
              <w:ind w:left="160"/>
              <w:spacing w:after="0" w:line="206" w:lineRule="exact"/>
              <w:rPr>
                <w:sz w:val="20"/>
                <w:szCs w:val="20"/>
                <w:color w:val="auto"/>
              </w:rPr>
            </w:pPr>
            <w:r>
              <w:rPr>
                <w:rFonts w:ascii="Arial" w:cs="Arial" w:eastAsia="Arial" w:hAnsi="Arial"/>
                <w:sz w:val="18"/>
                <w:szCs w:val="18"/>
                <w:color w:val="auto"/>
                <w:w w:val="96"/>
              </w:rPr>
              <w:t>Adjusted equity earnings in unconsolidated entities, net of distributions</w:t>
            </w:r>
          </w:p>
        </w:tc>
        <w:tc>
          <w:tcPr>
            <w:tcW w:w="840" w:type="dxa"/>
            <w:vAlign w:val="bottom"/>
          </w:tcPr>
          <w:p>
            <w:pPr>
              <w:spacing w:after="0"/>
              <w:rPr>
                <w:sz w:val="17"/>
                <w:szCs w:val="17"/>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3"/>
        </w:trPr>
        <w:tc>
          <w:tcPr>
            <w:tcW w:w="3660" w:type="dxa"/>
            <w:vAlign w:val="bottom"/>
            <w:gridSpan w:val="2"/>
          </w:tcPr>
          <w:p>
            <w:pPr>
              <w:jc w:val="right"/>
              <w:ind w:right="3070"/>
              <w:spacing w:after="0"/>
              <w:rPr>
                <w:sz w:val="20"/>
                <w:szCs w:val="20"/>
                <w:color w:val="auto"/>
              </w:rPr>
            </w:pPr>
            <w:r>
              <w:rPr>
                <w:rFonts w:ascii="Arial" w:cs="Arial" w:eastAsia="Arial" w:hAnsi="Arial"/>
                <w:sz w:val="15"/>
                <w:szCs w:val="15"/>
                <w:color w:val="auto"/>
              </w:rPr>
              <w:t>(4)</w:t>
            </w: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gridSpan w:val="2"/>
            <w:shd w:val="clear" w:color="auto" w:fill="CCEEFF"/>
          </w:tcPr>
          <w:p>
            <w:pPr>
              <w:ind w:left="200"/>
              <w:spacing w:after="0" w:line="269" w:lineRule="exact"/>
              <w:rPr>
                <w:sz w:val="20"/>
                <w:szCs w:val="20"/>
                <w:color w:val="auto"/>
              </w:rPr>
            </w:pPr>
            <w:r>
              <w:rPr>
                <w:rFonts w:ascii="Arial" w:cs="Arial" w:eastAsia="Arial" w:hAnsi="Arial"/>
                <w:sz w:val="18"/>
                <w:szCs w:val="18"/>
                <w:color w:val="auto"/>
              </w:rPr>
              <w:t xml:space="preserve">Distributions to noncontrolling interest </w:t>
            </w:r>
            <w:r>
              <w:rPr>
                <w:rFonts w:ascii="Arial" w:cs="Arial" w:eastAsia="Arial" w:hAnsi="Arial"/>
                <w:sz w:val="30"/>
                <w:szCs w:val="30"/>
                <w:color w:val="auto"/>
                <w:vertAlign w:val="superscript"/>
              </w:rPr>
              <w:t>(5)</w:t>
            </w:r>
          </w:p>
        </w:tc>
        <w:tc>
          <w:tcPr>
            <w:tcW w:w="8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Implied DCF</w:t>
            </w:r>
          </w:p>
        </w:tc>
        <w:tc>
          <w:tcPr>
            <w:tcW w:w="840" w:type="dxa"/>
            <w:vAlign w:val="bottom"/>
            <w:tcBorders>
              <w:top w:val="single" w:sz="8" w:color="auto"/>
            </w:tcBorders>
          </w:tcPr>
          <w:p>
            <w:pPr>
              <w:jc w:val="right"/>
              <w:ind w:right="682"/>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gridSpan w:val="2"/>
            <w:shd w:val="clear" w:color="auto" w:fill="CCEEFF"/>
          </w:tcPr>
          <w:p>
            <w:pPr>
              <w:ind w:left="200"/>
              <w:spacing w:after="0" w:line="269"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30"/>
                <w:szCs w:val="30"/>
                <w:color w:val="auto"/>
                <w:vertAlign w:val="superscript"/>
              </w:rPr>
              <w:t>(6)</w:t>
            </w:r>
          </w:p>
        </w:tc>
        <w:tc>
          <w:tcPr>
            <w:tcW w:w="8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Implied DCF Available to Common Unitholders</w:t>
            </w:r>
          </w:p>
        </w:tc>
        <w:tc>
          <w:tcPr>
            <w:tcW w:w="84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Weighted Average Common Units Outstanding</w:t>
            </w:r>
          </w:p>
        </w:tc>
        <w:tc>
          <w:tcPr>
            <w:tcW w:w="8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Units and Common Equivalent Units</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9"/>
                <w:szCs w:val="29"/>
                <w:color w:val="auto"/>
                <w:vertAlign w:val="superscript"/>
              </w:rPr>
              <w:t>(7)</w:t>
            </w: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0.72</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0.94</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9"/>
                <w:szCs w:val="29"/>
                <w:color w:val="auto"/>
                <w:vertAlign w:val="superscript"/>
              </w:rPr>
              <w:t>(8)</w:t>
            </w: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0.71</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0.90</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2.91</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Cash Distribution Paid per Common Unit</w:t>
            </w: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0.30</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9"/>
                <w:szCs w:val="29"/>
                <w:color w:val="auto"/>
                <w:vertAlign w:val="superscript"/>
              </w:rPr>
              <w:t>(5)</w:t>
            </w: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1,004</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Common Unit Distribution Coverage Ratio</w:t>
            </w:r>
          </w:p>
        </w:tc>
        <w:tc>
          <w:tcPr>
            <w:tcW w:w="8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2.00x</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3.11x</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2.17x</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2.05x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Implied DCF Excess / (Shortage)</w:t>
            </w: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461</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1,174</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097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2" w:lineRule="exact"/>
        <w:rPr>
          <w:sz w:val="20"/>
          <w:szCs w:val="20"/>
          <w:color w:val="auto"/>
        </w:rPr>
      </w:pPr>
    </w:p>
    <w:p>
      <w:pPr>
        <w:ind w:left="340" w:right="1080" w:hanging="332"/>
        <w:spacing w:after="0" w:line="194" w:lineRule="auto"/>
        <w:tabs>
          <w:tab w:leader="none" w:pos="34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Adjustment to add back our proportionate share of depreciation and amortization expense and gains and losses on significant asset sales by unconsolidated entities.</w:t>
      </w:r>
    </w:p>
    <w:p>
      <w:pPr>
        <w:ind w:left="340" w:hanging="332"/>
        <w:spacing w:after="0" w:line="180"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Certain of our non-GAAP financial measures may not be impacted by each of the selected items impacting comparability.</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Excludes certain non-cash items impacting interest expense such as amortization of debt issuance costs and terminated interest rate swaps.</w:t>
      </w:r>
    </w:p>
    <w:p>
      <w:pPr>
        <w:spacing w:after="0" w:line="2" w:lineRule="exact"/>
        <w:rPr>
          <w:rFonts w:ascii="Arial" w:cs="Arial" w:eastAsia="Arial" w:hAnsi="Arial"/>
          <w:sz w:val="24"/>
          <w:szCs w:val="24"/>
          <w:color w:val="auto"/>
          <w:vertAlign w:val="superscript"/>
        </w:rPr>
      </w:pPr>
    </w:p>
    <w:p>
      <w:pPr>
        <w:ind w:left="340" w:right="20" w:hanging="332"/>
        <w:spacing w:after="0" w:line="187" w:lineRule="auto"/>
        <w:tabs>
          <w:tab w:leader="none" w:pos="34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and gains and losses on significant asset sales).</w:t>
      </w:r>
    </w:p>
    <w:p>
      <w:pPr>
        <w:ind w:left="340" w:hanging="332"/>
        <w:spacing w:after="0" w:line="180"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Cash distributions paid during the period presented.</w:t>
      </w:r>
    </w:p>
    <w:p>
      <w:pPr>
        <w:spacing w:after="0" w:line="2" w:lineRule="exact"/>
        <w:rPr>
          <w:rFonts w:ascii="Arial" w:cs="Arial" w:eastAsia="Arial" w:hAnsi="Arial"/>
          <w:sz w:val="25"/>
          <w:szCs w:val="25"/>
          <w:color w:val="auto"/>
          <w:vertAlign w:val="superscript"/>
        </w:rPr>
      </w:pPr>
    </w:p>
    <w:p>
      <w:pPr>
        <w:ind w:left="340" w:hanging="332"/>
        <w:spacing w:after="0" w:line="227" w:lineRule="auto"/>
        <w:tabs>
          <w:tab w:leader="none" w:pos="340" w:val="left"/>
        </w:tabs>
        <w:numPr>
          <w:ilvl w:val="0"/>
          <w:numId w:val="13"/>
        </w:numPr>
        <w:rPr>
          <w:rFonts w:ascii="Arial" w:cs="Arial" w:eastAsia="Arial" w:hAnsi="Arial"/>
          <w:sz w:val="28"/>
          <w:szCs w:val="28"/>
          <w:color w:val="auto"/>
          <w:vertAlign w:val="superscript"/>
        </w:rPr>
      </w:pPr>
      <w:r>
        <w:rPr>
          <w:rFonts w:ascii="Arial" w:cs="Arial" w:eastAsia="Arial" w:hAnsi="Arial"/>
          <w:sz w:val="17"/>
          <w:szCs w:val="17"/>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current $61.25 per unit annual distribution requirement of our Series B preferred units, is payable in cash semi-annually in arrears on May 15 and November 15.</w:t>
      </w:r>
    </w:p>
    <w:p>
      <w:pPr>
        <w:spacing w:after="0" w:line="3" w:lineRule="exact"/>
        <w:rPr>
          <w:rFonts w:ascii="Arial" w:cs="Arial" w:eastAsia="Arial" w:hAnsi="Arial"/>
          <w:sz w:val="28"/>
          <w:szCs w:val="28"/>
          <w:color w:val="auto"/>
          <w:vertAlign w:val="superscript"/>
        </w:rPr>
      </w:pPr>
    </w:p>
    <w:p>
      <w:pPr>
        <w:ind w:left="340" w:hanging="332"/>
        <w:spacing w:after="0" w:line="180"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Implied DCF Available to Common Unitholders for the period divided by the weighted average common units outstanding for the period.</w:t>
      </w:r>
    </w:p>
    <w:p>
      <w:pPr>
        <w:spacing w:after="0" w:line="2" w:lineRule="exact"/>
        <w:rPr>
          <w:rFonts w:ascii="Arial" w:cs="Arial" w:eastAsia="Arial" w:hAnsi="Arial"/>
          <w:sz w:val="25"/>
          <w:szCs w:val="25"/>
          <w:color w:val="auto"/>
          <w:vertAlign w:val="superscript"/>
        </w:rPr>
      </w:pPr>
    </w:p>
    <w:p>
      <w:pPr>
        <w:ind w:left="340" w:right="340" w:hanging="332"/>
        <w:spacing w:after="0" w:line="214" w:lineRule="auto"/>
        <w:tabs>
          <w:tab w:leader="none" w:pos="34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periods. Our Series A preferred units are convertible into common units, generally on a one-for-one basis and subject to customary anti-dilution adjustments, in whole or in part, subject to certain minimum conversion amounts.</w:t>
      </w:r>
    </w:p>
    <w:p>
      <w:pPr>
        <w:spacing w:after="0" w:line="203"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089"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Implied DCF Per Common Unit and Common Equivalent Unit Reconciliation: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36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5"/>
          </w:tcPr>
          <w:p>
            <w:pPr>
              <w:jc w:val="right"/>
              <w:spacing w:after="0"/>
              <w:rPr>
                <w:sz w:val="20"/>
                <w:szCs w:val="20"/>
                <w:color w:val="auto"/>
              </w:rPr>
            </w:pPr>
            <w:r>
              <w:rPr>
                <w:rFonts w:ascii="Arial" w:cs="Arial" w:eastAsia="Arial" w:hAnsi="Arial"/>
                <w:sz w:val="18"/>
                <w:szCs w:val="18"/>
                <w:b w:val="1"/>
                <w:bCs w:val="1"/>
                <w:color w:val="auto"/>
              </w:rPr>
              <w:t>Twelve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88"/>
              </w:rPr>
              <w:t>December 31,</w:t>
            </w:r>
          </w:p>
        </w:tc>
        <w:tc>
          <w:tcPr>
            <w:tcW w:w="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88"/>
              </w:rPr>
              <w:t>December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Basic net income per common unit</w:t>
            </w:r>
          </w:p>
        </w:tc>
        <w:tc>
          <w:tcPr>
            <w:tcW w:w="840" w:type="dxa"/>
            <w:vAlign w:val="bottom"/>
            <w:tcBorders>
              <w:top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70"/>
        </w:trPr>
        <w:tc>
          <w:tcPr>
            <w:tcW w:w="5620" w:type="dxa"/>
            <w:vAlign w:val="bottom"/>
          </w:tcPr>
          <w:p>
            <w:pPr>
              <w:ind w:left="60"/>
              <w:spacing w:after="0" w:line="269"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30"/>
                <w:szCs w:val="30"/>
                <w:color w:val="auto"/>
                <w:vertAlign w:val="superscript"/>
              </w:rPr>
              <w:t>(1) (2)</w:t>
            </w:r>
          </w:p>
        </w:tc>
        <w:tc>
          <w:tcPr>
            <w:tcW w:w="840" w:type="dxa"/>
            <w:vAlign w:val="bottom"/>
          </w:tcPr>
          <w:p>
            <w:pPr>
              <w:spacing w:after="0"/>
              <w:rPr>
                <w:sz w:val="23"/>
                <w:szCs w:val="2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(0.52)</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(0.31)</w:t>
            </w:r>
          </w:p>
        </w:tc>
      </w:tr>
      <w:tr>
        <w:trPr>
          <w:trHeight w:val="223"/>
        </w:trPr>
        <w:tc>
          <w:tcPr>
            <w:tcW w:w="56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Implied DCF per common unit</w:t>
            </w:r>
          </w:p>
        </w:tc>
        <w:tc>
          <w:tcPr>
            <w:tcW w:w="84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Basic net income per common unit</w:t>
            </w: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0.35</w:t>
            </w:r>
          </w:p>
        </w:tc>
        <w:tc>
          <w:tcPr>
            <w:tcW w:w="9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88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9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r>
      <w:tr>
        <w:trPr>
          <w:trHeight w:val="270"/>
        </w:trPr>
        <w:tc>
          <w:tcPr>
            <w:tcW w:w="5620" w:type="dxa"/>
            <w:vAlign w:val="bottom"/>
          </w:tcPr>
          <w:p>
            <w:pPr>
              <w:ind w:left="60"/>
              <w:spacing w:after="0" w:line="269" w:lineRule="exact"/>
              <w:rPr>
                <w:sz w:val="20"/>
                <w:szCs w:val="20"/>
                <w:color w:val="auto"/>
              </w:rPr>
            </w:pPr>
            <w:r>
              <w:rPr>
                <w:rFonts w:ascii="Arial" w:cs="Arial" w:eastAsia="Arial" w:hAnsi="Arial"/>
                <w:sz w:val="18"/>
                <w:szCs w:val="18"/>
                <w:color w:val="auto"/>
                <w:w w:val="97"/>
              </w:rPr>
              <w:t xml:space="preserve">Reconciling items per common unit and common equivalent unit </w:t>
            </w:r>
            <w:r>
              <w:rPr>
                <w:rFonts w:ascii="Arial" w:cs="Arial" w:eastAsia="Arial" w:hAnsi="Arial"/>
                <w:sz w:val="30"/>
                <w:szCs w:val="30"/>
                <w:color w:val="auto"/>
                <w:w w:val="97"/>
                <w:vertAlign w:val="superscript"/>
              </w:rPr>
              <w:t>(1) (3)</w:t>
            </w:r>
          </w:p>
        </w:tc>
        <w:tc>
          <w:tcPr>
            <w:tcW w:w="840" w:type="dxa"/>
            <w:vAlign w:val="bottom"/>
          </w:tcPr>
          <w:p>
            <w:pPr>
              <w:spacing w:after="0"/>
              <w:rPr>
                <w:sz w:val="23"/>
                <w:szCs w:val="2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(0.56)</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(0.39)</w:t>
            </w:r>
          </w:p>
        </w:tc>
      </w:tr>
      <w:tr>
        <w:trPr>
          <w:trHeight w:val="223"/>
        </w:trPr>
        <w:tc>
          <w:tcPr>
            <w:tcW w:w="56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Implied DCF per common unit and common equivalent unit</w:t>
            </w:r>
          </w:p>
        </w:tc>
        <w:tc>
          <w:tcPr>
            <w:tcW w:w="84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340" w:right="460" w:hanging="332"/>
        <w:spacing w:after="0" w:line="194"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and Implied DCF Reconciliation” table for additional information.</w:t>
      </w:r>
    </w:p>
    <w:p>
      <w:pPr>
        <w:ind w:left="340" w:hanging="332"/>
        <w:spacing w:after="0" w:line="180"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6"/>
          <w:szCs w:val="16"/>
          <w:color w:val="auto"/>
        </w:rPr>
        <w:t>Based on weighted average common units outstanding for the period of 728 million, 726 million, 727 million and 726 million, respectively.</w:t>
      </w:r>
    </w:p>
    <w:p>
      <w:pPr>
        <w:spacing w:after="0" w:line="2" w:lineRule="exact"/>
        <w:rPr>
          <w:rFonts w:ascii="Arial" w:cs="Arial" w:eastAsia="Arial" w:hAnsi="Arial"/>
          <w:sz w:val="25"/>
          <w:szCs w:val="25"/>
          <w:color w:val="auto"/>
          <w:vertAlign w:val="superscript"/>
        </w:rPr>
      </w:pPr>
    </w:p>
    <w:p>
      <w:pPr>
        <w:ind w:left="340" w:right="160" w:hanging="332"/>
        <w:spacing w:after="0" w:line="187" w:lineRule="auto"/>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202" w:lineRule="exact"/>
        <w:rPr>
          <w:rFonts w:ascii="Arial" w:cs="Arial" w:eastAsia="Arial" w:hAnsi="Arial"/>
          <w:sz w:val="30"/>
          <w:szCs w:val="30"/>
          <w:color w:val="auto"/>
          <w:vertAlign w:val="superscript"/>
        </w:rPr>
      </w:pPr>
    </w:p>
    <w:p>
      <w:pPr>
        <w:ind w:left="5520" w:hanging="96"/>
        <w:spacing w:after="0"/>
        <w:tabs>
          <w:tab w:leader="none" w:pos="55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40" w:type="dxa"/>
            <w:vAlign w:val="bottom"/>
            <w:gridSpan w:val="5"/>
          </w:tcPr>
          <w:p>
            <w:pPr>
              <w:jc w:val="right"/>
              <w:ind w:right="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80" w:type="dxa"/>
            <w:vAlign w:val="bottom"/>
            <w:gridSpan w:val="5"/>
          </w:tcPr>
          <w:p>
            <w:pPr>
              <w:jc w:val="center"/>
              <w:ind w:left="519"/>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w w:val="90"/>
              </w:rPr>
              <w:t>December 31, 2019</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w w:val="91"/>
              </w:rPr>
              <w:t>December 31, 2018</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Supply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Supply and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w w:val="95"/>
              </w:rPr>
              <w:t>Transportation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Facilities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Logistics</w:t>
            </w:r>
          </w:p>
        </w:tc>
        <w:tc>
          <w:tcPr>
            <w:tcW w:w="120" w:type="dxa"/>
            <w:vAlign w:val="bottom"/>
          </w:tcPr>
          <w:p>
            <w:pPr>
              <w:spacing w:after="0"/>
              <w:rPr>
                <w:sz w:val="18"/>
                <w:szCs w:val="18"/>
                <w:color w:val="auto"/>
              </w:rPr>
            </w:pPr>
          </w:p>
        </w:tc>
        <w:tc>
          <w:tcPr>
            <w:tcW w:w="1180" w:type="dxa"/>
            <w:vAlign w:val="bottom"/>
            <w:gridSpan w:val="3"/>
          </w:tcPr>
          <w:p>
            <w:pPr>
              <w:ind w:left="100"/>
              <w:spacing w:after="0"/>
              <w:rPr>
                <w:sz w:val="20"/>
                <w:szCs w:val="20"/>
                <w:color w:val="auto"/>
              </w:rPr>
            </w:pPr>
            <w:r>
              <w:rPr>
                <w:rFonts w:ascii="Arial" w:cs="Arial" w:eastAsia="Arial" w:hAnsi="Arial"/>
                <w:sz w:val="16"/>
                <w:szCs w:val="16"/>
                <w:b w:val="1"/>
                <w:bCs w:val="1"/>
                <w:color w:val="auto"/>
                <w:w w:val="92"/>
              </w:rPr>
              <w:t>Transportation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Facilities</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9"/>
              </w:rPr>
              <w:t>Logistics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CEEFF"/>
          </w:tcPr>
          <w:p>
            <w:pPr>
              <w:spacing w:after="0" w:line="249" w:lineRule="exact"/>
              <w:rPr>
                <w:sz w:val="20"/>
                <w:szCs w:val="20"/>
                <w:color w:val="auto"/>
              </w:rPr>
            </w:pPr>
            <w:r>
              <w:rPr>
                <w:rFonts w:ascii="Arial" w:cs="Arial" w:eastAsia="Arial" w:hAnsi="Arial"/>
                <w:sz w:val="16"/>
                <w:szCs w:val="16"/>
                <w:color w:val="auto"/>
              </w:rPr>
              <w:t xml:space="preserve">Revenues </w:t>
            </w:r>
            <w:r>
              <w:rPr>
                <w:rFonts w:ascii="Arial" w:cs="Arial" w:eastAsia="Arial" w:hAnsi="Arial"/>
                <w:sz w:val="27"/>
                <w:szCs w:val="27"/>
                <w:color w:val="auto"/>
                <w:vertAlign w:val="superscript"/>
              </w:rPr>
              <w:t>(1)</w:t>
            </w: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vMerge w:val="continue"/>
            <w:shd w:val="clear" w:color="auto" w:fill="CCEEFF"/>
          </w:tcPr>
          <w:p>
            <w:pPr>
              <w:spacing w:after="0"/>
              <w:rPr>
                <w:sz w:val="19"/>
                <w:szCs w:val="19"/>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8,796</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line="242" w:lineRule="exact"/>
              <w:rPr>
                <w:sz w:val="20"/>
                <w:szCs w:val="20"/>
                <w:color w:val="auto"/>
              </w:rPr>
            </w:pPr>
            <w:r>
              <w:rPr>
                <w:rFonts w:ascii="Arial" w:cs="Arial" w:eastAsia="Arial" w:hAnsi="Arial"/>
                <w:sz w:val="16"/>
                <w:szCs w:val="16"/>
                <w:color w:val="auto"/>
              </w:rPr>
              <w:t xml:space="preserve">Purchases and related costs </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(8,677)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(7,411)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 xml:space="preserve">Field operating costs </w:t>
            </w:r>
            <w:r>
              <w:rPr>
                <w:rFonts w:ascii="Arial" w:cs="Arial" w:eastAsia="Arial" w:hAnsi="Arial"/>
                <w:sz w:val="27"/>
                <w:szCs w:val="27"/>
                <w:color w:val="auto"/>
                <w:vertAlign w:val="superscript"/>
              </w:rPr>
              <w:t>(1) (2)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line="242" w:lineRule="exact"/>
              <w:rPr>
                <w:sz w:val="20"/>
                <w:szCs w:val="20"/>
                <w:color w:val="auto"/>
              </w:rPr>
            </w:pPr>
            <w:r>
              <w:rPr>
                <w:rFonts w:ascii="Arial" w:cs="Arial" w:eastAsia="Arial" w:hAnsi="Arial"/>
                <w:sz w:val="16"/>
                <w:szCs w:val="16"/>
                <w:color w:val="auto"/>
              </w:rPr>
              <w:t xml:space="preserve">Segment general and administrative expenses </w:t>
            </w:r>
            <w:r>
              <w:rPr>
                <w:rFonts w:ascii="Arial" w:cs="Arial" w:eastAsia="Arial" w:hAnsi="Arial"/>
                <w:sz w:val="27"/>
                <w:szCs w:val="27"/>
                <w:color w:val="auto"/>
                <w:vertAlign w:val="superscript"/>
              </w:rPr>
              <w:t>(2) (3)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Equity earnings in unconsolidated entities</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 xml:space="preserve">Adjustments: </w:t>
            </w:r>
            <w:r>
              <w:rPr>
                <w:rFonts w:ascii="Arial" w:cs="Arial" w:eastAsia="Arial" w:hAnsi="Arial"/>
                <w:sz w:val="27"/>
                <w:szCs w:val="27"/>
                <w:color w:val="auto"/>
                <w:vertAlign w:val="superscript"/>
              </w:rPr>
              <w:t>(4)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w w:val="94"/>
              </w:rPr>
              <w:t>Depreciation and amortization of unconsolidated entities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5"/>
              </w:rPr>
              <w:t>(Gains)/losses from derivative activities net of inventory</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valuation adjustments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Long-term inventory costing adjustments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Deficiencies under minimum volume commitments, net</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Equity-indexed compensation expense</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(gain)/loss on foreign currency revaluation</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6"/>
        </w:trPr>
        <w:tc>
          <w:tcPr>
            <w:tcW w:w="3940" w:type="dxa"/>
            <w:vAlign w:val="bottom"/>
            <w:gridSpan w:val="2"/>
          </w:tcPr>
          <w:p>
            <w:pPr>
              <w:spacing w:after="0"/>
              <w:rPr>
                <w:sz w:val="20"/>
                <w:szCs w:val="20"/>
                <w:color w:val="auto"/>
              </w:rPr>
            </w:pPr>
            <w:r>
              <w:rPr>
                <w:rFonts w:ascii="Arial" w:cs="Arial" w:eastAsia="Arial" w:hAnsi="Arial"/>
                <w:sz w:val="16"/>
                <w:szCs w:val="16"/>
                <w:color w:val="auto"/>
              </w:rPr>
              <w:t>Segment Adjusted EBITDA</w:t>
            </w:r>
          </w:p>
        </w:tc>
        <w:tc>
          <w:tcPr>
            <w:tcW w:w="8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rPr>
                <w:sz w:val="20"/>
                <w:szCs w:val="20"/>
                <w:color w:val="auto"/>
              </w:rPr>
            </w:pPr>
            <w:r>
              <w:rPr>
                <w:rFonts w:ascii="Arial" w:cs="Arial" w:eastAsia="Arial" w:hAnsi="Arial"/>
                <w:sz w:val="16"/>
                <w:szCs w:val="16"/>
                <w:color w:val="auto"/>
              </w:rPr>
              <w:t>Maintenance capital</w:t>
            </w:r>
          </w:p>
        </w:tc>
        <w:tc>
          <w:tcPr>
            <w:tcW w:w="5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52</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9</w:t>
            </w: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7"/>
          <w:szCs w:val="27"/>
          <w:color w:val="auto"/>
          <w:vertAlign w:val="superscript"/>
        </w:rPr>
      </w:pPr>
      <w:r>
        <w:rPr>
          <w:rFonts w:ascii="Arial" w:cs="Arial" w:eastAsia="Arial" w:hAnsi="Arial"/>
          <w:sz w:val="16"/>
          <w:szCs w:val="16"/>
          <w:color w:val="auto"/>
        </w:rPr>
        <w:t>Includes intersegment amounts.</w:t>
      </w:r>
    </w:p>
    <w:p>
      <w:pPr>
        <w:spacing w:after="0" w:line="145" w:lineRule="exact"/>
        <w:rPr>
          <w:rFonts w:ascii="Arial" w:cs="Arial" w:eastAsia="Arial" w:hAnsi="Arial"/>
          <w:sz w:val="27"/>
          <w:szCs w:val="27"/>
          <w:color w:val="auto"/>
          <w:vertAlign w:val="superscript"/>
        </w:rPr>
      </w:pPr>
    </w:p>
    <w:p>
      <w:pPr>
        <w:ind w:left="340" w:hanging="332"/>
        <w:spacing w:after="0" w:line="200" w:lineRule="auto"/>
        <w:tabs>
          <w:tab w:leader="none" w:pos="340" w:val="left"/>
        </w:tabs>
        <w:numPr>
          <w:ilvl w:val="0"/>
          <w:numId w:val="15"/>
        </w:numPr>
        <w:rPr>
          <w:rFonts w:ascii="Arial" w:cs="Arial" w:eastAsia="Arial" w:hAnsi="Arial"/>
          <w:sz w:val="27"/>
          <w:szCs w:val="27"/>
          <w:color w:val="auto"/>
          <w:vertAlign w:val="superscript"/>
        </w:rPr>
      </w:pPr>
      <w:r>
        <w:rPr>
          <w:rFonts w:ascii="Arial" w:cs="Arial" w:eastAsia="Arial" w:hAnsi="Arial"/>
          <w:sz w:val="16"/>
          <w:szCs w:val="16"/>
          <w:color w:val="auto"/>
        </w:rPr>
        <w:t>Field operating costs and Segment general and administrative expenses include equity-indexed compensation expense.</w:t>
      </w:r>
    </w:p>
    <w:p>
      <w:pPr>
        <w:spacing w:after="0" w:line="199" w:lineRule="exact"/>
        <w:rPr>
          <w:rFonts w:ascii="Arial" w:cs="Arial" w:eastAsia="Arial" w:hAnsi="Arial"/>
          <w:sz w:val="27"/>
          <w:szCs w:val="27"/>
          <w:color w:val="auto"/>
          <w:vertAlign w:val="superscript"/>
        </w:rPr>
      </w:pPr>
    </w:p>
    <w:p>
      <w:pPr>
        <w:ind w:left="340" w:right="500" w:hanging="332"/>
        <w:spacing w:after="0" w:line="198" w:lineRule="auto"/>
        <w:tabs>
          <w:tab w:leader="none" w:pos="340" w:val="left"/>
        </w:tabs>
        <w:numPr>
          <w:ilvl w:val="0"/>
          <w:numId w:val="15"/>
        </w:numPr>
        <w:rPr>
          <w:rFonts w:ascii="Arial" w:cs="Arial" w:eastAsia="Arial" w:hAnsi="Arial"/>
          <w:sz w:val="27"/>
          <w:szCs w:val="27"/>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99" w:lineRule="exact"/>
        <w:rPr>
          <w:rFonts w:ascii="Arial" w:cs="Arial" w:eastAsia="Arial" w:hAnsi="Arial"/>
          <w:sz w:val="27"/>
          <w:szCs w:val="27"/>
          <w:color w:val="auto"/>
          <w:vertAlign w:val="superscript"/>
        </w:rPr>
      </w:pPr>
    </w:p>
    <w:p>
      <w:pPr>
        <w:ind w:left="340" w:right="180" w:hanging="332"/>
        <w:spacing w:after="0" w:line="216" w:lineRule="auto"/>
        <w:tabs>
          <w:tab w:leader="none" w:pos="340" w:val="left"/>
        </w:tabs>
        <w:numPr>
          <w:ilvl w:val="0"/>
          <w:numId w:val="15"/>
        </w:numPr>
        <w:rPr>
          <w:rFonts w:ascii="Arial" w:cs="Arial" w:eastAsia="Arial" w:hAnsi="Arial"/>
          <w:sz w:val="27"/>
          <w:szCs w:val="27"/>
          <w:color w:val="auto"/>
          <w:vertAlign w:val="superscript"/>
        </w:rPr>
      </w:pPr>
      <w:r>
        <w:rPr>
          <w:rFonts w:ascii="Arial" w:cs="Arial" w:eastAsia="Arial" w:hAnsi="Arial"/>
          <w:sz w:val="16"/>
          <w:szCs w:val="16"/>
          <w:color w:val="auto"/>
        </w:rPr>
        <w:t>Represents adjustments utilized by our Chief Operating Decision Maker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195"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auto"/>
        </w:rPr>
        <w:t>Page 17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60" w:type="dxa"/>
            <w:vAlign w:val="bottom"/>
            <w:gridSpan w:val="5"/>
          </w:tcPr>
          <w:p>
            <w:pPr>
              <w:jc w:val="right"/>
              <w:spacing w:after="0"/>
              <w:rPr>
                <w:sz w:val="20"/>
                <w:szCs w:val="20"/>
                <w:color w:val="auto"/>
              </w:rPr>
            </w:pPr>
            <w:r>
              <w:rPr>
                <w:rFonts w:ascii="Arial" w:cs="Arial" w:eastAsia="Arial" w:hAnsi="Arial"/>
                <w:sz w:val="16"/>
                <w:szCs w:val="16"/>
                <w:b w:val="1"/>
                <w:bCs w:val="1"/>
                <w:color w:val="auto"/>
              </w:rPr>
              <w:t>Twelve Months Ended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0" w:type="dxa"/>
            <w:vAlign w:val="bottom"/>
            <w:gridSpan w:val="6"/>
          </w:tcPr>
          <w:p>
            <w:pPr>
              <w:jc w:val="center"/>
              <w:ind w:left="459"/>
              <w:spacing w:after="0"/>
              <w:rPr>
                <w:sz w:val="20"/>
                <w:szCs w:val="20"/>
                <w:color w:val="auto"/>
              </w:rPr>
            </w:pPr>
            <w:r>
              <w:rPr>
                <w:rFonts w:ascii="Arial" w:cs="Arial" w:eastAsia="Arial" w:hAnsi="Arial"/>
                <w:sz w:val="16"/>
                <w:szCs w:val="16"/>
                <w:b w:val="1"/>
                <w:bCs w:val="1"/>
                <w:color w:val="auto"/>
                <w:w w:val="91"/>
              </w:rPr>
              <w:t>Twelve Months 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w w:val="90"/>
              </w:rPr>
              <w:t>December 31, 2019</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w w:val="91"/>
              </w:rPr>
              <w:t>December 31, 2018</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Supply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Supply and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w w:val="95"/>
              </w:rPr>
              <w:t>Transportation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Facilities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Logistics</w:t>
            </w:r>
          </w:p>
        </w:tc>
        <w:tc>
          <w:tcPr>
            <w:tcW w:w="120" w:type="dxa"/>
            <w:vAlign w:val="bottom"/>
          </w:tcPr>
          <w:p>
            <w:pPr>
              <w:spacing w:after="0"/>
              <w:rPr>
                <w:sz w:val="18"/>
                <w:szCs w:val="18"/>
                <w:color w:val="auto"/>
              </w:rPr>
            </w:pPr>
          </w:p>
        </w:tc>
        <w:tc>
          <w:tcPr>
            <w:tcW w:w="1180" w:type="dxa"/>
            <w:vAlign w:val="bottom"/>
            <w:gridSpan w:val="3"/>
          </w:tcPr>
          <w:p>
            <w:pPr>
              <w:ind w:left="100"/>
              <w:spacing w:after="0"/>
              <w:rPr>
                <w:sz w:val="20"/>
                <w:szCs w:val="20"/>
                <w:color w:val="auto"/>
              </w:rPr>
            </w:pPr>
            <w:r>
              <w:rPr>
                <w:rFonts w:ascii="Arial" w:cs="Arial" w:eastAsia="Arial" w:hAnsi="Arial"/>
                <w:sz w:val="16"/>
                <w:szCs w:val="16"/>
                <w:b w:val="1"/>
                <w:bCs w:val="1"/>
                <w:color w:val="auto"/>
                <w:w w:val="92"/>
              </w:rPr>
              <w:t>Transportation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Facilities</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9"/>
              </w:rPr>
              <w:t>Logistics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CEEFF"/>
          </w:tcPr>
          <w:p>
            <w:pPr>
              <w:spacing w:after="0" w:line="249" w:lineRule="exact"/>
              <w:rPr>
                <w:sz w:val="20"/>
                <w:szCs w:val="20"/>
                <w:color w:val="auto"/>
              </w:rPr>
            </w:pPr>
            <w:r>
              <w:rPr>
                <w:rFonts w:ascii="Arial" w:cs="Arial" w:eastAsia="Arial" w:hAnsi="Arial"/>
                <w:sz w:val="16"/>
                <w:szCs w:val="16"/>
                <w:color w:val="auto"/>
              </w:rPr>
              <w:t xml:space="preserve">Revenues </w:t>
            </w:r>
            <w:r>
              <w:rPr>
                <w:rFonts w:ascii="Arial" w:cs="Arial" w:eastAsia="Arial" w:hAnsi="Arial"/>
                <w:sz w:val="27"/>
                <w:szCs w:val="27"/>
                <w:color w:val="auto"/>
                <w:vertAlign w:val="superscript"/>
              </w:rPr>
              <w:t>(1)</w:t>
            </w: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vMerge w:val="continue"/>
            <w:shd w:val="clear" w:color="auto" w:fill="CCEEFF"/>
          </w:tcPr>
          <w:p>
            <w:pPr>
              <w:spacing w:after="0"/>
              <w:rPr>
                <w:sz w:val="19"/>
                <w:szCs w:val="19"/>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32,276</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32,822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line="242" w:lineRule="exact"/>
              <w:rPr>
                <w:sz w:val="20"/>
                <w:szCs w:val="20"/>
                <w:color w:val="auto"/>
              </w:rPr>
            </w:pPr>
            <w:r>
              <w:rPr>
                <w:rFonts w:ascii="Arial" w:cs="Arial" w:eastAsia="Arial" w:hAnsi="Arial"/>
                <w:sz w:val="16"/>
                <w:szCs w:val="16"/>
                <w:color w:val="auto"/>
              </w:rPr>
              <w:t xml:space="preserve">Purchases and related costs </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(31,276)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(31,487)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 xml:space="preserve">Field operating costs </w:t>
            </w:r>
            <w:r>
              <w:rPr>
                <w:rFonts w:ascii="Arial" w:cs="Arial" w:eastAsia="Arial" w:hAnsi="Arial"/>
                <w:sz w:val="27"/>
                <w:szCs w:val="27"/>
                <w:color w:val="auto"/>
                <w:vertAlign w:val="superscript"/>
              </w:rPr>
              <w:t>(1) (2)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line="242" w:lineRule="exact"/>
              <w:rPr>
                <w:sz w:val="20"/>
                <w:szCs w:val="20"/>
                <w:color w:val="auto"/>
              </w:rPr>
            </w:pPr>
            <w:r>
              <w:rPr>
                <w:rFonts w:ascii="Arial" w:cs="Arial" w:eastAsia="Arial" w:hAnsi="Arial"/>
                <w:sz w:val="16"/>
                <w:szCs w:val="16"/>
                <w:color w:val="auto"/>
              </w:rPr>
              <w:t xml:space="preserve">Segment general and administrative expenses </w:t>
            </w:r>
            <w:r>
              <w:rPr>
                <w:rFonts w:ascii="Arial" w:cs="Arial" w:eastAsia="Arial" w:hAnsi="Arial"/>
                <w:sz w:val="27"/>
                <w:szCs w:val="27"/>
                <w:color w:val="auto"/>
                <w:vertAlign w:val="superscript"/>
              </w:rPr>
              <w:t>(2) (3)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Equity earnings in unconsolidated entities</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 xml:space="preserve">Adjustments: </w:t>
            </w:r>
            <w:r>
              <w:rPr>
                <w:rFonts w:ascii="Arial" w:cs="Arial" w:eastAsia="Arial" w:hAnsi="Arial"/>
                <w:sz w:val="27"/>
                <w:szCs w:val="27"/>
                <w:color w:val="auto"/>
                <w:vertAlign w:val="superscript"/>
              </w:rPr>
              <w:t>(4)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w w:val="94"/>
              </w:rPr>
              <w:t>Depreciation and amortization of unconsolidated entities</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5"/>
              </w:rPr>
              <w:t>(Gains)/losses from derivative activities net of inventory</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valuation adjustments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Long-term inventory costing adjustments</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Deficiencies under minimum volume commitments, net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Equity-indexed compensation expense</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on foreign currency revaluation</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6"/>
                <w:szCs w:val="16"/>
                <w:color w:val="auto"/>
              </w:rPr>
              <w:t>Line 901 incident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Segment Adjusted EBITDA</w:t>
            </w: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920" w:type="dxa"/>
            <w:vAlign w:val="bottom"/>
            <w:vMerge w:val="continue"/>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803</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Maintenance capital</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27"/>
          <w:szCs w:val="27"/>
          <w:color w:val="auto"/>
          <w:vertAlign w:val="superscript"/>
        </w:rPr>
      </w:pPr>
      <w:r>
        <w:rPr>
          <w:rFonts w:ascii="Arial" w:cs="Arial" w:eastAsia="Arial" w:hAnsi="Arial"/>
          <w:sz w:val="16"/>
          <w:szCs w:val="16"/>
          <w:color w:val="auto"/>
        </w:rPr>
        <w:t>Includes intersegment amounts.</w:t>
      </w:r>
    </w:p>
    <w:p>
      <w:pPr>
        <w:spacing w:after="0" w:line="145" w:lineRule="exact"/>
        <w:rPr>
          <w:rFonts w:ascii="Arial" w:cs="Arial" w:eastAsia="Arial" w:hAnsi="Arial"/>
          <w:sz w:val="27"/>
          <w:szCs w:val="27"/>
          <w:color w:val="auto"/>
          <w:vertAlign w:val="superscript"/>
        </w:rPr>
      </w:pPr>
    </w:p>
    <w:p>
      <w:pPr>
        <w:ind w:left="340" w:hanging="332"/>
        <w:spacing w:after="0" w:line="200" w:lineRule="auto"/>
        <w:tabs>
          <w:tab w:leader="none" w:pos="340" w:val="left"/>
        </w:tabs>
        <w:numPr>
          <w:ilvl w:val="0"/>
          <w:numId w:val="16"/>
        </w:numPr>
        <w:rPr>
          <w:rFonts w:ascii="Arial" w:cs="Arial" w:eastAsia="Arial" w:hAnsi="Arial"/>
          <w:sz w:val="27"/>
          <w:szCs w:val="27"/>
          <w:color w:val="auto"/>
          <w:vertAlign w:val="superscript"/>
        </w:rPr>
      </w:pPr>
      <w:r>
        <w:rPr>
          <w:rFonts w:ascii="Arial" w:cs="Arial" w:eastAsia="Arial" w:hAnsi="Arial"/>
          <w:sz w:val="16"/>
          <w:szCs w:val="16"/>
          <w:color w:val="auto"/>
        </w:rPr>
        <w:t>Field operating costs and Segment general and administrative expenses include equity-indexed compensation expense.</w:t>
      </w:r>
    </w:p>
    <w:p>
      <w:pPr>
        <w:spacing w:after="0" w:line="199" w:lineRule="exact"/>
        <w:rPr>
          <w:rFonts w:ascii="Arial" w:cs="Arial" w:eastAsia="Arial" w:hAnsi="Arial"/>
          <w:sz w:val="27"/>
          <w:szCs w:val="27"/>
          <w:color w:val="auto"/>
          <w:vertAlign w:val="superscript"/>
        </w:rPr>
      </w:pPr>
    </w:p>
    <w:p>
      <w:pPr>
        <w:ind w:left="340" w:right="500" w:hanging="332"/>
        <w:spacing w:after="0" w:line="198" w:lineRule="auto"/>
        <w:tabs>
          <w:tab w:leader="none" w:pos="340" w:val="left"/>
        </w:tabs>
        <w:numPr>
          <w:ilvl w:val="0"/>
          <w:numId w:val="16"/>
        </w:numPr>
        <w:rPr>
          <w:rFonts w:ascii="Arial" w:cs="Arial" w:eastAsia="Arial" w:hAnsi="Arial"/>
          <w:sz w:val="27"/>
          <w:szCs w:val="27"/>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99" w:lineRule="exact"/>
        <w:rPr>
          <w:rFonts w:ascii="Arial" w:cs="Arial" w:eastAsia="Arial" w:hAnsi="Arial"/>
          <w:sz w:val="27"/>
          <w:szCs w:val="27"/>
          <w:color w:val="auto"/>
          <w:vertAlign w:val="superscript"/>
        </w:rPr>
      </w:pPr>
    </w:p>
    <w:p>
      <w:pPr>
        <w:ind w:left="340" w:right="20" w:hanging="332"/>
        <w:spacing w:after="0" w:line="216" w:lineRule="auto"/>
        <w:tabs>
          <w:tab w:leader="none" w:pos="340" w:val="left"/>
        </w:tabs>
        <w:numPr>
          <w:ilvl w:val="0"/>
          <w:numId w:val="16"/>
        </w:numPr>
        <w:rPr>
          <w:rFonts w:ascii="Arial" w:cs="Arial" w:eastAsia="Arial" w:hAnsi="Arial"/>
          <w:sz w:val="27"/>
          <w:szCs w:val="27"/>
          <w:color w:val="auto"/>
          <w:vertAlign w:val="superscript"/>
        </w:rPr>
      </w:pPr>
      <w:r>
        <w:rPr>
          <w:rFonts w:ascii="Arial" w:cs="Arial" w:eastAsia="Arial" w:hAnsi="Arial"/>
          <w:sz w:val="16"/>
          <w:szCs w:val="16"/>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195"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9"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auto"/>
        </w:rPr>
        <w:t>Page 18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646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OPERATING DATA BY SEGMENT </w:t>
            </w:r>
            <w:r>
              <w:rPr>
                <w:rFonts w:ascii="Arial" w:cs="Arial" w:eastAsia="Arial" w:hAnsi="Arial"/>
                <w:sz w:val="30"/>
                <w:szCs w:val="30"/>
                <w:b w:val="1"/>
                <w:bCs w:val="1"/>
                <w:color w:val="auto"/>
                <w:vertAlign w:val="superscript"/>
              </w:rPr>
              <w:t>(1)</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234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Twelve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60" w:type="dxa"/>
            <w:vAlign w:val="bottom"/>
            <w:gridSpan w:val="2"/>
          </w:tcPr>
          <w:p>
            <w:pPr>
              <w:spacing w:after="0"/>
              <w:rPr>
                <w:sz w:val="19"/>
                <w:szCs w:val="19"/>
                <w:color w:val="auto"/>
              </w:rPr>
            </w:pPr>
          </w:p>
        </w:tc>
        <w:tc>
          <w:tcPr>
            <w:tcW w:w="2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0"/>
              </w:rPr>
              <w:t>Transportation segment (average daily volumes in thousands of barrels</w:t>
            </w:r>
          </w:p>
        </w:tc>
        <w:tc>
          <w:tcPr>
            <w:tcW w:w="8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per day):</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Tariff activities volumes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Crude oil pipelines (by region):</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3"/>
          </w:tcPr>
          <w:p>
            <w:pPr>
              <w:ind w:left="480"/>
              <w:spacing w:after="0" w:line="25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9"/>
                <w:szCs w:val="29"/>
                <w:color w:val="auto"/>
                <w:vertAlign w:val="superscript"/>
              </w:rPr>
              <w:t>(2)</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5,052</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4,063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4,690</w:t>
            </w:r>
          </w:p>
        </w:tc>
        <w:tc>
          <w:tcPr>
            <w:tcW w:w="44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3,732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3"/>
            <w:shd w:val="clear" w:color="auto" w:fill="CCEEFF"/>
          </w:tcPr>
          <w:p>
            <w:pPr>
              <w:ind w:left="480"/>
              <w:spacing w:after="0" w:line="25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9"/>
                <w:szCs w:val="29"/>
                <w:color w:val="auto"/>
                <w:vertAlign w:val="superscript"/>
              </w:rPr>
              <w:t>(2)</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w:t>
            </w:r>
          </w:p>
        </w:tc>
        <w:tc>
          <w:tcPr>
            <w:tcW w:w="8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w:t>
            </w:r>
          </w:p>
        </w:tc>
        <w:tc>
          <w:tcPr>
            <w:tcW w:w="4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3"/>
          </w:tcPr>
          <w:p>
            <w:pPr>
              <w:ind w:left="480"/>
              <w:spacing w:after="0" w:line="256"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9"/>
                <w:szCs w:val="29"/>
                <w:color w:val="auto"/>
                <w:vertAlign w:val="superscript"/>
              </w:rPr>
              <w:t>(2)</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420</w:t>
            </w:r>
          </w:p>
        </w:tc>
        <w:tc>
          <w:tcPr>
            <w:tcW w:w="8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523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498</w:t>
            </w:r>
          </w:p>
        </w:tc>
        <w:tc>
          <w:tcPr>
            <w:tcW w:w="44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Gulf Coast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3"/>
          </w:tcPr>
          <w:p>
            <w:pPr>
              <w:ind w:left="480"/>
              <w:spacing w:after="0" w:line="25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9"/>
                <w:szCs w:val="29"/>
                <w:color w:val="auto"/>
                <w:vertAlign w:val="superscript"/>
              </w:rPr>
              <w:t>(2)</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275</w:t>
            </w:r>
          </w:p>
        </w:tc>
        <w:tc>
          <w:tcPr>
            <w:tcW w:w="8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293</w:t>
            </w:r>
          </w:p>
        </w:tc>
        <w:tc>
          <w:tcPr>
            <w:tcW w:w="44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Western</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gridSpan w:val="3"/>
          </w:tcPr>
          <w:p>
            <w:pPr>
              <w:ind w:left="480"/>
              <w:spacing w:after="0"/>
              <w:rPr>
                <w:sz w:val="20"/>
                <w:szCs w:val="20"/>
                <w:color w:val="auto"/>
              </w:rPr>
            </w:pPr>
            <w:r>
              <w:rPr>
                <w:rFonts w:ascii="Arial" w:cs="Arial" w:eastAsia="Arial" w:hAnsi="Arial"/>
                <w:sz w:val="18"/>
                <w:szCs w:val="18"/>
                <w:color w:val="auto"/>
              </w:rPr>
              <w:t>Canada</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336</w:t>
            </w:r>
          </w:p>
        </w:tc>
        <w:tc>
          <w:tcPr>
            <w:tcW w:w="8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326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Crude oil pipelines</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6,911</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6,082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gridSpan w:val="3"/>
          </w:tcPr>
          <w:p>
            <w:pPr>
              <w:ind w:left="320"/>
              <w:spacing w:after="0"/>
              <w:rPr>
                <w:sz w:val="20"/>
                <w:szCs w:val="20"/>
                <w:color w:val="auto"/>
              </w:rPr>
            </w:pPr>
            <w:r>
              <w:rPr>
                <w:rFonts w:ascii="Arial" w:cs="Arial" w:eastAsia="Arial" w:hAnsi="Arial"/>
                <w:sz w:val="18"/>
                <w:szCs w:val="18"/>
                <w:color w:val="auto"/>
              </w:rPr>
              <w:t>NGL pipelines</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184</w:t>
            </w:r>
          </w:p>
        </w:tc>
        <w:tc>
          <w:tcPr>
            <w:tcW w:w="8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192</w:t>
            </w: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Tariff activities total volumes</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7,095</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6,294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Trucking volumes</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7,191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6,404</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Borders>
              <w:bottom w:val="single" w:sz="8" w:color="CCEEFF"/>
            </w:tcBorders>
            <w:gridSpan w:val="2"/>
          </w:tcPr>
          <w:p>
            <w:pPr>
              <w:ind w:left="160"/>
              <w:spacing w:after="0" w:line="243" w:lineRule="exact"/>
              <w:rPr>
                <w:sz w:val="20"/>
                <w:szCs w:val="20"/>
                <w:color w:val="auto"/>
              </w:rPr>
            </w:pPr>
            <w:r>
              <w:rPr>
                <w:rFonts w:ascii="Arial" w:cs="Arial" w:eastAsia="Arial" w:hAnsi="Arial"/>
                <w:sz w:val="17"/>
                <w:szCs w:val="17"/>
                <w:color w:val="auto"/>
              </w:rPr>
              <w:t xml:space="preserve">Liquids storage (average monthly capacity in millions of barrels) </w:t>
            </w:r>
            <w:r>
              <w:rPr>
                <w:rFonts w:ascii="Arial" w:cs="Arial" w:eastAsia="Arial" w:hAnsi="Arial"/>
                <w:sz w:val="28"/>
                <w:szCs w:val="28"/>
                <w:color w:val="auto"/>
                <w:vertAlign w:val="superscript"/>
              </w:rPr>
              <w:t>(3)</w:t>
            </w: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gridSpan w:val="2"/>
            <w:shd w:val="clear" w:color="auto" w:fill="CCEEFF"/>
          </w:tcPr>
          <w:p>
            <w:pPr>
              <w:ind w:left="160"/>
              <w:spacing w:after="0" w:line="156" w:lineRule="exact"/>
              <w:rPr>
                <w:sz w:val="20"/>
                <w:szCs w:val="20"/>
                <w:color w:val="auto"/>
              </w:rPr>
            </w:pPr>
            <w:r>
              <w:rPr>
                <w:rFonts w:ascii="Arial" w:cs="Arial" w:eastAsia="Arial" w:hAnsi="Arial"/>
                <w:sz w:val="18"/>
                <w:szCs w:val="18"/>
                <w:color w:val="auto"/>
              </w:rPr>
              <w:t>Natural gas storage (average monthly working capacity in billions of</w:t>
            </w:r>
          </w:p>
        </w:tc>
        <w:tc>
          <w:tcPr>
            <w:tcW w:w="8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vMerge w:val="restart"/>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vMerge w:val="restart"/>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vMerge w:val="restart"/>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cubic feet)</w:t>
            </w:r>
          </w:p>
        </w:tc>
        <w:tc>
          <w:tcPr>
            <w:tcW w:w="8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CEEFF"/>
            </w:tcBorders>
            <w:gridSpan w:val="2"/>
          </w:tcPr>
          <w:p>
            <w:pPr>
              <w:ind w:left="160"/>
              <w:spacing w:after="0" w:line="196" w:lineRule="exact"/>
              <w:rPr>
                <w:sz w:val="20"/>
                <w:szCs w:val="20"/>
                <w:color w:val="auto"/>
              </w:rPr>
            </w:pPr>
            <w:r>
              <w:rPr>
                <w:rFonts w:ascii="Arial" w:cs="Arial" w:eastAsia="Arial" w:hAnsi="Arial"/>
                <w:sz w:val="18"/>
                <w:szCs w:val="18"/>
                <w:color w:val="auto"/>
                <w:w w:val="99"/>
              </w:rPr>
              <w:t>NGL fractionation (average volumes in thousands of barrels per day)</w:t>
            </w:r>
          </w:p>
        </w:tc>
        <w:tc>
          <w:tcPr>
            <w:tcW w:w="8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w:t>
            </w:r>
          </w:p>
        </w:tc>
        <w:tc>
          <w:tcPr>
            <w:tcW w:w="240" w:type="dxa"/>
            <w:vAlign w:val="bottom"/>
            <w:tcBorders>
              <w:bottom w:val="single" w:sz="8" w:color="CCEEFF"/>
            </w:tcBorders>
            <w:vMerge w:val="continue"/>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vMerge w:val="continue"/>
          </w:tcPr>
          <w:p>
            <w:pPr>
              <w:spacing w:after="0"/>
              <w:rPr>
                <w:sz w:val="20"/>
                <w:szCs w:val="20"/>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w:t>
            </w:r>
          </w:p>
        </w:tc>
        <w:tc>
          <w:tcPr>
            <w:tcW w:w="200" w:type="dxa"/>
            <w:vAlign w:val="bottom"/>
            <w:tcBorders>
              <w:bottom w:val="single" w:sz="8" w:color="CCEEFF"/>
            </w:tcBorders>
            <w:vMerge w:val="continue"/>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00" w:type="dxa"/>
            <w:vAlign w:val="bottom"/>
            <w:gridSpan w:val="2"/>
            <w:shd w:val="clear" w:color="auto" w:fill="CCEEFF"/>
          </w:tcPr>
          <w:p>
            <w:pPr>
              <w:spacing w:after="0" w:line="159" w:lineRule="exact"/>
              <w:rPr>
                <w:sz w:val="20"/>
                <w:szCs w:val="20"/>
                <w:color w:val="auto"/>
              </w:rPr>
            </w:pPr>
            <w:r>
              <w:rPr>
                <w:rFonts w:ascii="Arial" w:cs="Arial" w:eastAsia="Arial" w:hAnsi="Arial"/>
                <w:sz w:val="18"/>
                <w:szCs w:val="18"/>
                <w:color w:val="auto"/>
                <w:w w:val="97"/>
              </w:rPr>
              <w:t>Facilities segment total volumes (average monthly volumes in millions of</w:t>
            </w:r>
          </w:p>
        </w:tc>
        <w:tc>
          <w:tcPr>
            <w:tcW w:w="8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440" w:type="dxa"/>
            <w:vAlign w:val="bottom"/>
            <w:gridSpan w:val="3"/>
            <w:shd w:val="clear" w:color="auto" w:fill="CCEEFF"/>
          </w:tcPr>
          <w:p>
            <w:pPr>
              <w:ind w:left="160"/>
              <w:spacing w:after="0" w:line="253"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9"/>
                <w:szCs w:val="29"/>
                <w:color w:val="auto"/>
                <w:vertAlign w:val="superscript"/>
              </w:rPr>
              <w:t>(4)</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8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4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44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Supply and Logistics segment (average daily volumes in thousands of</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barrels per day):</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tcPr>
          <w:p>
            <w:pPr>
              <w:ind w:left="320"/>
              <w:spacing w:after="0"/>
              <w:rPr>
                <w:sz w:val="20"/>
                <w:szCs w:val="20"/>
                <w:color w:val="auto"/>
              </w:rPr>
            </w:pPr>
            <w:r>
              <w:rPr>
                <w:rFonts w:ascii="Arial" w:cs="Arial" w:eastAsia="Arial" w:hAnsi="Arial"/>
                <w:sz w:val="18"/>
                <w:szCs w:val="18"/>
                <w:color w:val="auto"/>
              </w:rPr>
              <w:t>Crude oil lease gathering purchases</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1,271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1,111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1,162</w:t>
            </w: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NGL sales</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w:t>
            </w:r>
          </w:p>
        </w:tc>
        <w:tc>
          <w:tcPr>
            <w:tcW w:w="4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3"/>
          </w:tcPr>
          <w:p>
            <w:pPr>
              <w:spacing w:after="0"/>
              <w:rPr>
                <w:sz w:val="20"/>
                <w:szCs w:val="20"/>
                <w:color w:val="auto"/>
              </w:rPr>
            </w:pPr>
            <w:r>
              <w:rPr>
                <w:rFonts w:ascii="Arial" w:cs="Arial" w:eastAsia="Arial" w:hAnsi="Arial"/>
                <w:sz w:val="18"/>
                <w:szCs w:val="18"/>
                <w:color w:val="auto"/>
              </w:rPr>
              <w:t>Supply and Logistics segment total volumes</w:t>
            </w:r>
          </w:p>
        </w:tc>
        <w:tc>
          <w:tcPr>
            <w:tcW w:w="8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1,492</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1,403</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2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6"/>
          <w:szCs w:val="26"/>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163" w:lineRule="exact"/>
        <w:rPr>
          <w:rFonts w:ascii="Arial" w:cs="Arial" w:eastAsia="Arial" w:hAnsi="Arial"/>
          <w:sz w:val="26"/>
          <w:szCs w:val="26"/>
          <w:color w:val="auto"/>
          <w:vertAlign w:val="superscript"/>
        </w:rPr>
      </w:pPr>
    </w:p>
    <w:p>
      <w:pPr>
        <w:ind w:left="340" w:hanging="332"/>
        <w:spacing w:after="0" w:line="186" w:lineRule="auto"/>
        <w:tabs>
          <w:tab w:leader="none" w:pos="34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164"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Includes volumes (attributable to our interest) from facilities owned by unconsolidated entities.</w:t>
      </w:r>
    </w:p>
    <w:p>
      <w:pPr>
        <w:spacing w:after="0" w:line="203" w:lineRule="exact"/>
        <w:rPr>
          <w:rFonts w:ascii="Arial" w:cs="Arial" w:eastAsia="Arial" w:hAnsi="Arial"/>
          <w:sz w:val="30"/>
          <w:szCs w:val="30"/>
          <w:color w:val="auto"/>
          <w:vertAlign w:val="superscript"/>
        </w:rPr>
      </w:pPr>
    </w:p>
    <w:p>
      <w:pPr>
        <w:ind w:left="340" w:right="80" w:hanging="332"/>
        <w:spacing w:after="0" w:line="223" w:lineRule="auto"/>
        <w:tabs>
          <w:tab w:leader="none" w:pos="34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1"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Fee-based Segment Adjusted EBITDA to Adjusted EBITDA Reconciliation: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42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5"/>
          </w:tcPr>
          <w:p>
            <w:pPr>
              <w:jc w:val="right"/>
              <w:spacing w:after="0"/>
              <w:rPr>
                <w:sz w:val="20"/>
                <w:szCs w:val="20"/>
                <w:color w:val="auto"/>
              </w:rPr>
            </w:pPr>
            <w:r>
              <w:rPr>
                <w:rFonts w:ascii="Arial" w:cs="Arial" w:eastAsia="Arial" w:hAnsi="Arial"/>
                <w:sz w:val="18"/>
                <w:szCs w:val="18"/>
                <w:b w:val="1"/>
                <w:bCs w:val="1"/>
                <w:color w:val="auto"/>
              </w:rPr>
              <w:t>Twelve Months Ended</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88"/>
              </w:rPr>
              <w:t>December 31,</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Adjusted EBITDA</w:t>
            </w:r>
          </w:p>
        </w:tc>
        <w:tc>
          <w:tcPr>
            <w:tcW w:w="84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1,722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Facilities Segment Adjusted EBITDA</w:t>
            </w:r>
          </w:p>
        </w:tc>
        <w:tc>
          <w:tcPr>
            <w:tcW w:w="84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Fee-based Segment Adjusted EBITDA</w:t>
            </w:r>
          </w:p>
        </w:tc>
        <w:tc>
          <w:tcPr>
            <w:tcW w:w="84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2,427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Supply and Logistics Segment Adjusted EBITDA</w:t>
            </w:r>
          </w:p>
        </w:tc>
        <w:tc>
          <w:tcPr>
            <w:tcW w:w="8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30"/>
                <w:szCs w:val="30"/>
                <w:color w:val="auto"/>
                <w:vertAlign w:val="superscript"/>
              </w:rPr>
              <w:t>(1)</w:t>
            </w:r>
          </w:p>
        </w:tc>
        <w:tc>
          <w:tcPr>
            <w:tcW w:w="8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line="28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30"/>
                <w:szCs w:val="30"/>
                <w:color w:val="auto"/>
                <w:vertAlign w:val="superscript"/>
              </w:rPr>
              <w:t>(2)</w:t>
            </w: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vMerge w:val="continue"/>
          </w:tcPr>
          <w:p>
            <w:pPr>
              <w:spacing w:after="0"/>
              <w:rPr>
                <w:sz w:val="22"/>
                <w:szCs w:val="22"/>
                <w:color w:val="auto"/>
              </w:rPr>
            </w:pPr>
          </w:p>
        </w:tc>
        <w:tc>
          <w:tcPr>
            <w:tcW w:w="840" w:type="dxa"/>
            <w:vAlign w:val="bottom"/>
          </w:tcPr>
          <w:p>
            <w:pPr>
              <w:jc w:val="right"/>
              <w:ind w:right="679"/>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860</w:t>
            </w:r>
          </w:p>
        </w:tc>
        <w:tc>
          <w:tcPr>
            <w:tcW w:w="10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c>
          <w:tcPr>
            <w:tcW w:w="92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3,237</w:t>
            </w:r>
          </w:p>
        </w:tc>
        <w:tc>
          <w:tcPr>
            <w:tcW w:w="820" w:type="dxa"/>
            <w:vAlign w:val="bottom"/>
            <w:gridSpan w:val="2"/>
          </w:tcPr>
          <w:p>
            <w:pPr>
              <w:jc w:val="right"/>
              <w:ind w:right="645"/>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2,684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3" w:lineRule="exact"/>
        <w:rPr>
          <w:sz w:val="20"/>
          <w:szCs w:val="20"/>
          <w:color w:val="auto"/>
        </w:rPr>
      </w:pPr>
    </w:p>
    <w:p>
      <w:pPr>
        <w:ind w:left="340" w:right="220" w:hanging="332"/>
        <w:spacing w:after="0" w:line="209" w:lineRule="auto"/>
        <w:tabs>
          <w:tab w:leader="none" w:pos="34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Represents “Other income/(expense), net” as reported on our Condensed Consolidated Statements of Operations, adjusted for selected items impacting comparability of $1 million, $15 million, $(17) million and $10 million for the three and twelve months ended December 31, 2019 and 2018, respectively. See the “Selected Items Impacting Comparability” table for additional information.</w:t>
      </w:r>
    </w:p>
    <w:p>
      <w:pPr>
        <w:spacing w:after="0" w:line="88"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See the “Net Income to Adjusted EBITDA and Implied DCF Reconciliation” table for reconciliation to Net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60" w:type="dxa"/>
            <w:vAlign w:val="bottom"/>
            <w:gridSpan w:val="5"/>
          </w:tcPr>
          <w:p>
            <w:pPr>
              <w:jc w:val="center"/>
              <w:ind w:left="539"/>
              <w:spacing w:after="0"/>
              <w:rPr>
                <w:sz w:val="20"/>
                <w:szCs w:val="20"/>
                <w:color w:val="auto"/>
              </w:rPr>
            </w:pPr>
            <w:r>
              <w:rPr>
                <w:rFonts w:ascii="Arial" w:cs="Arial" w:eastAsia="Arial" w:hAnsi="Arial"/>
                <w:sz w:val="16"/>
                <w:szCs w:val="16"/>
                <w:b w:val="1"/>
                <w:bCs w:val="1"/>
                <w:color w:val="auto"/>
                <w:w w:val="92"/>
              </w:rPr>
              <w:t>Three Months Ended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gridSpan w:val="6"/>
          </w:tcPr>
          <w:p>
            <w:pPr>
              <w:jc w:val="center"/>
              <w:ind w:left="539"/>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90"/>
              </w:rPr>
              <w:t>December 31, 2019</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w w:val="91"/>
              </w:rPr>
              <w:t>December 31, 2018</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Supply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Supply and</w:t>
            </w:r>
          </w:p>
        </w:tc>
        <w:tc>
          <w:tcPr>
            <w:tcW w:w="100" w:type="dxa"/>
            <w:vAlign w:val="bottom"/>
          </w:tcPr>
          <w:p>
            <w:pPr>
              <w:spacing w:after="0"/>
              <w:rPr>
                <w:sz w:val="16"/>
                <w:szCs w:val="16"/>
                <w:color w:val="auto"/>
              </w:rPr>
            </w:pPr>
          </w:p>
        </w:tc>
      </w:tr>
      <w:tr>
        <w:trPr>
          <w:trHeight w:val="213"/>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w w:val="92"/>
              </w:rPr>
              <w:t>Transportation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6"/>
              </w:rPr>
              <w:t>Facilities</w:t>
            </w: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Logistics</w:t>
            </w:r>
          </w:p>
        </w:tc>
        <w:tc>
          <w:tcPr>
            <w:tcW w:w="1180" w:type="dxa"/>
            <w:vAlign w:val="bottom"/>
            <w:gridSpan w:val="4"/>
          </w:tcPr>
          <w:p>
            <w:pPr>
              <w:ind w:left="100"/>
              <w:spacing w:after="0"/>
              <w:rPr>
                <w:sz w:val="20"/>
                <w:szCs w:val="20"/>
                <w:color w:val="auto"/>
              </w:rPr>
            </w:pPr>
            <w:r>
              <w:rPr>
                <w:rFonts w:ascii="Arial" w:cs="Arial" w:eastAsia="Arial" w:hAnsi="Arial"/>
                <w:sz w:val="16"/>
                <w:szCs w:val="16"/>
                <w:b w:val="1"/>
                <w:bCs w:val="1"/>
                <w:color w:val="auto"/>
                <w:w w:val="93"/>
              </w:rPr>
              <w:t>Transportation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Facilities</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Logistics</w:t>
            </w:r>
          </w:p>
        </w:tc>
      </w:tr>
      <w:tr>
        <w:trPr>
          <w:trHeight w:val="199"/>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Segment Adjusted EBITDA</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Borders>
              <w:top w:val="single" w:sz="8" w:color="CCEEFF"/>
            </w:tcBorders>
            <w:shd w:val="clear" w:color="auto" w:fill="CCEEFF"/>
          </w:tcPr>
          <w:p>
            <w:pPr>
              <w:spacing w:after="0"/>
              <w:rPr>
                <w:sz w:val="17"/>
                <w:szCs w:val="17"/>
                <w:color w:val="auto"/>
              </w:rPr>
            </w:pPr>
          </w:p>
        </w:tc>
      </w:tr>
      <w:tr>
        <w:trPr>
          <w:trHeight w:val="257"/>
        </w:trPr>
        <w:tc>
          <w:tcPr>
            <w:tcW w:w="3900" w:type="dxa"/>
            <w:vAlign w:val="bottom"/>
          </w:tcPr>
          <w:p>
            <w:pPr>
              <w:spacing w:after="0" w:line="257" w:lineRule="exact"/>
              <w:rPr>
                <w:sz w:val="20"/>
                <w:szCs w:val="20"/>
                <w:color w:val="auto"/>
              </w:rPr>
            </w:pPr>
            <w:r>
              <w:rPr>
                <w:rFonts w:ascii="Arial" w:cs="Arial" w:eastAsia="Arial" w:hAnsi="Arial"/>
                <w:sz w:val="16"/>
                <w:szCs w:val="16"/>
                <w:color w:val="auto"/>
              </w:rPr>
              <w:t xml:space="preserve">Impact of divested assets </w:t>
            </w:r>
            <w:r>
              <w:rPr>
                <w:rFonts w:ascii="Arial" w:cs="Arial" w:eastAsia="Arial" w:hAnsi="Arial"/>
                <w:sz w:val="27"/>
                <w:szCs w:val="27"/>
                <w:color w:val="auto"/>
                <w:vertAlign w:val="superscript"/>
              </w:rPr>
              <w:t>(1)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73"/>
        </w:trPr>
        <w:tc>
          <w:tcPr>
            <w:tcW w:w="390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w w:val="96"/>
              </w:rPr>
              <w:t>Segment Adjusted EBITDA further adjusted for impact of</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6"/>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divested assets</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232</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88"/>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gridSpan w:val="5"/>
          </w:tcPr>
          <w:p>
            <w:pPr>
              <w:jc w:val="center"/>
              <w:ind w:left="539"/>
              <w:spacing w:after="0"/>
              <w:rPr>
                <w:sz w:val="20"/>
                <w:szCs w:val="20"/>
                <w:color w:val="auto"/>
              </w:rPr>
            </w:pPr>
            <w:r>
              <w:rPr>
                <w:rFonts w:ascii="Arial" w:cs="Arial" w:eastAsia="Arial" w:hAnsi="Arial"/>
                <w:sz w:val="16"/>
                <w:szCs w:val="16"/>
                <w:b w:val="1"/>
                <w:bCs w:val="1"/>
                <w:color w:val="auto"/>
                <w:w w:val="91"/>
              </w:rPr>
              <w:t>Twelve Months Ended</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gridSpan w:val="7"/>
          </w:tcPr>
          <w:p>
            <w:pPr>
              <w:jc w:val="center"/>
              <w:ind w:left="459"/>
              <w:spacing w:after="0"/>
              <w:rPr>
                <w:sz w:val="20"/>
                <w:szCs w:val="20"/>
                <w:color w:val="auto"/>
              </w:rPr>
            </w:pPr>
            <w:r>
              <w:rPr>
                <w:rFonts w:ascii="Arial" w:cs="Arial" w:eastAsia="Arial" w:hAnsi="Arial"/>
                <w:sz w:val="16"/>
                <w:szCs w:val="16"/>
                <w:b w:val="1"/>
                <w:bCs w:val="1"/>
                <w:color w:val="auto"/>
                <w:w w:val="91"/>
              </w:rPr>
              <w:t>Twelve Months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90"/>
              </w:rPr>
              <w:t>December 31, 2019</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w w:val="91"/>
              </w:rPr>
              <w:t>December 31, 2018</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Supply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Supply and</w:t>
            </w:r>
          </w:p>
        </w:tc>
        <w:tc>
          <w:tcPr>
            <w:tcW w:w="100" w:type="dxa"/>
            <w:vAlign w:val="bottom"/>
          </w:tcPr>
          <w:p>
            <w:pPr>
              <w:spacing w:after="0"/>
              <w:rPr>
                <w:sz w:val="16"/>
                <w:szCs w:val="16"/>
                <w:color w:val="auto"/>
              </w:rPr>
            </w:pPr>
          </w:p>
        </w:tc>
      </w:tr>
      <w:tr>
        <w:trPr>
          <w:trHeight w:val="213"/>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w w:val="92"/>
              </w:rPr>
              <w:t>Transportation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6"/>
              </w:rPr>
              <w:t>Facilities</w:t>
            </w: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Logistics</w:t>
            </w:r>
          </w:p>
        </w:tc>
        <w:tc>
          <w:tcPr>
            <w:tcW w:w="1180" w:type="dxa"/>
            <w:vAlign w:val="bottom"/>
            <w:gridSpan w:val="4"/>
          </w:tcPr>
          <w:p>
            <w:pPr>
              <w:ind w:left="100"/>
              <w:spacing w:after="0"/>
              <w:rPr>
                <w:sz w:val="20"/>
                <w:szCs w:val="20"/>
                <w:color w:val="auto"/>
              </w:rPr>
            </w:pPr>
            <w:r>
              <w:rPr>
                <w:rFonts w:ascii="Arial" w:cs="Arial" w:eastAsia="Arial" w:hAnsi="Arial"/>
                <w:sz w:val="16"/>
                <w:szCs w:val="16"/>
                <w:b w:val="1"/>
                <w:bCs w:val="1"/>
                <w:color w:val="auto"/>
                <w:w w:val="93"/>
              </w:rPr>
              <w:t>Transportation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Facilities</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Logistics</w:t>
            </w:r>
          </w:p>
        </w:tc>
      </w:tr>
      <w:tr>
        <w:trPr>
          <w:trHeight w:val="199"/>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Segment Adjusted EBITDA</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Borders>
              <w:top w:val="single" w:sz="8" w:color="CCEEFF"/>
            </w:tcBorders>
            <w:shd w:val="clear" w:color="auto" w:fill="CCEEFF"/>
          </w:tcPr>
          <w:p>
            <w:pPr>
              <w:spacing w:after="0"/>
              <w:rPr>
                <w:sz w:val="17"/>
                <w:szCs w:val="17"/>
                <w:color w:val="auto"/>
              </w:rPr>
            </w:pPr>
          </w:p>
        </w:tc>
      </w:tr>
      <w:tr>
        <w:trPr>
          <w:trHeight w:val="257"/>
        </w:trPr>
        <w:tc>
          <w:tcPr>
            <w:tcW w:w="3900" w:type="dxa"/>
            <w:vAlign w:val="bottom"/>
          </w:tcPr>
          <w:p>
            <w:pPr>
              <w:spacing w:after="0" w:line="257" w:lineRule="exact"/>
              <w:rPr>
                <w:sz w:val="20"/>
                <w:szCs w:val="20"/>
                <w:color w:val="auto"/>
              </w:rPr>
            </w:pPr>
            <w:r>
              <w:rPr>
                <w:rFonts w:ascii="Arial" w:cs="Arial" w:eastAsia="Arial" w:hAnsi="Arial"/>
                <w:sz w:val="16"/>
                <w:szCs w:val="16"/>
                <w:color w:val="auto"/>
              </w:rPr>
              <w:t xml:space="preserve">Impact of divested assets </w:t>
            </w:r>
            <w:r>
              <w:rPr>
                <w:rFonts w:ascii="Arial" w:cs="Arial" w:eastAsia="Arial" w:hAnsi="Arial"/>
                <w:sz w:val="27"/>
                <w:szCs w:val="27"/>
                <w:color w:val="auto"/>
                <w:vertAlign w:val="superscript"/>
              </w:rPr>
              <w:t>(1)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73"/>
        </w:trPr>
        <w:tc>
          <w:tcPr>
            <w:tcW w:w="390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w w:val="96"/>
              </w:rPr>
              <w:t>Segment Adjusted EBITDA further adjusted for impact of</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6"/>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divested assets</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803</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1" w:lineRule="exact"/>
        <w:rPr>
          <w:sz w:val="20"/>
          <w:szCs w:val="20"/>
          <w:color w:val="auto"/>
        </w:rPr>
      </w:pPr>
    </w:p>
    <w:p>
      <w:pPr>
        <w:jc w:val="both"/>
        <w:ind w:left="340" w:right="300" w:hanging="332"/>
        <w:spacing w:after="0" w:line="232"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color w:val="auto"/>
        </w:rPr>
        <w:t>Estimated impact of divestitures completed during 2018 and 2019, assuming an effective date of January 1, 2018. Divested assets primarily included a 30% interest in BridgeTex Pipeline Company, LLC and certain pipelines in the Rocky Mountain region that were previously reported in our Transportation segment, and a natural gas processing facility and certain crude oil and NGL terminals that were previously reported in our Facilities segment.</w:t>
      </w:r>
    </w:p>
    <w:p>
      <w:pPr>
        <w:spacing w:after="0" w:line="207"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left="20"/>
        <w:spacing w:after="0"/>
        <w:rPr>
          <w:sz w:val="20"/>
          <w:szCs w:val="20"/>
          <w:color w:val="auto"/>
        </w:rPr>
      </w:pPr>
      <w:r>
        <w:rPr>
          <w:rFonts w:ascii="Arial" w:cs="Arial" w:eastAsia="Arial" w:hAnsi="Arial"/>
          <w:sz w:val="18"/>
          <w:szCs w:val="18"/>
          <w:u w:val="single" w:color="auto"/>
          <w:color w:val="auto"/>
        </w:rPr>
        <w:t>Page 20</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177165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7"/>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8"/>
          </w:tcPr>
          <w:p>
            <w:pPr>
              <w:jc w:val="center"/>
              <w:ind w:left="490"/>
              <w:spacing w:after="0"/>
              <w:rPr>
                <w:sz w:val="20"/>
                <w:szCs w:val="20"/>
                <w:color w:val="auto"/>
              </w:rPr>
            </w:pPr>
            <w:r>
              <w:rPr>
                <w:rFonts w:ascii="Arial" w:cs="Arial" w:eastAsia="Arial" w:hAnsi="Arial"/>
                <w:sz w:val="18"/>
                <w:szCs w:val="18"/>
                <w:b w:val="1"/>
                <w:bCs w:val="1"/>
                <w:color w:val="auto"/>
                <w:w w:val="92"/>
              </w:rPr>
              <w:t>Three Months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December 31, 2019</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2018</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jc w:val="right"/>
              <w:ind w:right="140"/>
              <w:spacing w:after="0" w:line="195" w:lineRule="exact"/>
              <w:rPr>
                <w:sz w:val="20"/>
                <w:szCs w:val="20"/>
                <w:color w:val="auto"/>
              </w:rPr>
            </w:pPr>
            <w:r>
              <w:rPr>
                <w:rFonts w:ascii="Arial" w:cs="Arial" w:eastAsia="Arial" w:hAnsi="Arial"/>
                <w:sz w:val="18"/>
                <w:szCs w:val="18"/>
                <w:b w:val="1"/>
                <w:bCs w:val="1"/>
                <w:color w:val="auto"/>
                <w:w w:val="91"/>
              </w:rPr>
              <w:t>Consolidating</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center"/>
              <w:ind w:right="80"/>
              <w:spacing w:after="0" w:line="195" w:lineRule="exact"/>
              <w:rPr>
                <w:sz w:val="20"/>
                <w:szCs w:val="20"/>
                <w:color w:val="auto"/>
              </w:rPr>
            </w:pPr>
            <w:r>
              <w:rPr>
                <w:rFonts w:ascii="Arial" w:cs="Arial" w:eastAsia="Arial" w:hAnsi="Arial"/>
                <w:sz w:val="18"/>
                <w:szCs w:val="18"/>
                <w:b w:val="1"/>
                <w:bCs w:val="1"/>
                <w:color w:val="auto"/>
                <w:w w:val="89"/>
              </w:rPr>
              <w:t>Consolidating</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PAA</w:t>
            </w:r>
          </w:p>
        </w:tc>
        <w:tc>
          <w:tcPr>
            <w:tcW w:w="1340" w:type="dxa"/>
            <w:vAlign w:val="bottom"/>
            <w:gridSpan w:val="3"/>
          </w:tcPr>
          <w:p>
            <w:pPr>
              <w:spacing w:after="0" w:line="271" w:lineRule="exact"/>
              <w:rPr>
                <w:sz w:val="20"/>
                <w:szCs w:val="20"/>
                <w:color w:val="auto"/>
              </w:rPr>
            </w:pPr>
            <w:r>
              <w:rPr>
                <w:rFonts w:ascii="Arial" w:cs="Arial" w:eastAsia="Arial" w:hAnsi="Arial"/>
                <w:sz w:val="18"/>
                <w:szCs w:val="18"/>
                <w:b w:val="1"/>
                <w:bCs w:val="1"/>
                <w:color w:val="auto"/>
                <w:w w:val="95"/>
              </w:rPr>
              <w:t xml:space="preserve">Adjustments </w:t>
            </w:r>
            <w:r>
              <w:rPr>
                <w:rFonts w:ascii="Arial" w:cs="Arial" w:eastAsia="Arial" w:hAnsi="Arial"/>
                <w:sz w:val="30"/>
                <w:szCs w:val="30"/>
                <w:b w:val="1"/>
                <w:bCs w:val="1"/>
                <w:color w:val="auto"/>
                <w:w w:val="95"/>
                <w:vertAlign w:val="superscript"/>
              </w:rPr>
              <w:t>(1)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ind w:left="60"/>
              <w:spacing w:after="0"/>
              <w:rPr>
                <w:sz w:val="20"/>
                <w:szCs w:val="20"/>
                <w:color w:val="auto"/>
              </w:rPr>
            </w:pPr>
            <w:r>
              <w:rPr>
                <w:rFonts w:ascii="Arial" w:cs="Arial" w:eastAsia="Arial" w:hAnsi="Arial"/>
                <w:sz w:val="18"/>
                <w:szCs w:val="18"/>
                <w:b w:val="1"/>
                <w:bCs w:val="1"/>
                <w:color w:val="auto"/>
              </w:rPr>
              <w:t>PAGP</w:t>
            </w:r>
          </w:p>
        </w:tc>
        <w:tc>
          <w:tcPr>
            <w:tcW w:w="180" w:type="dxa"/>
            <w:vAlign w:val="bottom"/>
          </w:tcPr>
          <w:p>
            <w:pPr>
              <w:spacing w:after="0"/>
              <w:rPr>
                <w:sz w:val="23"/>
                <w:szCs w:val="2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PAA</w:t>
            </w:r>
          </w:p>
        </w:tc>
        <w:tc>
          <w:tcPr>
            <w:tcW w:w="160" w:type="dxa"/>
            <w:vAlign w:val="bottom"/>
          </w:tcPr>
          <w:p>
            <w:pPr>
              <w:spacing w:after="0"/>
              <w:rPr>
                <w:sz w:val="23"/>
                <w:szCs w:val="23"/>
                <w:color w:val="auto"/>
              </w:rPr>
            </w:pPr>
          </w:p>
        </w:tc>
        <w:tc>
          <w:tcPr>
            <w:tcW w:w="1360" w:type="dxa"/>
            <w:vAlign w:val="bottom"/>
            <w:gridSpan w:val="3"/>
          </w:tcPr>
          <w:p>
            <w:pPr>
              <w:jc w:val="center"/>
              <w:ind w:right="80"/>
              <w:spacing w:after="0" w:line="271" w:lineRule="exact"/>
              <w:rPr>
                <w:sz w:val="20"/>
                <w:szCs w:val="20"/>
                <w:color w:val="auto"/>
              </w:rPr>
            </w:pPr>
            <w:r>
              <w:rPr>
                <w:rFonts w:ascii="Arial" w:cs="Arial" w:eastAsia="Arial" w:hAnsi="Arial"/>
                <w:sz w:val="18"/>
                <w:szCs w:val="18"/>
                <w:b w:val="1"/>
                <w:bCs w:val="1"/>
                <w:color w:val="auto"/>
                <w:w w:val="86"/>
              </w:rPr>
              <w:t xml:space="preserve">Adjustments </w:t>
            </w:r>
            <w:r>
              <w:rPr>
                <w:rFonts w:ascii="Arial" w:cs="Arial" w:eastAsia="Arial" w:hAnsi="Arial"/>
                <w:sz w:val="30"/>
                <w:szCs w:val="30"/>
                <w:b w:val="1"/>
                <w:bCs w:val="1"/>
                <w:color w:val="auto"/>
                <w:w w:val="86"/>
                <w:vertAlign w:val="superscript"/>
              </w:rPr>
              <w:t>(1)</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PAGP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8,234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8,234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6,955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320</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163</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2"/>
              </w:rPr>
              <w:t>(Gains)/losses on asset sales and asset impairments, net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331</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115</w:t>
            </w:r>
          </w:p>
        </w:tc>
        <w:tc>
          <w:tcPr>
            <w:tcW w:w="4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Gain/(loss) on investment in unconsolidated entities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(114)</w:t>
            </w:r>
          </w:p>
        </w:tc>
        <w:tc>
          <w:tcPr>
            <w:tcW w:w="4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332</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8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307</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19"/>
                <w:szCs w:val="19"/>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(882)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CLASS A SHARE</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WEIGHTED AVERAGE CLASS A SHARES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OUTSTANDING</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 CLASS A</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SHARES OUTSTANDING</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171450</wp:posOffset>
            </wp:positionV>
            <wp:extent cx="18097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1" w:lineRule="exact"/>
        <w:rPr>
          <w:sz w:val="20"/>
          <w:szCs w:val="20"/>
          <w:color w:val="auto"/>
        </w:rPr>
      </w:pPr>
    </w:p>
    <w:p>
      <w:pPr>
        <w:ind w:left="360" w:hanging="332"/>
        <w:spacing w:after="0"/>
        <w:tabs>
          <w:tab w:leader="none" w:pos="360"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Represents the aggregate consolidating adjustments necessary to produce consolidated financial statements for PAGP.</w:t>
      </w:r>
    </w:p>
    <w:p>
      <w:pPr>
        <w:spacing w:after="0" w:line="207" w:lineRule="exact"/>
        <w:rPr>
          <w:rFonts w:ascii="Arial" w:cs="Arial" w:eastAsia="Arial" w:hAnsi="Arial"/>
          <w:sz w:val="27"/>
          <w:szCs w:val="27"/>
          <w:color w:val="auto"/>
          <w:vertAlign w:val="superscript"/>
        </w:rPr>
      </w:pPr>
    </w:p>
    <w:p>
      <w:pPr>
        <w:ind w:left="5540" w:hanging="96"/>
        <w:spacing w:after="0"/>
        <w:tabs>
          <w:tab w:leader="none" w:pos="5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152400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40"/>
        <w:spacing w:after="0"/>
        <w:tabs>
          <w:tab w:leader="none" w:pos="4860" w:val="left"/>
          <w:tab w:leader="none" w:pos="766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480695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2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7"/>
          </w:tcPr>
          <w:p>
            <w:pPr>
              <w:jc w:val="center"/>
              <w:ind w:left="470"/>
              <w:spacing w:after="0"/>
              <w:rPr>
                <w:sz w:val="20"/>
                <w:szCs w:val="20"/>
                <w:color w:val="auto"/>
              </w:rPr>
            </w:pPr>
            <w:r>
              <w:rPr>
                <w:rFonts w:ascii="Arial" w:cs="Arial" w:eastAsia="Arial" w:hAnsi="Arial"/>
                <w:sz w:val="18"/>
                <w:szCs w:val="18"/>
                <w:b w:val="1"/>
                <w:bCs w:val="1"/>
                <w:color w:val="auto"/>
                <w:w w:val="90"/>
              </w:rPr>
              <w:t>Twelve Months Ended</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7"/>
          </w:tcPr>
          <w:p>
            <w:pPr>
              <w:jc w:val="center"/>
              <w:ind w:left="490"/>
              <w:spacing w:after="0"/>
              <w:rPr>
                <w:sz w:val="20"/>
                <w:szCs w:val="20"/>
                <w:color w:val="auto"/>
              </w:rPr>
            </w:pPr>
            <w:r>
              <w:rPr>
                <w:rFonts w:ascii="Arial" w:cs="Arial" w:eastAsia="Arial" w:hAnsi="Arial"/>
                <w:sz w:val="18"/>
                <w:szCs w:val="18"/>
                <w:b w:val="1"/>
                <w:bCs w:val="1"/>
                <w:color w:val="auto"/>
                <w:w w:val="89"/>
              </w:rPr>
              <w:t>Twelve Months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2019</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2018</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center"/>
              <w:ind w:right="120"/>
              <w:spacing w:after="0" w:line="195" w:lineRule="exact"/>
              <w:rPr>
                <w:sz w:val="20"/>
                <w:szCs w:val="20"/>
                <w:color w:val="auto"/>
              </w:rPr>
            </w:pPr>
            <w:r>
              <w:rPr>
                <w:rFonts w:ascii="Arial" w:cs="Arial" w:eastAsia="Arial" w:hAnsi="Arial"/>
                <w:sz w:val="18"/>
                <w:szCs w:val="18"/>
                <w:b w:val="1"/>
                <w:bCs w:val="1"/>
                <w:color w:val="auto"/>
                <w:w w:val="89"/>
              </w:rPr>
              <w:t>Consolidating</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center"/>
              <w:ind w:right="140"/>
              <w:spacing w:after="0" w:line="195" w:lineRule="exact"/>
              <w:rPr>
                <w:sz w:val="20"/>
                <w:szCs w:val="20"/>
                <w:color w:val="auto"/>
              </w:rPr>
            </w:pPr>
            <w:r>
              <w:rPr>
                <w:rFonts w:ascii="Arial" w:cs="Arial" w:eastAsia="Arial" w:hAnsi="Arial"/>
                <w:sz w:val="18"/>
                <w:szCs w:val="18"/>
                <w:b w:val="1"/>
                <w:bCs w:val="1"/>
                <w:color w:val="auto"/>
                <w:w w:val="88"/>
              </w:rPr>
              <w:t>Consolidating</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PAA</w:t>
            </w:r>
          </w:p>
        </w:tc>
        <w:tc>
          <w:tcPr>
            <w:tcW w:w="160" w:type="dxa"/>
            <w:vAlign w:val="bottom"/>
          </w:tcPr>
          <w:p>
            <w:pPr>
              <w:spacing w:after="0"/>
              <w:rPr>
                <w:sz w:val="23"/>
                <w:szCs w:val="23"/>
                <w:color w:val="auto"/>
              </w:rPr>
            </w:pPr>
          </w:p>
        </w:tc>
        <w:tc>
          <w:tcPr>
            <w:tcW w:w="1360" w:type="dxa"/>
            <w:vAlign w:val="bottom"/>
            <w:gridSpan w:val="3"/>
          </w:tcPr>
          <w:p>
            <w:pPr>
              <w:jc w:val="center"/>
              <w:ind w:right="120"/>
              <w:spacing w:after="0" w:line="271" w:lineRule="exact"/>
              <w:rPr>
                <w:sz w:val="20"/>
                <w:szCs w:val="20"/>
                <w:color w:val="auto"/>
              </w:rPr>
            </w:pPr>
            <w:r>
              <w:rPr>
                <w:rFonts w:ascii="Arial" w:cs="Arial" w:eastAsia="Arial" w:hAnsi="Arial"/>
                <w:sz w:val="18"/>
                <w:szCs w:val="18"/>
                <w:b w:val="1"/>
                <w:bCs w:val="1"/>
                <w:color w:val="auto"/>
                <w:w w:val="86"/>
              </w:rPr>
              <w:t>Adjustments</w:t>
            </w:r>
            <w:r>
              <w:rPr>
                <w:rFonts w:ascii="Arial" w:cs="Arial" w:eastAsia="Arial" w:hAnsi="Arial"/>
                <w:sz w:val="30"/>
                <w:szCs w:val="30"/>
                <w:b w:val="1"/>
                <w:bCs w:val="1"/>
                <w:color w:val="auto"/>
                <w:w w:val="86"/>
                <w:vertAlign w:val="superscript"/>
              </w:rPr>
              <w:t>(1)</w:t>
            </w:r>
          </w:p>
        </w:tc>
        <w:tc>
          <w:tcPr>
            <w:tcW w:w="160" w:type="dxa"/>
            <w:vAlign w:val="bottom"/>
          </w:tcPr>
          <w:p>
            <w:pPr>
              <w:spacing w:after="0"/>
              <w:rPr>
                <w:sz w:val="23"/>
                <w:szCs w:val="23"/>
                <w:color w:val="auto"/>
              </w:rPr>
            </w:pPr>
          </w:p>
        </w:tc>
        <w:tc>
          <w:tcPr>
            <w:tcW w:w="1040" w:type="dxa"/>
            <w:vAlign w:val="bottom"/>
            <w:gridSpan w:val="3"/>
          </w:tcPr>
          <w:p>
            <w:pPr>
              <w:ind w:left="40"/>
              <w:spacing w:after="0"/>
              <w:rPr>
                <w:sz w:val="20"/>
                <w:szCs w:val="20"/>
                <w:color w:val="auto"/>
              </w:rPr>
            </w:pPr>
            <w:r>
              <w:rPr>
                <w:rFonts w:ascii="Arial" w:cs="Arial" w:eastAsia="Arial" w:hAnsi="Arial"/>
                <w:sz w:val="18"/>
                <w:szCs w:val="18"/>
                <w:b w:val="1"/>
                <w:bCs w:val="1"/>
                <w:color w:val="auto"/>
              </w:rPr>
              <w:t>PAGP</w:t>
            </w:r>
          </w:p>
        </w:tc>
        <w:tc>
          <w:tcPr>
            <w:tcW w:w="180" w:type="dxa"/>
            <w:vAlign w:val="bottom"/>
          </w:tcPr>
          <w:p>
            <w:pPr>
              <w:spacing w:after="0"/>
              <w:rPr>
                <w:sz w:val="23"/>
                <w:szCs w:val="2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PAA</w:t>
            </w:r>
          </w:p>
        </w:tc>
        <w:tc>
          <w:tcPr>
            <w:tcW w:w="160" w:type="dxa"/>
            <w:vAlign w:val="bottom"/>
          </w:tcPr>
          <w:p>
            <w:pPr>
              <w:spacing w:after="0"/>
              <w:rPr>
                <w:sz w:val="23"/>
                <w:szCs w:val="23"/>
                <w:color w:val="auto"/>
              </w:rPr>
            </w:pPr>
          </w:p>
        </w:tc>
        <w:tc>
          <w:tcPr>
            <w:tcW w:w="1360" w:type="dxa"/>
            <w:vAlign w:val="bottom"/>
            <w:gridSpan w:val="3"/>
          </w:tcPr>
          <w:p>
            <w:pPr>
              <w:jc w:val="center"/>
              <w:ind w:right="120"/>
              <w:spacing w:after="0" w:line="271" w:lineRule="exact"/>
              <w:rPr>
                <w:sz w:val="20"/>
                <w:szCs w:val="20"/>
                <w:color w:val="auto"/>
              </w:rPr>
            </w:pPr>
            <w:r>
              <w:rPr>
                <w:rFonts w:ascii="Arial" w:cs="Arial" w:eastAsia="Arial" w:hAnsi="Arial"/>
                <w:sz w:val="18"/>
                <w:szCs w:val="18"/>
                <w:b w:val="1"/>
                <w:bCs w:val="1"/>
                <w:color w:val="auto"/>
                <w:w w:val="86"/>
              </w:rPr>
              <w:t>Adjustments</w:t>
            </w:r>
            <w:r>
              <w:rPr>
                <w:rFonts w:ascii="Arial" w:cs="Arial" w:eastAsia="Arial" w:hAnsi="Arial"/>
                <w:sz w:val="30"/>
                <w:szCs w:val="30"/>
                <w:b w:val="1"/>
                <w:bCs w:val="1"/>
                <w:color w:val="auto"/>
                <w:w w:val="86"/>
                <w:vertAlign w:val="superscript"/>
              </w:rPr>
              <w:t>(1)</w:t>
            </w:r>
          </w:p>
        </w:tc>
        <w:tc>
          <w:tcPr>
            <w:tcW w:w="140" w:type="dxa"/>
            <w:vAlign w:val="bottom"/>
          </w:tcPr>
          <w:p>
            <w:pPr>
              <w:spacing w:after="0"/>
              <w:rPr>
                <w:sz w:val="23"/>
                <w:szCs w:val="2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PAGP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29,452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29,452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29,793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2"/>
              </w:rPr>
              <w:t>(Gains)/losses on asset sales and asset impairments, net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31,689</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Gain/(loss) on investment in unconsolidated entities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(1,722)</w:t>
            </w:r>
          </w:p>
        </w:tc>
        <w:tc>
          <w:tcPr>
            <w:tcW w:w="16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(1,731)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(1,773)</w:t>
            </w: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CLASS A SHARE</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WEIGHTED AVERAGE CLASS A SHARES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 CLASS A</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SHARES OUTSTANDING</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7"/>
          <w:szCs w:val="27"/>
          <w:color w:val="auto"/>
          <w:vertAlign w:val="superscript"/>
        </w:rPr>
      </w:pPr>
      <w:r>
        <w:rPr>
          <w:rFonts w:ascii="Arial" w:cs="Arial" w:eastAsia="Arial" w:hAnsi="Arial"/>
          <w:sz w:val="16"/>
          <w:szCs w:val="16"/>
          <w:color w:val="auto"/>
        </w:rPr>
        <w:t>Represents the aggregate consolidating adjustments necessary to produce consolidated financial statements for PAGP.</w:t>
      </w:r>
    </w:p>
    <w:p>
      <w:pPr>
        <w:spacing w:after="0" w:line="207"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0"/>
              </w:rPr>
              <w:t>December 31, 2019</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1"/>
              </w:rPr>
              <w:t>December 31, 2018</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jc w:val="right"/>
              <w:ind w:right="260"/>
              <w:spacing w:after="0" w:line="195" w:lineRule="exact"/>
              <w:rPr>
                <w:sz w:val="20"/>
                <w:szCs w:val="20"/>
                <w:color w:val="auto"/>
              </w:rPr>
            </w:pPr>
            <w:r>
              <w:rPr>
                <w:rFonts w:ascii="Arial" w:cs="Arial" w:eastAsia="Arial" w:hAnsi="Arial"/>
                <w:sz w:val="18"/>
                <w:szCs w:val="18"/>
                <w:b w:val="1"/>
                <w:bCs w:val="1"/>
                <w:color w:val="auto"/>
                <w:w w:val="89"/>
              </w:rPr>
              <w:t>Consolidating</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tcPr>
          <w:p>
            <w:pPr>
              <w:jc w:val="right"/>
              <w:ind w:right="280"/>
              <w:spacing w:after="0" w:line="195" w:lineRule="exact"/>
              <w:rPr>
                <w:sz w:val="20"/>
                <w:szCs w:val="20"/>
                <w:color w:val="auto"/>
              </w:rPr>
            </w:pPr>
            <w:r>
              <w:rPr>
                <w:rFonts w:ascii="Arial" w:cs="Arial" w:eastAsia="Arial" w:hAnsi="Arial"/>
                <w:sz w:val="18"/>
                <w:szCs w:val="18"/>
                <w:b w:val="1"/>
                <w:bCs w:val="1"/>
                <w:color w:val="auto"/>
                <w:w w:val="91"/>
              </w:rPr>
              <w:t>Consolidating</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PAA</w:t>
            </w:r>
          </w:p>
        </w:tc>
        <w:tc>
          <w:tcPr>
            <w:tcW w:w="180" w:type="dxa"/>
            <w:vAlign w:val="bottom"/>
          </w:tcPr>
          <w:p>
            <w:pPr>
              <w:spacing w:after="0"/>
              <w:rPr>
                <w:sz w:val="23"/>
                <w:szCs w:val="23"/>
                <w:color w:val="auto"/>
              </w:rPr>
            </w:pPr>
          </w:p>
        </w:tc>
        <w:tc>
          <w:tcPr>
            <w:tcW w:w="1360" w:type="dxa"/>
            <w:vAlign w:val="bottom"/>
            <w:gridSpan w:val="3"/>
          </w:tcPr>
          <w:p>
            <w:pPr>
              <w:spacing w:after="0" w:line="271" w:lineRule="exact"/>
              <w:rPr>
                <w:sz w:val="20"/>
                <w:szCs w:val="20"/>
                <w:color w:val="auto"/>
              </w:rPr>
            </w:pPr>
            <w:r>
              <w:rPr>
                <w:rFonts w:ascii="Arial" w:cs="Arial" w:eastAsia="Arial" w:hAnsi="Arial"/>
                <w:sz w:val="18"/>
                <w:szCs w:val="18"/>
                <w:b w:val="1"/>
                <w:bCs w:val="1"/>
                <w:color w:val="auto"/>
              </w:rPr>
              <w:t>Adjustments</w:t>
            </w:r>
            <w:r>
              <w:rPr>
                <w:rFonts w:ascii="Arial" w:cs="Arial" w:eastAsia="Arial" w:hAnsi="Arial"/>
                <w:sz w:val="30"/>
                <w:szCs w:val="30"/>
                <w:b w:val="1"/>
                <w:bCs w:val="1"/>
                <w:color w:val="auto"/>
                <w:vertAlign w:val="superscript"/>
              </w:rPr>
              <w:t>(1)</w:t>
            </w:r>
          </w:p>
        </w:tc>
        <w:tc>
          <w:tcPr>
            <w:tcW w:w="140" w:type="dxa"/>
            <w:vAlign w:val="bottom"/>
          </w:tcPr>
          <w:p>
            <w:pPr>
              <w:spacing w:after="0"/>
              <w:rPr>
                <w:sz w:val="23"/>
                <w:szCs w:val="23"/>
                <w:color w:val="auto"/>
              </w:rPr>
            </w:pPr>
          </w:p>
        </w:tc>
        <w:tc>
          <w:tcPr>
            <w:tcW w:w="960" w:type="dxa"/>
            <w:vAlign w:val="bottom"/>
            <w:gridSpan w:val="3"/>
          </w:tcPr>
          <w:p>
            <w:pPr>
              <w:ind w:left="60"/>
              <w:spacing w:after="0"/>
              <w:rPr>
                <w:sz w:val="20"/>
                <w:szCs w:val="20"/>
                <w:color w:val="auto"/>
              </w:rPr>
            </w:pPr>
            <w:r>
              <w:rPr>
                <w:rFonts w:ascii="Arial" w:cs="Arial" w:eastAsia="Arial" w:hAnsi="Arial"/>
                <w:sz w:val="18"/>
                <w:szCs w:val="18"/>
                <w:b w:val="1"/>
                <w:bCs w:val="1"/>
                <w:color w:val="auto"/>
              </w:rPr>
              <w:t>PAGP</w:t>
            </w:r>
          </w:p>
        </w:tc>
        <w:tc>
          <w:tcPr>
            <w:tcW w:w="180" w:type="dxa"/>
            <w:vAlign w:val="bottom"/>
          </w:tcPr>
          <w:p>
            <w:pPr>
              <w:spacing w:after="0"/>
              <w:rPr>
                <w:sz w:val="23"/>
                <w:szCs w:val="2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PAA</w:t>
            </w:r>
          </w:p>
        </w:tc>
        <w:tc>
          <w:tcPr>
            <w:tcW w:w="1580" w:type="dxa"/>
            <w:vAlign w:val="bottom"/>
            <w:gridSpan w:val="4"/>
          </w:tcPr>
          <w:p>
            <w:pPr>
              <w:ind w:left="180"/>
              <w:spacing w:after="0" w:line="271" w:lineRule="exact"/>
              <w:rPr>
                <w:sz w:val="20"/>
                <w:szCs w:val="20"/>
                <w:color w:val="auto"/>
              </w:rPr>
            </w:pPr>
            <w:r>
              <w:rPr>
                <w:rFonts w:ascii="Arial" w:cs="Arial" w:eastAsia="Arial" w:hAnsi="Arial"/>
                <w:sz w:val="18"/>
                <w:szCs w:val="18"/>
                <w:b w:val="1"/>
                <w:bCs w:val="1"/>
                <w:color w:val="auto"/>
                <w:w w:val="99"/>
              </w:rPr>
              <w:t xml:space="preserve">Adjustments </w:t>
            </w:r>
            <w:r>
              <w:rPr>
                <w:rFonts w:ascii="Arial" w:cs="Arial" w:eastAsia="Arial" w:hAnsi="Arial"/>
                <w:sz w:val="30"/>
                <w:szCs w:val="30"/>
                <w:b w:val="1"/>
                <w:bCs w:val="1"/>
                <w:color w:val="auto"/>
                <w:w w:val="99"/>
                <w:vertAlign w:val="superscript"/>
              </w:rPr>
              <w:t>(1)</w:t>
            </w:r>
          </w:p>
        </w:tc>
        <w:tc>
          <w:tcPr>
            <w:tcW w:w="140" w:type="dxa"/>
            <w:vAlign w:val="bottom"/>
          </w:tcPr>
          <w:p>
            <w:pPr>
              <w:spacing w:after="0"/>
              <w:rPr>
                <w:sz w:val="23"/>
                <w:szCs w:val="23"/>
                <w:color w:val="auto"/>
              </w:rPr>
            </w:pPr>
          </w:p>
        </w:tc>
        <w:tc>
          <w:tcPr>
            <w:tcW w:w="860" w:type="dxa"/>
            <w:vAlign w:val="bottom"/>
            <w:gridSpan w:val="3"/>
          </w:tcPr>
          <w:p>
            <w:pPr>
              <w:ind w:left="60"/>
              <w:spacing w:after="0"/>
              <w:rPr>
                <w:sz w:val="20"/>
                <w:szCs w:val="20"/>
                <w:color w:val="auto"/>
              </w:rPr>
            </w:pPr>
            <w:r>
              <w:rPr>
                <w:rFonts w:ascii="Arial" w:cs="Arial" w:eastAsia="Arial" w:hAnsi="Arial"/>
                <w:sz w:val="18"/>
                <w:szCs w:val="18"/>
                <w:b w:val="1"/>
                <w:bCs w:val="1"/>
                <w:color w:val="auto"/>
              </w:rPr>
              <w:t>PAGP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Current assets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4,612</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4,614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3,533</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3,536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15,355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14,787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2,540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2,540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2,521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Deferred tax asset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1,280</w:t>
            </w:r>
          </w:p>
        </w:tc>
        <w:tc>
          <w:tcPr>
            <w:tcW w:w="1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1,304</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9"/>
              </w:rPr>
              <w:t>Long-term operating lease right-of-use assets, net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858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916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29,969</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5,017</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5,019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3,456</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3,458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8,939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long-term debt, net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long-term liabilities and deferred credits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891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910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15,482</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13,509</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9"/>
              </w:rPr>
              <w:t>Partners’ capital excluding noncontrolling interests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13,062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(10,907)</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12,197</w:t>
            </w:r>
          </w:p>
        </w:tc>
        <w:tc>
          <w:tcPr>
            <w:tcW w:w="14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12,330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11,473</w:t>
            </w: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11,473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Total liabilities and partners’ capital</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7"/>
          <w:szCs w:val="27"/>
          <w:color w:val="auto"/>
          <w:vertAlign w:val="superscript"/>
        </w:rPr>
      </w:pPr>
      <w:r>
        <w:rPr>
          <w:rFonts w:ascii="Arial" w:cs="Arial" w:eastAsia="Arial" w:hAnsi="Arial"/>
          <w:sz w:val="16"/>
          <w:szCs w:val="16"/>
          <w:color w:val="auto"/>
        </w:rPr>
        <w:t>Represents the aggregate consolidating adjustments necessary to produce consolidated financial statements for PAGP.</w:t>
      </w:r>
    </w:p>
    <w:p>
      <w:pPr>
        <w:spacing w:after="0" w:line="207" w:lineRule="exact"/>
        <w:rPr>
          <w:rFonts w:ascii="Arial" w:cs="Arial" w:eastAsia="Arial" w:hAnsi="Arial"/>
          <w:sz w:val="27"/>
          <w:szCs w:val="27"/>
          <w:color w:val="auto"/>
          <w:vertAlign w:val="superscript"/>
        </w:rPr>
      </w:pPr>
    </w:p>
    <w:p>
      <w:pPr>
        <w:ind w:left="5520" w:hanging="96"/>
        <w:spacing w:after="0"/>
        <w:tabs>
          <w:tab w:leader="none" w:pos="5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1720"/>
        <w:spacing w:after="0"/>
        <w:tabs>
          <w:tab w:leader="none" w:pos="4840" w:val="left"/>
          <w:tab w:leader="none" w:pos="76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Page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478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ind w:left="22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8"/>
                <w:szCs w:val="18"/>
                <w:b w:val="1"/>
                <w:bCs w:val="1"/>
                <w:color w:val="auto"/>
                <w:w w:val="88"/>
              </w:rPr>
              <w:t>December 31,</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Net Income per Class A Share</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attributable to PAGP</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0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Class A shares outstanding</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Class A share</w:t>
            </w:r>
          </w:p>
        </w:tc>
        <w:tc>
          <w:tcPr>
            <w:tcW w:w="840" w:type="dxa"/>
            <w:vAlign w:val="bottom"/>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attributable to PAGP</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0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Incremental net income attributable to PAGP resulting from assumed</w:t>
            </w: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exchange of AAP Management Units</w:t>
            </w:r>
          </w:p>
        </w:tc>
        <w:tc>
          <w:tcPr>
            <w:tcW w:w="8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tcPr>
          <w:p>
            <w:pPr>
              <w:spacing w:after="0" w:line="182" w:lineRule="exact"/>
              <w:rPr>
                <w:sz w:val="20"/>
                <w:szCs w:val="20"/>
                <w:color w:val="auto"/>
              </w:rPr>
            </w:pPr>
            <w:r>
              <w:rPr>
                <w:rFonts w:ascii="Arial" w:cs="Arial" w:eastAsia="Arial" w:hAnsi="Arial"/>
                <w:sz w:val="18"/>
                <w:szCs w:val="18"/>
                <w:color w:val="auto"/>
                <w:w w:val="98"/>
              </w:rPr>
              <w:t>Net income attributable to PAGP including incremental net income from</w:t>
            </w:r>
          </w:p>
        </w:tc>
        <w:tc>
          <w:tcPr>
            <w:tcW w:w="8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assumed exchange of AAP Management Units</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10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333</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weighted average Class A shares outstanding</w:t>
            </w:r>
          </w:p>
        </w:tc>
        <w:tc>
          <w:tcPr>
            <w:tcW w:w="8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3"/>
              </w:rPr>
              <w:t>Dilutive shares resulting from assumed exchange of AAP Management</w:t>
            </w: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Units</w:t>
            </w:r>
          </w:p>
        </w:tc>
        <w:tc>
          <w:tcPr>
            <w:tcW w:w="8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weighted average Class A shares outstanding</w:t>
            </w:r>
          </w:p>
        </w:tc>
        <w:tc>
          <w:tcPr>
            <w:tcW w:w="84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vMerge w:val="continue"/>
          </w:tcPr>
          <w:p>
            <w:pPr>
              <w:spacing w:after="0"/>
              <w:rPr>
                <w:sz w:val="24"/>
                <w:szCs w:val="24"/>
                <w:color w:val="auto"/>
              </w:rPr>
            </w:pPr>
          </w:p>
        </w:tc>
        <w:tc>
          <w:tcPr>
            <w:tcW w:w="5600" w:type="dxa"/>
            <w:vAlign w:val="bottom"/>
          </w:tcPr>
          <w:p>
            <w:pPr>
              <w:spacing w:after="0" w:line="284" w:lineRule="exact"/>
              <w:rPr>
                <w:sz w:val="20"/>
                <w:szCs w:val="20"/>
                <w:color w:val="auto"/>
              </w:rPr>
            </w:pPr>
            <w:r>
              <w:rPr>
                <w:rFonts w:ascii="Arial" w:cs="Arial" w:eastAsia="Arial" w:hAnsi="Arial"/>
                <w:sz w:val="18"/>
                <w:szCs w:val="18"/>
                <w:color w:val="auto"/>
              </w:rPr>
              <w:t xml:space="preserve">Diluted net income per Class A share </w:t>
            </w:r>
            <w:r>
              <w:rPr>
                <w:rFonts w:ascii="Arial" w:cs="Arial" w:eastAsia="Arial" w:hAnsi="Arial"/>
                <w:sz w:val="30"/>
                <w:szCs w:val="30"/>
                <w:color w:val="auto"/>
                <w:vertAlign w:val="superscript"/>
              </w:rPr>
              <w:t>(1)</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10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0" w:lineRule="exact"/>
        <w:rPr>
          <w:sz w:val="20"/>
          <w:szCs w:val="20"/>
          <w:color w:val="auto"/>
        </w:rPr>
      </w:pPr>
    </w:p>
    <w:p>
      <w:pPr>
        <w:ind w:left="340" w:right="160" w:hanging="332"/>
        <w:spacing w:after="0" w:line="209" w:lineRule="auto"/>
        <w:tabs>
          <w:tab w:leader="none" w:pos="34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For the twelve months ended December 31, 2018, the possible exchange of AAP units would have had a dilutive effect on basic net income per Class A share. For the three months ended December 31, 2018 and the twelve months ended December 31, 2019 and 2018, the possible exchange of AAP Management Units would have had a dilutive effect on basic net income per Class A share.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1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38"/>
        </w:trPr>
        <w:tc>
          <w:tcPr>
            <w:tcW w:w="4320" w:type="dxa"/>
            <w:vAlign w:val="bottom"/>
            <w:gridSpan w:val="2"/>
          </w:tcPr>
          <w:p>
            <w:pPr>
              <w:spacing w:after="0"/>
              <w:rPr>
                <w:sz w:val="20"/>
                <w:szCs w:val="20"/>
                <w:color w:val="auto"/>
              </w:rPr>
            </w:pPr>
            <w:r>
              <w:rPr>
                <w:rFonts w:ascii="Arial" w:cs="Arial" w:eastAsia="Arial" w:hAnsi="Arial"/>
                <w:sz w:val="18"/>
                <w:szCs w:val="18"/>
                <w:color w:val="auto"/>
              </w:rPr>
              <w:t>Roy Lamoreaux</w:t>
            </w:r>
          </w:p>
        </w:tc>
        <w:tc>
          <w:tcPr>
            <w:tcW w:w="186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color w:val="auto"/>
              </w:rPr>
              <w:t>Brett Magill</w:t>
            </w:r>
          </w:p>
        </w:tc>
        <w:tc>
          <w:tcPr>
            <w:tcW w:w="3760" w:type="dxa"/>
            <w:vAlign w:val="bottom"/>
          </w:tcPr>
          <w:p>
            <w:pPr>
              <w:spacing w:after="0"/>
              <w:rPr>
                <w:sz w:val="24"/>
                <w:szCs w:val="24"/>
                <w:color w:val="auto"/>
              </w:rPr>
            </w:pPr>
          </w:p>
        </w:tc>
      </w:tr>
      <w:tr>
        <w:trPr>
          <w:trHeight w:val="216"/>
        </w:trPr>
        <w:tc>
          <w:tcPr>
            <w:tcW w:w="6180" w:type="dxa"/>
            <w:vAlign w:val="bottom"/>
            <w:gridSpan w:val="3"/>
          </w:tcPr>
          <w:p>
            <w:pPr>
              <w:spacing w:after="0"/>
              <w:rPr>
                <w:sz w:val="20"/>
                <w:szCs w:val="20"/>
                <w:color w:val="auto"/>
              </w:rPr>
            </w:pPr>
            <w:r>
              <w:rPr>
                <w:rFonts w:ascii="Arial" w:cs="Arial" w:eastAsia="Arial" w:hAnsi="Arial"/>
                <w:sz w:val="18"/>
                <w:szCs w:val="18"/>
                <w:color w:val="auto"/>
                <w:w w:val="97"/>
              </w:rPr>
              <w:t>Vice President, Investor Relations, Communications and Government Relations</w:t>
            </w:r>
          </w:p>
        </w:tc>
        <w:tc>
          <w:tcPr>
            <w:tcW w:w="5240" w:type="dxa"/>
            <w:vAlign w:val="bottom"/>
            <w:gridSpan w:val="2"/>
          </w:tcPr>
          <w:p>
            <w:pPr>
              <w:ind w:left="340"/>
              <w:spacing w:after="0"/>
              <w:rPr>
                <w:sz w:val="20"/>
                <w:szCs w:val="20"/>
                <w:color w:val="auto"/>
              </w:rPr>
            </w:pPr>
            <w:r>
              <w:rPr>
                <w:rFonts w:ascii="Arial" w:cs="Arial" w:eastAsia="Arial" w:hAnsi="Arial"/>
                <w:sz w:val="18"/>
                <w:szCs w:val="18"/>
                <w:color w:val="auto"/>
              </w:rPr>
              <w:t>Director, Investor Relations</w:t>
            </w: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1860" w:type="dxa"/>
            <w:vAlign w:val="bottom"/>
          </w:tcPr>
          <w:p>
            <w:pPr>
              <w:spacing w:after="0"/>
              <w:rPr>
                <w:sz w:val="20"/>
                <w:szCs w:val="20"/>
                <w:color w:val="auto"/>
              </w:rPr>
            </w:pPr>
          </w:p>
        </w:tc>
        <w:tc>
          <w:tcPr>
            <w:tcW w:w="1480" w:type="dxa"/>
            <w:vAlign w:val="bottom"/>
          </w:tcPr>
          <w:p>
            <w:pPr>
              <w:ind w:left="340"/>
              <w:spacing w:after="0"/>
              <w:rPr>
                <w:sz w:val="20"/>
                <w:szCs w:val="20"/>
                <w:color w:val="auto"/>
              </w:rPr>
            </w:pPr>
            <w:r>
              <w:rPr>
                <w:rFonts w:ascii="Arial" w:cs="Arial" w:eastAsia="Arial" w:hAnsi="Arial"/>
                <w:sz w:val="18"/>
                <w:szCs w:val="18"/>
                <w:color w:val="auto"/>
                <w:w w:val="90"/>
              </w:rPr>
              <w:t>(866) 809-1291</w:t>
            </w:r>
          </w:p>
        </w:tc>
        <w:tc>
          <w:tcPr>
            <w:tcW w:w="376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16"/>
        </w:trPr>
        <w:tc>
          <w:tcPr>
            <w:tcW w:w="6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2"/>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r>
      <w:tr>
        <w:trPr>
          <w:trHeight w:val="237"/>
        </w:trPr>
        <w:tc>
          <w:tcPr>
            <w:tcW w:w="640" w:type="dxa"/>
            <w:vAlign w:val="bottom"/>
          </w:tcPr>
          <w:p>
            <w:pPr>
              <w:spacing w:after="0"/>
              <w:rPr>
                <w:sz w:val="20"/>
                <w:szCs w:val="20"/>
                <w:color w:val="auto"/>
              </w:rPr>
            </w:pPr>
          </w:p>
        </w:tc>
        <w:tc>
          <w:tcPr>
            <w:tcW w:w="3680" w:type="dxa"/>
            <w:vAlign w:val="bottom"/>
          </w:tcPr>
          <w:p>
            <w:pPr>
              <w:ind w:left="1080"/>
              <w:spacing w:after="0"/>
              <w:rPr>
                <w:sz w:val="20"/>
                <w:szCs w:val="20"/>
                <w:color w:val="auto"/>
              </w:rPr>
            </w:pPr>
            <w:r>
              <w:rPr>
                <w:rFonts w:ascii="Arial" w:cs="Arial" w:eastAsia="Arial" w:hAnsi="Arial"/>
                <w:sz w:val="18"/>
                <w:szCs w:val="18"/>
                <w:b w:val="1"/>
                <w:bCs w:val="1"/>
                <w:color w:val="auto"/>
              </w:rPr>
              <w:t>333 Clay Street, Suite 1600</w:t>
            </w:r>
          </w:p>
        </w:tc>
        <w:tc>
          <w:tcPr>
            <w:tcW w:w="334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0"/>
              </w:rPr>
              <w:t>Houston, Texas 77002</w:t>
            </w:r>
          </w:p>
        </w:tc>
        <w:tc>
          <w:tcPr>
            <w:tcW w:w="3760" w:type="dxa"/>
            <w:vAlign w:val="bottom"/>
          </w:tcPr>
          <w:p>
            <w:pPr>
              <w:jc w:val="right"/>
              <w:ind w:right="1490"/>
              <w:spacing w:after="0"/>
              <w:rPr>
                <w:sz w:val="20"/>
                <w:szCs w:val="20"/>
                <w:color w:val="auto"/>
              </w:rPr>
            </w:pPr>
            <w:r>
              <w:rPr>
                <w:rFonts w:ascii="Arial" w:cs="Arial" w:eastAsia="Arial" w:hAnsi="Arial"/>
                <w:sz w:val="18"/>
                <w:szCs w:val="18"/>
                <w:b w:val="1"/>
                <w:bCs w:val="1"/>
                <w:color w:val="auto"/>
                <w:w w:val="90"/>
              </w:rPr>
              <w:t>713-646-4100 / 866-809-1291</w:t>
            </w:r>
          </w:p>
        </w:tc>
      </w:tr>
      <w:tr>
        <w:trPr>
          <w:trHeight w:val="702"/>
        </w:trPr>
        <w:tc>
          <w:tcPr>
            <w:tcW w:w="6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lvl w:ilvl="1">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lvl w:ilvl="1">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lvl w:ilvl="1">
      <w:lvlJc w:val="left"/>
      <w:lvlText w:val="-"/>
      <w:numFmt w:val="bullet"/>
      <w:start w:val="1"/>
    </w:lvl>
  </w:abstractNum>
  <w:abstractNum w:abstractNumId="6">
    <w:nsid w:val="1BEFD79F"/>
    <w:multiLevelType w:val="hybridMultilevel"/>
    <w:lvl w:ilvl="0">
      <w:lvlJc w:val="left"/>
      <w:lvlText w:val="(%1)"/>
      <w:numFmt w:val="decimal"/>
      <w:start w:val="2"/>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lvl w:ilvl="1">
      <w:lvlJc w:val="left"/>
      <w:lvlText w:val="-"/>
      <w:numFmt w:val="bullet"/>
      <w:start w:val="1"/>
    </w:lvl>
  </w:abstractNum>
  <w:abstractNum w:abstractNumId="9">
    <w:nsid w:val="4E6AFB66"/>
    <w:multiLevelType w:val="hybridMultilevel"/>
    <w:lvl w:ilvl="0">
      <w:lvlJc w:val="left"/>
      <w:lvlText w:val="(%1)"/>
      <w:numFmt w:val="decimal"/>
      <w:start w:val="1"/>
    </w:lvl>
    <w:lvl w:ilvl="1">
      <w:lvlJc w:val="left"/>
      <w:lvlText w:val="-"/>
      <w:numFmt w:val="bullet"/>
      <w:start w:val="1"/>
    </w:lvl>
  </w:abstractNum>
  <w:abstractNum w:abstractNumId="10">
    <w:nsid w:val="25E45D32"/>
    <w:multiLevelType w:val="hybridMultilevel"/>
    <w:lvl w:ilvl="0">
      <w:lvlJc w:val="left"/>
      <w:lvlText w:val="(%1)"/>
      <w:numFmt w:val="decimal"/>
      <w:start w:val="1"/>
    </w:lvl>
    <w:lvl w:ilvl="1">
      <w:lvlJc w:val="left"/>
      <w:lvlText w:val="-"/>
      <w:numFmt w:val="bullet"/>
      <w:start w:val="1"/>
    </w:lvl>
  </w:abstractNum>
  <w:abstractNum w:abstractNumId="11">
    <w:nsid w:val="519B500D"/>
    <w:multiLevelType w:val="hybridMultilevel"/>
    <w:lvl w:ilvl="0">
      <w:lvlJc w:val="left"/>
      <w:lvlText w:val="(%1)"/>
      <w:numFmt w:val="decimal"/>
      <w:start w:val="1"/>
    </w:lvl>
    <w:lvl w:ilvl="1">
      <w:lvlJc w:val="left"/>
      <w:lvlText w:val="-"/>
      <w:numFmt w:val="bullet"/>
      <w:start w:val="1"/>
    </w:lvl>
  </w:abstractNum>
  <w:abstractNum w:abstractNumId="12">
    <w:nsid w:val="431BD7B7"/>
    <w:multiLevelType w:val="hybridMultilevel"/>
    <w:lvl w:ilvl="0">
      <w:lvlJc w:val="left"/>
      <w:lvlText w:val="(%1)"/>
      <w:numFmt w:val="decimal"/>
      <w:start w:val="1"/>
    </w:lvl>
    <w:lvl w:ilvl="1">
      <w:lvlJc w:val="left"/>
      <w:lvlText w:val="-"/>
      <w:numFmt w:val="bullet"/>
      <w:start w:val="1"/>
    </w:lvl>
  </w:abstractNum>
  <w:abstractNum w:abstractNumId="13">
    <w:nsid w:val="3F2DBA31"/>
    <w:multiLevelType w:val="hybridMultilevel"/>
    <w:lvl w:ilvl="0">
      <w:lvlJc w:val="left"/>
      <w:lvlText w:val="(%1)"/>
      <w:numFmt w:val="decimal"/>
      <w:start w:val="1"/>
    </w:lvl>
    <w:lvl w:ilvl="1">
      <w:lvlJc w:val="left"/>
      <w:lvlText w:val="-"/>
      <w:numFmt w:val="bullet"/>
      <w:start w:val="1"/>
    </w:lvl>
  </w:abstractNum>
  <w:abstractNum w:abstractNumId="14">
    <w:nsid w:val="7C83E458"/>
    <w:multiLevelType w:val="hybridMultilevel"/>
    <w:lvl w:ilvl="0">
      <w:lvlJc w:val="left"/>
      <w:lvlText w:val="(%1)"/>
      <w:numFmt w:val="decimal"/>
      <w:start w:val="1"/>
    </w:lvl>
    <w:lvl w:ilvl="1">
      <w:lvlJc w:val="left"/>
      <w:lvlText w:val="-"/>
      <w:numFmt w:val="bullet"/>
      <w:start w:val="1"/>
    </w:lvl>
  </w:abstractNum>
  <w:abstractNum w:abstractNumId="15">
    <w:nsid w:val="257130A3"/>
    <w:multiLevelType w:val="hybridMultilevel"/>
    <w:lvl w:ilvl="0">
      <w:lvlJc w:val="left"/>
      <w:lvlText w:val="(%1)"/>
      <w:numFmt w:val="decimal"/>
      <w:start w:val="1"/>
    </w:lvl>
    <w:lvl w:ilvl="1">
      <w:lvlJc w:val="left"/>
      <w:lvlText w:val="-"/>
      <w:numFmt w:val="bullet"/>
      <w:start w:val="1"/>
    </w:lvl>
  </w:abstractNum>
  <w:abstractNum w:abstractNumId="16">
    <w:nsid w:val="62BBD95A"/>
    <w:multiLevelType w:val="hybridMultilevel"/>
    <w:lvl w:ilvl="0">
      <w:lvlJc w:val="left"/>
      <w:lvlText w:val="(%1)"/>
      <w:numFmt w:val="decimal"/>
      <w:start w:val="1"/>
    </w:lvl>
    <w:lvl w:ilvl="1">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lvl w:ilvl="1">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
      <w:numFmt w:val="bullet"/>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2020-02-04T15:28:57Z</dcterms:created>
  <dcterms:modified xsi:type="dcterms:W3CDTF">2020-02-04T15:28:57Z</dcterms:modified>
</cp:coreProperties>
</file>