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544"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60"/>
          </w:cols>
          <w:pgMar w:left="240" w:top="544" w:right="279" w:bottom="0"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544" w:right="27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680"/>
        <w:spacing w:after="0" w:line="342" w:lineRule="auto"/>
        <w:rPr>
          <w:sz w:val="20"/>
          <w:szCs w:val="20"/>
          <w:color w:val="auto"/>
        </w:rPr>
      </w:pPr>
      <w:r>
        <w:rPr>
          <w:rFonts w:ascii="Arial" w:cs="Arial" w:eastAsia="Arial" w:hAnsi="Arial"/>
          <w:sz w:val="16"/>
          <w:szCs w:val="16"/>
          <w:color w:val="auto"/>
        </w:rPr>
        <w:t>On November 22, 2016, Plains All American Pipeline, L.P. (the “Partnership”) and PAA Finance Corp. (together with the Partnership, the “Issuers”) completed the public offering of $750.0 million aggregate principal amount of the Issuers’ 4.500% Senior Notes due 2026 (the “Notes”).</w:t>
      </w:r>
    </w:p>
    <w:p>
      <w:pPr>
        <w:spacing w:after="0" w:line="124" w:lineRule="exact"/>
        <w:rPr>
          <w:sz w:val="24"/>
          <w:szCs w:val="24"/>
          <w:color w:val="auto"/>
        </w:rPr>
      </w:pPr>
    </w:p>
    <w:p>
      <w:pPr>
        <w:ind w:right="420"/>
        <w:spacing w:after="0" w:line="259" w:lineRule="auto"/>
        <w:rPr>
          <w:sz w:val="20"/>
          <w:szCs w:val="20"/>
          <w:color w:val="auto"/>
        </w:rPr>
      </w:pPr>
      <w:r>
        <w:rPr>
          <w:rFonts w:ascii="Arial" w:cs="Arial" w:eastAsia="Arial" w:hAnsi="Arial"/>
          <w:sz w:val="18"/>
          <w:szCs w:val="18"/>
          <w:color w:val="auto"/>
        </w:rPr>
        <w:t>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Thirtieth Supplemental Indenture dated as of November 22, 2016 by and among the Issuers and the Trustee (the “Supplemental Indenture”).</w:t>
      </w:r>
    </w:p>
    <w:p>
      <w:pPr>
        <w:spacing w:after="0" w:line="187"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Notes will mature on December 15, 2026. Interest is payable on the Notes on each June 15 and December 15, commencing on June 15, 2017. The Issuers may redeem some or all of the Notes at any time and from time to time prior to maturity at the redemption prices specified in the Indenture.</w:t>
      </w:r>
    </w:p>
    <w:p>
      <w:pPr>
        <w:spacing w:after="0" w:line="147" w:lineRule="exact"/>
        <w:rPr>
          <w:sz w:val="24"/>
          <w:szCs w:val="24"/>
          <w:color w:val="auto"/>
        </w:rPr>
      </w:pPr>
    </w:p>
    <w:p>
      <w:pPr>
        <w:jc w:val="both"/>
        <w:ind w:right="360"/>
        <w:spacing w:after="0" w:line="286" w:lineRule="auto"/>
        <w:rPr>
          <w:sz w:val="20"/>
          <w:szCs w:val="20"/>
          <w:color w:val="auto"/>
        </w:rPr>
      </w:pPr>
      <w:r>
        <w:rPr>
          <w:rFonts w:ascii="Arial" w:cs="Arial" w:eastAsia="Arial" w:hAnsi="Arial"/>
          <w:sz w:val="17"/>
          <w:szCs w:val="17"/>
          <w:color w:val="auto"/>
        </w:rPr>
        <w:t>The Notes are the Partnership’s senior unsecured obligations, will rank equally in right of payment with all of the Partnership’s existing and future senior debt, and will rank senior in right of payment to all of the Partnership’s future subordinated debt. The Notes will be effectively subordinated to all of the Partnership’s existing and future secured debt to the extent of the value of the collateral securing such indebtedness.</w:t>
      </w:r>
    </w:p>
    <w:p>
      <w:pPr>
        <w:sectPr>
          <w:pgSz w:w="11900" w:h="16838" w:orient="portrait"/>
          <w:cols w:equalWidth="0" w:num="1">
            <w:col w:w="11380"/>
          </w:cols>
          <w:pgMar w:left="240" w:top="544" w:right="279" w:bottom="0" w:gutter="0" w:footer="0" w:header="0"/>
          <w:type w:val="continuous"/>
        </w:sectPr>
      </w:pPr>
    </w:p>
    <w:bookmarkStart w:id="1" w:name="page2"/>
    <w:bookmarkEnd w:id="1"/>
    <w:p>
      <w:pPr>
        <w:ind w:right="380"/>
        <w:spacing w:after="0" w:line="264" w:lineRule="auto"/>
        <w:rPr>
          <w:sz w:val="20"/>
          <w:szCs w:val="20"/>
          <w:color w:val="auto"/>
        </w:rPr>
      </w:pPr>
      <w:r>
        <w:rPr>
          <w:rFonts w:ascii="Arial" w:cs="Arial" w:eastAsia="Arial" w:hAnsi="Arial"/>
          <w:sz w:val="18"/>
          <w:szCs w:val="18"/>
          <w:color w:val="auto"/>
        </w:rPr>
        <w:t>In certain circumstances, the Indenture restricts the Partnership’s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Indenture contains customary events of default with respect to the Notes, including:</w:t>
      </w:r>
    </w:p>
    <w:p>
      <w:pPr>
        <w:spacing w:after="0" w:line="22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any payment of interest on any Note of that series when due, continued for 60 days;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Note of that series when due;</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the Partnership to comply with its obligations under the Indenture, in certain cases subject to notice and grace periods;</w:t>
      </w:r>
    </w:p>
    <w:p>
      <w:pPr>
        <w:spacing w:after="0" w:line="225" w:lineRule="exact"/>
        <w:rPr>
          <w:rFonts w:ascii="Arial" w:cs="Arial" w:eastAsia="Arial" w:hAnsi="Arial"/>
          <w:sz w:val="18"/>
          <w:szCs w:val="18"/>
          <w:color w:val="auto"/>
        </w:rPr>
      </w:pPr>
    </w:p>
    <w:p>
      <w:pPr>
        <w:ind w:left="660" w:right="52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the Partnership and its Subsidiaries (as defined in the Indenture) in the aggregate principal amount of $25.0 million or more;</w:t>
      </w:r>
    </w:p>
    <w:p>
      <w:pPr>
        <w:spacing w:after="0" w:line="170" w:lineRule="exact"/>
        <w:rPr>
          <w:rFonts w:ascii="Arial" w:cs="Arial" w:eastAsia="Arial" w:hAnsi="Arial"/>
          <w:sz w:val="18"/>
          <w:szCs w:val="18"/>
          <w:color w:val="auto"/>
        </w:rPr>
      </w:pPr>
    </w:p>
    <w:p>
      <w:pPr>
        <w:ind w:left="660" w:right="74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the Partnership or, if and so long as the Notes of that series are guaranteed by a subsidiary guarantor, by such subsidiary guarantor;</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and so long as the Notes of that series are guaranteed by a subsidiary guarantor: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guarantee by such subsidiary guarantor ceases to be in full force and effect, except as otherwise provided in the Indenture;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2"/>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Other material terms of the Notes, the Base Indenture and the Supplemental Indenture are described in the prospectus supplement, dated November 15, 2016, as filed by the Partnership with the Commission on November 16, 2016. The foregoing descriptions of the Indenture and the Notes are qualified in their entirety by reference to</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such Indenture (including the form of Notes attached thereto). A copy of the Supplemental Indenture is filed herewith as Exhibit 4.1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8"/>
              </w:rPr>
              <w:t>Exhibit</w:t>
            </w:r>
          </w:p>
        </w:tc>
        <w:tc>
          <w:tcPr>
            <w:tcW w:w="1030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3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Borders>
              <w:top w:val="single" w:sz="8" w:color="auto"/>
            </w:tcBorders>
          </w:tcPr>
          <w:p>
            <w:pPr>
              <w:jc w:val="center"/>
              <w:ind w:right="270"/>
              <w:spacing w:after="0" w:line="195" w:lineRule="exact"/>
              <w:rPr>
                <w:sz w:val="20"/>
                <w:szCs w:val="20"/>
                <w:color w:val="auto"/>
              </w:rPr>
            </w:pPr>
            <w:r>
              <w:rPr>
                <w:rFonts w:ascii="Arial" w:cs="Arial" w:eastAsia="Arial" w:hAnsi="Arial"/>
                <w:sz w:val="18"/>
                <w:szCs w:val="18"/>
                <w:color w:val="auto"/>
                <w:w w:val="87"/>
              </w:rPr>
              <w:t>4.1</w:t>
            </w:r>
          </w:p>
        </w:tc>
        <w:tc>
          <w:tcPr>
            <w:tcW w:w="280" w:type="dxa"/>
            <w:vAlign w:val="bottom"/>
          </w:tcPr>
          <w:p>
            <w:pPr>
              <w:spacing w:after="0"/>
              <w:rPr>
                <w:sz w:val="16"/>
                <w:szCs w:val="16"/>
                <w:color w:val="auto"/>
              </w:rPr>
            </w:pPr>
          </w:p>
        </w:tc>
        <w:tc>
          <w:tcPr>
            <w:tcW w:w="10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Thirtieth Supplemental Indenture, dated November 22, 2016, by and among Plains All American Pipeline, L.P., PAA Finance Corp., and U.S.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Bank National Association, as trustee.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gridSpan w:val="2"/>
          </w:tcPr>
          <w:p>
            <w:pPr>
              <w:jc w:val="center"/>
              <w:ind w:right="250"/>
              <w:spacing w:after="0"/>
              <w:rPr>
                <w:sz w:val="20"/>
                <w:szCs w:val="20"/>
                <w:color w:val="auto"/>
              </w:rPr>
            </w:pPr>
            <w:r>
              <w:rPr>
                <w:rFonts w:ascii="Arial" w:cs="Arial" w:eastAsia="Arial" w:hAnsi="Arial"/>
                <w:sz w:val="18"/>
                <w:szCs w:val="18"/>
                <w:color w:val="auto"/>
                <w:w w:val="87"/>
              </w:rPr>
              <w:t>4.2</w:t>
            </w:r>
          </w:p>
        </w:tc>
        <w:tc>
          <w:tcPr>
            <w:tcW w:w="280" w:type="dxa"/>
            <w:vAlign w:val="bottom"/>
          </w:tcPr>
          <w:p>
            <w:pPr>
              <w:spacing w:after="0"/>
              <w:rPr>
                <w:sz w:val="24"/>
                <w:szCs w:val="24"/>
                <w:color w:val="auto"/>
              </w:rPr>
            </w:pPr>
          </w:p>
        </w:tc>
        <w:tc>
          <w:tcPr>
            <w:tcW w:w="10300" w:type="dxa"/>
            <w:vAlign w:val="bottom"/>
          </w:tcPr>
          <w:p>
            <w:pPr>
              <w:spacing w:after="0"/>
              <w:rPr>
                <w:sz w:val="20"/>
                <w:szCs w:val="20"/>
                <w:color w:val="auto"/>
              </w:rPr>
            </w:pPr>
            <w:r>
              <w:rPr>
                <w:rFonts w:ascii="Arial" w:cs="Arial" w:eastAsia="Arial" w:hAnsi="Arial"/>
                <w:sz w:val="18"/>
                <w:szCs w:val="18"/>
                <w:color w:val="auto"/>
              </w:rPr>
              <w:t>Form of 4.500% Senior Notes due 2026 (included in Exhibit 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300" w:type="dxa"/>
            <w:vAlign w:val="bottom"/>
          </w:tcPr>
          <w:p>
            <w:pPr>
              <w:jc w:val="right"/>
              <w:ind w:right="5574"/>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648"/>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8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November 29, 2016</w:t>
      </w:r>
    </w:p>
    <w:p>
      <w:pPr>
        <w:sectPr>
          <w:pgSz w:w="11900" w:h="16838" w:orient="portrait"/>
          <w:cols w:equalWidth="0" w:num="1">
            <w:col w:w="11460"/>
          </w:cols>
          <w:pgMar w:left="240" w:top="125" w:right="199" w:bottom="0" w:gutter="0" w:footer="0" w:header="0"/>
        </w:sectPr>
      </w:pPr>
    </w:p>
    <w:bookmarkStart w:id="2" w:name="page3"/>
    <w:bookmarkEnd w:id="2"/>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360" w:type="dxa"/>
            <w:vAlign w:val="bottom"/>
          </w:tcPr>
          <w:p>
            <w:pPr>
              <w:jc w:val="center"/>
              <w:ind w:right="956"/>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8"/>
              </w:rPr>
              <w:t>Exhibit</w:t>
            </w:r>
          </w:p>
        </w:tc>
        <w:tc>
          <w:tcPr>
            <w:tcW w:w="240" w:type="dxa"/>
            <w:vAlign w:val="bottom"/>
          </w:tcPr>
          <w:p>
            <w:pPr>
              <w:spacing w:after="0"/>
              <w:rPr>
                <w:sz w:val="24"/>
                <w:szCs w:val="24"/>
                <w:color w:val="auto"/>
              </w:rPr>
            </w:pPr>
          </w:p>
        </w:tc>
        <w:tc>
          <w:tcPr>
            <w:tcW w:w="10360" w:type="dxa"/>
            <w:vAlign w:val="bottom"/>
            <w:vMerge w:val="restart"/>
          </w:tcPr>
          <w:p>
            <w:pPr>
              <w:ind w:left="48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3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tcBorders>
              <w:top w:val="single" w:sz="8" w:color="auto"/>
            </w:tcBorders>
          </w:tcPr>
          <w:p>
            <w:pPr>
              <w:jc w:val="center"/>
              <w:ind w:right="250"/>
              <w:spacing w:after="0" w:line="195" w:lineRule="exact"/>
              <w:rPr>
                <w:sz w:val="20"/>
                <w:szCs w:val="20"/>
                <w:color w:val="auto"/>
              </w:rPr>
            </w:pPr>
            <w:r>
              <w:rPr>
                <w:rFonts w:ascii="Arial" w:cs="Arial" w:eastAsia="Arial" w:hAnsi="Arial"/>
                <w:sz w:val="18"/>
                <w:szCs w:val="18"/>
                <w:color w:val="auto"/>
                <w:w w:val="87"/>
              </w:rPr>
              <w:t>4.1</w:t>
            </w:r>
          </w:p>
        </w:tc>
        <w:tc>
          <w:tcPr>
            <w:tcW w:w="240" w:type="dxa"/>
            <w:vAlign w:val="bottom"/>
          </w:tcPr>
          <w:p>
            <w:pPr>
              <w:spacing w:after="0"/>
              <w:rPr>
                <w:sz w:val="16"/>
                <w:szCs w:val="16"/>
                <w:color w:val="auto"/>
              </w:rPr>
            </w:pPr>
          </w:p>
        </w:tc>
        <w:tc>
          <w:tcPr>
            <w:tcW w:w="10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Thirtieth Supplemental Indenture, dated November 22, 2016, by and among Plains All American Pipeline, L.P., PAA Finance Corp., and U.S.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0" w:type="dxa"/>
            <w:vAlign w:val="bottom"/>
            <w:gridSpan w:val="2"/>
          </w:tcPr>
          <w:p>
            <w:pPr>
              <w:ind w:left="240"/>
              <w:spacing w:after="0"/>
              <w:rPr>
                <w:sz w:val="20"/>
                <w:szCs w:val="20"/>
                <w:color w:val="auto"/>
              </w:rPr>
            </w:pPr>
            <w:r>
              <w:rPr>
                <w:rFonts w:ascii="Arial" w:cs="Arial" w:eastAsia="Arial" w:hAnsi="Arial"/>
                <w:sz w:val="18"/>
                <w:szCs w:val="18"/>
                <w:color w:val="auto"/>
              </w:rPr>
              <w:t>Bank National Association, as trustee.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 w:type="dxa"/>
            <w:vAlign w:val="bottom"/>
            <w:gridSpan w:val="2"/>
          </w:tcPr>
          <w:p>
            <w:pPr>
              <w:jc w:val="center"/>
              <w:ind w:right="230"/>
              <w:spacing w:after="0"/>
              <w:rPr>
                <w:sz w:val="20"/>
                <w:szCs w:val="20"/>
                <w:color w:val="auto"/>
              </w:rPr>
            </w:pPr>
            <w:r>
              <w:rPr>
                <w:rFonts w:ascii="Arial" w:cs="Arial" w:eastAsia="Arial" w:hAnsi="Arial"/>
                <w:sz w:val="18"/>
                <w:szCs w:val="18"/>
                <w:color w:val="auto"/>
                <w:w w:val="87"/>
              </w:rPr>
              <w:t>4.2</w:t>
            </w:r>
          </w:p>
        </w:tc>
        <w:tc>
          <w:tcPr>
            <w:tcW w:w="10600" w:type="dxa"/>
            <w:vAlign w:val="bottom"/>
            <w:gridSpan w:val="2"/>
          </w:tcPr>
          <w:p>
            <w:pPr>
              <w:ind w:left="240"/>
              <w:spacing w:after="0"/>
              <w:rPr>
                <w:sz w:val="20"/>
                <w:szCs w:val="20"/>
                <w:color w:val="auto"/>
              </w:rPr>
            </w:pPr>
            <w:r>
              <w:rPr>
                <w:rFonts w:ascii="Arial" w:cs="Arial" w:eastAsia="Arial" w:hAnsi="Arial"/>
                <w:sz w:val="18"/>
                <w:szCs w:val="18"/>
                <w:color w:val="auto"/>
              </w:rPr>
              <w:t>Form of 4.500% Senior Notes due 2026 (included in Exhibit 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0" w:type="dxa"/>
            <w:vAlign w:val="bottom"/>
            <w:gridSpan w:val="2"/>
          </w:tcPr>
          <w:p>
            <w:pPr>
              <w:jc w:val="right"/>
              <w:ind w:right="5576"/>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3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PAA FINANCE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Issuers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$750,000,000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4.500% </w:t>
      </w:r>
      <w:r>
        <w:rPr>
          <w:rFonts w:ascii="Arial" w:cs="Arial" w:eastAsia="Arial" w:hAnsi="Arial"/>
          <w:sz w:val="17"/>
          <w:szCs w:val="17"/>
          <w:color w:val="auto"/>
        </w:rPr>
        <w:t>SENIOR NOTES DUE</w:t>
      </w:r>
      <w:r>
        <w:rPr>
          <w:rFonts w:ascii="Arial" w:cs="Arial" w:eastAsia="Arial" w:hAnsi="Arial"/>
          <w:sz w:val="18"/>
          <w:szCs w:val="18"/>
          <w:color w:val="auto"/>
        </w:rPr>
        <w:t xml:space="preserve"> 2026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THIRTIETH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November 22,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792480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160" w:type="dxa"/>
            <w:vAlign w:val="bottom"/>
          </w:tcPr>
          <w:p>
            <w:pPr>
              <w:spacing w:after="0"/>
              <w:rPr>
                <w:sz w:val="17"/>
                <w:szCs w:val="17"/>
                <w:color w:val="auto"/>
              </w:rPr>
            </w:pPr>
          </w:p>
        </w:tc>
      </w:tr>
      <w:tr>
        <w:trPr>
          <w:trHeight w:val="438"/>
        </w:trPr>
        <w:tc>
          <w:tcPr>
            <w:tcW w:w="1420" w:type="dxa"/>
            <w:vAlign w:val="bottom"/>
          </w:tcPr>
          <w:p>
            <w:pPr>
              <w:spacing w:after="0"/>
              <w:rPr>
                <w:sz w:val="20"/>
                <w:szCs w:val="20"/>
                <w:color w:val="auto"/>
              </w:rPr>
            </w:pPr>
            <w:r>
              <w:rPr>
                <w:rFonts w:ascii="Arial" w:cs="Arial" w:eastAsia="Arial" w:hAnsi="Arial"/>
                <w:sz w:val="18"/>
                <w:szCs w:val="18"/>
                <w:color w:val="auto"/>
              </w:rPr>
              <w:t>ARTICLE I</w:t>
            </w:r>
          </w:p>
        </w:tc>
        <w:tc>
          <w:tcPr>
            <w:tcW w:w="338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1.01</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Establishment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0260" w:type="dxa"/>
            <w:vAlign w:val="bottom"/>
            <w:gridSpan w:val="4"/>
          </w:tcPr>
          <w:p>
            <w:pPr>
              <w:spacing w:after="0"/>
              <w:rPr>
                <w:sz w:val="20"/>
                <w:szCs w:val="20"/>
                <w:color w:val="auto"/>
              </w:rPr>
            </w:pPr>
            <w:r>
              <w:rPr>
                <w:rFonts w:ascii="Arial" w:cs="Arial" w:eastAsia="Arial" w:hAnsi="Arial"/>
                <w:sz w:val="18"/>
                <w:szCs w:val="18"/>
                <w:color w:val="auto"/>
              </w:rPr>
              <w:t>ARTICLE II DEFINITIONS AND INCORPORATION BY REFERENCE</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2.01</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Definitions</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2.02</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Other Definitions</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0260" w:type="dxa"/>
            <w:vAlign w:val="bottom"/>
            <w:gridSpan w:val="4"/>
          </w:tcPr>
          <w:p>
            <w:pPr>
              <w:spacing w:after="0"/>
              <w:rPr>
                <w:sz w:val="20"/>
                <w:szCs w:val="20"/>
                <w:color w:val="auto"/>
              </w:rPr>
            </w:pPr>
            <w:r>
              <w:rPr>
                <w:rFonts w:ascii="Arial" w:cs="Arial" w:eastAsia="Arial" w:hAnsi="Arial"/>
                <w:sz w:val="18"/>
                <w:szCs w:val="18"/>
                <w:color w:val="auto"/>
              </w:rPr>
              <w:t>ARTICLE III THE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3.01</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Form</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3.02</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Issuance of Additional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3.03</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Global Security Legend</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8"/>
        </w:trPr>
        <w:tc>
          <w:tcPr>
            <w:tcW w:w="10260" w:type="dxa"/>
            <w:vAlign w:val="bottom"/>
            <w:gridSpan w:val="4"/>
          </w:tcPr>
          <w:p>
            <w:pPr>
              <w:spacing w:after="0"/>
              <w:rPr>
                <w:sz w:val="20"/>
                <w:szCs w:val="20"/>
                <w:color w:val="auto"/>
              </w:rPr>
            </w:pPr>
            <w:r>
              <w:rPr>
                <w:rFonts w:ascii="Arial" w:cs="Arial" w:eastAsia="Arial" w:hAnsi="Arial"/>
                <w:sz w:val="18"/>
                <w:szCs w:val="18"/>
                <w:color w:val="auto"/>
              </w:rPr>
              <w:t>ARTICLE IV REDEMPTION AND PREPAYMENT</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4.01</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Optional Redemption</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0260" w:type="dxa"/>
            <w:vAlign w:val="bottom"/>
            <w:gridSpan w:val="4"/>
          </w:tcPr>
          <w:p>
            <w:pPr>
              <w:spacing w:after="0"/>
              <w:rPr>
                <w:sz w:val="20"/>
                <w:szCs w:val="20"/>
                <w:color w:val="auto"/>
              </w:rPr>
            </w:pPr>
            <w:r>
              <w:rPr>
                <w:rFonts w:ascii="Arial" w:cs="Arial" w:eastAsia="Arial" w:hAnsi="Arial"/>
                <w:sz w:val="18"/>
                <w:szCs w:val="18"/>
                <w:color w:val="auto"/>
              </w:rPr>
              <w:t>ARTICLE V COVENANTS</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5.01.</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Compliance Certificate</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5.02.</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Limitations on Liens</w:t>
            </w: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5.03.</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Restriction of Sale-leaseback Transactions</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5.04.</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SEC Reports; Financial Statements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5.05.</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Subsidiary Guarantees</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10260" w:type="dxa"/>
            <w:vAlign w:val="bottom"/>
            <w:gridSpan w:val="4"/>
          </w:tcPr>
          <w:p>
            <w:pPr>
              <w:spacing w:after="0"/>
              <w:rPr>
                <w:sz w:val="20"/>
                <w:szCs w:val="20"/>
                <w:color w:val="auto"/>
              </w:rPr>
            </w:pPr>
            <w:r>
              <w:rPr>
                <w:rFonts w:ascii="Arial" w:cs="Arial" w:eastAsia="Arial" w:hAnsi="Arial"/>
                <w:sz w:val="18"/>
                <w:szCs w:val="18"/>
                <w:color w:val="auto"/>
              </w:rPr>
              <w:t>ARTICLE VI SUCCESSORS</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6.01.</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Consolidation and Mergers of the Issuers</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6.02.</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Rights and Duties of Successor</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0260" w:type="dxa"/>
            <w:vAlign w:val="bottom"/>
            <w:gridSpan w:val="4"/>
          </w:tcPr>
          <w:p>
            <w:pPr>
              <w:spacing w:after="0"/>
              <w:rPr>
                <w:sz w:val="20"/>
                <w:szCs w:val="20"/>
                <w:color w:val="auto"/>
              </w:rPr>
            </w:pPr>
            <w:r>
              <w:rPr>
                <w:rFonts w:ascii="Arial" w:cs="Arial" w:eastAsia="Arial" w:hAnsi="Arial"/>
                <w:sz w:val="18"/>
                <w:szCs w:val="18"/>
                <w:color w:val="auto"/>
              </w:rPr>
              <w:t>ARTICLE VII DEFAULTS AND REMEDIES</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7.01.</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Events of Default</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0260" w:type="dxa"/>
            <w:vAlign w:val="bottom"/>
            <w:gridSpan w:val="4"/>
          </w:tcPr>
          <w:p>
            <w:pPr>
              <w:spacing w:after="0"/>
              <w:rPr>
                <w:sz w:val="20"/>
                <w:szCs w:val="20"/>
                <w:color w:val="auto"/>
              </w:rPr>
            </w:pPr>
            <w:r>
              <w:rPr>
                <w:rFonts w:ascii="Arial" w:cs="Arial" w:eastAsia="Arial" w:hAnsi="Arial"/>
                <w:sz w:val="18"/>
                <w:szCs w:val="18"/>
                <w:color w:val="auto"/>
              </w:rPr>
              <w:t>ARTICLE VIII LEGAL DEFEASANCE AND COVENANT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8.01.</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Option to Effect Legal Defeasance or Covenant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8.02.</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Legal Defeasance and Discharge</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8.03.</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Covenant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8.04.</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Conditions to Legal or Covenant Defeasance</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8.05.</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Deposited Money and U.S. Government Obligations to be Held in Trust; Other Miscellaneous Provisions</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8.06.</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Repayment to Issuers</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8.07.</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Reinstatement</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0260" w:type="dxa"/>
            <w:vAlign w:val="bottom"/>
            <w:gridSpan w:val="4"/>
          </w:tcPr>
          <w:p>
            <w:pPr>
              <w:spacing w:after="0"/>
              <w:rPr>
                <w:sz w:val="20"/>
                <w:szCs w:val="20"/>
                <w:color w:val="auto"/>
              </w:rPr>
            </w:pPr>
            <w:r>
              <w:rPr>
                <w:rFonts w:ascii="Arial" w:cs="Arial" w:eastAsia="Arial" w:hAnsi="Arial"/>
                <w:sz w:val="18"/>
                <w:szCs w:val="18"/>
                <w:color w:val="auto"/>
              </w:rPr>
              <w:t>ARTICLE IX SUBSIDIARY GUARANTEES</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9.01.</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Subsidiary Guarantees</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9.02.</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Limitation on Liability</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9.03.</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Successors and Assigns</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420" w:type="dxa"/>
            <w:vAlign w:val="bottom"/>
          </w:tcPr>
          <w:p>
            <w:pPr>
              <w:ind w:left="180"/>
              <w:spacing w:after="0"/>
              <w:rPr>
                <w:sz w:val="20"/>
                <w:szCs w:val="20"/>
                <w:color w:val="auto"/>
              </w:rPr>
            </w:pPr>
            <w:r>
              <w:rPr>
                <w:rFonts w:ascii="Arial" w:cs="Arial" w:eastAsia="Arial" w:hAnsi="Arial"/>
                <w:sz w:val="18"/>
                <w:szCs w:val="18"/>
                <w:color w:val="auto"/>
              </w:rPr>
              <w:t>Section 9.04.</w:t>
            </w:r>
          </w:p>
        </w:tc>
        <w:tc>
          <w:tcPr>
            <w:tcW w:w="8840" w:type="dxa"/>
            <w:vAlign w:val="bottom"/>
            <w:gridSpan w:val="3"/>
          </w:tcPr>
          <w:p>
            <w:pPr>
              <w:ind w:left="280"/>
              <w:spacing w:after="0"/>
              <w:rPr>
                <w:sz w:val="20"/>
                <w:szCs w:val="20"/>
                <w:color w:val="auto"/>
              </w:rPr>
            </w:pPr>
            <w:r>
              <w:rPr>
                <w:rFonts w:ascii="Arial" w:cs="Arial" w:eastAsia="Arial" w:hAnsi="Arial"/>
                <w:sz w:val="18"/>
                <w:szCs w:val="18"/>
                <w:color w:val="auto"/>
              </w:rPr>
              <w:t>No Waiver</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Section 9.05.</w:t>
            </w:r>
          </w:p>
        </w:tc>
        <w:tc>
          <w:tcPr>
            <w:tcW w:w="7580" w:type="dxa"/>
            <w:vAlign w:val="bottom"/>
          </w:tcPr>
          <w:p>
            <w:pPr>
              <w:ind w:left="240"/>
              <w:spacing w:after="0"/>
              <w:rPr>
                <w:sz w:val="20"/>
                <w:szCs w:val="20"/>
                <w:color w:val="auto"/>
              </w:rPr>
            </w:pPr>
            <w:r>
              <w:rPr>
                <w:rFonts w:ascii="Arial" w:cs="Arial" w:eastAsia="Arial" w:hAnsi="Arial"/>
                <w:sz w:val="18"/>
                <w:szCs w:val="18"/>
                <w:color w:val="auto"/>
              </w:rPr>
              <w:t>Modification</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Section 9.06.</w:t>
            </w:r>
          </w:p>
        </w:tc>
        <w:tc>
          <w:tcPr>
            <w:tcW w:w="7580" w:type="dxa"/>
            <w:vAlign w:val="bottom"/>
          </w:tcPr>
          <w:p>
            <w:pPr>
              <w:ind w:left="240"/>
              <w:spacing w:after="0"/>
              <w:rPr>
                <w:sz w:val="20"/>
                <w:szCs w:val="20"/>
                <w:color w:val="auto"/>
              </w:rPr>
            </w:pPr>
            <w:r>
              <w:rPr>
                <w:rFonts w:ascii="Arial" w:cs="Arial" w:eastAsia="Arial" w:hAnsi="Arial"/>
                <w:sz w:val="18"/>
                <w:szCs w:val="18"/>
                <w:color w:val="auto"/>
              </w:rPr>
              <w:t>Execution of Supplemental Indenture for Future Subsidiary Guarantors</w:t>
            </w:r>
          </w:p>
        </w:tc>
        <w:tc>
          <w:tcPr>
            <w:tcW w:w="2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460" w:type="dxa"/>
            <w:vAlign w:val="bottom"/>
          </w:tcPr>
          <w:p>
            <w:pPr>
              <w:ind w:left="180"/>
              <w:spacing w:after="0"/>
              <w:rPr>
                <w:sz w:val="20"/>
                <w:szCs w:val="20"/>
                <w:color w:val="auto"/>
              </w:rPr>
            </w:pPr>
            <w:r>
              <w:rPr>
                <w:rFonts w:ascii="Arial" w:cs="Arial" w:eastAsia="Arial" w:hAnsi="Arial"/>
                <w:sz w:val="18"/>
                <w:szCs w:val="18"/>
                <w:color w:val="auto"/>
              </w:rPr>
              <w:t>Section 9.07.</w:t>
            </w:r>
          </w:p>
        </w:tc>
        <w:tc>
          <w:tcPr>
            <w:tcW w:w="7580" w:type="dxa"/>
            <w:vAlign w:val="bottom"/>
          </w:tcPr>
          <w:p>
            <w:pPr>
              <w:ind w:left="240"/>
              <w:spacing w:after="0"/>
              <w:rPr>
                <w:sz w:val="20"/>
                <w:szCs w:val="20"/>
                <w:color w:val="auto"/>
              </w:rPr>
            </w:pPr>
            <w:r>
              <w:rPr>
                <w:rFonts w:ascii="Arial" w:cs="Arial" w:eastAsia="Arial" w:hAnsi="Arial"/>
                <w:sz w:val="18"/>
                <w:szCs w:val="18"/>
                <w:color w:val="auto"/>
              </w:rPr>
              <w:t>Release of Guarantee</w:t>
            </w:r>
          </w:p>
        </w:tc>
        <w:tc>
          <w:tcPr>
            <w:tcW w:w="2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904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Section 10.01.</w:t>
            </w:r>
          </w:p>
        </w:tc>
        <w:tc>
          <w:tcPr>
            <w:tcW w:w="7580" w:type="dxa"/>
            <w:vAlign w:val="bottom"/>
          </w:tcPr>
          <w:p>
            <w:pPr>
              <w:ind w:left="240"/>
              <w:spacing w:after="0"/>
              <w:rPr>
                <w:sz w:val="20"/>
                <w:szCs w:val="20"/>
                <w:color w:val="auto"/>
              </w:rPr>
            </w:pPr>
            <w:r>
              <w:rPr>
                <w:rFonts w:ascii="Arial" w:cs="Arial" w:eastAsia="Arial" w:hAnsi="Arial"/>
                <w:sz w:val="18"/>
                <w:szCs w:val="18"/>
                <w:color w:val="auto"/>
              </w:rPr>
              <w:t>Additional Amendments</w:t>
            </w:r>
          </w:p>
        </w:tc>
        <w:tc>
          <w:tcPr>
            <w:tcW w:w="2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Section 10.02.</w:t>
            </w:r>
          </w:p>
        </w:tc>
        <w:tc>
          <w:tcPr>
            <w:tcW w:w="7580" w:type="dxa"/>
            <w:vAlign w:val="bottom"/>
          </w:tcPr>
          <w:p>
            <w:pPr>
              <w:ind w:left="240"/>
              <w:spacing w:after="0"/>
              <w:rPr>
                <w:sz w:val="20"/>
                <w:szCs w:val="20"/>
                <w:color w:val="auto"/>
              </w:rPr>
            </w:pPr>
            <w:r>
              <w:rPr>
                <w:rFonts w:ascii="Arial" w:cs="Arial" w:eastAsia="Arial" w:hAnsi="Arial"/>
                <w:sz w:val="18"/>
                <w:szCs w:val="18"/>
                <w:color w:val="auto"/>
              </w:rPr>
              <w:t>Integral Part</w:t>
            </w:r>
          </w:p>
        </w:tc>
        <w:tc>
          <w:tcPr>
            <w:tcW w:w="2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Section 10.03.</w:t>
            </w:r>
          </w:p>
        </w:tc>
        <w:tc>
          <w:tcPr>
            <w:tcW w:w="7580" w:type="dxa"/>
            <w:vAlign w:val="bottom"/>
          </w:tcPr>
          <w:p>
            <w:pPr>
              <w:ind w:left="240"/>
              <w:spacing w:after="0"/>
              <w:rPr>
                <w:sz w:val="20"/>
                <w:szCs w:val="20"/>
                <w:color w:val="auto"/>
              </w:rPr>
            </w:pPr>
            <w:r>
              <w:rPr>
                <w:rFonts w:ascii="Arial" w:cs="Arial" w:eastAsia="Arial" w:hAnsi="Arial"/>
                <w:sz w:val="18"/>
                <w:szCs w:val="18"/>
                <w:color w:val="auto"/>
              </w:rPr>
              <w:t>Adoption, Ratification and Confirmation</w:t>
            </w:r>
          </w:p>
        </w:tc>
        <w:tc>
          <w:tcPr>
            <w:tcW w:w="2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60" w:type="dxa"/>
            <w:vAlign w:val="bottom"/>
          </w:tcPr>
          <w:p>
            <w:pPr>
              <w:ind w:left="180"/>
              <w:spacing w:after="0"/>
              <w:rPr>
                <w:sz w:val="20"/>
                <w:szCs w:val="20"/>
                <w:color w:val="auto"/>
              </w:rPr>
            </w:pPr>
            <w:r>
              <w:rPr>
                <w:rFonts w:ascii="Arial" w:cs="Arial" w:eastAsia="Arial" w:hAnsi="Arial"/>
                <w:sz w:val="18"/>
                <w:szCs w:val="18"/>
                <w:color w:val="auto"/>
              </w:rPr>
              <w:t>Section 10.04.</w:t>
            </w:r>
          </w:p>
        </w:tc>
        <w:tc>
          <w:tcPr>
            <w:tcW w:w="758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460" w:type="dxa"/>
            <w:vAlign w:val="bottom"/>
          </w:tcPr>
          <w:p>
            <w:pPr>
              <w:ind w:left="180"/>
              <w:spacing w:after="0"/>
              <w:rPr>
                <w:sz w:val="20"/>
                <w:szCs w:val="20"/>
                <w:color w:val="auto"/>
              </w:rPr>
            </w:pPr>
            <w:r>
              <w:rPr>
                <w:rFonts w:ascii="Arial" w:cs="Arial" w:eastAsia="Arial" w:hAnsi="Arial"/>
                <w:sz w:val="18"/>
                <w:szCs w:val="18"/>
                <w:color w:val="auto"/>
              </w:rPr>
              <w:t>Section 10.05.</w:t>
            </w:r>
          </w:p>
        </w:tc>
        <w:tc>
          <w:tcPr>
            <w:tcW w:w="758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238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EXHIBIT A:</w:t>
            </w:r>
          </w:p>
        </w:tc>
        <w:tc>
          <w:tcPr>
            <w:tcW w:w="9900" w:type="dxa"/>
            <w:vAlign w:val="bottom"/>
          </w:tcPr>
          <w:p>
            <w:pPr>
              <w:ind w:left="600"/>
              <w:spacing w:after="0"/>
              <w:rPr>
                <w:sz w:val="20"/>
                <w:szCs w:val="20"/>
                <w:color w:val="auto"/>
              </w:rPr>
            </w:pPr>
            <w:r>
              <w:rPr>
                <w:rFonts w:ascii="Arial" w:cs="Arial" w:eastAsia="Arial" w:hAnsi="Arial"/>
                <w:sz w:val="18"/>
                <w:szCs w:val="18"/>
                <w:color w:val="auto"/>
              </w:rPr>
              <w:t>Form of Note</w:t>
            </w: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EXHIBIT B:</w:t>
            </w:r>
          </w:p>
        </w:tc>
        <w:tc>
          <w:tcPr>
            <w:tcW w:w="9900" w:type="dxa"/>
            <w:vAlign w:val="bottom"/>
          </w:tcPr>
          <w:p>
            <w:pPr>
              <w:ind w:left="600"/>
              <w:spacing w:after="0"/>
              <w:rPr>
                <w:sz w:val="20"/>
                <w:szCs w:val="20"/>
                <w:color w:val="auto"/>
              </w:rPr>
            </w:pPr>
            <w:r>
              <w:rPr>
                <w:rFonts w:ascii="Arial" w:cs="Arial" w:eastAsia="Arial" w:hAnsi="Arial"/>
                <w:sz w:val="18"/>
                <w:szCs w:val="18"/>
                <w:color w:val="auto"/>
              </w:rPr>
              <w:t>Form of Supplemental Indenture</w:t>
            </w:r>
          </w:p>
        </w:tc>
      </w:tr>
      <w:tr>
        <w:trPr>
          <w:trHeight w:val="432"/>
        </w:trPr>
        <w:tc>
          <w:tcPr>
            <w:tcW w:w="1560" w:type="dxa"/>
            <w:vAlign w:val="bottom"/>
          </w:tcPr>
          <w:p>
            <w:pPr>
              <w:spacing w:after="0"/>
              <w:rPr>
                <w:sz w:val="24"/>
                <w:szCs w:val="24"/>
                <w:color w:val="auto"/>
              </w:rPr>
            </w:pPr>
          </w:p>
        </w:tc>
        <w:tc>
          <w:tcPr>
            <w:tcW w:w="9900" w:type="dxa"/>
            <w:vAlign w:val="bottom"/>
          </w:tcPr>
          <w:p>
            <w:pPr>
              <w:ind w:left="4100"/>
              <w:spacing w:after="0"/>
              <w:rPr>
                <w:sz w:val="20"/>
                <w:szCs w:val="20"/>
                <w:color w:val="auto"/>
              </w:rPr>
            </w:pPr>
            <w:r>
              <w:rPr>
                <w:rFonts w:ascii="Arial" w:cs="Arial" w:eastAsia="Arial" w:hAnsi="Arial"/>
                <w:sz w:val="18"/>
                <w:szCs w:val="18"/>
                <w:color w:val="auto"/>
              </w:rPr>
              <w:t>ii</w:t>
            </w:r>
          </w:p>
        </w:tc>
      </w:tr>
      <w:tr>
        <w:trPr>
          <w:trHeight w:val="132"/>
        </w:trPr>
        <w:tc>
          <w:tcPr>
            <w:tcW w:w="1560" w:type="dxa"/>
            <w:vAlign w:val="bottom"/>
            <w:tcBorders>
              <w:bottom w:val="single" w:sz="8" w:color="808080"/>
            </w:tcBorders>
          </w:tcPr>
          <w:p>
            <w:pPr>
              <w:spacing w:after="0"/>
              <w:rPr>
                <w:sz w:val="11"/>
                <w:szCs w:val="11"/>
                <w:color w:val="auto"/>
              </w:rPr>
            </w:pPr>
          </w:p>
        </w:tc>
        <w:tc>
          <w:tcPr>
            <w:tcW w:w="99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THIRTIETH SUPPLEMENTAL INDENTURE dated as of November 22, 2016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WHEREAS, the Issuers have heretofore entered into an Indenture, dated as of September 25, 2002 (the “Original Indenture”), with U.S. Bank National Association (successor to Wachovia Bank, National Association), as trustee;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Original Indenture, as supplemented by this Supplemental Indenture, is herein called the “Indenture”;</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Issuers propose to create under the Indenture a new series of Debt Securities;</w:t>
      </w:r>
    </w:p>
    <w:p>
      <w:pPr>
        <w:spacing w:after="0" w:line="225" w:lineRule="exact"/>
        <w:rPr>
          <w:sz w:val="20"/>
          <w:szCs w:val="20"/>
          <w:color w:val="auto"/>
        </w:rPr>
      </w:pPr>
    </w:p>
    <w:p>
      <w:pPr>
        <w:ind w:right="380" w:firstLine="1297"/>
        <w:spacing w:after="0" w:line="342" w:lineRule="auto"/>
        <w:rPr>
          <w:sz w:val="20"/>
          <w:szCs w:val="20"/>
          <w:color w:val="auto"/>
        </w:rPr>
      </w:pPr>
      <w:r>
        <w:rPr>
          <w:rFonts w:ascii="Arial" w:cs="Arial" w:eastAsia="Arial" w:hAnsi="Arial"/>
          <w:sz w:val="16"/>
          <w:szCs w:val="16"/>
          <w:color w:val="auto"/>
        </w:rPr>
        <w:t>WHEREAS, additional Debt Securities of other series hereafter established, except as may be limited in the Original Indenture as at the time supplemented and modified, may be issued from time to time pursuant to the Original Indenture as at the time supplemented and modified; and</w:t>
      </w:r>
    </w:p>
    <w:p>
      <w:pPr>
        <w:spacing w:after="0" w:line="124"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WHEREAS, all conditions necessary to authorize the execution and delivery of this Supplemental Indenture and to make it a valid and binding obligation of the Issuers have been done or performed.</w:t>
      </w:r>
    </w:p>
    <w:p>
      <w:pPr>
        <w:spacing w:after="0" w:line="170"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NOW, THEREFORE, in consideration of the agreements and obligations set forth herein and for other good and valuable consideration, the sufficiency of which is hereby acknowledged, the parties hereto hereby agree as follows: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right="580" w:firstLine="1297"/>
        <w:spacing w:after="0" w:line="30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Establishment.</w:t>
      </w:r>
      <w:r>
        <w:rPr>
          <w:rFonts w:ascii="Arial" w:cs="Arial" w:eastAsia="Arial" w:hAnsi="Arial"/>
          <w:sz w:val="17"/>
          <w:szCs w:val="17"/>
          <w:color w:val="auto"/>
        </w:rPr>
        <w:t xml:space="preserve"> There is hereby established a new series of Debt Securities to be issued under the Indenture, to be designated as the Issuers’ 4.500% Senior Notes due 2026 (the “Notes”). Initially, there will be no Subsidiary Guarantors for the Notes.</w:t>
      </w:r>
    </w:p>
    <w:p>
      <w:pPr>
        <w:spacing w:after="0" w:line="147" w:lineRule="exact"/>
        <w:rPr>
          <w:sz w:val="20"/>
          <w:szCs w:val="20"/>
          <w:color w:val="auto"/>
        </w:rPr>
      </w:pPr>
    </w:p>
    <w:p>
      <w:pPr>
        <w:ind w:right="440" w:firstLine="1305"/>
        <w:spacing w:after="0" w:line="277" w:lineRule="auto"/>
        <w:tabs>
          <w:tab w:leader="none" w:pos="199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There are to be authenticated and delivered $750,000,000 principal amount of Notes on the Issue Date, and from time to time thereafter there may be authenticated and delivered an unlimited principal amount of Additional Notes.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right="520" w:firstLine="1305"/>
        <w:spacing w:after="0" w:line="277" w:lineRule="auto"/>
        <w:tabs>
          <w:tab w:leader="none" w:pos="200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Notes shall be issued initially in the form of one or more Global Securities in substantially the form set out in Exhibit A hereto. The Depositary with respect to the Notes shall be The Depository Trust Company.</w:t>
      </w:r>
    </w:p>
    <w:p>
      <w:pPr>
        <w:spacing w:after="0" w:line="170" w:lineRule="exact"/>
        <w:rPr>
          <w:rFonts w:ascii="Arial" w:cs="Arial" w:eastAsia="Arial" w:hAnsi="Arial"/>
          <w:sz w:val="18"/>
          <w:szCs w:val="18"/>
          <w:color w:val="auto"/>
        </w:rPr>
      </w:pPr>
    </w:p>
    <w:p>
      <w:pPr>
        <w:ind w:right="420" w:firstLine="1305"/>
        <w:spacing w:after="0" w:line="277" w:lineRule="auto"/>
        <w:tabs>
          <w:tab w:leader="none" w:pos="1991"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Note shall be dated the date of authentication thereof and shall bear interest from the date of original issuance thereof or from the most recent date to which interest has been paid or duly provided for.</w:t>
      </w:r>
    </w:p>
    <w:p>
      <w:pPr>
        <w:spacing w:after="0" w:line="170" w:lineRule="exact"/>
        <w:rPr>
          <w:rFonts w:ascii="Arial" w:cs="Arial" w:eastAsia="Arial" w:hAnsi="Arial"/>
          <w:sz w:val="18"/>
          <w:szCs w:val="18"/>
          <w:color w:val="auto"/>
        </w:rPr>
      </w:pPr>
    </w:p>
    <w:p>
      <w:pPr>
        <w:ind w:right="180" w:firstLine="1305"/>
        <w:spacing w:after="0" w:line="277" w:lineRule="auto"/>
        <w:tabs>
          <w:tab w:leader="none" w:pos="2001"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and to the extent that the provisions of the Original Indenture are duplicative of, or in contradiction with, the provisions of this Supplemental Indenture, the provisions of this Supplemental Indenture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All capitalized terms used herein and not otherwise defined below shall have the meanings ascribed thereto in the Original Indenture. The following are additional definitions used in this Supplemental Indenture:</w:t>
      </w:r>
    </w:p>
    <w:p>
      <w:pPr>
        <w:spacing w:after="0" w:line="170" w:lineRule="exact"/>
        <w:rPr>
          <w:sz w:val="20"/>
          <w:szCs w:val="20"/>
          <w:color w:val="auto"/>
        </w:rPr>
      </w:pPr>
    </w:p>
    <w:p>
      <w:pPr>
        <w:ind w:right="160" w:firstLine="1337"/>
        <w:spacing w:after="0" w:line="342" w:lineRule="auto"/>
        <w:rPr>
          <w:sz w:val="20"/>
          <w:szCs w:val="20"/>
          <w:color w:val="auto"/>
        </w:rPr>
      </w:pPr>
      <w:r>
        <w:rPr>
          <w:rFonts w:ascii="Arial" w:cs="Arial" w:eastAsia="Arial" w:hAnsi="Arial"/>
          <w:sz w:val="16"/>
          <w:szCs w:val="16"/>
          <w:color w:val="auto"/>
        </w:rPr>
        <w:t>“Affiliate”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w:t>
      </w:r>
    </w:p>
    <w:p>
      <w:pPr>
        <w:sectPr>
          <w:pgSz w:w="11900" w:h="16838" w:orient="portrait"/>
          <w:cols w:equalWidth="0" w:num="1">
            <w:col w:w="11460"/>
          </w:cols>
          <w:pgMar w:left="240" w:top="584" w:right="199" w:bottom="0" w:gutter="0" w:footer="0" w:header="0"/>
        </w:sectPr>
      </w:pPr>
    </w:p>
    <w:bookmarkStart w:id="5" w:name="page6"/>
    <w:bookmarkEnd w:id="5"/>
    <w:p>
      <w:pPr>
        <w:spacing w:after="0" w:line="9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w:t>
      </w:r>
    </w:p>
    <w:p>
      <w:pPr>
        <w:spacing w:after="0" w:line="147" w:lineRule="exact"/>
        <w:rPr>
          <w:sz w:val="20"/>
          <w:szCs w:val="20"/>
          <w:color w:val="auto"/>
        </w:rPr>
      </w:pPr>
    </w:p>
    <w:p>
      <w:pPr>
        <w:ind w:firstLine="1297"/>
        <w:spacing w:after="0" w:line="290" w:lineRule="auto"/>
        <w:rPr>
          <w:sz w:val="20"/>
          <w:szCs w:val="20"/>
          <w:color w:val="auto"/>
        </w:rPr>
      </w:pPr>
      <w:r>
        <w:rPr>
          <w:rFonts w:ascii="Arial" w:cs="Arial" w:eastAsia="Arial" w:hAnsi="Arial"/>
          <w:sz w:val="16"/>
          <w:szCs w:val="16"/>
          <w:color w:val="auto"/>
        </w:rPr>
        <w:t>“Attributable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66"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w:t>
      </w:r>
    </w:p>
    <w:p>
      <w:pPr>
        <w:spacing w:after="0" w:line="188"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“Debt” means any obligation created or assumed by any Person for the repayment of money borrowed, any purchase money obligation created or assumed by such Person, and any guarantee of the foregoing.</w:t>
      </w:r>
    </w:p>
    <w:p>
      <w:pPr>
        <w:spacing w:after="0" w:line="170"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87"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“Guarantee” means a guarantee of the Notes given by a Subsidiary Guarantor pursuant to the Indenture, including any future obligations under Article IX 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“General Partner” means PAA GP LLC, a Delaware limited liability company, and its successors and permitted assigns as general partner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w:t>
      </w:r>
    </w:p>
    <w:p>
      <w:pPr>
        <w:spacing w:after="0" w:line="21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“Issue Date” means, with respect to the Notes, the date on which the Notes are initially issued.</w:t>
      </w:r>
    </w:p>
    <w:p>
      <w:pPr>
        <w:spacing w:after="0" w:line="225" w:lineRule="exact"/>
        <w:rPr>
          <w:sz w:val="20"/>
          <w:szCs w:val="20"/>
          <w:color w:val="auto"/>
        </w:rPr>
      </w:pPr>
    </w:p>
    <w:p>
      <w:pPr>
        <w:ind w:right="160" w:firstLine="1297"/>
        <w:spacing w:after="0" w:line="286" w:lineRule="auto"/>
        <w:rPr>
          <w:sz w:val="20"/>
          <w:szCs w:val="20"/>
          <w:color w:val="auto"/>
        </w:rPr>
      </w:pPr>
      <w:r>
        <w:rPr>
          <w:rFonts w:ascii="Arial" w:cs="Arial" w:eastAsia="Arial" w:hAnsi="Arial"/>
          <w:sz w:val="17"/>
          <w:szCs w:val="17"/>
          <w:color w:val="auto"/>
        </w:rPr>
        <w:t>“Managing General Partner” means (i) Plains All American GP LLC, a Delaware limited liability company (and its successors and permitted assigns), as the general partner of Plains AAP, L.P., a Delaware limited partnership (and its successors and permitted assigns), as the sole member of the General Partner or (ii) the business entity with the ultimate authority to manage the business and operations of the Partnership.</w:t>
      </w:r>
    </w:p>
    <w:p>
      <w:pPr>
        <w:spacing w:after="0" w:line="166"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“Notes” has the meaning assigned to it in Section 1.01(a) hereof, and includes both the Notes issued on the Issue Date and any Additional Notes issued thereafter.</w:t>
      </w:r>
    </w:p>
    <w:p>
      <w:pPr>
        <w:spacing w:after="0" w:line="170"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“Obligations” means any principal, interest, liquidated damages, penalties, fees, indemnifications, reimbursement obligations, damages and other liabilities payable under the documentation governing any Debt.</w:t>
      </w:r>
    </w:p>
    <w:p>
      <w:pPr>
        <w:spacing w:after="0" w:line="170"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“Partnership Agreement” means the Sixth Amended and Restated Agreement of Limited Partnership of Plains All American Pipeline, L.P., dated as of November 15, 2016, as such may be otherwise amended, modified or supplemented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“Permitted Liens” means:</w:t>
      </w:r>
    </w:p>
    <w:p>
      <w:pPr>
        <w:spacing w:after="0" w:line="225" w:lineRule="exact"/>
        <w:rPr>
          <w:sz w:val="20"/>
          <w:szCs w:val="20"/>
          <w:color w:val="auto"/>
        </w:rPr>
      </w:pPr>
    </w:p>
    <w:p>
      <w:pPr>
        <w:ind w:left="2000" w:hanging="695"/>
        <w:spacing w:after="0"/>
        <w:tabs>
          <w:tab w:leader="none" w:pos="2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225" w:lineRule="exact"/>
        <w:rPr>
          <w:rFonts w:ascii="Arial" w:cs="Arial" w:eastAsia="Arial" w:hAnsi="Arial"/>
          <w:sz w:val="18"/>
          <w:szCs w:val="18"/>
          <w:color w:val="auto"/>
        </w:rPr>
      </w:pPr>
    </w:p>
    <w:p>
      <w:pPr>
        <w:ind w:left="660" w:firstLine="645"/>
        <w:spacing w:after="0" w:line="312" w:lineRule="auto"/>
        <w:tabs>
          <w:tab w:leader="none" w:pos="2013"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46" w:lineRule="exact"/>
        <w:rPr>
          <w:rFonts w:ascii="Arial" w:cs="Arial" w:eastAsia="Arial" w:hAnsi="Arial"/>
          <w:sz w:val="16"/>
          <w:szCs w:val="16"/>
          <w:color w:val="auto"/>
        </w:rPr>
      </w:pPr>
    </w:p>
    <w:p>
      <w:pPr>
        <w:ind w:left="660" w:right="140" w:firstLine="645"/>
        <w:spacing w:after="0" w:line="277" w:lineRule="auto"/>
        <w:tabs>
          <w:tab w:leader="none" w:pos="201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70" w:lineRule="exact"/>
        <w:rPr>
          <w:rFonts w:ascii="Arial" w:cs="Arial" w:eastAsia="Arial" w:hAnsi="Arial"/>
          <w:sz w:val="18"/>
          <w:szCs w:val="18"/>
          <w:color w:val="auto"/>
        </w:rPr>
      </w:pPr>
    </w:p>
    <w:p>
      <w:pPr>
        <w:ind w:left="660" w:right="260" w:firstLine="645"/>
        <w:spacing w:after="0" w:line="277" w:lineRule="auto"/>
        <w:tabs>
          <w:tab w:leader="none" w:pos="2013" w:val="left"/>
        </w:tabs>
        <w:numPr>
          <w:ilvl w:val="0"/>
          <w:numId w:val="4"/>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an Issuer or any Restricted Subsidiary in good faith;</w:t>
      </w:r>
    </w:p>
    <w:p>
      <w:pPr>
        <w:sectPr>
          <w:pgSz w:w="11900" w:h="16929" w:orient="portrait"/>
          <w:cols w:equalWidth="0" w:num="1">
            <w:col w:w="11400"/>
          </w:cols>
          <w:pgMar w:left="240" w:top="125" w:right="259" w:bottom="0" w:gutter="0" w:footer="0" w:header="0"/>
        </w:sectPr>
      </w:pPr>
    </w:p>
    <w:bookmarkStart w:id="6" w:name="page7"/>
    <w:bookmarkEnd w:id="6"/>
    <w:p>
      <w:pPr>
        <w:ind w:left="2000" w:hanging="695"/>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225" w:lineRule="exact"/>
        <w:rPr>
          <w:rFonts w:ascii="Arial" w:cs="Arial" w:eastAsia="Arial" w:hAnsi="Arial"/>
          <w:sz w:val="18"/>
          <w:szCs w:val="18"/>
          <w:color w:val="auto"/>
        </w:rPr>
      </w:pPr>
    </w:p>
    <w:p>
      <w:pPr>
        <w:ind w:left="660" w:right="120" w:firstLine="645"/>
        <w:spacing w:after="0" w:line="277" w:lineRule="auto"/>
        <w:tabs>
          <w:tab w:leader="none" w:pos="20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170" w:lineRule="exact"/>
        <w:rPr>
          <w:rFonts w:ascii="Arial" w:cs="Arial" w:eastAsia="Arial" w:hAnsi="Arial"/>
          <w:sz w:val="18"/>
          <w:szCs w:val="18"/>
          <w:color w:val="auto"/>
        </w:rPr>
      </w:pPr>
    </w:p>
    <w:p>
      <w:pPr>
        <w:ind w:left="660" w:right="360" w:firstLine="645"/>
        <w:spacing w:after="0" w:line="277" w:lineRule="auto"/>
        <w:tabs>
          <w:tab w:leader="none" w:pos="20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an Issuer or any Restricted Subsidiary resulting from the exercise of any rights arising out of defaults on receivables;</w:t>
      </w:r>
    </w:p>
    <w:p>
      <w:pPr>
        <w:spacing w:after="0" w:line="170" w:lineRule="exact"/>
        <w:rPr>
          <w:rFonts w:ascii="Arial" w:cs="Arial" w:eastAsia="Arial" w:hAnsi="Arial"/>
          <w:sz w:val="18"/>
          <w:szCs w:val="18"/>
          <w:color w:val="auto"/>
        </w:rPr>
      </w:pPr>
    </w:p>
    <w:p>
      <w:pPr>
        <w:ind w:left="660" w:right="580" w:firstLine="645"/>
        <w:spacing w:after="0" w:line="264" w:lineRule="auto"/>
        <w:tabs>
          <w:tab w:leader="none" w:pos="201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Lien in favor of an Issuer or any Restricted Subsidiary;</w:t>
      </w:r>
    </w:p>
    <w:p>
      <w:pPr>
        <w:spacing w:after="0" w:line="225" w:lineRule="exact"/>
        <w:rPr>
          <w:rFonts w:ascii="Arial" w:cs="Arial" w:eastAsia="Arial" w:hAnsi="Arial"/>
          <w:sz w:val="18"/>
          <w:szCs w:val="18"/>
          <w:color w:val="auto"/>
        </w:rPr>
      </w:pPr>
    </w:p>
    <w:p>
      <w:pPr>
        <w:jc w:val="both"/>
        <w:ind w:left="660" w:firstLine="645"/>
        <w:spacing w:after="0" w:line="279" w:lineRule="auto"/>
        <w:tabs>
          <w:tab w:leader="none" w:pos="2013"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225" w:lineRule="exact"/>
        <w:rPr>
          <w:rFonts w:ascii="Arial" w:cs="Arial" w:eastAsia="Arial" w:hAnsi="Arial"/>
          <w:sz w:val="18"/>
          <w:szCs w:val="18"/>
          <w:color w:val="auto"/>
        </w:rPr>
      </w:pPr>
    </w:p>
    <w:p>
      <w:pPr>
        <w:ind w:left="660" w:right="80" w:firstLine="645"/>
        <w:spacing w:after="0" w:line="255" w:lineRule="auto"/>
        <w:tabs>
          <w:tab w:leader="none" w:pos="201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w:t>
      </w:r>
    </w:p>
    <w:p>
      <w:pPr>
        <w:spacing w:after="0" w:line="193" w:lineRule="exact"/>
        <w:rPr>
          <w:rFonts w:ascii="Arial" w:cs="Arial" w:eastAsia="Arial" w:hAnsi="Arial"/>
          <w:sz w:val="18"/>
          <w:szCs w:val="18"/>
          <w:color w:val="auto"/>
        </w:rPr>
      </w:pPr>
    </w:p>
    <w:p>
      <w:pPr>
        <w:ind w:left="660" w:right="200" w:firstLine="645"/>
        <w:spacing w:after="0" w:line="277" w:lineRule="auto"/>
        <w:tabs>
          <w:tab w:leader="none" w:pos="2013"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any Lien upon or deposits of any assets to secure performance of bids, trade contracts, leases or statutory obligations;</w:t>
      </w:r>
    </w:p>
    <w:p>
      <w:pPr>
        <w:spacing w:after="0" w:line="236" w:lineRule="exact"/>
        <w:rPr>
          <w:rFonts w:ascii="Arial" w:cs="Arial" w:eastAsia="Arial" w:hAnsi="Arial"/>
          <w:sz w:val="17"/>
          <w:szCs w:val="17"/>
          <w:color w:val="auto"/>
        </w:rPr>
      </w:pPr>
    </w:p>
    <w:p>
      <w:pPr>
        <w:ind w:left="660" w:firstLine="645"/>
        <w:spacing w:after="0" w:line="302" w:lineRule="auto"/>
        <w:tabs>
          <w:tab w:leader="none" w:pos="2013"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54" w:lineRule="exact"/>
        <w:rPr>
          <w:rFonts w:ascii="Arial" w:cs="Arial" w:eastAsia="Arial" w:hAnsi="Arial"/>
          <w:sz w:val="16"/>
          <w:szCs w:val="16"/>
          <w:color w:val="auto"/>
        </w:rPr>
      </w:pPr>
    </w:p>
    <w:p>
      <w:pPr>
        <w:ind w:left="660" w:firstLine="645"/>
        <w:spacing w:after="0" w:line="259" w:lineRule="auto"/>
        <w:tabs>
          <w:tab w:leader="none" w:pos="2013" w:val="left"/>
        </w:tabs>
        <w:numPr>
          <w:ilvl w:val="0"/>
          <w:numId w:val="6"/>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w:t>
      </w:r>
    </w:p>
    <w:p>
      <w:pPr>
        <w:spacing w:after="0" w:line="186" w:lineRule="exact"/>
        <w:rPr>
          <w:rFonts w:ascii="Arial" w:cs="Arial" w:eastAsia="Arial" w:hAnsi="Arial"/>
          <w:sz w:val="18"/>
          <w:szCs w:val="18"/>
          <w:color w:val="auto"/>
        </w:rPr>
      </w:pPr>
    </w:p>
    <w:p>
      <w:pPr>
        <w:ind w:left="660" w:right="400" w:firstLine="645"/>
        <w:spacing w:after="0" w:line="257" w:lineRule="auto"/>
        <w:tabs>
          <w:tab w:leader="none" w:pos="2013" w:val="left"/>
        </w:tabs>
        <w:numPr>
          <w:ilvl w:val="0"/>
          <w:numId w:val="6"/>
        </w:numPr>
        <w:rPr>
          <w:rFonts w:ascii="Arial" w:cs="Arial" w:eastAsia="Arial" w:hAnsi="Arial"/>
          <w:sz w:val="18"/>
          <w:szCs w:val="18"/>
          <w:color w:val="auto"/>
        </w:rPr>
      </w:pPr>
      <w:r>
        <w:rPr>
          <w:rFonts w:ascii="Arial" w:cs="Arial" w:eastAsia="Arial" w:hAnsi="Arial"/>
          <w:sz w:val="18"/>
          <w:szCs w:val="18"/>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w:t>
      </w:r>
    </w:p>
    <w:p>
      <w:pPr>
        <w:spacing w:after="0" w:line="188" w:lineRule="exact"/>
        <w:rPr>
          <w:rFonts w:ascii="Arial" w:cs="Arial" w:eastAsia="Arial" w:hAnsi="Arial"/>
          <w:sz w:val="18"/>
          <w:szCs w:val="18"/>
          <w:color w:val="auto"/>
        </w:rPr>
      </w:pPr>
    </w:p>
    <w:p>
      <w:pPr>
        <w:ind w:left="660" w:right="580" w:firstLine="645"/>
        <w:spacing w:after="0" w:line="277" w:lineRule="auto"/>
        <w:tabs>
          <w:tab w:leader="none" w:pos="2013"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w:t>
      </w:r>
    </w:p>
    <w:p>
      <w:pPr>
        <w:spacing w:after="0" w:line="167"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“Restricted Subsidiary” means any Subsidiary of the Partnership owning or leasing, directly or indirectly through ownership in another Subsidiary, any Principal Property.</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w:t>
      </w:r>
    </w:p>
    <w:p>
      <w:pPr>
        <w:sectPr>
          <w:pgSz w:w="11900" w:h="16838" w:orient="portrait"/>
          <w:cols w:equalWidth="0" w:num="1">
            <w:col w:w="11400"/>
          </w:cols>
          <w:pgMar w:left="240" w:top="341" w:right="259" w:bottom="0" w:gutter="0" w:footer="0" w:header="0"/>
        </w:sectPr>
      </w:pPr>
    </w:p>
    <w:bookmarkStart w:id="7" w:name="page8"/>
    <w:bookmarkEnd w:id="7"/>
    <w:p>
      <w:pPr>
        <w:ind w:right="60" w:firstLine="1297"/>
        <w:spacing w:after="0" w:line="297" w:lineRule="auto"/>
        <w:rPr>
          <w:sz w:val="20"/>
          <w:szCs w:val="20"/>
          <w:color w:val="auto"/>
        </w:rPr>
      </w:pPr>
      <w:r>
        <w:rPr>
          <w:rFonts w:ascii="Arial" w:cs="Arial" w:eastAsia="Arial" w:hAnsi="Arial"/>
          <w:sz w:val="16"/>
          <w:szCs w:val="16"/>
          <w:color w:val="auto"/>
        </w:rPr>
        <w:t>“Subsidiary”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“Subsidiary Guarantors” means each of:</w:t>
      </w:r>
    </w:p>
    <w:p>
      <w:pPr>
        <w:spacing w:after="0" w:line="225" w:lineRule="exact"/>
        <w:rPr>
          <w:sz w:val="20"/>
          <w:szCs w:val="20"/>
          <w:color w:val="auto"/>
        </w:rPr>
      </w:pPr>
    </w:p>
    <w:p>
      <w:pPr>
        <w:ind w:left="2000" w:hanging="695"/>
        <w:spacing w:after="0"/>
        <w:tabs>
          <w:tab w:leader="none" w:pos="2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Subsidiary that executes a supplemental Indenture to provide a Guarantee in accordance with the provisions of the Indenture;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2000" w:hanging="695"/>
        <w:spacing w:after="0"/>
        <w:tabs>
          <w:tab w:leader="none" w:pos="2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their respective successors and assigns.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tcPr>
          <w:p>
            <w:pPr>
              <w:ind w:left="1280"/>
              <w:spacing w:after="0"/>
              <w:rPr>
                <w:sz w:val="20"/>
                <w:szCs w:val="20"/>
                <w:color w:val="auto"/>
              </w:rPr>
            </w:pPr>
            <w:r>
              <w:rPr>
                <w:rFonts w:ascii="Arial" w:cs="Arial" w:eastAsia="Arial" w:hAnsi="Arial"/>
                <w:sz w:val="18"/>
                <w:szCs w:val="18"/>
                <w:color w:val="auto"/>
              </w:rPr>
              <w:t>Section 2.02</w:t>
            </w:r>
          </w:p>
        </w:tc>
        <w:tc>
          <w:tcPr>
            <w:tcW w:w="9040" w:type="dxa"/>
            <w:vAlign w:val="bottom"/>
            <w:gridSpan w:val="6"/>
          </w:tcPr>
          <w:p>
            <w:pPr>
              <w:ind w:left="240"/>
              <w:spacing w:after="0"/>
              <w:rPr>
                <w:sz w:val="20"/>
                <w:szCs w:val="20"/>
                <w:color w:val="auto"/>
              </w:rPr>
            </w:pPr>
            <w:r>
              <w:rPr>
                <w:rFonts w:ascii="Arial" w:cs="Arial" w:eastAsia="Arial" w:hAnsi="Arial"/>
                <w:sz w:val="18"/>
                <w:szCs w:val="18"/>
                <w:color w:val="auto"/>
              </w:rPr>
              <w:t>Other Definitions.</w:t>
            </w:r>
          </w:p>
        </w:tc>
        <w:tc>
          <w:tcPr>
            <w:tcW w:w="0" w:type="dxa"/>
            <w:vAlign w:val="bottom"/>
          </w:tcPr>
          <w:p>
            <w:pPr>
              <w:spacing w:after="0"/>
              <w:rPr>
                <w:sz w:val="1"/>
                <w:szCs w:val="1"/>
                <w:color w:val="auto"/>
              </w:rPr>
            </w:pPr>
          </w:p>
        </w:tc>
      </w:tr>
      <w:tr>
        <w:trPr>
          <w:trHeight w:val="362"/>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Term</w:t>
            </w:r>
          </w:p>
        </w:tc>
        <w:tc>
          <w:tcPr>
            <w:tcW w:w="2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Defined in</w:t>
            </w:r>
          </w:p>
        </w:tc>
        <w:tc>
          <w:tcPr>
            <w:tcW w:w="0" w:type="dxa"/>
            <w:vAlign w:val="bottom"/>
          </w:tcPr>
          <w:p>
            <w:pPr>
              <w:spacing w:after="0"/>
              <w:rPr>
                <w:sz w:val="1"/>
                <w:szCs w:val="1"/>
                <w:color w:val="auto"/>
              </w:rPr>
            </w:pPr>
          </w:p>
        </w:tc>
      </w:tr>
      <w:tr>
        <w:trPr>
          <w:trHeight w:val="171"/>
        </w:trPr>
        <w:tc>
          <w:tcPr>
            <w:tcW w:w="24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Section</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6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“Additional Notes”</w:t>
            </w:r>
          </w:p>
        </w:tc>
        <w:tc>
          <w:tcPr>
            <w:tcW w:w="9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“Covenant Defeasance”</w:t>
            </w:r>
          </w:p>
        </w:tc>
        <w:tc>
          <w:tcPr>
            <w:tcW w:w="9000" w:type="dxa"/>
            <w:vAlign w:val="bottom"/>
            <w:gridSpan w:val="5"/>
          </w:tcPr>
          <w:p>
            <w:pPr>
              <w:jc w:val="right"/>
              <w:spacing w:after="0"/>
              <w:rPr>
                <w:sz w:val="20"/>
                <w:szCs w:val="20"/>
                <w:color w:val="auto"/>
              </w:rPr>
            </w:pPr>
            <w:r>
              <w:rPr>
                <w:rFonts w:ascii="Arial" w:cs="Arial" w:eastAsia="Arial" w:hAnsi="Arial"/>
                <w:sz w:val="18"/>
                <w:szCs w:val="18"/>
                <w:color w:val="auto"/>
              </w:rPr>
              <w:t>8.03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740" w:type="dxa"/>
            <w:vAlign w:val="bottom"/>
            <w:gridSpan w:val="3"/>
          </w:tcPr>
          <w:p>
            <w:pPr>
              <w:jc w:val="right"/>
              <w:ind w:right="44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420" w:type="dxa"/>
            <w:vAlign w:val="bottom"/>
            <w:tcBorders>
              <w:bottom w:val="single" w:sz="8" w:color="808080"/>
            </w:tcBorders>
            <w:gridSpan w:val="2"/>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300" w:type="dxa"/>
            <w:vAlign w:val="bottom"/>
            <w:tcBorders>
              <w:bottom w:val="single" w:sz="8" w:color="808080"/>
            </w:tcBorders>
          </w:tcPr>
          <w:p>
            <w:pPr>
              <w:spacing w:after="0"/>
              <w:rPr>
                <w:sz w:val="11"/>
                <w:szCs w:val="11"/>
                <w:color w:val="auto"/>
              </w:rPr>
            </w:pPr>
          </w:p>
        </w:tc>
        <w:tc>
          <w:tcPr>
            <w:tcW w:w="7500" w:type="dxa"/>
            <w:vAlign w:val="bottom"/>
            <w:tcBorders>
              <w:bottom w:val="single" w:sz="8" w:color="808080"/>
            </w:tcBorders>
            <w:gridSpan w:val="4"/>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2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60" w:type="dxa"/>
            <w:vAlign w:val="bottom"/>
            <w:gridSpan w:val="3"/>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“Event of Default”</w:t>
            </w:r>
          </w:p>
        </w:tc>
        <w:tc>
          <w:tcPr>
            <w:tcW w:w="9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“Legal Defeasance”</w:t>
            </w:r>
          </w:p>
        </w:tc>
        <w:tc>
          <w:tcPr>
            <w:tcW w:w="9000" w:type="dxa"/>
            <w:vAlign w:val="bottom"/>
            <w:gridSpan w:val="5"/>
          </w:tcPr>
          <w:p>
            <w:pPr>
              <w:jc w:val="right"/>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“Note Obligations”</w:t>
            </w:r>
          </w:p>
        </w:tc>
        <w:tc>
          <w:tcPr>
            <w:tcW w:w="9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“Payment Default”</w:t>
            </w:r>
          </w:p>
        </w:tc>
        <w:tc>
          <w:tcPr>
            <w:tcW w:w="9000" w:type="dxa"/>
            <w:vAlign w:val="bottom"/>
            <w:gridSpan w:val="5"/>
          </w:tcPr>
          <w:p>
            <w:pPr>
              <w:jc w:val="right"/>
              <w:spacing w:after="0"/>
              <w:rPr>
                <w:sz w:val="20"/>
                <w:szCs w:val="20"/>
                <w:color w:val="auto"/>
              </w:rPr>
            </w:pPr>
            <w:r>
              <w:rPr>
                <w:rFonts w:ascii="Arial" w:cs="Arial" w:eastAsia="Arial" w:hAnsi="Arial"/>
                <w:sz w:val="18"/>
                <w:szCs w:val="18"/>
                <w:color w:val="auto"/>
              </w:rPr>
              <w:t>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“Required Filing Dates”</w:t>
            </w:r>
          </w:p>
        </w:tc>
        <w:tc>
          <w:tcPr>
            <w:tcW w:w="9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“Successor Company”</w:t>
            </w:r>
          </w:p>
        </w:tc>
        <w:tc>
          <w:tcPr>
            <w:tcW w:w="9000" w:type="dxa"/>
            <w:vAlign w:val="bottom"/>
            <w:gridSpan w:val="5"/>
          </w:tcPr>
          <w:p>
            <w:pPr>
              <w:jc w:val="right"/>
              <w:spacing w:after="0"/>
              <w:rPr>
                <w:sz w:val="20"/>
                <w:szCs w:val="20"/>
                <w:color w:val="auto"/>
              </w:rPr>
            </w:pPr>
            <w:r>
              <w:rPr>
                <w:rFonts w:ascii="Arial" w:cs="Arial" w:eastAsia="Arial" w:hAnsi="Arial"/>
                <w:sz w:val="18"/>
                <w:szCs w:val="18"/>
                <w:color w:val="auto"/>
              </w:rPr>
              <w:t>6.01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-1219835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-1219835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THE NOTES</w:t>
      </w:r>
    </w:p>
    <w:p>
      <w:pPr>
        <w:spacing w:after="0" w:line="21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Form.</w:t>
      </w:r>
      <w:r>
        <w:rPr>
          <w:rFonts w:ascii="Arial" w:cs="Arial" w:eastAsia="Arial" w:hAnsi="Arial"/>
          <w:sz w:val="18"/>
          <w:szCs w:val="18"/>
          <w:color w:val="auto"/>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w:t>
      </w:r>
    </w:p>
    <w:p>
      <w:pPr>
        <w:spacing w:after="0" w:line="187"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Issuance of Additional Notes.</w:t>
      </w:r>
      <w:r>
        <w:rPr>
          <w:rFonts w:ascii="Arial" w:cs="Arial" w:eastAsia="Arial" w:hAnsi="Arial"/>
          <w:sz w:val="18"/>
          <w:szCs w:val="18"/>
          <w:color w:val="auto"/>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$750,000,000. The Notes issued on the Issue Date and any Additional Notes subsequently issued shall be treated as a single series for all purposes under the Indenture, including waivers, amendments, redemptions and offers to purchase.</w:t>
      </w:r>
    </w:p>
    <w:p>
      <w:pPr>
        <w:spacing w:after="0" w:line="193"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 xml:space="preserve">Global Security Legend. </w:t>
      </w:r>
      <w:r>
        <w:rPr>
          <w:rFonts w:ascii="Arial" w:cs="Arial" w:eastAsia="Arial" w:hAnsi="Arial"/>
          <w:sz w:val="16"/>
          <w:szCs w:val="16"/>
          <w:color w:val="auto"/>
        </w:rPr>
        <w:t>Each of the Global Securities shall bear a legend in substantially the following form:</w:t>
      </w:r>
    </w:p>
    <w:p>
      <w:pPr>
        <w:spacing w:after="0" w:line="225"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REDEMPTION AND PREPAYMENT</w:t>
      </w:r>
    </w:p>
    <w:p>
      <w:pPr>
        <w:spacing w:after="0" w:line="211"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ind w:left="1920" w:hanging="615"/>
        <w:spacing w:after="0"/>
        <w:tabs>
          <w:tab w:leader="none" w:pos="1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their option at any time prior to maturity, the Issuers may choose to redeem all or any portion of the Notes, at once or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right="40" w:firstLine="1305"/>
        <w:spacing w:after="0" w:line="264" w:lineRule="auto"/>
        <w:tabs>
          <w:tab w:leader="none" w:pos="19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w:t>
      </w:r>
    </w:p>
    <w:p>
      <w:pPr>
        <w:spacing w:after="0" w:line="181" w:lineRule="exact"/>
        <w:rPr>
          <w:rFonts w:ascii="Arial" w:cs="Arial" w:eastAsia="Arial" w:hAnsi="Arial"/>
          <w:sz w:val="18"/>
          <w:szCs w:val="18"/>
          <w:color w:val="auto"/>
        </w:rPr>
      </w:pPr>
    </w:p>
    <w:p>
      <w:pPr>
        <w:ind w:right="60" w:firstLine="1305"/>
        <w:spacing w:after="0" w:line="264" w:lineRule="auto"/>
        <w:tabs>
          <w:tab w:leader="none" w:pos="19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w:t>
      </w:r>
    </w:p>
    <w:p>
      <w:pPr>
        <w:sectPr>
          <w:pgSz w:w="11900" w:h="16838" w:orient="portrait"/>
          <w:cols w:equalWidth="0" w:num="1">
            <w:col w:w="11460"/>
          </w:cols>
          <w:pgMar w:left="240" w:top="125" w:right="19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90" w:lineRule="auto"/>
        <w:tabs>
          <w:tab w:leader="none" w:pos="1917"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w:t>
      </w:r>
    </w:p>
    <w:p>
      <w:pPr>
        <w:spacing w:after="0" w:line="166" w:lineRule="exact"/>
        <w:rPr>
          <w:rFonts w:ascii="Arial" w:cs="Arial" w:eastAsia="Arial" w:hAnsi="Arial"/>
          <w:sz w:val="16"/>
          <w:szCs w:val="16"/>
          <w:color w:val="auto"/>
        </w:rPr>
      </w:pPr>
    </w:p>
    <w:p>
      <w:pPr>
        <w:ind w:right="20" w:firstLine="1305"/>
        <w:spacing w:after="0" w:line="259" w:lineRule="auto"/>
        <w:tabs>
          <w:tab w:leader="none" w:pos="192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w:t>
      </w:r>
    </w:p>
    <w:p>
      <w:pPr>
        <w:spacing w:after="0" w:line="187"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Limitations on Liens</w:t>
      </w:r>
      <w:r>
        <w:rPr>
          <w:rFonts w:ascii="Arial" w:cs="Arial" w:eastAsia="Arial" w:hAnsi="Arial"/>
          <w:sz w:val="17"/>
          <w:szCs w:val="17"/>
          <w:color w:val="auto"/>
        </w:rPr>
        <w:t>. The Issuers will not, nor will they permit any Subsidiary of the Partnership to, create, assume, incur or suffer to exist any Lien upon any Principal Property or upon any Capital Interests of any Restricted Subsidiary, whether owned or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w:t>
      </w:r>
    </w:p>
    <w:p>
      <w:pPr>
        <w:spacing w:after="0" w:line="181" w:lineRule="exact"/>
        <w:rPr>
          <w:sz w:val="20"/>
          <w:szCs w:val="20"/>
          <w:color w:val="auto"/>
        </w:rPr>
      </w:pPr>
    </w:p>
    <w:p>
      <w:pPr>
        <w:ind w:left="1920" w:hanging="615"/>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25" w:lineRule="exact"/>
        <w:rPr>
          <w:rFonts w:ascii="Arial" w:cs="Arial" w:eastAsia="Arial" w:hAnsi="Arial"/>
          <w:sz w:val="18"/>
          <w:szCs w:val="18"/>
          <w:color w:val="auto"/>
        </w:rPr>
      </w:pPr>
    </w:p>
    <w:p>
      <w:pPr>
        <w:ind w:right="340" w:firstLine="1305"/>
        <w:spacing w:after="0" w:line="286" w:lineRule="auto"/>
        <w:tabs>
          <w:tab w:leader="none" w:pos="1927"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65" w:lineRule="exact"/>
        <w:rPr>
          <w:rFonts w:ascii="Arial" w:cs="Arial" w:eastAsia="Arial" w:hAnsi="Arial"/>
          <w:sz w:val="17"/>
          <w:szCs w:val="17"/>
          <w:color w:val="auto"/>
        </w:rPr>
      </w:pPr>
    </w:p>
    <w:p>
      <w:pPr>
        <w:ind w:right="80" w:firstLine="1305"/>
        <w:spacing w:after="0" w:line="286" w:lineRule="auto"/>
        <w:tabs>
          <w:tab w:leader="none" w:pos="1917"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65" w:lineRule="exact"/>
        <w:rPr>
          <w:rFonts w:ascii="Arial" w:cs="Arial" w:eastAsia="Arial" w:hAnsi="Arial"/>
          <w:sz w:val="17"/>
          <w:szCs w:val="17"/>
          <w:color w:val="auto"/>
        </w:rPr>
      </w:pPr>
    </w:p>
    <w:p>
      <w:pPr>
        <w:ind w:right="280" w:firstLine="1305"/>
        <w:spacing w:after="0" w:line="264" w:lineRule="auto"/>
        <w:tabs>
          <w:tab w:leader="none" w:pos="19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w:t>
      </w:r>
    </w:p>
    <w:p>
      <w:pPr>
        <w:spacing w:after="0" w:line="181" w:lineRule="exact"/>
        <w:rPr>
          <w:rFonts w:ascii="Arial" w:cs="Arial" w:eastAsia="Arial" w:hAnsi="Arial"/>
          <w:sz w:val="18"/>
          <w:szCs w:val="18"/>
          <w:color w:val="auto"/>
        </w:rPr>
      </w:pPr>
    </w:p>
    <w:p>
      <w:pPr>
        <w:ind w:right="140" w:firstLine="1305"/>
        <w:spacing w:after="0" w:line="264" w:lineRule="auto"/>
        <w:tabs>
          <w:tab w:leader="none" w:pos="191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181" w:lineRule="exact"/>
        <w:rPr>
          <w:rFonts w:ascii="Arial" w:cs="Arial" w:eastAsia="Arial" w:hAnsi="Arial"/>
          <w:sz w:val="18"/>
          <w:szCs w:val="18"/>
          <w:color w:val="auto"/>
        </w:rPr>
      </w:pPr>
    </w:p>
    <w:p>
      <w:pPr>
        <w:ind w:right="100" w:firstLine="1305"/>
        <w:spacing w:after="0" w:line="277" w:lineRule="auto"/>
        <w:tabs>
          <w:tab w:leader="none" w:pos="19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Lien upon any property or assets of an Issuer or any Restricted Subsidiary in existence on December 10, 2003 or provided for pursuant to agreements existing on December 10, 2003;</w:t>
      </w:r>
    </w:p>
    <w:p>
      <w:pPr>
        <w:spacing w:after="0" w:line="170" w:lineRule="exact"/>
        <w:rPr>
          <w:rFonts w:ascii="Arial" w:cs="Arial" w:eastAsia="Arial" w:hAnsi="Arial"/>
          <w:sz w:val="18"/>
          <w:szCs w:val="18"/>
          <w:color w:val="auto"/>
        </w:rPr>
      </w:pPr>
    </w:p>
    <w:p>
      <w:pPr>
        <w:ind w:right="100" w:firstLine="1305"/>
        <w:spacing w:after="0" w:line="264" w:lineRule="auto"/>
        <w:tabs>
          <w:tab w:leader="none" w:pos="19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w:t>
      </w:r>
    </w:p>
    <w:p>
      <w:pPr>
        <w:spacing w:after="0" w:line="181" w:lineRule="exact"/>
        <w:rPr>
          <w:rFonts w:ascii="Arial" w:cs="Arial" w:eastAsia="Arial" w:hAnsi="Arial"/>
          <w:sz w:val="18"/>
          <w:szCs w:val="18"/>
          <w:color w:val="auto"/>
        </w:rPr>
      </w:pPr>
    </w:p>
    <w:p>
      <w:pPr>
        <w:ind w:right="60" w:firstLine="1305"/>
        <w:spacing w:after="0" w:line="297" w:lineRule="auto"/>
        <w:tabs>
          <w:tab w:leader="none" w:pos="1927"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the Restricted Subsidiaries (including any premium) incurred in connection with such extension, renewal, refinancing, refunding or replacement; or</w:t>
      </w:r>
    </w:p>
    <w:p>
      <w:pPr>
        <w:spacing w:after="0" w:line="237" w:lineRule="exact"/>
        <w:rPr>
          <w:sz w:val="20"/>
          <w:szCs w:val="20"/>
          <w:color w:val="auto"/>
        </w:rPr>
      </w:pPr>
    </w:p>
    <w:p>
      <w:pPr>
        <w:ind w:left="1940" w:hanging="635"/>
        <w:spacing w:after="0"/>
        <w:tabs>
          <w:tab w:leader="none" w:pos="1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Lien resulting from the deposit of moneys or evidence of indebtedness in trust for the purpose of defeasing Debt of an Issuer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Restricted Subsidiary.</w:t>
      </w:r>
    </w:p>
    <w:p>
      <w:pPr>
        <w:spacing w:after="0" w:line="211" w:lineRule="exact"/>
        <w:rPr>
          <w:sz w:val="20"/>
          <w:szCs w:val="20"/>
          <w:color w:val="auto"/>
        </w:rPr>
      </w:pPr>
    </w:p>
    <w:p>
      <w:pPr>
        <w:ind w:right="100" w:firstLine="1297"/>
        <w:spacing w:after="0" w:line="302" w:lineRule="auto"/>
        <w:rPr>
          <w:sz w:val="20"/>
          <w:szCs w:val="20"/>
          <w:color w:val="auto"/>
        </w:rPr>
      </w:pPr>
      <w:r>
        <w:rPr>
          <w:rFonts w:ascii="Arial" w:cs="Arial" w:eastAsia="Arial" w:hAnsi="Arial"/>
          <w:sz w:val="16"/>
          <w:szCs w:val="16"/>
          <w:color w:val="auto"/>
        </w:rPr>
        <w:t>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w:t>
      </w:r>
    </w:p>
    <w:p>
      <w:pPr>
        <w:sectPr>
          <w:pgSz w:w="11900" w:h="16838" w:orient="portrait"/>
          <w:cols w:equalWidth="0" w:num="1">
            <w:col w:w="11400"/>
          </w:cols>
          <w:pgMar w:left="240" w:top="341" w:right="259" w:bottom="0" w:gutter="0" w:footer="0" w:header="0"/>
        </w:sectPr>
      </w:pPr>
    </w:p>
    <w:bookmarkStart w:id="9" w:name="page10"/>
    <w:bookmarkEnd w:id="9"/>
    <w:p>
      <w:pPr>
        <w:spacing w:after="0" w:line="9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Section 5.02, together with all Attributable Indebtedness from Sale-leaseback Transactions (excluding Sale-leaseback Transactions permitted by clauses (a) through (d), inclusive, of Section 5.03), does not exceed 10% of Consolidated Net Tangible Assets.</w:t>
      </w:r>
    </w:p>
    <w:p>
      <w:pPr>
        <w:spacing w:after="0" w:line="170"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Restriction of Sale-leaseback Transactions</w:t>
      </w:r>
      <w:r>
        <w:rPr>
          <w:rFonts w:ascii="Arial" w:cs="Arial" w:eastAsia="Arial" w:hAnsi="Arial"/>
          <w:sz w:val="18"/>
          <w:szCs w:val="18"/>
          <w:color w:val="auto"/>
        </w:rPr>
        <w:t>. The Issuers will not, and will not permit any Subsidiary of the Partnership to, engage in a Sale-leaseback Transaction, unless:</w:t>
      </w:r>
    </w:p>
    <w:p>
      <w:pPr>
        <w:spacing w:after="0" w:line="170" w:lineRule="exact"/>
        <w:rPr>
          <w:sz w:val="20"/>
          <w:szCs w:val="20"/>
          <w:color w:val="auto"/>
        </w:rPr>
      </w:pPr>
    </w:p>
    <w:p>
      <w:pPr>
        <w:ind w:right="100" w:firstLine="1305"/>
        <w:spacing w:after="0" w:line="264" w:lineRule="auto"/>
        <w:tabs>
          <w:tab w:leader="none" w:pos="19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225" w:lineRule="exact"/>
        <w:rPr>
          <w:rFonts w:ascii="Arial" w:cs="Arial" w:eastAsia="Arial" w:hAnsi="Arial"/>
          <w:sz w:val="18"/>
          <w:szCs w:val="18"/>
          <w:color w:val="auto"/>
        </w:rPr>
      </w:pPr>
    </w:p>
    <w:p>
      <w:pPr>
        <w:ind w:right="80" w:firstLine="1305"/>
        <w:spacing w:after="0" w:line="264" w:lineRule="auto"/>
        <w:tabs>
          <w:tab w:leader="none" w:pos="19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w:t>
      </w:r>
    </w:p>
    <w:p>
      <w:pPr>
        <w:spacing w:after="0" w:line="181" w:lineRule="exact"/>
        <w:rPr>
          <w:rFonts w:ascii="Arial" w:cs="Arial" w:eastAsia="Arial" w:hAnsi="Arial"/>
          <w:sz w:val="18"/>
          <w:szCs w:val="18"/>
          <w:color w:val="auto"/>
        </w:rPr>
      </w:pPr>
    </w:p>
    <w:p>
      <w:pPr>
        <w:jc w:val="both"/>
        <w:ind w:right="180" w:firstLine="1305"/>
        <w:spacing w:after="0" w:line="259" w:lineRule="auto"/>
        <w:tabs>
          <w:tab w:leader="none" w:pos="19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w:t>
      </w:r>
    </w:p>
    <w:p>
      <w:pPr>
        <w:spacing w:after="0" w:line="187" w:lineRule="exact"/>
        <w:rPr>
          <w:sz w:val="20"/>
          <w:szCs w:val="20"/>
          <w:color w:val="auto"/>
        </w:rPr>
      </w:pPr>
    </w:p>
    <w:p>
      <w:pPr>
        <w:ind w:right="120" w:firstLine="1297"/>
        <w:spacing w:after="0" w:line="259" w:lineRule="auto"/>
        <w:rPr>
          <w:sz w:val="20"/>
          <w:szCs w:val="20"/>
          <w:color w:val="auto"/>
        </w:rPr>
      </w:pPr>
      <w:r>
        <w:rPr>
          <w:rFonts w:ascii="Arial" w:cs="Arial" w:eastAsia="Arial" w:hAnsi="Arial"/>
          <w:sz w:val="18"/>
          <w:szCs w:val="18"/>
          <w:color w:val="auto"/>
        </w:rPr>
        <w:t>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Principal Properties not excepted by clauses (a) through (i), inclusive, of Section 5.02, does not exceed 10% of Consolidated Net Tangible Assets.</w:t>
      </w:r>
    </w:p>
    <w:p>
      <w:pPr>
        <w:spacing w:after="0" w:line="23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6" w:lineRule="auto"/>
        <w:tabs>
          <w:tab w:leader="none" w:pos="1917"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w:t>
      </w:r>
    </w:p>
    <w:p>
      <w:pPr>
        <w:spacing w:after="0" w:line="172" w:lineRule="exact"/>
        <w:rPr>
          <w:rFonts w:ascii="Arial" w:cs="Arial" w:eastAsia="Arial" w:hAnsi="Arial"/>
          <w:sz w:val="17"/>
          <w:szCs w:val="17"/>
          <w:color w:val="auto"/>
        </w:rPr>
      </w:pPr>
    </w:p>
    <w:p>
      <w:pPr>
        <w:ind w:right="160" w:firstLine="1305"/>
        <w:spacing w:after="0" w:line="312" w:lineRule="auto"/>
        <w:tabs>
          <w:tab w:leader="none" w:pos="1927"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w:t>
      </w:r>
    </w:p>
    <w:p>
      <w:pPr>
        <w:spacing w:after="0" w:line="146" w:lineRule="exact"/>
        <w:rPr>
          <w:rFonts w:ascii="Arial" w:cs="Arial" w:eastAsia="Arial" w:hAnsi="Arial"/>
          <w:sz w:val="16"/>
          <w:szCs w:val="16"/>
          <w:color w:val="auto"/>
        </w:rPr>
      </w:pPr>
    </w:p>
    <w:p>
      <w:pPr>
        <w:ind w:left="1920" w:hanging="615"/>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right="300" w:firstLine="1305"/>
        <w:spacing w:after="0" w:line="277" w:lineRule="auto"/>
        <w:tabs>
          <w:tab w:leader="none" w:pos="192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Partnership shall provide the Trustee with a sufficient number of copies of all reports and other documents and information that the Trustee may be required to deliver to Holders of Notes under clause (b) of this Section 5.04.</w:t>
      </w:r>
    </w:p>
    <w:p>
      <w:pPr>
        <w:spacing w:after="0" w:line="170" w:lineRule="exact"/>
        <w:rPr>
          <w:rFonts w:ascii="Arial" w:cs="Arial" w:eastAsia="Arial" w:hAnsi="Arial"/>
          <w:sz w:val="18"/>
          <w:szCs w:val="18"/>
          <w:color w:val="auto"/>
        </w:rPr>
      </w:pPr>
    </w:p>
    <w:p>
      <w:pPr>
        <w:ind w:right="160" w:firstLine="1305"/>
        <w:spacing w:after="0" w:line="312" w:lineRule="auto"/>
        <w:tabs>
          <w:tab w:leader="none" w:pos="1917"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w:t>
      </w:r>
    </w:p>
    <w:p>
      <w:pPr>
        <w:spacing w:after="0" w:line="147" w:lineRule="exact"/>
        <w:rPr>
          <w:sz w:val="20"/>
          <w:szCs w:val="20"/>
          <w:color w:val="auto"/>
        </w:rPr>
      </w:pPr>
    </w:p>
    <w:p>
      <w:pPr>
        <w:jc w:val="both"/>
        <w:ind w:right="420" w:firstLine="1297"/>
        <w:spacing w:after="0" w:line="286"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Subsidiary Guarantees</w:t>
      </w:r>
      <w:r>
        <w:rPr>
          <w:rFonts w:ascii="Arial" w:cs="Arial" w:eastAsia="Arial" w:hAnsi="Arial"/>
          <w:sz w:val="17"/>
          <w:szCs w:val="17"/>
          <w:color w:val="auto"/>
        </w:rPr>
        <w:t>.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With respect to the Notes, the provisions of this Article VI shall preempt the provisions of Article X of the Original Indenture in their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entirety.</w:t>
      </w:r>
    </w:p>
    <w:p>
      <w:pPr>
        <w:spacing w:after="0" w:line="211"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Consolidation and Mergers of the Issuers</w:t>
      </w:r>
      <w:r>
        <w:rPr>
          <w:rFonts w:ascii="Arial" w:cs="Arial" w:eastAsia="Arial" w:hAnsi="Arial"/>
          <w:sz w:val="18"/>
          <w:szCs w:val="18"/>
          <w:color w:val="auto"/>
        </w:rPr>
        <w:t>. Neither Issuer shall consolidate or amalgamate with or merge with or into any Person, or sell, convey, transfer, lease or otherwise dispose of all or substantially all its assets to any Person, whether in a single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w:t>
      </w:r>
    </w:p>
    <w:p>
      <w:pPr>
        <w:sectPr>
          <w:pgSz w:w="11900" w:h="16934" w:orient="portrait"/>
          <w:cols w:equalWidth="0" w:num="1">
            <w:col w:w="11420"/>
          </w:cols>
          <w:pgMar w:left="240" w:top="125" w:right="239" w:bottom="0" w:gutter="0" w:footer="0" w:header="0"/>
        </w:sectPr>
      </w:pPr>
    </w:p>
    <w:bookmarkStart w:id="10" w:name="page11"/>
    <w:bookmarkEnd w:id="10"/>
    <w:p>
      <w:pPr>
        <w:spacing w:after="0" w:line="36" w:lineRule="exact"/>
        <w:rPr>
          <w:sz w:val="20"/>
          <w:szCs w:val="20"/>
          <w:color w:val="auto"/>
        </w:rPr>
      </w:pPr>
    </w:p>
    <w:p>
      <w:pPr>
        <w:jc w:val="both"/>
        <w:ind w:right="140"/>
        <w:spacing w:after="0" w:line="291" w:lineRule="auto"/>
        <w:rPr>
          <w:sz w:val="20"/>
          <w:szCs w:val="20"/>
          <w:color w:val="auto"/>
        </w:rPr>
      </w:pPr>
      <w:r>
        <w:rPr>
          <w:rFonts w:ascii="Arial" w:cs="Arial" w:eastAsia="Arial" w:hAnsi="Arial"/>
          <w:sz w:val="16"/>
          <w:szCs w:val="16"/>
          <w:color w:val="auto"/>
        </w:rPr>
        <w:t>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w:t>
      </w:r>
    </w:p>
    <w:p>
      <w:pPr>
        <w:ind w:firstLine="8"/>
        <w:spacing w:after="0" w:line="273" w:lineRule="auto"/>
        <w:tabs>
          <w:tab w:leader="none" w:pos="24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w:t>
      </w:r>
    </w:p>
    <w:p>
      <w:pPr>
        <w:spacing w:after="0" w:line="177" w:lineRule="exact"/>
        <w:rPr>
          <w:sz w:val="20"/>
          <w:szCs w:val="20"/>
          <w:color w:val="auto"/>
        </w:rPr>
      </w:pPr>
    </w:p>
    <w:p>
      <w:pPr>
        <w:ind w:right="80" w:firstLine="1297"/>
        <w:spacing w:after="0" w:line="293"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Rights and Duties of Successor</w:t>
      </w:r>
      <w:r>
        <w:rPr>
          <w:rFonts w:ascii="Arial" w:cs="Arial" w:eastAsia="Arial" w:hAnsi="Arial"/>
          <w:sz w:val="16"/>
          <w:szCs w:val="16"/>
          <w:color w:val="auto"/>
        </w:rPr>
        <w:t>.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With respect to the Notes, the provisions of this Section 7.01 shall preempt the provisions of the first and final paragraphs of Section 6.01 of the Original Indenture in their entirety.</w:t>
      </w:r>
    </w:p>
    <w:p>
      <w:pPr>
        <w:spacing w:after="0" w:line="170" w:lineRule="exact"/>
        <w:rPr>
          <w:sz w:val="20"/>
          <w:szCs w:val="20"/>
          <w:color w:val="auto"/>
        </w:rPr>
      </w:pPr>
    </w:p>
    <w:p>
      <w:pPr>
        <w:ind w:left="1920" w:hanging="615"/>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“Event of Default” occurs if:</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Issuers default for 60 days in the payment when due of interest on the Notes;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Issuers default in the payment when due of principal of or premium, if any, on the Notes at maturity, upon redemption</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or otherwise;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firstLine="653"/>
        <w:spacing w:after="0" w:line="259" w:lineRule="auto"/>
        <w:tabs>
          <w:tab w:leader="none" w:pos="2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 need not be given, and an Event of Default shall occur, 90 days after any breach of the provisions of Section 6.01 hereof);</w:t>
      </w:r>
    </w:p>
    <w:p>
      <w:pPr>
        <w:spacing w:after="0" w:line="186" w:lineRule="exact"/>
        <w:rPr>
          <w:rFonts w:ascii="Arial" w:cs="Arial" w:eastAsia="Arial" w:hAnsi="Arial"/>
          <w:sz w:val="18"/>
          <w:szCs w:val="18"/>
          <w:color w:val="auto"/>
        </w:rPr>
      </w:pPr>
    </w:p>
    <w:p>
      <w:pPr>
        <w:ind w:left="1300" w:right="20" w:firstLine="653"/>
        <w:spacing w:after="0" w:line="269" w:lineRule="auto"/>
        <w:tabs>
          <w:tab w:leader="none" w:pos="2590"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82" w:lineRule="exact"/>
        <w:rPr>
          <w:rFonts w:ascii="Arial" w:cs="Arial" w:eastAsia="Arial" w:hAnsi="Arial"/>
          <w:sz w:val="17"/>
          <w:szCs w:val="17"/>
          <w:color w:val="auto"/>
        </w:rPr>
      </w:pPr>
    </w:p>
    <w:p>
      <w:pPr>
        <w:ind w:left="1300" w:right="100" w:firstLine="653"/>
        <w:spacing w:after="0" w:line="286" w:lineRule="auto"/>
        <w:tabs>
          <w:tab w:leader="none" w:pos="2579"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w:t>
      </w:r>
    </w:p>
    <w:p>
      <w:pPr>
        <w:spacing w:after="0" w:line="165" w:lineRule="exact"/>
        <w:rPr>
          <w:rFonts w:ascii="Arial" w:cs="Arial" w:eastAsia="Arial" w:hAnsi="Arial"/>
          <w:sz w:val="17"/>
          <w:szCs w:val="17"/>
          <w:color w:val="auto"/>
        </w:rPr>
      </w:pPr>
    </w:p>
    <w:p>
      <w:pPr>
        <w:ind w:left="2600" w:hanging="647"/>
        <w:spacing w:after="0"/>
        <w:tabs>
          <w:tab w:leader="none" w:pos="2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Issuer or any Subsidiary Guarantor pursuant to or within the meaning of any Bankruptcy Law:</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3220" w:hanging="619"/>
        <w:spacing w:after="0"/>
        <w:tabs>
          <w:tab w:leader="none" w:pos="32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3220" w:hanging="619"/>
        <w:spacing w:after="0"/>
        <w:tabs>
          <w:tab w:leader="none" w:pos="32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60" w:hanging="659"/>
        <w:spacing w:after="0"/>
        <w:tabs>
          <w:tab w:leader="none" w:pos="3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generally is not paying its debts as they become due; or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is for relief against an Issuer or any Subsidiary Guarantor in an involuntary case;</w:t>
      </w:r>
    </w:p>
    <w:p>
      <w:pPr>
        <w:spacing w:after="0" w:line="225" w:lineRule="exact"/>
        <w:rPr>
          <w:rFonts w:ascii="Arial" w:cs="Arial" w:eastAsia="Arial" w:hAnsi="Arial"/>
          <w:sz w:val="18"/>
          <w:szCs w:val="18"/>
          <w:color w:val="auto"/>
        </w:rPr>
      </w:pPr>
    </w:p>
    <w:p>
      <w:pPr>
        <w:ind w:left="1960" w:right="180" w:firstLine="641"/>
        <w:spacing w:after="0" w:line="277" w:lineRule="auto"/>
        <w:tabs>
          <w:tab w:leader="none" w:pos="323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appoints a custodian of an Issuer or any Subsidiary Guarantor or for all or substantially all of the property of an Issuer or any Subsidiary Guarantor; or</w:t>
      </w:r>
    </w:p>
    <w:p>
      <w:pPr>
        <w:spacing w:after="0" w:line="170" w:lineRule="exact"/>
        <w:rPr>
          <w:rFonts w:ascii="Arial" w:cs="Arial" w:eastAsia="Arial" w:hAnsi="Arial"/>
          <w:sz w:val="18"/>
          <w:szCs w:val="18"/>
          <w:color w:val="auto"/>
        </w:rPr>
      </w:pPr>
    </w:p>
    <w:p>
      <w:pPr>
        <w:ind w:left="3220" w:hanging="619"/>
        <w:spacing w:after="0"/>
        <w:tabs>
          <w:tab w:leader="none" w:pos="32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orders the liquidation of an Issuer or any Subsidiary Guarantor;</w:t>
      </w:r>
    </w:p>
    <w:p>
      <w:pPr>
        <w:sectPr>
          <w:pgSz w:w="11900" w:h="16874" w:orient="portrait"/>
          <w:cols w:equalWidth="0" w:num="1">
            <w:col w:w="11420"/>
          </w:cols>
          <w:pgMar w:left="240" w:top="125" w:right="239" w:bottom="0" w:gutter="0" w:footer="0" w:header="0"/>
        </w:sectPr>
      </w:pPr>
    </w:p>
    <w:bookmarkStart w:id="11" w:name="page12"/>
    <w:bookmarkEnd w:id="11"/>
    <w:p>
      <w:pPr>
        <w:spacing w:after="0" w:line="1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ind w:firstLine="1305"/>
        <w:spacing w:after="0" w:line="273" w:lineRule="auto"/>
        <w:tabs>
          <w:tab w:leader="none" w:pos="1927"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LEGAL DEFEASANCE AND COVENANT DEFEASANCE</w:t>
      </w:r>
    </w:p>
    <w:p>
      <w:pPr>
        <w:spacing w:after="0" w:line="21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Option to Effect Legal Defeasance or Covenant Defeasance</w:t>
      </w:r>
      <w:r>
        <w:rPr>
          <w:rFonts w:ascii="Arial" w:cs="Arial" w:eastAsia="Arial" w:hAnsi="Arial"/>
          <w:sz w:val="18"/>
          <w:szCs w:val="18"/>
          <w:color w:val="auto"/>
        </w:rPr>
        <w:t>.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w:t>
      </w:r>
    </w:p>
    <w:p>
      <w:pPr>
        <w:spacing w:after="0" w:line="181"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Legal Defeasance and Discharge</w:t>
      </w:r>
      <w:r>
        <w:rPr>
          <w:rFonts w:ascii="Arial" w:cs="Arial" w:eastAsia="Arial" w:hAnsi="Arial"/>
          <w:sz w:val="16"/>
          <w:szCs w:val="16"/>
          <w:color w:val="auto"/>
        </w:rPr>
        <w:t>.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demand of and at the expense of the Issuers, shall execute proper instruments acknowledging the same), except for the following provisions which shall survive until otherwise terminated or discharged hereunder:</w:t>
      </w:r>
    </w:p>
    <w:p>
      <w:pPr>
        <w:spacing w:after="0" w:line="170" w:lineRule="exact"/>
        <w:rPr>
          <w:sz w:val="20"/>
          <w:szCs w:val="20"/>
          <w:color w:val="auto"/>
        </w:rPr>
      </w:pPr>
    </w:p>
    <w:p>
      <w:pPr>
        <w:ind w:right="60" w:firstLine="1305"/>
        <w:spacing w:after="0" w:line="308" w:lineRule="auto"/>
        <w:tabs>
          <w:tab w:leader="none" w:pos="1917"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rights of Holders of Outstanding Notes to receive solely from the trust fund described in Section 8.04 hereof, and as more fully set forth in such Section, payments in respect of the principal of, premium on, if any, and interest on such Notes when such payments are due,</w:t>
      </w:r>
    </w:p>
    <w:p>
      <w:pPr>
        <w:spacing w:after="0" w:line="146" w:lineRule="exact"/>
        <w:rPr>
          <w:rFonts w:ascii="Arial" w:cs="Arial" w:eastAsia="Arial" w:hAnsi="Arial"/>
          <w:sz w:val="17"/>
          <w:szCs w:val="17"/>
          <w:color w:val="auto"/>
        </w:rPr>
      </w:pPr>
    </w:p>
    <w:p>
      <w:pPr>
        <w:ind w:left="1940" w:hanging="635"/>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Issuers’ obligations with respect to such Notes under Sections 2.07, 2.08, 2.09 and 4.02 of the Original Indenture,</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hereunder and the Issuers’ obligations in connection therewith,</w:t>
      </w:r>
    </w:p>
    <w:p>
      <w:pPr>
        <w:spacing w:after="0" w:line="236" w:lineRule="exact"/>
        <w:rPr>
          <w:rFonts w:ascii="Arial" w:cs="Arial" w:eastAsia="Arial" w:hAnsi="Arial"/>
          <w:sz w:val="17"/>
          <w:szCs w:val="17"/>
          <w:color w:val="auto"/>
        </w:rPr>
      </w:pPr>
    </w:p>
    <w:p>
      <w:pPr>
        <w:ind w:left="1940" w:hanging="635"/>
        <w:spacing w:after="0"/>
        <w:tabs>
          <w:tab w:leader="none" w:pos="1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Article VIII, and</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Issuers’ rights of optional redemption under Section 4.01 hereof.</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Subject to compliance with this Article VIII, the Issuers may exercise their option under this Section 8.02 notwithstanding the prior exercise of their option under Section 8.03 hereof.</w:t>
      </w:r>
    </w:p>
    <w:p>
      <w:pPr>
        <w:spacing w:after="0" w:line="170" w:lineRule="exact"/>
        <w:rPr>
          <w:sz w:val="20"/>
          <w:szCs w:val="20"/>
          <w:color w:val="auto"/>
        </w:rPr>
      </w:pPr>
    </w:p>
    <w:p>
      <w:pPr>
        <w:ind w:right="60" w:firstLine="1297"/>
        <w:spacing w:after="0" w:line="269"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Covenant Defeasance</w:t>
      </w:r>
      <w:r>
        <w:rPr>
          <w:rFonts w:ascii="Arial" w:cs="Arial" w:eastAsia="Arial" w:hAnsi="Arial"/>
          <w:sz w:val="17"/>
          <w:szCs w:val="17"/>
          <w:color w:val="auto"/>
        </w:rPr>
        <w:t>.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Conditions to Legal or Covenant Defeasance</w:t>
      </w:r>
      <w:r>
        <w:rPr>
          <w:rFonts w:ascii="Arial" w:cs="Arial" w:eastAsia="Arial" w:hAnsi="Arial"/>
          <w:sz w:val="16"/>
          <w:szCs w:val="16"/>
          <w:color w:val="auto"/>
        </w:rPr>
        <w:t>. The following shall be the conditions to the application of either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8.02 or 8.03 hereof to the Outstanding Notes: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1305"/>
        <w:spacing w:after="0" w:line="257" w:lineRule="auto"/>
        <w:tabs>
          <w:tab w:leader="none" w:pos="19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w:t>
      </w:r>
    </w:p>
    <w:p>
      <w:pPr>
        <w:spacing w:after="0" w:line="188" w:lineRule="exact"/>
        <w:rPr>
          <w:rFonts w:ascii="Arial" w:cs="Arial" w:eastAsia="Arial" w:hAnsi="Arial"/>
          <w:sz w:val="18"/>
          <w:szCs w:val="18"/>
          <w:color w:val="auto"/>
        </w:rPr>
      </w:pPr>
    </w:p>
    <w:p>
      <w:pPr>
        <w:ind w:right="40" w:firstLine="1305"/>
        <w:spacing w:after="0" w:line="312" w:lineRule="auto"/>
        <w:tabs>
          <w:tab w:leader="none" w:pos="1927"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w:t>
      </w:r>
    </w:p>
    <w:p>
      <w:pPr>
        <w:sectPr>
          <w:pgSz w:w="11900" w:h="16952" w:orient="portrait"/>
          <w:cols w:equalWidth="0" w:num="1">
            <w:col w:w="11400"/>
          </w:cols>
          <w:pgMar w:left="240" w:top="341" w:right="259" w:bottom="0" w:gutter="0" w:footer="0" w:header="0"/>
        </w:sectPr>
      </w:pPr>
    </w:p>
    <w:bookmarkStart w:id="12" w:name="page13"/>
    <w:bookmarkEnd w:id="12"/>
    <w:p>
      <w:pPr>
        <w:spacing w:after="0" w:line="13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w:t>
      </w:r>
    </w:p>
    <w:p>
      <w:pPr>
        <w:spacing w:after="0" w:line="181" w:lineRule="exact"/>
        <w:rPr>
          <w:sz w:val="20"/>
          <w:szCs w:val="20"/>
          <w:color w:val="auto"/>
        </w:rPr>
      </w:pPr>
    </w:p>
    <w:p>
      <w:pPr>
        <w:ind w:right="260" w:firstLine="1305"/>
        <w:spacing w:after="0" w:line="259" w:lineRule="auto"/>
        <w:tabs>
          <w:tab w:leader="none" w:pos="19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w:t>
      </w:r>
    </w:p>
    <w:p>
      <w:pPr>
        <w:spacing w:after="0" w:line="186" w:lineRule="exact"/>
        <w:rPr>
          <w:rFonts w:ascii="Arial" w:cs="Arial" w:eastAsia="Arial" w:hAnsi="Arial"/>
          <w:sz w:val="18"/>
          <w:szCs w:val="18"/>
          <w:color w:val="auto"/>
        </w:rPr>
      </w:pPr>
    </w:p>
    <w:p>
      <w:pPr>
        <w:ind w:right="100" w:firstLine="1305"/>
        <w:spacing w:after="0" w:line="291" w:lineRule="auto"/>
        <w:tabs>
          <w:tab w:leader="none" w:pos="1927"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Default or Event of Default shall have occurred and be continuing either (i) on the date of such deposit (other than a Default or Event of Default resulting from the incurrence of Debt all or a portion of the proceeds of which shall be applied to such deposit) or (ii) insofar as</w:t>
      </w:r>
    </w:p>
    <w:p>
      <w:pPr>
        <w:spacing w:after="0"/>
        <w:rPr>
          <w:rFonts w:ascii="Arial" w:cs="Arial" w:eastAsia="Arial" w:hAnsi="Arial"/>
          <w:sz w:val="16"/>
          <w:szCs w:val="16"/>
          <w:color w:val="auto"/>
        </w:rPr>
      </w:pPr>
      <w:r>
        <w:rPr>
          <w:rFonts w:ascii="Arial" w:cs="Arial" w:eastAsia="Arial" w:hAnsi="Arial"/>
          <w:sz w:val="18"/>
          <w:szCs w:val="18"/>
          <w:color w:val="auto"/>
        </w:rPr>
        <w:t>Section 7.01(a)(vi) or 7.01(a)(vii) hereof is concerned, at any time in the period ending on the 91st day after the date of deposit;</w:t>
      </w:r>
    </w:p>
    <w:p>
      <w:pPr>
        <w:spacing w:after="0" w:line="210" w:lineRule="exact"/>
        <w:rPr>
          <w:rFonts w:ascii="Arial" w:cs="Arial" w:eastAsia="Arial" w:hAnsi="Arial"/>
          <w:sz w:val="16"/>
          <w:szCs w:val="16"/>
          <w:color w:val="auto"/>
        </w:rPr>
      </w:pPr>
    </w:p>
    <w:p>
      <w:pPr>
        <w:ind w:right="140" w:firstLine="1305"/>
        <w:spacing w:after="0" w:line="264" w:lineRule="auto"/>
        <w:tabs>
          <w:tab w:leader="none" w:pos="19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w:t>
      </w:r>
    </w:p>
    <w:p>
      <w:pPr>
        <w:spacing w:after="0" w:line="181" w:lineRule="exact"/>
        <w:rPr>
          <w:rFonts w:ascii="Arial" w:cs="Arial" w:eastAsia="Arial" w:hAnsi="Arial"/>
          <w:sz w:val="18"/>
          <w:szCs w:val="18"/>
          <w:color w:val="auto"/>
        </w:rPr>
      </w:pPr>
    </w:p>
    <w:p>
      <w:pPr>
        <w:ind w:right="100" w:firstLine="1305"/>
        <w:spacing w:after="0" w:line="342" w:lineRule="auto"/>
        <w:tabs>
          <w:tab w:leader="none" w:pos="19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w:t>
      </w:r>
    </w:p>
    <w:p>
      <w:pPr>
        <w:spacing w:after="0" w:line="123" w:lineRule="exact"/>
        <w:rPr>
          <w:rFonts w:ascii="Arial" w:cs="Arial" w:eastAsia="Arial" w:hAnsi="Arial"/>
          <w:sz w:val="16"/>
          <w:szCs w:val="16"/>
          <w:color w:val="auto"/>
        </w:rPr>
      </w:pPr>
    </w:p>
    <w:p>
      <w:pPr>
        <w:jc w:val="both"/>
        <w:ind w:right="100" w:firstLine="1305"/>
        <w:spacing w:after="0" w:line="264" w:lineRule="auto"/>
        <w:tabs>
          <w:tab w:leader="none" w:pos="19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1305"/>
        <w:spacing w:after="0" w:line="277" w:lineRule="auto"/>
        <w:tabs>
          <w:tab w:leader="none" w:pos="192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Issuers shall have delivered to the Trustee an Officers’ Certificate and an Opinion of Counsel, each stating that all conditions precedent provided for or relating to the Legal Defeasance or the Covenant Defeasance have been complied with.</w:t>
      </w:r>
    </w:p>
    <w:p>
      <w:pPr>
        <w:spacing w:after="0" w:line="170" w:lineRule="exact"/>
        <w:rPr>
          <w:sz w:val="20"/>
          <w:szCs w:val="20"/>
          <w:color w:val="auto"/>
        </w:rPr>
      </w:pPr>
    </w:p>
    <w:p>
      <w:pPr>
        <w:ind w:right="80" w:firstLine="1297"/>
        <w:spacing w:after="0" w:line="293"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Deposited Money and U.S. Government Obligations to be Held in Trust; Other Miscellaneous Provisions</w:t>
      </w:r>
      <w:r>
        <w:rPr>
          <w:rFonts w:ascii="Arial" w:cs="Arial" w:eastAsia="Arial" w:hAnsi="Arial"/>
          <w:sz w:val="16"/>
          <w:szCs w:val="16"/>
          <w:color w:val="auto"/>
        </w:rPr>
        <w:t>.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65" w:lineRule="exact"/>
        <w:rPr>
          <w:sz w:val="20"/>
          <w:szCs w:val="20"/>
          <w:color w:val="auto"/>
        </w:rPr>
      </w:pPr>
    </w:p>
    <w:p>
      <w:pPr>
        <w:ind w:right="380" w:firstLine="1297"/>
        <w:spacing w:after="0" w:line="264" w:lineRule="auto"/>
        <w:rPr>
          <w:sz w:val="20"/>
          <w:szCs w:val="20"/>
          <w:color w:val="auto"/>
        </w:rPr>
      </w:pPr>
      <w:r>
        <w:rPr>
          <w:rFonts w:ascii="Arial" w:cs="Arial" w:eastAsia="Arial" w:hAnsi="Arial"/>
          <w:sz w:val="18"/>
          <w:szCs w:val="18"/>
          <w:color w:val="auto"/>
        </w:rPr>
        <w:t>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81"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w:t>
      </w:r>
    </w:p>
    <w:p>
      <w:pPr>
        <w:spacing w:after="0" w:line="188" w:lineRule="exact"/>
        <w:rPr>
          <w:sz w:val="20"/>
          <w:szCs w:val="20"/>
          <w:color w:val="auto"/>
        </w:rPr>
      </w:pPr>
    </w:p>
    <w:p>
      <w:pPr>
        <w:ind w:right="20" w:firstLine="1297"/>
        <w:spacing w:after="0" w:line="290"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Repayment to Issuers</w:t>
      </w:r>
      <w:r>
        <w:rPr>
          <w:rFonts w:ascii="Arial" w:cs="Arial" w:eastAsia="Arial" w:hAnsi="Arial"/>
          <w:sz w:val="16"/>
          <w:szCs w:val="16"/>
          <w:color w:val="auto"/>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Trustee or such paying agent, before being required to make any such repayment, may at the expense of the Issuers cause to be published once, in </w:t>
      </w:r>
      <w:r>
        <w:rPr>
          <w:rFonts w:ascii="Arial" w:cs="Arial" w:eastAsia="Arial" w:hAnsi="Arial"/>
          <w:sz w:val="16"/>
          <w:szCs w:val="16"/>
          <w:i w:val="1"/>
          <w:iCs w:val="1"/>
          <w:color w:val="auto"/>
        </w:rPr>
        <w:t>The New York Times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w:t>
      </w:r>
    </w:p>
    <w:p>
      <w:pPr>
        <w:spacing w:after="0" w:line="166"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Reinstatement</w:t>
      </w:r>
      <w:r>
        <w:rPr>
          <w:rFonts w:ascii="Arial" w:cs="Arial" w:eastAsia="Arial" w:hAnsi="Arial"/>
          <w:sz w:val="18"/>
          <w:szCs w:val="18"/>
          <w:color w:val="auto"/>
        </w:rPr>
        <w:t>. If the Trustee or paying agent is unable to apply any Dollars or U.S. Government Obligations in accordance with Section 8.02 or 8.03 hereof, as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SUBSIDIARY GUARANTEES</w:t>
      </w:r>
    </w:p>
    <w:p>
      <w:pPr>
        <w:spacing w:after="0" w:line="211"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Subsidiary Guarantees</w:t>
      </w:r>
      <w:r>
        <w:rPr>
          <w:rFonts w:ascii="Arial" w:cs="Arial" w:eastAsia="Arial" w:hAnsi="Arial"/>
          <w:sz w:val="16"/>
          <w:szCs w:val="16"/>
          <w:color w:val="auto"/>
        </w:rPr>
        <w:t>. (a) Each Subsidiary Guarantor hereby jointly and severally unconditionally and irrevocably guarantees on a senior basis to each Holder and to the Trustee and its successors and assigns (i) the full and punctual payment of principal, premium, if any,</w:t>
      </w:r>
    </w:p>
    <w:p>
      <w:pPr>
        <w:sectPr>
          <w:pgSz w:w="11900" w:h="16975" w:orient="portrait"/>
          <w:cols w:equalWidth="0" w:num="1">
            <w:col w:w="11400"/>
          </w:cols>
          <w:pgMar w:left="240" w:top="125" w:right="259" w:bottom="0" w:gutter="0" w:footer="0" w:header="0"/>
        </w:sectPr>
      </w:pPr>
    </w:p>
    <w:bookmarkStart w:id="13" w:name="page14"/>
    <w:bookmarkEnd w:id="13"/>
    <w:p>
      <w:pPr>
        <w:ind w:right="160"/>
        <w:spacing w:after="0" w:line="255" w:lineRule="auto"/>
        <w:rPr>
          <w:sz w:val="20"/>
          <w:szCs w:val="20"/>
          <w:color w:val="auto"/>
        </w:rPr>
      </w:pPr>
      <w:r>
        <w:rPr>
          <w:rFonts w:ascii="Arial" w:cs="Arial" w:eastAsia="Arial" w:hAnsi="Arial"/>
          <w:sz w:val="18"/>
          <w:szCs w:val="18"/>
          <w:color w:val="auto"/>
        </w:rPr>
        <w:t>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w:t>
      </w:r>
    </w:p>
    <w:p>
      <w:pPr>
        <w:spacing w:after="0" w:line="193" w:lineRule="exact"/>
        <w:rPr>
          <w:sz w:val="20"/>
          <w:szCs w:val="20"/>
          <w:color w:val="auto"/>
        </w:rPr>
      </w:pPr>
    </w:p>
    <w:p>
      <w:pPr>
        <w:ind w:right="20" w:firstLine="1305"/>
        <w:spacing w:after="0" w:line="271" w:lineRule="auto"/>
        <w:tabs>
          <w:tab w:leader="none" w:pos="2001"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w:t>
      </w:r>
    </w:p>
    <w:p>
      <w:pPr>
        <w:spacing w:after="0" w:line="178" w:lineRule="exact"/>
        <w:rPr>
          <w:rFonts w:ascii="Arial" w:cs="Arial" w:eastAsia="Arial" w:hAnsi="Arial"/>
          <w:sz w:val="17"/>
          <w:szCs w:val="17"/>
          <w:color w:val="auto"/>
        </w:rPr>
      </w:pPr>
    </w:p>
    <w:p>
      <w:pPr>
        <w:ind w:right="240" w:firstLine="1305"/>
        <w:spacing w:after="0" w:line="264" w:lineRule="auto"/>
        <w:tabs>
          <w:tab w:leader="none" w:pos="19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90" w:lineRule="auto"/>
        <w:tabs>
          <w:tab w:leader="none" w:pos="20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66" w:lineRule="exact"/>
        <w:rPr>
          <w:rFonts w:ascii="Arial" w:cs="Arial" w:eastAsia="Arial" w:hAnsi="Arial"/>
          <w:sz w:val="16"/>
          <w:szCs w:val="16"/>
          <w:color w:val="auto"/>
        </w:rPr>
      </w:pPr>
    </w:p>
    <w:p>
      <w:pPr>
        <w:ind w:right="60" w:firstLine="1305"/>
        <w:spacing w:after="0" w:line="286" w:lineRule="auto"/>
        <w:tabs>
          <w:tab w:leader="none" w:pos="1991"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w:t>
      </w:r>
    </w:p>
    <w:p>
      <w:pPr>
        <w:spacing w:after="0" w:line="165" w:lineRule="exact"/>
        <w:rPr>
          <w:rFonts w:ascii="Arial" w:cs="Arial" w:eastAsia="Arial" w:hAnsi="Arial"/>
          <w:sz w:val="17"/>
          <w:szCs w:val="17"/>
          <w:color w:val="auto"/>
        </w:rPr>
      </w:pPr>
    </w:p>
    <w:p>
      <w:pPr>
        <w:ind w:right="60" w:firstLine="1305"/>
        <w:spacing w:after="0" w:line="273" w:lineRule="auto"/>
        <w:tabs>
          <w:tab w:leader="none" w:pos="20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w:t>
      </w:r>
    </w:p>
    <w:p>
      <w:pPr>
        <w:spacing w:after="0" w:line="178" w:lineRule="exact"/>
        <w:rPr>
          <w:rFonts w:ascii="Arial" w:cs="Arial" w:eastAsia="Arial" w:hAnsi="Arial"/>
          <w:sz w:val="17"/>
          <w:szCs w:val="17"/>
          <w:color w:val="auto"/>
        </w:rPr>
      </w:pPr>
    </w:p>
    <w:p>
      <w:pPr>
        <w:ind w:right="80" w:firstLine="1305"/>
        <w:spacing w:after="0" w:line="255" w:lineRule="auto"/>
        <w:tabs>
          <w:tab w:leader="none" w:pos="20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305"/>
        <w:spacing w:after="0" w:line="277" w:lineRule="auto"/>
        <w:tabs>
          <w:tab w:leader="none" w:pos="20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Subsidiary Guarantor also agrees to pay any and all costs and expenses (including reasonable attorneys’ fees) incurred by the Trustee or any Holder in enforcing any rights under this Section 9.01.</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w:t>
      </w:r>
    </w:p>
    <w:p>
      <w:pPr>
        <w:spacing w:after="0" w:line="188" w:lineRule="exact"/>
        <w:rPr>
          <w:sz w:val="20"/>
          <w:szCs w:val="20"/>
          <w:color w:val="auto"/>
        </w:rPr>
      </w:pPr>
    </w:p>
    <w:p>
      <w:pPr>
        <w:ind w:right="320" w:firstLine="1297"/>
        <w:spacing w:after="0" w:line="279"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w:t>
      </w:r>
    </w:p>
    <w:p>
      <w:pPr>
        <w:spacing w:after="0" w:line="171"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No Waiver</w:t>
      </w:r>
      <w:r>
        <w:rPr>
          <w:rFonts w:ascii="Arial" w:cs="Arial" w:eastAsia="Arial" w:hAnsi="Arial"/>
          <w:sz w:val="17"/>
          <w:szCs w:val="17"/>
          <w:color w:val="auto"/>
        </w:rPr>
        <w:t>.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w:t>
      </w:r>
    </w:p>
    <w:p>
      <w:pPr>
        <w:sectPr>
          <w:pgSz w:w="11900" w:h="16838" w:orient="portrait"/>
          <w:cols w:equalWidth="0" w:num="1">
            <w:col w:w="11420"/>
          </w:cols>
          <w:pgMar w:left="240" w:top="125" w:right="239" w:bottom="0" w:gutter="0" w:footer="0" w:header="0"/>
        </w:sectPr>
      </w:pPr>
    </w:p>
    <w:bookmarkStart w:id="14" w:name="page15"/>
    <w:bookmarkEnd w:id="14"/>
    <w:p>
      <w:pPr>
        <w:ind w:right="40" w:firstLine="1297"/>
        <w:spacing w:after="0" w:line="279"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Modification</w:t>
      </w:r>
      <w:r>
        <w:rPr>
          <w:rFonts w:ascii="Arial" w:cs="Arial" w:eastAsia="Arial" w:hAnsi="Arial"/>
          <w:sz w:val="17"/>
          <w:szCs w:val="17"/>
          <w:color w:val="auto"/>
        </w:rPr>
        <w:t>.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171" w:lineRule="exact"/>
        <w:rPr>
          <w:sz w:val="20"/>
          <w:szCs w:val="20"/>
          <w:color w:val="auto"/>
        </w:rPr>
      </w:pPr>
    </w:p>
    <w:p>
      <w:pPr>
        <w:jc w:val="both"/>
        <w:ind w:right="120" w:firstLine="1297"/>
        <w:spacing w:after="0" w:line="288"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Execution of Supplemental Indenture for Future Subsidiary Guarantors</w:t>
      </w:r>
      <w:r>
        <w:rPr>
          <w:rFonts w:ascii="Arial" w:cs="Arial" w:eastAsia="Arial" w:hAnsi="Arial"/>
          <w:sz w:val="16"/>
          <w:szCs w:val="16"/>
          <w:color w:val="auto"/>
        </w:rPr>
        <w:t>.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w:t>
      </w:r>
    </w:p>
    <w:p>
      <w:pPr>
        <w:ind w:right="120"/>
        <w:spacing w:after="0" w:line="255" w:lineRule="auto"/>
        <w:rPr>
          <w:sz w:val="20"/>
          <w:szCs w:val="20"/>
          <w:color w:val="auto"/>
        </w:rPr>
      </w:pPr>
      <w:r>
        <w:rPr>
          <w:rFonts w:ascii="Arial" w:cs="Arial" w:eastAsia="Arial" w:hAnsi="Arial"/>
          <w:sz w:val="18"/>
          <w:szCs w:val="18"/>
          <w:color w:val="auto"/>
        </w:rPr>
        <w:t>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w:t>
      </w:r>
    </w:p>
    <w:p>
      <w:pPr>
        <w:spacing w:after="0" w:line="181" w:lineRule="exact"/>
        <w:rPr>
          <w:sz w:val="20"/>
          <w:szCs w:val="20"/>
          <w:color w:val="auto"/>
        </w:rPr>
      </w:pPr>
    </w:p>
    <w:p>
      <w:pPr>
        <w:ind w:right="380" w:firstLine="1297"/>
        <w:spacing w:after="0" w:line="264"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Release of Guarantee</w:t>
      </w:r>
      <w:r>
        <w:rPr>
          <w:rFonts w:ascii="Arial" w:cs="Arial" w:eastAsia="Arial" w:hAnsi="Arial"/>
          <w:sz w:val="18"/>
          <w:szCs w:val="18"/>
          <w:color w:val="auto"/>
        </w:rPr>
        <w:t>.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w:t>
      </w:r>
    </w:p>
    <w:p>
      <w:pPr>
        <w:spacing w:after="0" w:line="181" w:lineRule="exact"/>
        <w:rPr>
          <w:sz w:val="20"/>
          <w:szCs w:val="20"/>
          <w:color w:val="auto"/>
        </w:rPr>
      </w:pPr>
    </w:p>
    <w:p>
      <w:pPr>
        <w:ind w:right="220" w:firstLine="1305"/>
        <w:spacing w:after="0" w:line="264" w:lineRule="auto"/>
        <w:tabs>
          <w:tab w:leader="none" w:pos="19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any sale or other disposition of all of the Equity Interests of a Subsidiary Guarantor, to any Person that is not an Affiliate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either of the Issuers; or</w:t>
      </w:r>
    </w:p>
    <w:p>
      <w:pPr>
        <w:spacing w:after="0" w:line="210" w:lineRule="exact"/>
        <w:rPr>
          <w:rFonts w:ascii="Arial" w:cs="Arial" w:eastAsia="Arial" w:hAnsi="Arial"/>
          <w:sz w:val="16"/>
          <w:szCs w:val="16"/>
          <w:color w:val="auto"/>
        </w:rPr>
      </w:pPr>
    </w:p>
    <w:p>
      <w:pPr>
        <w:ind w:right="140" w:firstLine="1305"/>
        <w:spacing w:after="0" w:line="277" w:lineRule="auto"/>
        <w:tabs>
          <w:tab w:leader="none" w:pos="19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following the release or discharge of all guarantees by such Subsidiary Guarantor of any Debt of the Issuers (other than any Debt Securities), upon delivery by the Issuers to the Trustee of a written notice of such release or discharge from the guarantees.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right="180" w:firstLine="1297"/>
        <w:spacing w:after="0" w:line="288"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Additional Amendments</w:t>
      </w:r>
      <w:r>
        <w:rPr>
          <w:rFonts w:ascii="Arial" w:cs="Arial" w:eastAsia="Arial" w:hAnsi="Arial"/>
          <w:sz w:val="16"/>
          <w:szCs w:val="16"/>
          <w:color w:val="auto"/>
        </w:rPr>
        <w:t>.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w:t>
      </w:r>
    </w:p>
    <w:p>
      <w:pPr>
        <w:ind w:right="680" w:firstLine="8"/>
        <w:spacing w:after="0" w:line="261" w:lineRule="auto"/>
        <w:tabs>
          <w:tab w:leader="none" w:pos="3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 (a)(vii)” of this Supplemental Indenture; and (D) “Article X” in the Original Indenture shall be deemed to be references to “Article VI” of this Supplemental Indenture.</w:t>
      </w:r>
    </w:p>
    <w:p>
      <w:pPr>
        <w:spacing w:after="0" w:line="184"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u w:val="single" w:color="auto"/>
          <w:color w:val="auto"/>
        </w:rPr>
        <w:t>Integral Part</w:t>
      </w:r>
      <w:r>
        <w:rPr>
          <w:rFonts w:ascii="Arial" w:cs="Arial" w:eastAsia="Arial" w:hAnsi="Arial"/>
          <w:sz w:val="16"/>
          <w:szCs w:val="16"/>
          <w:color w:val="auto"/>
        </w:rPr>
        <w:t>. This Supplemental Indenture constitutes an integral part of the Indenture.</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Adoption, Ratification and Confirmation</w:t>
      </w:r>
      <w:r>
        <w:rPr>
          <w:rFonts w:ascii="Arial" w:cs="Arial" w:eastAsia="Arial" w:hAnsi="Arial"/>
          <w:sz w:val="18"/>
          <w:szCs w:val="18"/>
          <w:color w:val="auto"/>
        </w:rPr>
        <w:t>. The Original Indenture, as supplemented and amended by this Supplemental Indenture, is in all respects hereby adopted, ratified and confirmed.</w:t>
      </w:r>
    </w:p>
    <w:p>
      <w:pPr>
        <w:spacing w:after="0" w:line="170" w:lineRule="exact"/>
        <w:rPr>
          <w:sz w:val="20"/>
          <w:szCs w:val="20"/>
          <w:color w:val="auto"/>
        </w:rPr>
      </w:pPr>
    </w:p>
    <w:p>
      <w:pPr>
        <w:ind w:right="440" w:firstLine="1297"/>
        <w:spacing w:after="0" w:line="308"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u w:val="single" w:color="auto"/>
          <w:color w:val="auto"/>
        </w:rPr>
        <w:t>Counterparts</w:t>
      </w:r>
      <w:r>
        <w:rPr>
          <w:rFonts w:ascii="Arial" w:cs="Arial" w:eastAsia="Arial" w:hAnsi="Arial"/>
          <w:sz w:val="17"/>
          <w:szCs w:val="17"/>
          <w:color w:val="auto"/>
        </w:rPr>
        <w:t>. This Supplemental Indenture may be executed in any number of counterparts, each of which when so executed shall be deemed an original; and all such counterparts shall together constitute but one and the same instrument.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SUPPLEMENTAL INDENTURE AND THE NOTES SHALL BE GOVERNED BY AND</w:t>
      </w:r>
      <w:r>
        <w:rPr>
          <w:rFonts w:ascii="Arial" w:cs="Arial" w:eastAsia="Arial" w:hAnsi="Arial"/>
          <w:sz w:val="18"/>
          <w:szCs w:val="18"/>
          <w:color w:val="auto"/>
        </w:rPr>
        <w:t xml:space="preserve"> </w:t>
      </w:r>
      <w:r>
        <w:rPr>
          <w:rFonts w:ascii="Arial" w:cs="Arial" w:eastAsia="Arial" w:hAnsi="Arial"/>
          <w:sz w:val="18"/>
          <w:szCs w:val="18"/>
          <w:b w:val="1"/>
          <w:bCs w:val="1"/>
          <w:color w:val="auto"/>
        </w:rPr>
        <w:t>CONSTRUED IN ACCORDANCE WITH THE LAWS OF THE STATE OF NEW YORK.</w:t>
      </w:r>
    </w:p>
    <w:p>
      <w:pPr>
        <w:spacing w:after="0" w:line="166"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Recitals; Trustee Makes No Representation; Trustee’s Rights and Duties</w:t>
      </w:r>
      <w:r>
        <w:rPr>
          <w:rFonts w:ascii="Arial" w:cs="Arial" w:eastAsia="Arial" w:hAnsi="Arial"/>
          <w:sz w:val="18"/>
          <w:szCs w:val="18"/>
          <w:color w:val="auto"/>
        </w:rPr>
        <w:t>.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ISSUERS</w:t>
      </w:r>
      <w:r>
        <w:rPr>
          <w:rFonts w:ascii="Arial" w:cs="Arial" w:eastAsia="Arial" w:hAnsi="Arial"/>
          <w:sz w:val="18"/>
          <w:szCs w:val="18"/>
          <w:b w:val="1"/>
          <w:bCs w:val="1"/>
          <w:color w:val="auto"/>
        </w:rPr>
        <w:t>:</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ectPr>
          <w:pgSz w:w="11900" w:h="16838" w:orient="portrait"/>
          <w:cols w:equalWidth="0" w:num="1">
            <w:col w:w="11420"/>
          </w:cols>
          <w:pgMar w:left="240" w:top="125" w:right="239" w:bottom="0" w:gutter="0" w:footer="0" w:header="0"/>
        </w:sectPr>
      </w:pPr>
    </w:p>
    <w:bookmarkStart w:id="15" w:name="page16"/>
    <w:bookmarkEnd w:id="15"/>
    <w:tbl>
      <w:tblPr>
        <w:tblLayout w:type="fixed"/>
        <w:tblInd w:w="572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PAA GP LLC</w:t>
            </w:r>
          </w:p>
        </w:tc>
      </w:tr>
      <w:tr>
        <w:trPr>
          <w:trHeight w:val="230"/>
        </w:trPr>
        <w:tc>
          <w:tcPr>
            <w:tcW w:w="460" w:type="dxa"/>
            <w:vAlign w:val="bottom"/>
          </w:tcPr>
          <w:p>
            <w:pPr>
              <w:spacing w:after="0"/>
              <w:rPr>
                <w:sz w:val="20"/>
                <w:szCs w:val="20"/>
                <w:color w:val="auto"/>
              </w:rPr>
            </w:pP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its General Partner</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PLAINS AAP, L.P.</w:t>
            </w:r>
          </w:p>
        </w:tc>
      </w:tr>
      <w:tr>
        <w:trPr>
          <w:trHeight w:val="230"/>
        </w:trPr>
        <w:tc>
          <w:tcPr>
            <w:tcW w:w="460" w:type="dxa"/>
            <w:vAlign w:val="bottom"/>
          </w:tcPr>
          <w:p>
            <w:pPr>
              <w:spacing w:after="0"/>
              <w:rPr>
                <w:sz w:val="20"/>
                <w:szCs w:val="20"/>
                <w:color w:val="auto"/>
              </w:rPr>
            </w:pP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its Sole Member</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PLAINS ALL AMERICAN GP LLC</w:t>
            </w:r>
          </w:p>
        </w:tc>
      </w:tr>
      <w:tr>
        <w:trPr>
          <w:trHeight w:val="230"/>
        </w:trPr>
        <w:tc>
          <w:tcPr>
            <w:tcW w:w="460" w:type="dxa"/>
            <w:vAlign w:val="bottom"/>
          </w:tcPr>
          <w:p>
            <w:pPr>
              <w:spacing w:after="0"/>
              <w:rPr>
                <w:sz w:val="20"/>
                <w:szCs w:val="20"/>
                <w:color w:val="auto"/>
              </w:rPr>
            </w:pP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its General Partner</w:t>
            </w:r>
          </w:p>
        </w:tc>
      </w:tr>
      <w:tr>
        <w:trPr>
          <w:trHeight w:val="648"/>
        </w:trPr>
        <w:tc>
          <w:tcPr>
            <w:tcW w:w="46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r>
      <w:tr>
        <w:trPr>
          <w:trHeight w:val="195"/>
        </w:trPr>
        <w:tc>
          <w:tcPr>
            <w:tcW w:w="460" w:type="dxa"/>
            <w:vAlign w:val="bottom"/>
          </w:tcPr>
          <w:p>
            <w:pPr>
              <w:spacing w:after="0"/>
              <w:rPr>
                <w:sz w:val="16"/>
                <w:szCs w:val="16"/>
                <w:color w:val="auto"/>
              </w:rPr>
            </w:pPr>
          </w:p>
        </w:tc>
        <w:tc>
          <w:tcPr>
            <w:tcW w:w="108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Sharon Spurlin</w:t>
            </w:r>
          </w:p>
        </w:tc>
      </w:tr>
      <w:tr>
        <w:trPr>
          <w:trHeight w:val="230"/>
        </w:trPr>
        <w:tc>
          <w:tcPr>
            <w:tcW w:w="460" w:type="dxa"/>
            <w:vAlign w:val="bottom"/>
          </w:tcPr>
          <w:p>
            <w:pPr>
              <w:spacing w:after="0"/>
              <w:rPr>
                <w:sz w:val="20"/>
                <w:szCs w:val="20"/>
                <w:color w:val="auto"/>
              </w:rPr>
            </w:pPr>
          </w:p>
        </w:tc>
        <w:tc>
          <w:tcPr>
            <w:tcW w:w="1080" w:type="dxa"/>
            <w:vAlign w:val="bottom"/>
          </w:tcPr>
          <w:p>
            <w:pPr>
              <w:ind w:left="220"/>
              <w:spacing w:after="0"/>
              <w:rPr>
                <w:sz w:val="20"/>
                <w:szCs w:val="20"/>
                <w:color w:val="auto"/>
              </w:rPr>
            </w:pPr>
            <w:r>
              <w:rPr>
                <w:rFonts w:ascii="Arial" w:cs="Arial" w:eastAsia="Arial" w:hAnsi="Arial"/>
                <w:sz w:val="18"/>
                <w:szCs w:val="18"/>
                <w:color w:val="auto"/>
              </w:rPr>
              <w:t>Title:</w:t>
            </w:r>
          </w:p>
        </w:tc>
        <w:tc>
          <w:tcPr>
            <w:tcW w:w="416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PAA FINANCE CORP.</w:t>
            </w:r>
          </w:p>
        </w:tc>
      </w:tr>
      <w:tr>
        <w:trPr>
          <w:trHeight w:val="648"/>
        </w:trPr>
        <w:tc>
          <w:tcPr>
            <w:tcW w:w="460" w:type="dxa"/>
            <w:vAlign w:val="bottom"/>
          </w:tcPr>
          <w:p>
            <w:pPr>
              <w:spacing w:after="0"/>
              <w:rPr>
                <w:sz w:val="24"/>
                <w:szCs w:val="24"/>
                <w:color w:val="auto"/>
              </w:rPr>
            </w:pPr>
          </w:p>
        </w:tc>
        <w:tc>
          <w:tcPr>
            <w:tcW w:w="1080" w:type="dxa"/>
            <w:vAlign w:val="bottom"/>
          </w:tcPr>
          <w:p>
            <w:pPr>
              <w:ind w:left="22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r>
      <w:tr>
        <w:trPr>
          <w:trHeight w:val="195"/>
        </w:trPr>
        <w:tc>
          <w:tcPr>
            <w:tcW w:w="460" w:type="dxa"/>
            <w:vAlign w:val="bottom"/>
          </w:tcPr>
          <w:p>
            <w:pPr>
              <w:spacing w:after="0"/>
              <w:rPr>
                <w:sz w:val="16"/>
                <w:szCs w:val="16"/>
                <w:color w:val="auto"/>
              </w:rPr>
            </w:pPr>
          </w:p>
        </w:tc>
        <w:tc>
          <w:tcPr>
            <w:tcW w:w="108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160" w:type="dxa"/>
            <w:vAlign w:val="bottom"/>
          </w:tcPr>
          <w:p>
            <w:pPr>
              <w:spacing w:after="0" w:line="195" w:lineRule="exact"/>
              <w:rPr>
                <w:sz w:val="20"/>
                <w:szCs w:val="20"/>
                <w:color w:val="auto"/>
              </w:rPr>
            </w:pPr>
            <w:r>
              <w:rPr>
                <w:rFonts w:ascii="Arial" w:cs="Arial" w:eastAsia="Arial" w:hAnsi="Arial"/>
                <w:sz w:val="18"/>
                <w:szCs w:val="18"/>
                <w:color w:val="auto"/>
              </w:rPr>
              <w:t>Sharon Spurlin</w:t>
            </w:r>
          </w:p>
        </w:tc>
      </w:tr>
      <w:tr>
        <w:trPr>
          <w:trHeight w:val="230"/>
        </w:trPr>
        <w:tc>
          <w:tcPr>
            <w:tcW w:w="460" w:type="dxa"/>
            <w:vAlign w:val="bottom"/>
          </w:tcPr>
          <w:p>
            <w:pPr>
              <w:spacing w:after="0"/>
              <w:rPr>
                <w:sz w:val="20"/>
                <w:szCs w:val="20"/>
                <w:color w:val="auto"/>
              </w:rPr>
            </w:pPr>
          </w:p>
        </w:tc>
        <w:tc>
          <w:tcPr>
            <w:tcW w:w="1080" w:type="dxa"/>
            <w:vAlign w:val="bottom"/>
          </w:tcPr>
          <w:p>
            <w:pPr>
              <w:ind w:left="220"/>
              <w:spacing w:after="0"/>
              <w:rPr>
                <w:sz w:val="20"/>
                <w:szCs w:val="20"/>
                <w:color w:val="auto"/>
              </w:rPr>
            </w:pPr>
            <w:r>
              <w:rPr>
                <w:rFonts w:ascii="Arial" w:cs="Arial" w:eastAsia="Arial" w:hAnsi="Arial"/>
                <w:sz w:val="18"/>
                <w:szCs w:val="18"/>
                <w:color w:val="auto"/>
              </w:rPr>
              <w:t>Title:</w:t>
            </w:r>
          </w:p>
        </w:tc>
        <w:tc>
          <w:tcPr>
            <w:tcW w:w="416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Thirtieth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8"/>
          <w:szCs w:val="18"/>
          <w:b w:val="1"/>
          <w:bCs w:val="1"/>
          <w:u w:val="single" w:color="auto"/>
          <w:color w:val="auto"/>
        </w:rPr>
        <w:t>TRUSTEE</w:t>
      </w:r>
      <w:r>
        <w:rPr>
          <w:rFonts w:ascii="Arial" w:cs="Arial" w:eastAsia="Arial" w:hAnsi="Arial"/>
          <w:sz w:val="18"/>
          <w:szCs w:val="18"/>
          <w:b w:val="1"/>
          <w:bCs w:val="1"/>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Shazia Flores</w:t>
            </w:r>
          </w:p>
        </w:tc>
      </w:tr>
      <w:tr>
        <w:trPr>
          <w:trHeight w:val="195"/>
        </w:trPr>
        <w:tc>
          <w:tcPr>
            <w:tcW w:w="6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Shazia Flores</w:t>
            </w:r>
          </w:p>
        </w:tc>
      </w:tr>
      <w:tr>
        <w:trPr>
          <w:trHeight w:val="230"/>
        </w:trPr>
        <w:tc>
          <w:tcPr>
            <w:tcW w:w="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Thirtieth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EXHIBIT A</w:t>
            </w:r>
          </w:p>
        </w:tc>
      </w:tr>
      <w:tr>
        <w:trPr>
          <w:trHeight w:val="453"/>
        </w:trPr>
        <w:tc>
          <w:tcPr>
            <w:tcW w:w="3240" w:type="dxa"/>
            <w:vAlign w:val="bottom"/>
          </w:tcPr>
          <w:p>
            <w:pPr>
              <w:spacing w:after="0"/>
              <w:rPr>
                <w:sz w:val="24"/>
                <w:szCs w:val="24"/>
                <w:color w:val="auto"/>
              </w:rPr>
            </w:pPr>
          </w:p>
        </w:tc>
        <w:tc>
          <w:tcPr>
            <w:tcW w:w="8180" w:type="dxa"/>
            <w:vAlign w:val="bottom"/>
            <w:gridSpan w:val="2"/>
          </w:tcPr>
          <w:p>
            <w:pPr>
              <w:ind w:left="1640"/>
              <w:spacing w:after="0"/>
              <w:rPr>
                <w:sz w:val="20"/>
                <w:szCs w:val="20"/>
                <w:color w:val="auto"/>
              </w:rPr>
            </w:pPr>
            <w:r>
              <w:rPr>
                <w:rFonts w:ascii="Arial" w:cs="Arial" w:eastAsia="Arial" w:hAnsi="Arial"/>
                <w:sz w:val="18"/>
                <w:szCs w:val="18"/>
                <w:color w:val="auto"/>
              </w:rPr>
              <w:t>(Form of Face of Note)</w:t>
            </w: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rPr>
              <w:t>CUSIP 72650R BL5</w:t>
            </w:r>
          </w:p>
        </w:tc>
        <w:tc>
          <w:tcPr>
            <w:tcW w:w="73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No.</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ISIN US72650RBL50</w:t>
            </w:r>
          </w:p>
        </w:tc>
        <w:tc>
          <w:tcPr>
            <w:tcW w:w="73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PAA FINANCE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4.500% </w:t>
      </w:r>
      <w:r>
        <w:rPr>
          <w:rFonts w:ascii="Arial" w:cs="Arial" w:eastAsia="Arial" w:hAnsi="Arial"/>
          <w:sz w:val="17"/>
          <w:szCs w:val="17"/>
          <w:color w:val="auto"/>
        </w:rPr>
        <w:t>Senior Notes due</w:t>
      </w:r>
      <w:r>
        <w:rPr>
          <w:rFonts w:ascii="Arial" w:cs="Arial" w:eastAsia="Arial" w:hAnsi="Arial"/>
          <w:sz w:val="18"/>
          <w:szCs w:val="18"/>
          <w:color w:val="auto"/>
        </w:rPr>
        <w:t xml:space="preserve"> 2026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Plains All American Pipeline, L.P., a Delaware limited partnership, and PAA Finance Corp., a Delaware corporation, jointly and severally promise to pay to</w:t>
      </w:r>
    </w:p>
    <w:p>
      <w:pPr>
        <w:spacing w:after="0" w:line="46" w:lineRule="exact"/>
        <w:rPr>
          <w:sz w:val="20"/>
          <w:szCs w:val="20"/>
          <w:color w:val="auto"/>
        </w:rPr>
      </w:pPr>
    </w:p>
    <w:p>
      <w:pPr>
        <w:ind w:left="460"/>
        <w:spacing w:after="0"/>
        <w:tabs>
          <w:tab w:leader="none" w:pos="4300" w:val="left"/>
        </w:tabs>
        <w:rPr>
          <w:sz w:val="20"/>
          <w:szCs w:val="20"/>
          <w:color w:val="auto"/>
        </w:rPr>
      </w:pPr>
      <w:r>
        <w:rPr>
          <w:rFonts w:ascii="Arial" w:cs="Arial" w:eastAsia="Arial" w:hAnsi="Arial"/>
          <w:sz w:val="18"/>
          <w:szCs w:val="18"/>
          <w:color w:val="auto"/>
        </w:rPr>
        <w:t>, or registered assigns, the principal sum of</w:t>
      </w:r>
      <w:r>
        <w:rPr>
          <w:sz w:val="20"/>
          <w:szCs w:val="20"/>
          <w:color w:val="auto"/>
        </w:rPr>
        <w:tab/>
      </w:r>
      <w:r>
        <w:rPr>
          <w:rFonts w:ascii="Arial" w:cs="Arial" w:eastAsia="Arial" w:hAnsi="Arial"/>
          <w:sz w:val="15"/>
          <w:szCs w:val="15"/>
          <w:color w:val="auto"/>
        </w:rPr>
        <w:t>Dollars [or such greater or lesser amount as may be endorsed on the Schedule attached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on December 15, 2026.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June 15 and December 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 Dates: June 1 and December 1</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18" w:lineRule="exact"/>
        <w:rPr>
          <w:sz w:val="20"/>
          <w:szCs w:val="20"/>
          <w:color w:val="auto"/>
        </w:rPr>
      </w:pPr>
    </w:p>
    <w:tbl>
      <w:tblPr>
        <w:tblLayout w:type="fixed"/>
        <w:tblInd w:w="572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PAA GP LLC, its General Partner</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Plains AAP, L.P., its Sole Member</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Plains All American GP LLC, its General Partner</w:t>
            </w:r>
          </w:p>
        </w:tc>
      </w:tr>
      <w:tr>
        <w:trPr>
          <w:trHeight w:val="432"/>
        </w:trPr>
        <w:tc>
          <w:tcPr>
            <w:tcW w:w="440" w:type="dxa"/>
            <w:vAlign w:val="bottom"/>
          </w:tcPr>
          <w:p>
            <w:pPr>
              <w:spacing w:after="0"/>
              <w:rPr>
                <w:sz w:val="24"/>
                <w:szCs w:val="24"/>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By:</w:t>
            </w:r>
          </w:p>
        </w:tc>
      </w:tr>
      <w:tr>
        <w:trPr>
          <w:trHeight w:val="182"/>
        </w:trPr>
        <w:tc>
          <w:tcPr>
            <w:tcW w:w="440" w:type="dxa"/>
            <w:vAlign w:val="bottom"/>
          </w:tcPr>
          <w:p>
            <w:pPr>
              <w:spacing w:after="0"/>
              <w:rPr>
                <w:sz w:val="15"/>
                <w:szCs w:val="15"/>
                <w:color w:val="auto"/>
              </w:rPr>
            </w:pPr>
          </w:p>
        </w:tc>
        <w:tc>
          <w:tcPr>
            <w:tcW w:w="1000" w:type="dxa"/>
            <w:vAlign w:val="bottom"/>
          </w:tcPr>
          <w:p>
            <w:pPr>
              <w:ind w:left="160"/>
              <w:spacing w:after="0" w:line="182" w:lineRule="exact"/>
              <w:rPr>
                <w:sz w:val="20"/>
                <w:szCs w:val="20"/>
                <w:color w:val="auto"/>
              </w:rPr>
            </w:pPr>
            <w:r>
              <w:rPr>
                <w:rFonts w:ascii="Arial" w:cs="Arial" w:eastAsia="Arial" w:hAnsi="Arial"/>
                <w:sz w:val="18"/>
                <w:szCs w:val="18"/>
                <w:color w:val="auto"/>
              </w:rPr>
              <w:t>Name:</w:t>
            </w:r>
          </w:p>
        </w:tc>
        <w:tc>
          <w:tcPr>
            <w:tcW w:w="4260" w:type="dxa"/>
            <w:vAlign w:val="bottom"/>
            <w:tcBorders>
              <w:top w:val="single" w:sz="8" w:color="auto"/>
            </w:tcBorders>
          </w:tcPr>
          <w:p>
            <w:pPr>
              <w:spacing w:after="0"/>
              <w:rPr>
                <w:sz w:val="15"/>
                <w:szCs w:val="15"/>
                <w:color w:val="auto"/>
              </w:rPr>
            </w:pPr>
          </w:p>
        </w:tc>
      </w:tr>
      <w:tr>
        <w:trPr>
          <w:trHeight w:val="230"/>
        </w:trPr>
        <w:tc>
          <w:tcPr>
            <w:tcW w:w="440" w:type="dxa"/>
            <w:vAlign w:val="bottom"/>
          </w:tcPr>
          <w:p>
            <w:pPr>
              <w:spacing w:after="0"/>
              <w:rPr>
                <w:sz w:val="20"/>
                <w:szCs w:val="20"/>
                <w:color w:val="auto"/>
              </w:rPr>
            </w:pPr>
          </w:p>
        </w:tc>
        <w:tc>
          <w:tcPr>
            <w:tcW w:w="5260" w:type="dxa"/>
            <w:vAlign w:val="bottom"/>
            <w:gridSpan w:val="2"/>
          </w:tcPr>
          <w:p>
            <w:pPr>
              <w:ind w:left="160"/>
              <w:spacing w:after="0"/>
              <w:rPr>
                <w:sz w:val="20"/>
                <w:szCs w:val="20"/>
                <w:color w:val="auto"/>
              </w:rPr>
            </w:pPr>
            <w:r>
              <w:rPr>
                <w:rFonts w:ascii="Arial" w:cs="Arial" w:eastAsia="Arial" w:hAnsi="Arial"/>
                <w:sz w:val="18"/>
                <w:szCs w:val="18"/>
                <w:color w:val="auto"/>
              </w:rPr>
              <w:t>Title:</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-130810</wp:posOffset>
            </wp:positionV>
            <wp:extent cx="31902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6" w:name="page17"/>
    <w:bookmarkEnd w:id="16"/>
    <w:p>
      <w:pPr>
        <w:jc w:val="center"/>
        <w:ind w:left="40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AUTHENTICATION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Debt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32759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31216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 To be included only if the Note is issued in global form.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Back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4.500% </w:t>
      </w:r>
      <w:r>
        <w:rPr>
          <w:rFonts w:ascii="Arial" w:cs="Arial" w:eastAsia="Arial" w:hAnsi="Arial"/>
          <w:sz w:val="17"/>
          <w:szCs w:val="17"/>
          <w:color w:val="auto"/>
        </w:rPr>
        <w:t>Senior Notes due</w:t>
      </w:r>
      <w:r>
        <w:rPr>
          <w:rFonts w:ascii="Arial" w:cs="Arial" w:eastAsia="Arial" w:hAnsi="Arial"/>
          <w:sz w:val="18"/>
          <w:szCs w:val="18"/>
          <w:color w:val="auto"/>
        </w:rPr>
        <w:t xml:space="preserve"> 2026</w:t>
      </w:r>
    </w:p>
    <w:p>
      <w:pPr>
        <w:spacing w:after="0" w:line="2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Arial" w:cs="Arial" w:eastAsia="Arial" w:hAnsi="Arial"/>
          <w:sz w:val="18"/>
          <w:szCs w:val="18"/>
          <w:color w:val="auto"/>
        </w:rPr>
        <w:t>(2)</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Capitalized terms used herein shall have the meanings assigned to them in the Indenture referred to below unless otherwise indicated.</w:t>
      </w:r>
    </w:p>
    <w:p>
      <w:pPr>
        <w:spacing w:after="0" w:line="248" w:lineRule="exact"/>
        <w:rPr>
          <w:sz w:val="20"/>
          <w:szCs w:val="20"/>
          <w:color w:val="auto"/>
        </w:rPr>
      </w:pPr>
    </w:p>
    <w:p>
      <w:pPr>
        <w:ind w:right="60" w:firstLine="1305"/>
        <w:spacing w:after="0" w:line="289" w:lineRule="auto"/>
        <w:tabs>
          <w:tab w:leader="none" w:pos="1657"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Plains All American Pipeline, L.P., a Delaware limited partnership (the “Partnership”), and PAA Finance Corp., a Delaware corporation (“PAA Finance” and, together with the Partnership, the “Issuers”), jointly and severally promise to pay interest on the principal amount of this Note at 4.500% per annum from November 22, 2016 until maturity. The Issuers shall pay interest semi-annually on June 15 and December 15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June 15, 2017.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w:t>
      </w:r>
    </w:p>
    <w:p>
      <w:pPr>
        <w:spacing w:after="0" w:line="166" w:lineRule="exact"/>
        <w:rPr>
          <w:rFonts w:ascii="Arial" w:cs="Arial" w:eastAsia="Arial" w:hAnsi="Arial"/>
          <w:sz w:val="16"/>
          <w:szCs w:val="16"/>
          <w:color w:val="auto"/>
        </w:rPr>
      </w:pPr>
    </w:p>
    <w:p>
      <w:pPr>
        <w:ind w:right="140" w:firstLine="1305"/>
        <w:spacing w:after="0" w:line="257" w:lineRule="auto"/>
        <w:tabs>
          <w:tab w:leader="none" w:pos="1657"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Issuers shall pay interest on the Notes (except defaulted interest) to the Persons who are registered Holders of Notes at the close of business on the June 1 or December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w:t>
      </w: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ind w:left="300" w:hanging="292"/>
        <w:spacing w:after="0"/>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included only if the Note is issued in global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w:t>
      </w:r>
    </w:p>
    <w:p>
      <w:pPr>
        <w:spacing w:after="0" w:line="193" w:lineRule="exact"/>
        <w:rPr>
          <w:sz w:val="20"/>
          <w:szCs w:val="20"/>
          <w:color w:val="auto"/>
        </w:rPr>
      </w:pPr>
    </w:p>
    <w:p>
      <w:pPr>
        <w:jc w:val="both"/>
        <w:ind w:right="160" w:firstLine="1305"/>
        <w:spacing w:after="0" w:line="264" w:lineRule="auto"/>
        <w:tabs>
          <w:tab w:leader="none" w:pos="165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Paying Agent and Registrar</w:t>
      </w:r>
      <w:r>
        <w:rPr>
          <w:rFonts w:ascii="Arial" w:cs="Arial" w:eastAsia="Arial" w:hAnsi="Arial"/>
          <w:sz w:val="18"/>
          <w:szCs w:val="18"/>
          <w:color w:val="auto"/>
        </w:rPr>
        <w:t>. Initially, U.S. Bank National Association, the Trustee under the Indenture, shall act as paying agent and Registrar. The Issuers may change any paying agent or Registrar without notice to any Holder. The Issuers or any of their Subsidiaries may act in any such capacity.</w:t>
      </w:r>
    </w:p>
    <w:p>
      <w:pPr>
        <w:spacing w:after="0" w:line="181" w:lineRule="exact"/>
        <w:rPr>
          <w:rFonts w:ascii="Arial" w:cs="Arial" w:eastAsia="Arial" w:hAnsi="Arial"/>
          <w:sz w:val="18"/>
          <w:szCs w:val="18"/>
          <w:color w:val="auto"/>
        </w:rPr>
      </w:pPr>
    </w:p>
    <w:p>
      <w:pPr>
        <w:ind w:firstLine="1305"/>
        <w:spacing w:after="0" w:line="302" w:lineRule="auto"/>
        <w:tabs>
          <w:tab w:leader="none" w:pos="165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Indenture</w:t>
      </w:r>
      <w:r>
        <w:rPr>
          <w:rFonts w:ascii="Arial" w:cs="Arial" w:eastAsia="Arial" w:hAnsi="Arial"/>
          <w:sz w:val="16"/>
          <w:szCs w:val="16"/>
          <w:color w:val="auto"/>
        </w:rPr>
        <w:t>. The Issuers issued the Notes under an Indenture dated as of September 25, 2002 (the “Original Indenture”), as supplemented by the Thirtieth Supplemental Indenture dated as of November 22, 2016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w:t>
      </w:r>
    </w:p>
    <w:p>
      <w:pPr>
        <w:sectPr>
          <w:pgSz w:w="11900" w:h="16838" w:orient="portrait"/>
          <w:cols w:equalWidth="0" w:num="1">
            <w:col w:w="11400"/>
          </w:cols>
          <w:pgMar w:left="240" w:top="125" w:right="259" w:bottom="0" w:gutter="0" w:footer="0" w:header="0"/>
        </w:sectPr>
      </w:pPr>
    </w:p>
    <w:bookmarkStart w:id="17" w:name="page18"/>
    <w:bookmarkEnd w:id="17"/>
    <w:p>
      <w:pPr>
        <w:ind w:right="80"/>
        <w:spacing w:after="0" w:line="289" w:lineRule="auto"/>
        <w:rPr>
          <w:sz w:val="20"/>
          <w:szCs w:val="20"/>
          <w:color w:val="auto"/>
        </w:rPr>
      </w:pPr>
      <w:r>
        <w:rPr>
          <w:rFonts w:ascii="Arial" w:cs="Arial" w:eastAsia="Arial" w:hAnsi="Arial"/>
          <w:sz w:val="16"/>
          <w:szCs w:val="16"/>
          <w:color w:val="auto"/>
        </w:rPr>
        <w:t>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$750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w:t>
      </w:r>
    </w:p>
    <w:p>
      <w:pPr>
        <w:spacing w:after="0" w:line="167" w:lineRule="exact"/>
        <w:rPr>
          <w:sz w:val="20"/>
          <w:szCs w:val="20"/>
          <w:color w:val="auto"/>
        </w:rPr>
      </w:pPr>
    </w:p>
    <w:p>
      <w:pPr>
        <w:ind w:left="1660" w:hanging="355"/>
        <w:spacing w:after="0"/>
        <w:tabs>
          <w:tab w:leader="none" w:pos="16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At their option at any time prior to maturity, the Issuers may choose to redeem all or any portion of the Notes at once or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ind w:right="400" w:firstLine="1305"/>
        <w:spacing w:after="0" w:line="264" w:lineRule="auto"/>
        <w:tabs>
          <w:tab w:leader="none" w:pos="20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redeem the Notes before the Par Call Date,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redeemed that would have been due if the Notes matured on the Par Call Date (not including any portion of those payments of interest accrued as of the date of redemption) discounted to the date of redemption on a semi-annual basis (assuming a 360-day year consisting of twelve 30-day months) at the Adjusted Treasury Rate (as defined below) plus 35 basis points, plus, in either case, accrued and unpaid interest to the date of redemption (subject to the right of Holders on the relevant record date to receive interest due on the relevant interest payment date).</w:t>
      </w:r>
    </w:p>
    <w:p>
      <w:pPr>
        <w:spacing w:after="0" w:line="171" w:lineRule="exact"/>
        <w:rPr>
          <w:sz w:val="20"/>
          <w:szCs w:val="20"/>
          <w:color w:val="auto"/>
        </w:rPr>
      </w:pPr>
    </w:p>
    <w:p>
      <w:pPr>
        <w:ind w:right="80" w:firstLine="1305"/>
        <w:spacing w:after="0" w:line="264" w:lineRule="auto"/>
        <w:tabs>
          <w:tab w:leader="none" w:pos="19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redeem the Notes on or after the Par Call Date,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determining any redemption price, the following definitions shall apply:</w:t>
      </w:r>
    </w:p>
    <w:p>
      <w:pPr>
        <w:spacing w:after="0" w:line="225"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w:t>
      </w:r>
    </w:p>
    <w:p>
      <w:pPr>
        <w:spacing w:after="0" w:line="181"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87"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“Comparable Treasury Price” means, with respect to any date of redemption, (a) the average of the Reference Treasury Dealer Quotations for the date of redemption, after excluding the highest and lowest Reference Treasury Dealer Quotations, or (b) if the Trustee obtains fewer than four Reference Treasury Dealer Quotations, the average of all such Reference Treasury Dealer Quotations.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 Call Date” means September 15, 2026 (three months prior to the maturity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“Quotation Agent” means a Primary Treasury Dealer (as defined below) appointed by the Issuers.</w:t>
      </w:r>
    </w:p>
    <w:p>
      <w:pPr>
        <w:spacing w:after="0" w:line="225" w:lineRule="exact"/>
        <w:rPr>
          <w:sz w:val="20"/>
          <w:szCs w:val="20"/>
          <w:color w:val="auto"/>
        </w:rPr>
      </w:pPr>
    </w:p>
    <w:p>
      <w:pPr>
        <w:ind w:right="40" w:firstLine="1297"/>
        <w:spacing w:after="0" w:line="259" w:lineRule="auto"/>
        <w:rPr>
          <w:sz w:val="20"/>
          <w:szCs w:val="20"/>
          <w:color w:val="auto"/>
        </w:rPr>
      </w:pPr>
      <w:r>
        <w:rPr>
          <w:rFonts w:ascii="Arial" w:cs="Arial" w:eastAsia="Arial" w:hAnsi="Arial"/>
          <w:sz w:val="18"/>
          <w:szCs w:val="18"/>
          <w:color w:val="auto"/>
        </w:rPr>
        <w:t>“Reference Treasury Dealer” means J.P. Morgan Securities LLC, BNP Paribas Securities Corp., Merrill Lynch, Pierce, Fenner &amp; Smith Incorporated and Wells Fargo Securities, LLC, each a primary U.S. Government securities dealer in the United States (a “Primary Treasury Dealer”), or their respective successors; provided, however, that if any of the foregoing shall cease to be a Primary Treasury Dealer, the Issuers shall substitute another Primary Treasury Dealer.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87" w:lineRule="exact"/>
        <w:rPr>
          <w:sz w:val="20"/>
          <w:szCs w:val="20"/>
          <w:color w:val="auto"/>
        </w:rPr>
      </w:pPr>
    </w:p>
    <w:p>
      <w:pPr>
        <w:jc w:val="both"/>
        <w:ind w:right="80" w:firstLine="1305"/>
        <w:spacing w:after="0" w:line="279" w:lineRule="auto"/>
        <w:tabs>
          <w:tab w:leader="none" w:pos="1657"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Notice of Redemption</w:t>
      </w:r>
      <w:r>
        <w:rPr>
          <w:rFonts w:ascii="Arial" w:cs="Arial" w:eastAsia="Arial" w:hAnsi="Arial"/>
          <w:sz w:val="17"/>
          <w:szCs w:val="17"/>
          <w:color w:val="auto"/>
        </w:rPr>
        <w:t>.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w:t>
      </w:r>
    </w:p>
    <w:p>
      <w:pPr>
        <w:spacing w:after="0" w:line="171" w:lineRule="exact"/>
        <w:rPr>
          <w:rFonts w:ascii="Arial" w:cs="Arial" w:eastAsia="Arial" w:hAnsi="Arial"/>
          <w:sz w:val="17"/>
          <w:szCs w:val="17"/>
          <w:color w:val="auto"/>
        </w:rPr>
      </w:pPr>
    </w:p>
    <w:p>
      <w:pPr>
        <w:ind w:right="80" w:firstLine="1305"/>
        <w:spacing w:after="0" w:line="297" w:lineRule="auto"/>
        <w:tabs>
          <w:tab w:leader="none" w:pos="165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Denominations, Transfer, Exchange</w:t>
      </w:r>
      <w:r>
        <w:rPr>
          <w:rFonts w:ascii="Arial" w:cs="Arial" w:eastAsia="Arial" w:hAnsi="Arial"/>
          <w:sz w:val="16"/>
          <w:szCs w:val="16"/>
          <w:color w:val="auto"/>
        </w:rPr>
        <w:t>.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w:t>
      </w:r>
    </w:p>
    <w:p>
      <w:pPr>
        <w:sectPr>
          <w:pgSz w:w="11900" w:h="16838" w:orient="portrait"/>
          <w:cols w:equalWidth="0" w:num="1">
            <w:col w:w="11400"/>
          </w:cols>
          <w:pgMar w:left="240" w:top="125" w:right="259" w:bottom="0" w:gutter="0" w:footer="0" w:header="0"/>
        </w:sectPr>
      </w:pPr>
    </w:p>
    <w:bookmarkStart w:id="18" w:name="page19"/>
    <w:bookmarkEnd w:id="18"/>
    <w:p>
      <w:pPr>
        <w:spacing w:after="0" w:line="5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part. Also, the Issuers need not exchange or register the transfer of any Notes for a period of 15 days before a selection of Notes to be redeemed or repurchased or during the period between a record date and the corresponding Interest Payment Date.</w:t>
      </w:r>
    </w:p>
    <w:p>
      <w:pPr>
        <w:spacing w:after="0" w:line="170" w:lineRule="exact"/>
        <w:rPr>
          <w:sz w:val="20"/>
          <w:szCs w:val="20"/>
          <w:color w:val="auto"/>
        </w:rPr>
      </w:pPr>
    </w:p>
    <w:p>
      <w:pPr>
        <w:ind w:left="1660" w:hanging="355"/>
        <w:spacing w:after="0"/>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Persons Deemed Owners</w:t>
      </w:r>
      <w:r>
        <w:rPr>
          <w:rFonts w:ascii="Arial" w:cs="Arial" w:eastAsia="Arial" w:hAnsi="Arial"/>
          <w:sz w:val="18"/>
          <w:szCs w:val="18"/>
          <w:color w:val="auto"/>
        </w:rPr>
        <w:t>. The registered Holder of a Note shall be treated as its owner for all purposes.</w:t>
      </w:r>
    </w:p>
    <w:p>
      <w:pPr>
        <w:spacing w:after="0" w:line="225" w:lineRule="exact"/>
        <w:rPr>
          <w:rFonts w:ascii="Arial" w:cs="Arial" w:eastAsia="Arial" w:hAnsi="Arial"/>
          <w:sz w:val="18"/>
          <w:szCs w:val="18"/>
          <w:color w:val="auto"/>
        </w:rPr>
      </w:pPr>
    </w:p>
    <w:p>
      <w:pPr>
        <w:ind w:firstLine="1305"/>
        <w:spacing w:after="0" w:line="269" w:lineRule="auto"/>
        <w:tabs>
          <w:tab w:leader="none" w:pos="1657"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Amendment, Supplement and Waiver</w:t>
      </w:r>
      <w:r>
        <w:rPr>
          <w:rFonts w:ascii="Arial" w:cs="Arial" w:eastAsia="Arial" w:hAnsi="Arial"/>
          <w:sz w:val="17"/>
          <w:szCs w:val="17"/>
          <w:color w:val="auto"/>
        </w:rPr>
        <w:t>.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84" w:lineRule="auto"/>
        <w:tabs>
          <w:tab w:leader="none" w:pos="161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Defaults and Remedies</w:t>
      </w:r>
      <w:r>
        <w:rPr>
          <w:rFonts w:ascii="Arial" w:cs="Arial" w:eastAsia="Arial" w:hAnsi="Arial"/>
          <w:sz w:val="16"/>
          <w:szCs w:val="16"/>
          <w:color w:val="auto"/>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 need not be given, and an Event of Default shall occur, 90 days after any breach of the provisions of Section 6.01 of the 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firstLine="1305"/>
        <w:spacing w:after="0" w:line="342" w:lineRule="auto"/>
        <w:tabs>
          <w:tab w:leader="none" w:pos="160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Trustee Dealings with Issuers</w:t>
      </w:r>
      <w:r>
        <w:rPr>
          <w:rFonts w:ascii="Arial" w:cs="Arial" w:eastAsia="Arial" w:hAnsi="Arial"/>
          <w:sz w:val="16"/>
          <w:szCs w:val="16"/>
          <w:color w:val="auto"/>
        </w:rPr>
        <w:t>. The Trustee, in its individual or any other capacity, may make loans to, accept deposits from, and perform services for the Issuers or their Affiliates, and may otherwise deal with the Issuers or their Affiliates, as if it were not the Trustee.</w:t>
      </w:r>
    </w:p>
    <w:p>
      <w:pPr>
        <w:spacing w:after="0" w:line="123" w:lineRule="exact"/>
        <w:rPr>
          <w:rFonts w:ascii="Arial" w:cs="Arial" w:eastAsia="Arial" w:hAnsi="Arial"/>
          <w:sz w:val="16"/>
          <w:szCs w:val="16"/>
          <w:color w:val="auto"/>
        </w:rPr>
      </w:pPr>
    </w:p>
    <w:p>
      <w:pPr>
        <w:jc w:val="both"/>
        <w:ind w:right="60" w:firstLine="1305"/>
        <w:spacing w:after="0" w:line="279" w:lineRule="auto"/>
        <w:tabs>
          <w:tab w:leader="none" w:pos="161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No Recourse Against Others</w:t>
      </w:r>
      <w:r>
        <w:rPr>
          <w:rFonts w:ascii="Arial" w:cs="Arial" w:eastAsia="Arial" w:hAnsi="Arial"/>
          <w:sz w:val="17"/>
          <w:szCs w:val="17"/>
          <w:color w:val="auto"/>
        </w:rPr>
        <w:t>.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w:t>
      </w:r>
    </w:p>
    <w:p>
      <w:pPr>
        <w:spacing w:after="0" w:line="171" w:lineRule="exact"/>
        <w:rPr>
          <w:rFonts w:ascii="Arial" w:cs="Arial" w:eastAsia="Arial" w:hAnsi="Arial"/>
          <w:sz w:val="17"/>
          <w:szCs w:val="17"/>
          <w:color w:val="auto"/>
        </w:rPr>
      </w:pPr>
    </w:p>
    <w:p>
      <w:pPr>
        <w:ind w:left="1620" w:hanging="315"/>
        <w:spacing w:after="0"/>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Authentication</w:t>
      </w:r>
      <w:r>
        <w:rPr>
          <w:rFonts w:ascii="Arial" w:cs="Arial" w:eastAsia="Arial" w:hAnsi="Arial"/>
          <w:sz w:val="17"/>
          <w:szCs w:val="17"/>
          <w:color w:val="auto"/>
        </w:rPr>
        <w:t>. This Note shall not be valid until authenticated by the manual signature of the Trustee or an authenticating agent.</w:t>
      </w:r>
    </w:p>
    <w:p>
      <w:pPr>
        <w:spacing w:after="0" w:line="236" w:lineRule="exact"/>
        <w:rPr>
          <w:rFonts w:ascii="Arial" w:cs="Arial" w:eastAsia="Arial" w:hAnsi="Arial"/>
          <w:sz w:val="17"/>
          <w:szCs w:val="17"/>
          <w:color w:val="auto"/>
        </w:rPr>
      </w:pPr>
    </w:p>
    <w:p>
      <w:pPr>
        <w:ind w:right="300" w:firstLine="1305"/>
        <w:spacing w:after="0" w:line="264" w:lineRule="auto"/>
        <w:tabs>
          <w:tab w:leader="none" w:pos="161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Abbreviations</w:t>
      </w:r>
      <w:r>
        <w:rPr>
          <w:rFonts w:ascii="Arial" w:cs="Arial" w:eastAsia="Arial" w:hAnsi="Arial"/>
          <w:sz w:val="18"/>
          <w:szCs w:val="18"/>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right="160" w:firstLine="1305"/>
        <w:spacing w:after="0" w:line="302" w:lineRule="auto"/>
        <w:tabs>
          <w:tab w:leader="none" w:pos="1611"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CUSIP and ISIN Numbers</w:t>
      </w:r>
      <w:r>
        <w:rPr>
          <w:rFonts w:ascii="Arial" w:cs="Arial" w:eastAsia="Arial" w:hAnsi="Arial"/>
          <w:sz w:val="16"/>
          <w:szCs w:val="16"/>
          <w:color w:val="auto"/>
        </w:rPr>
        <w:t>.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Issuers shall furnish to any Holder upon written request and without charge a copy of the Indenture. Requests may be made to:</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77002</w:t>
      </w:r>
    </w:p>
    <w:p>
      <w:pPr>
        <w:sectPr>
          <w:pgSz w:w="11900" w:h="16888" w:orient="portrait"/>
          <w:cols w:equalWidth="0" w:num="1">
            <w:col w:w="11420"/>
          </w:cols>
          <w:pgMar w:left="240" w:top="125" w:right="239" w:bottom="0" w:gutter="0" w:footer="0" w:header="0"/>
        </w:sectPr>
      </w:pPr>
    </w:p>
    <w:bookmarkStart w:id="19" w:name="page20"/>
    <w:bookmarkEnd w:id="19"/>
    <w:p>
      <w:pPr>
        <w:ind w:left="1300"/>
        <w:spacing w:after="0"/>
        <w:rPr>
          <w:sz w:val="20"/>
          <w:szCs w:val="20"/>
          <w:color w:val="auto"/>
        </w:rPr>
      </w:pPr>
      <w:r>
        <w:rPr>
          <w:rFonts w:ascii="Arial" w:cs="Arial" w:eastAsia="Arial" w:hAnsi="Arial"/>
          <w:sz w:val="18"/>
          <w:szCs w:val="18"/>
          <w:color w:val="auto"/>
        </w:rPr>
        <w:t>Attention: Investor Relations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 (I) or (we) assign and transfer this Note to</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7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(Print or type assignee’s name, address and zip code)</w:t>
            </w:r>
          </w:p>
        </w:tc>
        <w:tc>
          <w:tcPr>
            <w:tcW w:w="5700" w:type="dxa"/>
            <w:vAlign w:val="bottom"/>
            <w:tcBorders>
              <w:top w:val="single" w:sz="8" w:color="auto"/>
            </w:tcBorders>
          </w:tcPr>
          <w:p>
            <w:pPr>
              <w:spacing w:after="0"/>
              <w:rPr>
                <w:sz w:val="21"/>
                <w:szCs w:val="21"/>
                <w:color w:val="auto"/>
              </w:rPr>
            </w:pPr>
          </w:p>
        </w:tc>
      </w:tr>
      <w:tr>
        <w:trPr>
          <w:trHeight w:val="404"/>
        </w:trPr>
        <w:tc>
          <w:tcPr>
            <w:tcW w:w="572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5700" w:type="dxa"/>
            <w:vAlign w:val="bottom"/>
          </w:tcPr>
          <w:p>
            <w:pPr>
              <w:ind w:left="2980"/>
              <w:spacing w:after="0"/>
              <w:rPr>
                <w:sz w:val="20"/>
                <w:szCs w:val="20"/>
                <w:color w:val="auto"/>
              </w:rPr>
            </w:pPr>
            <w:r>
              <w:rPr>
                <w:rFonts w:ascii="Arial" w:cs="Arial" w:eastAsia="Arial" w:hAnsi="Arial"/>
                <w:sz w:val="18"/>
                <w:szCs w:val="18"/>
                <w:color w:val="auto"/>
              </w:rPr>
              <w:t>agent to transfer this Note on the</w:t>
            </w: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books of the Issuers. The agent may substitute another to act for him.</w:t>
            </w:r>
          </w:p>
        </w:tc>
        <w:tc>
          <w:tcPr>
            <w:tcW w:w="5700" w:type="dxa"/>
            <w:vAlign w:val="bottom"/>
          </w:tcPr>
          <w:p>
            <w:pPr>
              <w:spacing w:after="0"/>
              <w:rPr>
                <w:sz w:val="20"/>
                <w:szCs w:val="20"/>
                <w:color w:val="auto"/>
              </w:rPr>
            </w:pPr>
          </w:p>
        </w:tc>
      </w:tr>
      <w:tr>
        <w:trPr>
          <w:trHeight w:val="216"/>
        </w:trPr>
        <w:tc>
          <w:tcPr>
            <w:tcW w:w="7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tcPr>
          <w:p>
            <w:pPr>
              <w:spacing w:after="0"/>
              <w:rPr>
                <w:sz w:val="18"/>
                <w:szCs w:val="18"/>
                <w:color w:val="auto"/>
              </w:rPr>
            </w:pPr>
          </w:p>
        </w:tc>
      </w:tr>
      <w:tr>
        <w:trPr>
          <w:trHeight w:val="426"/>
        </w:trPr>
        <w:tc>
          <w:tcPr>
            <w:tcW w:w="5720" w:type="dxa"/>
            <w:vAlign w:val="bottom"/>
            <w:gridSpan w:val="3"/>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spacing w:after="0"/>
              <w:rPr>
                <w:sz w:val="24"/>
                <w:szCs w:val="24"/>
                <w:color w:val="auto"/>
              </w:rPr>
            </w:pPr>
          </w:p>
        </w:tc>
      </w:tr>
      <w:tr>
        <w:trPr>
          <w:trHeight w:val="628"/>
        </w:trPr>
        <w:tc>
          <w:tcPr>
            <w:tcW w:w="72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2380" w:type="dxa"/>
            <w:vAlign w:val="bottom"/>
          </w:tcPr>
          <w:p>
            <w:pPr>
              <w:ind w:left="1040"/>
              <w:spacing w:after="0"/>
              <w:rPr>
                <w:sz w:val="20"/>
                <w:szCs w:val="20"/>
                <w:color w:val="auto"/>
              </w:rPr>
            </w:pPr>
            <w:r>
              <w:rPr>
                <w:rFonts w:ascii="Arial" w:cs="Arial" w:eastAsia="Arial" w:hAnsi="Arial"/>
                <w:sz w:val="18"/>
                <w:szCs w:val="18"/>
                <w:color w:val="auto"/>
              </w:rPr>
              <w:t>Your Signature:</w:t>
            </w:r>
          </w:p>
        </w:tc>
        <w:tc>
          <w:tcPr>
            <w:tcW w:w="5700" w:type="dxa"/>
            <w:vAlign w:val="bottom"/>
            <w:tcBorders>
              <w:bottom w:val="single" w:sz="8" w:color="auto"/>
            </w:tcBorders>
          </w:tcPr>
          <w:p>
            <w:pPr>
              <w:spacing w:after="0"/>
              <w:rPr>
                <w:sz w:val="24"/>
                <w:szCs w:val="24"/>
                <w:color w:val="auto"/>
              </w:rPr>
            </w:pPr>
          </w:p>
        </w:tc>
      </w:tr>
      <w:tr>
        <w:trPr>
          <w:trHeight w:val="224"/>
        </w:trPr>
        <w:tc>
          <w:tcPr>
            <w:tcW w:w="7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(Sign exactly as your name appears on the face of this Note)</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3" w:lineRule="exact"/>
        <w:rPr>
          <w:sz w:val="20"/>
          <w:szCs w:val="20"/>
          <w:color w:val="auto"/>
        </w:rPr>
      </w:pPr>
    </w:p>
    <w:p>
      <w:pPr>
        <w:ind w:left="2100" w:right="280"/>
        <w:spacing w:after="0" w:line="301" w:lineRule="auto"/>
        <w:rPr>
          <w:sz w:val="20"/>
          <w:szCs w:val="20"/>
          <w:color w:val="auto"/>
        </w:rPr>
      </w:pPr>
      <w:r>
        <w:rPr>
          <w:rFonts w:ascii="Arial" w:cs="Arial" w:eastAsia="Arial" w:hAnsi="Arial"/>
          <w:sz w:val="16"/>
          <w:szCs w:val="16"/>
          <w:color w:val="auto"/>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-585470</wp:posOffset>
            </wp:positionV>
            <wp:extent cx="59175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9"/>
              </w:rPr>
              <w:t>SCHEDULE OF INCREASES OR DECREASES IN THE GLOBAL NOTE(3)</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vMerge w:val="restart"/>
          </w:tcPr>
          <w:p>
            <w:pPr>
              <w:spacing w:after="0"/>
              <w:rPr>
                <w:sz w:val="20"/>
                <w:szCs w:val="20"/>
                <w:color w:val="auto"/>
              </w:rPr>
            </w:pPr>
            <w:r>
              <w:rPr>
                <w:rFonts w:ascii="Arial" w:cs="Arial" w:eastAsia="Arial" w:hAnsi="Arial"/>
                <w:sz w:val="18"/>
                <w:szCs w:val="18"/>
                <w:color w:val="auto"/>
              </w:rPr>
              <w:t>made:</w:t>
            </w:r>
          </w:p>
        </w:tc>
        <w:tc>
          <w:tcPr>
            <w:tcW w:w="5300" w:type="dxa"/>
            <w:vAlign w:val="bottom"/>
            <w:gridSpan w:val="6"/>
          </w:tcPr>
          <w:p>
            <w:pPr>
              <w:ind w:left="340"/>
              <w:spacing w:after="0"/>
              <w:rPr>
                <w:sz w:val="20"/>
                <w:szCs w:val="20"/>
                <w:color w:val="auto"/>
              </w:rPr>
            </w:pPr>
            <w:r>
              <w:rPr>
                <w:rFonts w:ascii="Arial" w:cs="Arial" w:eastAsia="Arial" w:hAnsi="Arial"/>
                <w:sz w:val="18"/>
                <w:szCs w:val="18"/>
                <w:color w:val="auto"/>
              </w:rPr>
              <w:t>The original principal amount of this Global Note is $</w:t>
            </w:r>
          </w:p>
        </w:tc>
        <w:tc>
          <w:tcPr>
            <w:tcW w:w="5160" w:type="dxa"/>
            <w:vAlign w:val="bottom"/>
            <w:gridSpan w:val="5"/>
          </w:tcPr>
          <w:p>
            <w:pPr>
              <w:spacing w:after="0"/>
              <w:rPr>
                <w:sz w:val="20"/>
                <w:szCs w:val="20"/>
                <w:color w:val="auto"/>
              </w:rPr>
            </w:pPr>
            <w:r>
              <w:rPr>
                <w:rFonts w:ascii="Arial" w:cs="Arial" w:eastAsia="Arial" w:hAnsi="Arial"/>
                <w:sz w:val="18"/>
                <w:szCs w:val="18"/>
                <w:color w:val="auto"/>
                <w:w w:val="93"/>
              </w:rPr>
              <w:t>. The following increases or decreases in this Global Note have been</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Amount of</w:t>
            </w:r>
          </w:p>
        </w:tc>
        <w:tc>
          <w:tcPr>
            <w:tcW w:w="156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Amount of</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5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Amount of</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56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87"/>
              </w:rPr>
              <w:t>increase in</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9"/>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rPr>
              <w:t>Date of</w:t>
            </w: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Amount</w:t>
            </w:r>
          </w:p>
        </w:tc>
        <w:tc>
          <w:tcPr>
            <w:tcW w:w="156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3"/>
              </w:rPr>
              <w:t>Principal Amount</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signatory of</w:t>
            </w:r>
          </w:p>
        </w:tc>
        <w:tc>
          <w:tcPr>
            <w:tcW w:w="0" w:type="dxa"/>
            <w:vAlign w:val="bottom"/>
          </w:tcPr>
          <w:p>
            <w:pPr>
              <w:spacing w:after="0"/>
              <w:rPr>
                <w:sz w:val="1"/>
                <w:szCs w:val="1"/>
                <w:color w:val="auto"/>
              </w:rPr>
            </w:pPr>
          </w:p>
        </w:tc>
      </w:tr>
      <w:tr>
        <w:trPr>
          <w:trHeight w:val="149"/>
        </w:trPr>
        <w:tc>
          <w:tcPr>
            <w:tcW w:w="9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of</w:t>
            </w:r>
          </w:p>
        </w:tc>
        <w:tc>
          <w:tcPr>
            <w:tcW w:w="1560" w:type="dxa"/>
            <w:vAlign w:val="bottom"/>
          </w:tcPr>
          <w:p>
            <w:pPr>
              <w:jc w:val="center"/>
              <w:ind w:left="408"/>
              <w:spacing w:after="0" w:line="149" w:lineRule="exact"/>
              <w:rPr>
                <w:sz w:val="20"/>
                <w:szCs w:val="20"/>
                <w:color w:val="auto"/>
              </w:rPr>
            </w:pPr>
            <w:r>
              <w:rPr>
                <w:rFonts w:ascii="Arial" w:cs="Arial" w:eastAsia="Arial" w:hAnsi="Arial"/>
                <w:sz w:val="14"/>
                <w:szCs w:val="14"/>
                <w:b w:val="1"/>
                <w:bCs w:val="1"/>
                <w:color w:val="auto"/>
                <w:w w:val="90"/>
              </w:rPr>
              <w:t>of</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decrease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Trustee or Note</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20"/>
                <w:szCs w:val="20"/>
                <w:color w:val="auto"/>
              </w:rPr>
            </w:pPr>
            <w:r>
              <w:rPr>
                <w:rFonts w:ascii="Arial" w:cs="Arial" w:eastAsia="Arial" w:hAnsi="Arial"/>
                <w:sz w:val="14"/>
                <w:szCs w:val="14"/>
                <w:b w:val="1"/>
                <w:bCs w:val="1"/>
                <w:color w:val="auto"/>
              </w:rPr>
              <w:t>Exchange</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this Global Note</w:t>
            </w:r>
          </w:p>
        </w:tc>
        <w:tc>
          <w:tcPr>
            <w:tcW w:w="1560" w:type="dxa"/>
            <w:vAlign w:val="bottom"/>
          </w:tcPr>
          <w:p>
            <w:pPr>
              <w:jc w:val="center"/>
              <w:ind w:left="408"/>
              <w:spacing w:after="0"/>
              <w:rPr>
                <w:sz w:val="20"/>
                <w:szCs w:val="20"/>
                <w:color w:val="auto"/>
              </w:rPr>
            </w:pPr>
            <w:r>
              <w:rPr>
                <w:rFonts w:ascii="Arial" w:cs="Arial" w:eastAsia="Arial" w:hAnsi="Arial"/>
                <w:sz w:val="14"/>
                <w:szCs w:val="14"/>
                <w:b w:val="1"/>
                <w:bCs w:val="1"/>
                <w:color w:val="auto"/>
                <w:w w:val="93"/>
              </w:rPr>
              <w:t>this Global Note</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(or increase)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0"/>
              </w:rPr>
              <w:t>Custodian</w:t>
            </w:r>
          </w:p>
        </w:tc>
        <w:tc>
          <w:tcPr>
            <w:tcW w:w="0" w:type="dxa"/>
            <w:vAlign w:val="bottom"/>
          </w:tcPr>
          <w:p>
            <w:pPr>
              <w:spacing w:after="0"/>
              <w:rPr>
                <w:sz w:val="1"/>
                <w:szCs w:val="1"/>
                <w:color w:val="auto"/>
              </w:rPr>
            </w:pPr>
          </w:p>
        </w:tc>
      </w:tr>
      <w:tr>
        <w:trPr>
          <w:trHeight w:val="142"/>
        </w:trPr>
        <w:tc>
          <w:tcPr>
            <w:tcW w:w="9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9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(3) To be included only if the Note is issued in global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B</w:t>
            </w:r>
          </w:p>
        </w:tc>
      </w:tr>
      <w:tr>
        <w:trPr>
          <w:trHeight w:val="453"/>
        </w:trPr>
        <w:tc>
          <w:tcPr>
            <w:tcW w:w="1040" w:type="dxa"/>
            <w:vAlign w:val="bottom"/>
          </w:tcPr>
          <w:p>
            <w:pPr>
              <w:spacing w:after="0"/>
              <w:rPr>
                <w:sz w:val="24"/>
                <w:szCs w:val="24"/>
                <w:color w:val="auto"/>
              </w:rPr>
            </w:pPr>
          </w:p>
        </w:tc>
        <w:tc>
          <w:tcPr>
            <w:tcW w:w="6580" w:type="dxa"/>
            <w:vAlign w:val="bottom"/>
          </w:tcPr>
          <w:p>
            <w:pPr>
              <w:ind w:left="3020"/>
              <w:spacing w:after="0"/>
              <w:rPr>
                <w:sz w:val="20"/>
                <w:szCs w:val="20"/>
                <w:color w:val="auto"/>
              </w:rPr>
            </w:pPr>
            <w:r>
              <w:rPr>
                <w:rFonts w:ascii="Arial" w:cs="Arial" w:eastAsia="Arial" w:hAnsi="Arial"/>
                <w:sz w:val="18"/>
                <w:szCs w:val="18"/>
                <w:color w:val="auto"/>
              </w:rPr>
              <w:t>FORM OF SUPPLEMENTAL INDENTURE</w:t>
            </w:r>
          </w:p>
        </w:tc>
        <w:tc>
          <w:tcPr>
            <w:tcW w:w="29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8"/>
        </w:trPr>
        <w:tc>
          <w:tcPr>
            <w:tcW w:w="1040" w:type="dxa"/>
            <w:vAlign w:val="bottom"/>
          </w:tcPr>
          <w:p>
            <w:pPr>
              <w:spacing w:after="0"/>
              <w:rPr>
                <w:sz w:val="24"/>
                <w:szCs w:val="24"/>
                <w:color w:val="auto"/>
              </w:rPr>
            </w:pPr>
          </w:p>
        </w:tc>
        <w:tc>
          <w:tcPr>
            <w:tcW w:w="6580" w:type="dxa"/>
            <w:vAlign w:val="bottom"/>
          </w:tcPr>
          <w:p>
            <w:pPr>
              <w:ind w:left="260"/>
              <w:spacing w:after="0"/>
              <w:rPr>
                <w:sz w:val="20"/>
                <w:szCs w:val="20"/>
                <w:color w:val="auto"/>
              </w:rPr>
            </w:pPr>
            <w:r>
              <w:rPr>
                <w:rFonts w:ascii="Arial" w:cs="Arial" w:eastAsia="Arial" w:hAnsi="Arial"/>
                <w:sz w:val="18"/>
                <w:szCs w:val="18"/>
                <w:color w:val="auto"/>
              </w:rPr>
              <w:t>SUPPLEMENTAL INDENTURE (this “Supplemental Indenture”), dated as of</w:t>
            </w:r>
          </w:p>
        </w:tc>
        <w:tc>
          <w:tcPr>
            <w:tcW w:w="3800" w:type="dxa"/>
            <w:vAlign w:val="bottom"/>
            <w:gridSpan w:val="2"/>
          </w:tcPr>
          <w:p>
            <w:pPr>
              <w:ind w:left="260"/>
              <w:spacing w:after="0"/>
              <w:rPr>
                <w:sz w:val="20"/>
                <w:szCs w:val="20"/>
                <w:color w:val="auto"/>
              </w:rPr>
            </w:pPr>
            <w:r>
              <w:rPr>
                <w:rFonts w:ascii="Arial" w:cs="Arial" w:eastAsia="Arial" w:hAnsi="Arial"/>
                <w:sz w:val="18"/>
                <w:szCs w:val="18"/>
                <w:color w:val="auto"/>
                <w:w w:val="98"/>
              </w:rPr>
              <w:t>, among Plains All American Pipeline, L.P., a</w:t>
            </w:r>
          </w:p>
        </w:tc>
      </w:tr>
      <w:tr>
        <w:trPr>
          <w:trHeight w:val="216"/>
        </w:trPr>
        <w:tc>
          <w:tcPr>
            <w:tcW w:w="11420" w:type="dxa"/>
            <w:vAlign w:val="bottom"/>
            <w:gridSpan w:val="4"/>
          </w:tcPr>
          <w:p>
            <w:pPr>
              <w:spacing w:after="0"/>
              <w:rPr>
                <w:sz w:val="20"/>
                <w:szCs w:val="20"/>
                <w:color w:val="auto"/>
              </w:rPr>
            </w:pPr>
            <w:r>
              <w:rPr>
                <w:rFonts w:ascii="Arial" w:cs="Arial" w:eastAsia="Arial" w:hAnsi="Arial"/>
                <w:sz w:val="18"/>
                <w:szCs w:val="18"/>
                <w:color w:val="auto"/>
                <w:w w:val="96"/>
              </w:rPr>
              <w:t>Delaware limited partnership (the “Partnership”), PAA Finance Corp., a Delaware corporation (“PAA Finance” and, together with the Partnership, the</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“Issuers”),</w:t>
            </w:r>
          </w:p>
        </w:tc>
        <w:tc>
          <w:tcPr>
            <w:tcW w:w="10380" w:type="dxa"/>
            <w:vAlign w:val="bottom"/>
            <w:gridSpan w:val="3"/>
          </w:tcPr>
          <w:p>
            <w:pPr>
              <w:ind w:left="900"/>
              <w:spacing w:after="0"/>
              <w:rPr>
                <w:sz w:val="20"/>
                <w:szCs w:val="20"/>
                <w:color w:val="auto"/>
              </w:rPr>
            </w:pPr>
            <w:r>
              <w:rPr>
                <w:rFonts w:ascii="Arial" w:cs="Arial" w:eastAsia="Arial" w:hAnsi="Arial"/>
                <w:sz w:val="18"/>
                <w:szCs w:val="18"/>
                <w:color w:val="auto"/>
                <w:w w:val="94"/>
              </w:rPr>
              <w:t>(the “Subsidiary Guarantor”), a direct or indirect subsidiary of Plains All American Pipeline, L.P. (or its successor), a Delaware</w:t>
            </w:r>
          </w:p>
        </w:tc>
      </w:tr>
    </w:tbl>
    <w:p>
      <w:pPr>
        <w:spacing w:after="0"/>
        <w:rPr>
          <w:sz w:val="20"/>
          <w:szCs w:val="20"/>
          <w:color w:val="auto"/>
        </w:rPr>
      </w:pPr>
      <w:r>
        <w:rPr>
          <w:rFonts w:ascii="Arial" w:cs="Arial" w:eastAsia="Arial" w:hAnsi="Arial"/>
          <w:sz w:val="18"/>
          <w:szCs w:val="18"/>
          <w:color w:val="auto"/>
        </w:rPr>
        <w:t>limited partnership (the “Partnership”), and U.S. Bank National Association, as trustee under the indenture referred to below (the “Trustee”).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560" w:firstLine="1297"/>
        <w:spacing w:after="0" w:line="342" w:lineRule="auto"/>
        <w:rPr>
          <w:sz w:val="20"/>
          <w:szCs w:val="20"/>
          <w:color w:val="auto"/>
        </w:rPr>
      </w:pPr>
      <w:r>
        <w:rPr>
          <w:rFonts w:ascii="Arial" w:cs="Arial" w:eastAsia="Arial" w:hAnsi="Arial"/>
          <w:sz w:val="16"/>
          <w:szCs w:val="16"/>
          <w:color w:val="auto"/>
        </w:rPr>
        <w:t>WHEREAS, the Issuers have heretofore executed and delivered to the Trustee an indenture (the “Original Indenture”), dated as of September 25, 2002, as supplemented by the Thirtieth Supplemental Indenture (the “Thirtieth Supplemental Indenture” and, together with the Original</w:t>
      </w:r>
    </w:p>
    <w:p>
      <w:pPr>
        <w:sectPr>
          <w:pgSz w:w="11900" w:h="16838" w:orient="portrait"/>
          <w:cols w:equalWidth="0" w:num="1">
            <w:col w:w="11420"/>
          </w:cols>
          <w:pgMar w:left="240" w:top="125" w:right="239" w:bottom="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Indenture, the “Indenture”) dated as of November 22, 2016, among the Issuers and the Trustee, providing for the issuance of the Issuers’ 4.500% Senior Notes due 2026 (the “Notes”);</w:t>
      </w:r>
    </w:p>
    <w:p>
      <w:pPr>
        <w:spacing w:after="0" w:line="170"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6"/>
          <w:szCs w:val="16"/>
          <w:color w:val="auto"/>
        </w:rPr>
        <w:t>WHEREAS, Section 5.05 of the Thirtieth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w:t>
      </w:r>
    </w:p>
    <w:p>
      <w:pPr>
        <w:spacing w:after="0" w:line="147" w:lineRule="exact"/>
        <w:rPr>
          <w:sz w:val="20"/>
          <w:szCs w:val="20"/>
          <w:color w:val="auto"/>
        </w:rPr>
      </w:pPr>
    </w:p>
    <w:p>
      <w:pPr>
        <w:ind w:right="560" w:firstLine="1297"/>
        <w:spacing w:after="0" w:line="277" w:lineRule="auto"/>
        <w:rPr>
          <w:sz w:val="20"/>
          <w:szCs w:val="20"/>
          <w:color w:val="auto"/>
        </w:rPr>
      </w:pPr>
      <w:r>
        <w:rPr>
          <w:rFonts w:ascii="Arial" w:cs="Arial" w:eastAsia="Arial" w:hAnsi="Arial"/>
          <w:sz w:val="18"/>
          <w:szCs w:val="18"/>
          <w:color w:val="auto"/>
        </w:rPr>
        <w:t>WHEREAS, pursuant to Section 9.01 of the Original Indenture, the Issuers and the Trustee are authorized to execute and deliver this Supplemental Indenture;</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w:t>
      </w:r>
    </w:p>
    <w:p>
      <w:pPr>
        <w:spacing w:after="0" w:line="181" w:lineRule="exact"/>
        <w:rPr>
          <w:sz w:val="20"/>
          <w:szCs w:val="20"/>
          <w:color w:val="auto"/>
        </w:rPr>
      </w:pPr>
    </w:p>
    <w:p>
      <w:pPr>
        <w:ind w:left="1520" w:hanging="215"/>
        <w:spacing w:after="0"/>
        <w:tabs>
          <w:tab w:leader="none" w:pos="15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600" w:hanging="295"/>
        <w:spacing w:after="0"/>
        <w:tabs>
          <w:tab w:leader="none" w:pos="1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ind w:right="60" w:firstLine="1305"/>
        <w:spacing w:after="0" w:line="259" w:lineRule="auto"/>
        <w:tabs>
          <w:tab w:leader="none" w:pos="20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305"/>
        <w:spacing w:after="0" w:line="297" w:lineRule="auto"/>
        <w:tabs>
          <w:tab w:leader="none" w:pos="1657"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Agreement to Guarantee.</w:t>
      </w:r>
      <w:r>
        <w:rPr>
          <w:rFonts w:ascii="Arial" w:cs="Arial" w:eastAsia="Arial" w:hAnsi="Arial"/>
          <w:sz w:val="16"/>
          <w:szCs w:val="16"/>
          <w:color w:val="auto"/>
        </w:rPr>
        <w:t xml:space="preserve"> The Subsidiary Guarantor hereby agrees, jointly and severally with all other Subsidiary Guarantors under the Indenture, if any, to guarantee the Issuers’ obligations under the Notes on the terms and subject to the conditions set forth in Article IX of the Thirtieth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54" w:lineRule="exact"/>
        <w:rPr>
          <w:rFonts w:ascii="Arial" w:cs="Arial" w:eastAsia="Arial" w:hAnsi="Arial"/>
          <w:sz w:val="16"/>
          <w:szCs w:val="16"/>
          <w:color w:val="auto"/>
        </w:rPr>
      </w:pPr>
    </w:p>
    <w:p>
      <w:pPr>
        <w:ind w:right="280" w:firstLine="1305"/>
        <w:spacing w:after="0" w:line="282" w:lineRule="auto"/>
        <w:tabs>
          <w:tab w:leader="none" w:pos="1657" w:val="left"/>
        </w:tabs>
        <w:numPr>
          <w:ilvl w:val="0"/>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THIS SUPPLEMENTAL INDENTURE SHALL BE DEEMED TO BE A NEW YORK CONTRACT, AND FOR ALL PURPOSES SHALL BE CONSTRUED IN ACCORDANCE WITH, THE LAWS OF THE STATE OF NEW YORK.</w:t>
      </w:r>
    </w:p>
    <w:p>
      <w:pPr>
        <w:spacing w:after="0" w:line="165" w:lineRule="exact"/>
        <w:rPr>
          <w:rFonts w:ascii="Arial" w:cs="Arial" w:eastAsia="Arial" w:hAnsi="Arial"/>
          <w:sz w:val="18"/>
          <w:szCs w:val="18"/>
          <w:color w:val="auto"/>
        </w:rPr>
      </w:pPr>
    </w:p>
    <w:p>
      <w:pPr>
        <w:ind w:right="40" w:firstLine="1305"/>
        <w:spacing w:after="0" w:line="257" w:lineRule="auto"/>
        <w:tabs>
          <w:tab w:leader="none" w:pos="165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Recitals; Trustee Makes No Representation; Trustee’s Rights and Duties.</w:t>
      </w:r>
      <w:r>
        <w:rPr>
          <w:rFonts w:ascii="Arial" w:cs="Arial" w:eastAsia="Arial" w:hAnsi="Arial"/>
          <w:sz w:val="18"/>
          <w:szCs w:val="18"/>
          <w:color w:val="auto"/>
        </w:rPr>
        <w:t xml:space="preserve"> The recitals contained herein shall be taken as the statements of the Issuers, and the Trustee assumes no responsibility for the correctness of the same. The Trustee makes no representation as to the validity or sufficiency of this Supplemental Indenture and shall not be liable in connection therewith. The rights and duties of the Trustee shall be determined by the express provisions of the Original Indenture, and nothing in this Supplemental Indenture shall in any way modify or otherwise affect the Trustee’s rights and duties thereunder.</w:t>
      </w:r>
    </w:p>
    <w:p>
      <w:pPr>
        <w:spacing w:after="0" w:line="188" w:lineRule="exact"/>
        <w:rPr>
          <w:rFonts w:ascii="Arial" w:cs="Arial" w:eastAsia="Arial" w:hAnsi="Arial"/>
          <w:sz w:val="18"/>
          <w:szCs w:val="18"/>
          <w:color w:val="auto"/>
        </w:rPr>
      </w:pPr>
    </w:p>
    <w:p>
      <w:pPr>
        <w:ind w:right="180" w:firstLine="1305"/>
        <w:spacing w:after="0" w:line="277" w:lineRule="auto"/>
        <w:tabs>
          <w:tab w:leader="none" w:pos="165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xml:space="preserve"> The Section headings herein are for convenience only and shall not affect the construction thereof.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as of the date first above written.</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PAA GP LLC, its General Partner</w:t>
      </w:r>
    </w:p>
    <w:p>
      <w:pPr>
        <w:spacing w:after="0" w:line="22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2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-130810</wp:posOffset>
            </wp:positionV>
            <wp:extent cx="29756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FINANCE CORP.</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[SUBSIDIARY GUARANTOR],</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1" w:name="page22"/>
    <w:bookmarkEnd w:id="21"/>
    <w:p>
      <w:pPr>
        <w:ind w:left="50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U.S. BANK NATIONAL ASSOCIATION, as Trustee</w:t>
      </w:r>
    </w:p>
    <w:p>
      <w:pPr>
        <w:spacing w:after="0" w:line="23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o"/>
      <w:numFmt w:val="bullet"/>
      <w:start w:val="1"/>
    </w:lvl>
  </w:abstractNum>
  <w:abstractNum w:abstractNumId="1">
    <w:nsid w:val="2D1D5AE9"/>
    <w:multiLevelType w:val="hybridMultilevel"/>
    <w:lvl w:ilvl="0">
      <w:lvlJc w:val="left"/>
      <w:lvlText w:val="·"/>
      <w:numFmt w:val="bullet"/>
      <w:start w:val="1"/>
    </w:lvl>
    <w:lvl w:ilvl="1">
      <w:lvlJc w:val="left"/>
      <w:lvlText w:val="·"/>
      <w:numFmt w:val="bullet"/>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5"/>
    </w:lvl>
  </w:abstractNum>
  <w:abstractNum w:abstractNumId="5">
    <w:nsid w:val="79838CB2"/>
    <w:multiLevelType w:val="hybridMultilevel"/>
    <w:lvl w:ilvl="0">
      <w:lvlJc w:val="left"/>
      <w:lvlText w:val="(%1)"/>
      <w:numFmt w:val="decimal"/>
      <w:start w:val="1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2"/>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2"/>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Roman"/>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3"/>
    </w:lvl>
  </w:abstractNum>
  <w:abstractNum w:abstractNumId="16">
    <w:nsid w:val="1E7FF521"/>
    <w:multiLevelType w:val="hybridMultilevel"/>
    <w:lvl w:ilvl="0">
      <w:lvlJc w:val="left"/>
      <w:lvlText w:val="(%1)"/>
      <w:numFmt w:val="lowerLetter"/>
      <w:start w:val="1"/>
    </w:lvl>
    <w:lvl w:ilvl="1">
      <w:lvlJc w:val="left"/>
      <w:lvlText w:val="(%2)"/>
      <w:numFmt w:val="lowerRoman"/>
      <w:start w:val="1"/>
    </w:lvl>
  </w:abstractNum>
  <w:abstractNum w:abstractNumId="17">
    <w:nsid w:val="7C3DBD3D"/>
    <w:multiLevelType w:val="hybridMultilevel"/>
    <w:lvl w:ilvl="0">
      <w:lvlJc w:val="left"/>
      <w:lvlText w:val="(%1)"/>
      <w:numFmt w:val="lowerRoman"/>
      <w:start w:val="3"/>
    </w:lvl>
    <w:lvl w:ilvl="1">
      <w:lvlJc w:val="left"/>
      <w:lvlText w:val="(%2)"/>
      <w:numFmt w:val="upperLetter"/>
      <w:start w:val="1"/>
    </w:lvl>
  </w:abstractNum>
  <w:abstractNum w:abstractNumId="18">
    <w:nsid w:val="737B8DDC"/>
    <w:multiLevelType w:val="hybridMultilevel"/>
    <w:lvl w:ilvl="0">
      <w:lvlJc w:val="left"/>
      <w:lvlText w:val="%1"/>
      <w:numFmt w:val="lowerRoman"/>
      <w:start w:val="1"/>
    </w:lvl>
    <w:lvl w:ilvl="1">
      <w:lvlJc w:val="left"/>
      <w:lvlText w:val="(%2)"/>
      <w:numFmt w:val="upperLetter"/>
      <w:start w:val="5"/>
    </w:lvl>
  </w:abstractNum>
  <w:abstractNum w:abstractNumId="19">
    <w:nsid w:val="6CEAF087"/>
    <w:multiLevelType w:val="hybridMultilevel"/>
    <w:lvl w:ilvl="0">
      <w:lvlJc w:val="left"/>
      <w:lvlText w:val="(%1)"/>
      <w:numFmt w:val="lowerRoman"/>
      <w:start w:val="7"/>
    </w:lvl>
    <w:lvl w:ilvl="1">
      <w:lvlJc w:val="left"/>
      <w:lvlText w:val="(%2)"/>
      <w:numFmt w:val="upperLetter"/>
      <w:start w:val="1"/>
    </w:lvl>
  </w:abstractNum>
  <w:abstractNum w:abstractNumId="20">
    <w:nsid w:val="22221A70"/>
    <w:multiLevelType w:val="hybridMultilevel"/>
    <w:lvl w:ilvl="0">
      <w:lvlJc w:val="left"/>
      <w:lvlText w:val="(%1)"/>
      <w:numFmt w:val="lowerLetter"/>
      <w:start w:val="2"/>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1)"/>
      <w:numFmt w:val="lowerLetter"/>
      <w:start w:val="1"/>
    </w:lvl>
  </w:abstractNum>
  <w:abstractNum w:abstractNumId="23">
    <w:nsid w:val="614FD4A1"/>
    <w:multiLevelType w:val="hybridMultilevel"/>
    <w:lvl w:ilvl="0">
      <w:lvlJc w:val="left"/>
      <w:lvlText w:val="(%1)"/>
      <w:numFmt w:val="lowerLetter"/>
      <w:start w:val="3"/>
    </w:lvl>
  </w:abstractNum>
  <w:abstractNum w:abstractNumId="24">
    <w:nsid w:val="419AC241"/>
    <w:multiLevelType w:val="hybridMultilevel"/>
    <w:lvl w:ilvl="0">
      <w:lvlJc w:val="left"/>
      <w:lvlText w:val="(%1)"/>
      <w:numFmt w:val="lowerLetter"/>
      <w:start w:val="8"/>
    </w:lvl>
  </w:abstractNum>
  <w:abstractNum w:abstractNumId="25">
    <w:nsid w:val="5577F8E1"/>
    <w:multiLevelType w:val="hybridMultilevel"/>
    <w:lvl w:ilvl="0">
      <w:lvlJc w:val="left"/>
      <w:lvlText w:val="(%1)"/>
      <w:numFmt w:val="lowerLetter"/>
      <w:start w:val="2"/>
    </w:lvl>
  </w:abstractNum>
  <w:abstractNum w:abstractNumId="26">
    <w:nsid w:val="440BADFC"/>
    <w:multiLevelType w:val="hybridMultilevel"/>
    <w:lvl w:ilvl="0">
      <w:lvlJc w:val="left"/>
      <w:lvlText w:val="(%1)"/>
      <w:numFmt w:val="lowerLetter"/>
      <w:start w:val="4"/>
    </w:lvl>
  </w:abstractNum>
  <w:abstractNum w:abstractNumId="27">
    <w:nsid w:val="5072367"/>
    <w:multiLevelType w:val="hybridMultilevel"/>
    <w:lvl w:ilvl="0">
      <w:lvlJc w:val="left"/>
      <w:lvlText w:val="(%1)"/>
      <w:numFmt w:val="lowerLetter"/>
      <w:start w:val="8"/>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Roman"/>
      <w:start w:val="6"/>
    </w:lvl>
  </w:abstractNum>
  <w:abstractNum w:abstractNumId="30">
    <w:nsid w:val="7724C67E"/>
    <w:multiLevelType w:val="hybridMultilevel"/>
    <w:lvl w:ilvl="0">
      <w:lvlJc w:val="left"/>
      <w:lvlText w:val="%1"/>
      <w:numFmt w:val="decimal"/>
      <w:start w:val="1"/>
    </w:lvl>
    <w:lvl w:ilvl="1">
      <w:lvlJc w:val="left"/>
      <w:lvlText w:val="%2."/>
      <w:numFmt w:val="decimal"/>
      <w:start w:val="1"/>
    </w:lvl>
  </w:abstractNum>
  <w:abstractNum w:abstractNumId="31">
    <w:nsid w:val="5C482A97"/>
    <w:multiLevelType w:val="hybridMultilevel"/>
    <w:lvl w:ilvl="0">
      <w:lvlJc w:val="left"/>
      <w:lvlText w:val="(%1)"/>
      <w:numFmt w:val="decimal"/>
      <w:start w:val="2"/>
    </w:lvl>
    <w:lvl w:ilvl="1">
      <w:lvlJc w:val="left"/>
      <w:lvlText w:val="%2"/>
      <w:numFmt w:val="decimal"/>
      <w:start w:val="1"/>
    </w:lvl>
  </w:abstractNum>
  <w:abstractNum w:abstractNumId="32">
    <w:nsid w:val="2463B9EA"/>
    <w:multiLevelType w:val="hybridMultilevel"/>
    <w:lvl w:ilvl="0">
      <w:lvlJc w:val="left"/>
      <w:lvlText w:val="%1."/>
      <w:numFmt w:val="decimal"/>
      <w:start w:val="3"/>
    </w:lvl>
  </w:abstractNum>
  <w:abstractNum w:abstractNumId="33">
    <w:nsid w:val="5E884ADC"/>
    <w:multiLevelType w:val="hybridMultilevel"/>
    <w:lvl w:ilvl="0">
      <w:lvlJc w:val="left"/>
      <w:lvlText w:val="%1."/>
      <w:numFmt w:val="decimal"/>
      <w:start w:val="5"/>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2"/>
    </w:lvl>
  </w:abstractNum>
  <w:abstractNum w:abstractNumId="36">
    <w:nsid w:val="580BD78F"/>
    <w:multiLevelType w:val="hybridMultilevel"/>
    <w:lvl w:ilvl="0">
      <w:lvlJc w:val="left"/>
      <w:lvlText w:val="(%1)"/>
      <w:numFmt w:val="lowerLetter"/>
      <w:start w:val="3"/>
    </w:lvl>
  </w:abstractNum>
  <w:abstractNum w:abstractNumId="37">
    <w:nsid w:val="153EA438"/>
    <w:multiLevelType w:val="hybridMultilevel"/>
    <w:lvl w:ilvl="0">
      <w:lvlJc w:val="left"/>
      <w:lvlText w:val="%1."/>
      <w:numFmt w:val="decimal"/>
      <w:start w:val="6"/>
    </w:lvl>
  </w:abstractNum>
  <w:abstractNum w:abstractNumId="38">
    <w:nsid w:val="3855585C"/>
    <w:multiLevelType w:val="hybridMultilevel"/>
    <w:lvl w:ilvl="0">
      <w:lvlJc w:val="left"/>
      <w:lvlText w:val="%1."/>
      <w:numFmt w:val="decimal"/>
      <w:start w:val="8"/>
    </w:lvl>
  </w:abstractNum>
  <w:abstractNum w:abstractNumId="39">
    <w:nsid w:val="70A64E2A"/>
    <w:multiLevelType w:val="hybridMultilevel"/>
    <w:lvl w:ilvl="0">
      <w:lvlJc w:val="left"/>
      <w:lvlText w:val="%1."/>
      <w:numFmt w:val="decimal"/>
      <w:start w:val="10"/>
    </w:lvl>
  </w:abstractNum>
  <w:abstractNum w:abstractNumId="40">
    <w:nsid w:val="6A2342EC"/>
    <w:multiLevelType w:val="hybridMultilevel"/>
    <w:lvl w:ilvl="0">
      <w:lvlJc w:val="left"/>
      <w:lvlText w:val="%1."/>
      <w:numFmt w:val="decimal"/>
      <w:start w:val="1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lowerLetter"/>
      <w:start w:val="1"/>
    </w:lvl>
  </w:abstractNum>
  <w:abstractNum w:abstractNumId="43">
    <w:nsid w:val="725A06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2020-01-21T21:06:21Z</dcterms:created>
  <dcterms:modified xsi:type="dcterms:W3CDTF">2020-01-21T21:06:21Z</dcterms:modified>
</cp:coreProperties>
</file>