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13" w:lineRule="exact"/>
        <w:rPr>
          <w:sz w:val="24"/>
          <w:szCs w:val="24"/>
          <w:color w:val="auto"/>
        </w:rPr>
      </w:pPr>
    </w:p>
    <w:p>
      <w:pPr>
        <w:ind w:left="340"/>
        <w:spacing w:after="0" w:line="268"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-189230</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52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521"/>
              <w:spacing w:after="0" w:line="126"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2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521"/>
              <w:spacing w:after="0" w:line="176"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2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60" w:type="dxa"/>
            <w:vAlign w:val="bottom"/>
            <w:vMerge w:val="restart"/>
          </w:tcPr>
          <w:p>
            <w:pPr>
              <w:jc w:val="center"/>
              <w:ind w:right="5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5304790</wp:posOffset>
            </wp:positionH>
            <wp:positionV relativeFrom="paragraph">
              <wp:posOffset>-588010</wp:posOffset>
            </wp:positionV>
            <wp:extent cx="55880"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134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-588010</wp:posOffset>
            </wp:positionV>
            <wp:extent cx="55880" cy="601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34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-1893570</wp:posOffset>
            </wp:positionH>
            <wp:positionV relativeFrom="paragraph">
              <wp:posOffset>15240</wp:posOffset>
            </wp:positionV>
            <wp:extent cx="7329805" cy="6010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805" cy="60109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00" w:space="660"/>
            <w:col w:w="8560"/>
          </w:cols>
          <w:pgMar w:left="240" w:top="217" w:right="139" w:bottom="1440" w:gutter="0" w:footer="0" w:header="0"/>
        </w:sectPr>
      </w:pPr>
    </w:p>
    <w:tbl>
      <w:tblPr>
        <w:tblLayout w:type="fixed"/>
        <w:tblInd w:w="6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2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180" w:type="dxa"/>
            <w:vAlign w:val="bottom"/>
            <w:gridSpan w:val="2"/>
            <w:vMerge w:val="restart"/>
          </w:tcPr>
          <w:p>
            <w:pPr>
              <w:spacing w:after="0"/>
              <w:rPr>
                <w:rFonts w:ascii="Arial" w:cs="Arial" w:eastAsia="Arial" w:hAnsi="Arial"/>
                <w:sz w:val="19"/>
                <w:szCs w:val="19"/>
                <w:color w:val="0000EE"/>
                <w:w w:val="98"/>
              </w:rPr>
            </w:pPr>
            <w:hyperlink r:id="rId12">
              <w:r>
                <w:rPr>
                  <w:rFonts w:ascii="Arial" w:cs="Arial" w:eastAsia="Arial" w:hAnsi="Arial"/>
                  <w:sz w:val="19"/>
                  <w:szCs w:val="19"/>
                  <w:color w:val="0000EE"/>
                  <w:w w:val="98"/>
                </w:rPr>
                <w:t>vonBerg John</w:t>
              </w:r>
            </w:hyperlink>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40" w:type="dxa"/>
            <w:vAlign w:val="bottom"/>
            <w:gridSpan w:val="3"/>
          </w:tcPr>
          <w:p>
            <w:pPr>
              <w:spacing w:after="0" w:line="170" w:lineRule="exact"/>
              <w:rPr>
                <w:rFonts w:ascii="Arial" w:cs="Arial" w:eastAsia="Arial" w:hAnsi="Arial"/>
                <w:sz w:val="19"/>
                <w:szCs w:val="19"/>
                <w:color w:val="0000EE"/>
              </w:rPr>
            </w:pPr>
            <w:hyperlink r:id="rId13">
              <w:r>
                <w:rPr>
                  <w:rFonts w:ascii="Arial" w:cs="Arial" w:eastAsia="Arial" w:hAnsi="Arial"/>
                  <w:sz w:val="19"/>
                  <w:szCs w:val="19"/>
                  <w:color w:val="0000EE"/>
                </w:rPr>
                <w:t xml:space="preserve">PLAINS GP HOLDINGS LP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1240" w:type="dxa"/>
            <w:vAlign w:val="bottom"/>
            <w:vMerge w:val="restart"/>
          </w:tcPr>
          <w:p>
            <w:pPr>
              <w:ind w:left="100"/>
              <w:spacing w:after="0"/>
              <w:rPr>
                <w:sz w:val="20"/>
                <w:szCs w:val="20"/>
                <w:color w:val="auto"/>
              </w:rPr>
            </w:pPr>
            <w:r>
              <w:rPr>
                <w:rFonts w:ascii="Arial" w:cs="Arial" w:eastAsia="Arial" w:hAnsi="Arial"/>
                <w:sz w:val="12"/>
                <w:szCs w:val="12"/>
                <w:color w:val="auto"/>
              </w:rPr>
              <w:t>(First)</w:t>
            </w:r>
          </w:p>
        </w:tc>
        <w:tc>
          <w:tcPr>
            <w:tcW w:w="140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3.</w:t>
            </w:r>
          </w:p>
        </w:tc>
        <w:tc>
          <w:tcPr>
            <w:tcW w:w="382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2420" w:type="dxa"/>
            <w:vAlign w:val="bottom"/>
            <w:gridSpan w:val="3"/>
          </w:tcPr>
          <w:p>
            <w:pPr>
              <w:spacing w:after="0"/>
              <w:rPr>
                <w:sz w:val="20"/>
                <w:szCs w:val="20"/>
                <w:color w:val="auto"/>
              </w:rPr>
            </w:pPr>
            <w:r>
              <w:rPr>
                <w:rFonts w:ascii="Arial" w:cs="Arial" w:eastAsia="Arial" w:hAnsi="Arial"/>
                <w:sz w:val="16"/>
                <w:szCs w:val="16"/>
                <w:color w:val="0000FF"/>
              </w:rPr>
              <w:t>333 CLAY STREET, # 1600</w:t>
            </w:r>
          </w:p>
        </w:tc>
        <w:tc>
          <w:tcPr>
            <w:tcW w:w="1400" w:type="dxa"/>
            <w:vAlign w:val="bottom"/>
          </w:tcPr>
          <w:p>
            <w:pPr>
              <w:spacing w:after="0"/>
              <w:rPr>
                <w:sz w:val="21"/>
                <w:szCs w:val="21"/>
                <w:color w:val="auto"/>
              </w:rPr>
            </w:pPr>
          </w:p>
        </w:tc>
        <w:tc>
          <w:tcPr>
            <w:tcW w:w="2420" w:type="dxa"/>
            <w:vAlign w:val="bottom"/>
            <w:gridSpan w:val="4"/>
          </w:tcPr>
          <w:p>
            <w:pPr>
              <w:ind w:left="140"/>
              <w:spacing w:after="0"/>
              <w:rPr>
                <w:sz w:val="20"/>
                <w:szCs w:val="20"/>
                <w:color w:val="auto"/>
              </w:rPr>
            </w:pPr>
            <w:r>
              <w:rPr>
                <w:rFonts w:ascii="Arial" w:cs="Arial" w:eastAsia="Arial" w:hAnsi="Arial"/>
                <w:sz w:val="16"/>
                <w:szCs w:val="16"/>
                <w:color w:val="0000FF"/>
              </w:rPr>
              <w:t>01/04/2016</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5" w:right="920" w:hanging="5"/>
        <w:spacing w:after="0" w:line="244"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2" w:lineRule="exact"/>
        <w:rPr>
          <w:sz w:val="20"/>
          <w:szCs w:val="20"/>
          <w:color w:val="auto"/>
        </w:rPr>
      </w:pPr>
    </w:p>
    <w:tbl>
      <w:tblPr>
        <w:tblLayout w:type="fixed"/>
        <w:tblInd w:w="205" w:type="dxa"/>
        <w:tblCellMar>
          <w:top w:w="0" w:type="dxa"/>
          <w:left w:w="0" w:type="dxa"/>
          <w:bottom w:w="0" w:type="dxa"/>
          <w:right w:w="0" w:type="dxa"/>
        </w:tblCellMar>
      </w:tblPr>
      <w:tr>
        <w:trPr>
          <w:trHeight w:val="146"/>
        </w:trPr>
        <w:tc>
          <w:tcPr>
            <w:tcW w:w="220" w:type="dxa"/>
            <w:vAlign w:val="bottom"/>
          </w:tcPr>
          <w:p>
            <w:pPr>
              <w:spacing w:after="0"/>
              <w:rPr>
                <w:sz w:val="12"/>
                <w:szCs w:val="12"/>
                <w:color w:val="auto"/>
              </w:rPr>
            </w:pPr>
          </w:p>
        </w:tc>
        <w:tc>
          <w:tcPr>
            <w:tcW w:w="138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8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8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95"/>
        </w:trPr>
        <w:tc>
          <w:tcPr>
            <w:tcW w:w="220" w:type="dxa"/>
            <w:vAlign w:val="bottom"/>
            <w:vMerge w:val="continue"/>
          </w:tcPr>
          <w:p>
            <w:pPr>
              <w:spacing w:after="0"/>
              <w:rPr>
                <w:sz w:val="8"/>
                <w:szCs w:val="8"/>
                <w:color w:val="auto"/>
              </w:rPr>
            </w:pPr>
          </w:p>
        </w:tc>
        <w:tc>
          <w:tcPr>
            <w:tcW w:w="13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625"/>
        <w:spacing w:after="0"/>
        <w:rPr>
          <w:sz w:val="20"/>
          <w:szCs w:val="20"/>
          <w:color w:val="auto"/>
        </w:rPr>
      </w:pPr>
      <w:r>
        <w:rPr>
          <w:rFonts w:ascii="Arial" w:cs="Arial" w:eastAsia="Arial" w:hAnsi="Arial"/>
          <w:sz w:val="16"/>
          <w:szCs w:val="16"/>
          <w:color w:val="0000FF"/>
        </w:rPr>
        <w:t>Exec VP-Commercial Activities</w:t>
      </w:r>
    </w:p>
    <w:p>
      <w:pPr>
        <w:spacing w:after="0" w:line="337" w:lineRule="exact"/>
        <w:rPr>
          <w:sz w:val="20"/>
          <w:szCs w:val="20"/>
          <w:color w:val="auto"/>
        </w:rPr>
      </w:pPr>
    </w:p>
    <w:p>
      <w:pPr>
        <w:sectPr>
          <w:pgSz w:w="11900" w:h="16838" w:orient="portrait"/>
          <w:cols w:equalWidth="0" w:num="2">
            <w:col w:w="8000" w:space="55"/>
            <w:col w:w="3465"/>
          </w:cols>
          <w:pgMar w:left="240" w:top="217" w:right="139" w:bottom="144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2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tcBorders>
              <w:top w:val="single" w:sz="8" w:color="2C2C2C"/>
            </w:tcBorders>
            <w:gridSpan w:val="9"/>
            <w:vMerge w:val="restart"/>
          </w:tcPr>
          <w:p>
            <w:pPr>
              <w:ind w:left="44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6"/>
                <w:szCs w:val="16"/>
                <w:color w:val="0000FF"/>
              </w:rPr>
              <w:t>HOUSTON</w:t>
            </w:r>
          </w:p>
        </w:tc>
        <w:tc>
          <w:tcPr>
            <w:tcW w:w="1100" w:type="dxa"/>
            <w:vAlign w:val="bottom"/>
            <w:vMerge w:val="restart"/>
          </w:tcPr>
          <w:p>
            <w:pPr>
              <w:spacing w:after="0"/>
              <w:rPr>
                <w:sz w:val="20"/>
                <w:szCs w:val="20"/>
                <w:color w:val="auto"/>
              </w:rPr>
            </w:pPr>
            <w:r>
              <w:rPr>
                <w:rFonts w:ascii="Arial" w:cs="Arial" w:eastAsia="Arial" w:hAnsi="Arial"/>
                <w:sz w:val="16"/>
                <w:szCs w:val="16"/>
                <w:color w:val="0000FF"/>
              </w:rPr>
              <w:t>TX</w:t>
            </w:r>
          </w:p>
        </w:tc>
        <w:tc>
          <w:tcPr>
            <w:tcW w:w="1020" w:type="dxa"/>
            <w:vAlign w:val="bottom"/>
            <w:vMerge w:val="restart"/>
          </w:tcPr>
          <w:p>
            <w:pPr>
              <w:ind w:left="200"/>
              <w:spacing w:after="0"/>
              <w:rPr>
                <w:sz w:val="20"/>
                <w:szCs w:val="20"/>
                <w:color w:val="auto"/>
              </w:rPr>
            </w:pPr>
            <w:r>
              <w:rPr>
                <w:rFonts w:ascii="Arial" w:cs="Arial" w:eastAsia="Arial" w:hAnsi="Arial"/>
                <w:sz w:val="16"/>
                <w:szCs w:val="16"/>
                <w:color w:val="0000FF"/>
              </w:rPr>
              <w:t>77002</w:t>
            </w: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20" w:type="dxa"/>
            <w:vAlign w:val="bottom"/>
            <w:gridSpan w:val="7"/>
            <w:vMerge w:val="continue"/>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gridSpan w:val="3"/>
          </w:tcPr>
          <w:p>
            <w:pPr>
              <w:ind w:left="660"/>
              <w:spacing w:after="0"/>
              <w:rPr>
                <w:sz w:val="20"/>
                <w:szCs w:val="20"/>
                <w:color w:val="auto"/>
              </w:rPr>
            </w:pPr>
            <w:r>
              <w:rPr>
                <w:rFonts w:ascii="Arial" w:cs="Arial" w:eastAsia="Arial" w:hAnsi="Arial"/>
                <w:sz w:val="16"/>
                <w:szCs w:val="16"/>
                <w:color w:val="0000FF"/>
              </w:rPr>
              <w:t>X</w:t>
            </w:r>
          </w:p>
        </w:tc>
        <w:tc>
          <w:tcPr>
            <w:tcW w:w="2260" w:type="dxa"/>
            <w:vAlign w:val="bottom"/>
            <w:gridSpan w:val="5"/>
          </w:tcPr>
          <w:p>
            <w:pPr>
              <w:ind w:left="120"/>
              <w:spacing w:after="0"/>
              <w:rPr>
                <w:sz w:val="20"/>
                <w:szCs w:val="20"/>
                <w:color w:val="auto"/>
              </w:rPr>
            </w:pPr>
            <w:r>
              <w:rPr>
                <w:rFonts w:ascii="Arial" w:cs="Arial" w:eastAsia="Arial" w:hAnsi="Arial"/>
                <w:sz w:val="12"/>
                <w:szCs w:val="12"/>
                <w:color w:val="auto"/>
              </w:rPr>
              <w:t>Form filed by One Reporting Person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7"/>
                <w:szCs w:val="7"/>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20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4"/>
          </w:tcPr>
          <w:p>
            <w:pPr>
              <w:spacing w:after="0"/>
              <w:rPr>
                <w:sz w:val="10"/>
                <w:szCs w:val="10"/>
                <w:color w:val="auto"/>
              </w:rPr>
            </w:pPr>
          </w:p>
        </w:tc>
        <w:tc>
          <w:tcPr>
            <w:tcW w:w="84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4"/>
          </w:tcPr>
          <w:p>
            <w:pPr>
              <w:ind w:left="2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w w:val="96"/>
              </w:rPr>
              <w:t>2. Transaction</w:t>
            </w:r>
          </w:p>
        </w:tc>
        <w:tc>
          <w:tcPr>
            <w:tcW w:w="2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2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2140" w:type="dxa"/>
            <w:vAlign w:val="bottom"/>
            <w:gridSpan w:val="4"/>
          </w:tcPr>
          <w:p>
            <w:pPr>
              <w:jc w:val="center"/>
              <w:ind w:right="140"/>
              <w:spacing w:after="0" w:line="120" w:lineRule="exact"/>
              <w:rPr>
                <w:sz w:val="20"/>
                <w:szCs w:val="20"/>
                <w:color w:val="auto"/>
              </w:rPr>
            </w:pPr>
            <w:r>
              <w:rPr>
                <w:rFonts w:ascii="Arial" w:cs="Arial" w:eastAsia="Arial" w:hAnsi="Arial"/>
                <w:sz w:val="11"/>
                <w:szCs w:val="11"/>
                <w:b w:val="1"/>
                <w:bCs w:val="1"/>
                <w:color w:val="auto"/>
                <w:w w:val="99"/>
              </w:rPr>
              <w:t>Disposed Of (D) (Instr. 3, 4 and 5)</w:t>
            </w:r>
          </w:p>
        </w:tc>
        <w:tc>
          <w:tcPr>
            <w:tcW w:w="7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9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Form: Direct (D)</w:t>
            </w:r>
          </w:p>
        </w:tc>
        <w:tc>
          <w:tcPr>
            <w:tcW w:w="10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or Indirect (I)</w:t>
            </w:r>
          </w:p>
        </w:tc>
        <w:tc>
          <w:tcPr>
            <w:tcW w:w="106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106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gridSpan w:val="4"/>
            <w:vMerge w:val="restart"/>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ind w:left="380"/>
              <w:spacing w:after="0" w:line="121"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500" w:type="dxa"/>
            <w:vAlign w:val="bottom"/>
            <w:gridSpan w:val="5"/>
            <w:vMerge w:val="restart"/>
          </w:tcPr>
          <w:p>
            <w:pPr>
              <w:ind w:left="60"/>
              <w:spacing w:after="0"/>
              <w:rPr>
                <w:sz w:val="20"/>
                <w:szCs w:val="20"/>
                <w:color w:val="auto"/>
              </w:rPr>
            </w:pPr>
            <w:r>
              <w:rPr>
                <w:rFonts w:ascii="Arial" w:cs="Arial" w:eastAsia="Arial" w:hAnsi="Arial"/>
                <w:sz w:val="16"/>
                <w:szCs w:val="16"/>
                <w:color w:val="0000FF"/>
                <w:w w:val="91"/>
              </w:rPr>
              <w:t>Class B Shares representing limited partner interests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color w:val="0000FF"/>
              </w:rPr>
              <w:t>917,262</w:t>
            </w:r>
            <w:r>
              <w:rPr>
                <w:rFonts w:ascii="Arial" w:cs="Arial" w:eastAsia="Arial" w:hAnsi="Arial"/>
                <w:sz w:val="20"/>
                <w:szCs w:val="20"/>
                <w:color w:val="008000"/>
                <w:vertAlign w:val="superscript"/>
              </w:rPr>
              <w:t>(1)(2)</w:t>
            </w:r>
          </w:p>
        </w:tc>
        <w:tc>
          <w:tcPr>
            <w:tcW w:w="480" w:type="dxa"/>
            <w:vAlign w:val="bottom"/>
          </w:tcPr>
          <w:p>
            <w:pPr>
              <w:spacing w:after="0"/>
              <w:rPr>
                <w:sz w:val="20"/>
                <w:szCs w:val="20"/>
                <w:color w:val="auto"/>
              </w:rPr>
            </w:pPr>
          </w:p>
        </w:tc>
        <w:tc>
          <w:tcPr>
            <w:tcW w:w="500" w:type="dxa"/>
            <w:vAlign w:val="bottom"/>
            <w:vMerge w:val="restart"/>
          </w:tcPr>
          <w:p>
            <w:pPr>
              <w:spacing w:after="0"/>
              <w:rPr>
                <w:sz w:val="20"/>
                <w:szCs w:val="20"/>
                <w:color w:val="auto"/>
              </w:rPr>
            </w:pPr>
            <w:r>
              <w:rPr>
                <w:rFonts w:ascii="Arial" w:cs="Arial" w:eastAsia="Arial" w:hAnsi="Arial"/>
                <w:sz w:val="16"/>
                <w:szCs w:val="16"/>
                <w:color w:val="0000FF"/>
              </w:rPr>
              <w:t>I</w:t>
            </w:r>
          </w:p>
        </w:tc>
        <w:tc>
          <w:tcPr>
            <w:tcW w:w="30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500" w:type="dxa"/>
            <w:vAlign w:val="bottom"/>
            <w:gridSpan w:val="5"/>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0"/>
                <w:szCs w:val="20"/>
                <w:color w:val="008000"/>
                <w:w w:val="97"/>
                <w:vertAlign w:val="superscript"/>
              </w:rPr>
              <w:t>(1)(2)</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48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6"/>
                <w:szCs w:val="16"/>
                <w:color w:val="0000FF"/>
              </w:rPr>
              <w:t>Units in PAA GP Holdings LLC</w:t>
            </w:r>
          </w:p>
        </w:tc>
        <w:tc>
          <w:tcPr>
            <w:tcW w:w="10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6"/>
                <w:szCs w:val="16"/>
                <w:color w:val="0000FF"/>
              </w:rPr>
              <w:t>917,262</w:t>
            </w:r>
            <w:r>
              <w:rPr>
                <w:rFonts w:ascii="Arial" w:cs="Arial" w:eastAsia="Arial" w:hAnsi="Arial"/>
                <w:sz w:val="20"/>
                <w:szCs w:val="20"/>
                <w:color w:val="008000"/>
                <w:vertAlign w:val="superscript"/>
              </w:rPr>
              <w:t>(1)(2)</w:t>
            </w:r>
          </w:p>
        </w:tc>
        <w:tc>
          <w:tcPr>
            <w:tcW w:w="4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480" w:type="dxa"/>
            <w:vAlign w:val="bottom"/>
            <w:gridSpan w:val="4"/>
            <w:vMerge w:val="continue"/>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0"/>
                <w:szCs w:val="20"/>
                <w:color w:val="008000"/>
                <w:w w:val="97"/>
                <w:vertAlign w:val="superscript"/>
              </w:rPr>
              <w:t>(1)(2)</w:t>
            </w:r>
          </w:p>
        </w:tc>
        <w:tc>
          <w:tcPr>
            <w:tcW w:w="0" w:type="dxa"/>
            <w:vAlign w:val="bottom"/>
          </w:tcPr>
          <w:p>
            <w:pPr>
              <w:spacing w:after="0"/>
              <w:rPr>
                <w:sz w:val="1"/>
                <w:szCs w:val="1"/>
                <w:color w:val="auto"/>
              </w:rPr>
            </w:pPr>
          </w:p>
        </w:tc>
      </w:tr>
      <w:tr>
        <w:trPr>
          <w:trHeight w:val="141"/>
        </w:trPr>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80" w:type="dxa"/>
            <w:vAlign w:val="bottom"/>
            <w:gridSpan w:val="14"/>
          </w:tcPr>
          <w:p>
            <w:pPr>
              <w:ind w:left="4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80" w:type="dxa"/>
            <w:vAlign w:val="bottom"/>
            <w:gridSpan w:val="11"/>
          </w:tcPr>
          <w:p>
            <w:pPr>
              <w:ind w:left="1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7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1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1"/>
        </w:trPr>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  Date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 Securities</w:t>
            </w:r>
          </w:p>
        </w:tc>
        <w:tc>
          <w:tcPr>
            <w:tcW w:w="13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Expiration Date</w:t>
            </w:r>
          </w:p>
        </w:tc>
        <w:tc>
          <w:tcPr>
            <w:tcW w:w="152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1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Ownership</w:t>
            </w: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9"/>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3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52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Derivative Security (Instr. 3</w:t>
            </w:r>
          </w:p>
        </w:tc>
        <w:tc>
          <w:tcPr>
            <w:tcW w:w="1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and 4)</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Direct (D)</w:t>
            </w: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or Indirect</w:t>
            </w: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gridSpan w:val="2"/>
            <w:vMerge w:val="restart"/>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vMerge w:val="restart"/>
          </w:tcPr>
          <w:p>
            <w:pPr>
              <w:ind w:left="120"/>
              <w:spacing w:after="0" w:line="121"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right"/>
              <w:ind w:right="7"/>
              <w:spacing w:after="0" w:line="121" w:lineRule="exact"/>
              <w:rPr>
                <w:sz w:val="20"/>
                <w:szCs w:val="20"/>
                <w:color w:val="auto"/>
              </w:rPr>
            </w:pPr>
            <w:r>
              <w:rPr>
                <w:rFonts w:ascii="Arial" w:cs="Arial" w:eastAsia="Arial" w:hAnsi="Arial"/>
                <w:sz w:val="11"/>
                <w:szCs w:val="11"/>
                <w:b w:val="1"/>
                <w:bCs w:val="1"/>
                <w:color w:val="auto"/>
              </w:rPr>
              <w:t>Expiration</w:t>
            </w:r>
          </w:p>
        </w:tc>
        <w:tc>
          <w:tcPr>
            <w:tcW w:w="760" w:type="dxa"/>
            <w:vAlign w:val="bottom"/>
          </w:tcPr>
          <w:p>
            <w:pPr>
              <w:spacing w:after="0"/>
              <w:rPr>
                <w:sz w:val="10"/>
                <w:szCs w:val="10"/>
                <w:color w:val="auto"/>
              </w:rPr>
            </w:pP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80" w:type="dxa"/>
            <w:vAlign w:val="bottom"/>
          </w:tcPr>
          <w:p>
            <w:pPr>
              <w:ind w:left="4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jc w:val="right"/>
              <w:ind w:right="307"/>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0000FF"/>
                <w:w w:val="91"/>
              </w:rPr>
              <w:t>Class B</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4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86"/>
              </w:rPr>
              <w:t>Shares/Class</w:t>
            </w: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Units in</w:t>
            </w: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restart"/>
          </w:tcPr>
          <w:p>
            <w:pPr>
              <w:ind w:left="80"/>
              <w:spacing w:after="0" w:line="205"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(3)</w:t>
            </w: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760" w:type="dxa"/>
            <w:vAlign w:val="bottom"/>
            <w:vMerge w:val="continue"/>
          </w:tcPr>
          <w:p>
            <w:pPr>
              <w:spacing w:after="0"/>
              <w:rPr>
                <w:sz w:val="6"/>
                <w:szCs w:val="6"/>
                <w:color w:val="auto"/>
              </w:rPr>
            </w:pPr>
          </w:p>
        </w:tc>
        <w:tc>
          <w:tcPr>
            <w:tcW w:w="760" w:type="dxa"/>
            <w:vAlign w:val="bottom"/>
            <w:gridSpan w:val="2"/>
            <w:vMerge w:val="restart"/>
          </w:tcPr>
          <w:p>
            <w:pPr>
              <w:jc w:val="center"/>
              <w:ind w:left="53"/>
              <w:spacing w:after="0"/>
              <w:rPr>
                <w:sz w:val="20"/>
                <w:szCs w:val="20"/>
                <w:color w:val="auto"/>
              </w:rPr>
            </w:pPr>
            <w:r>
              <w:rPr>
                <w:rFonts w:ascii="Arial" w:cs="Arial" w:eastAsia="Arial" w:hAnsi="Arial"/>
                <w:sz w:val="16"/>
                <w:szCs w:val="16"/>
                <w:color w:val="0000FF"/>
                <w:w w:val="89"/>
              </w:rPr>
              <w:t>3,423,264</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40" w:type="dxa"/>
            <w:vAlign w:val="bottom"/>
            <w:gridSpan w:val="2"/>
            <w:vMerge w:val="continue"/>
          </w:tcPr>
          <w:p>
            <w:pPr>
              <w:spacing w:after="0"/>
              <w:rPr>
                <w:sz w:val="5"/>
                <w:szCs w:val="5"/>
                <w:color w:val="auto"/>
              </w:rPr>
            </w:pPr>
          </w:p>
        </w:tc>
        <w:tc>
          <w:tcPr>
            <w:tcW w:w="640" w:type="dxa"/>
            <w:vAlign w:val="bottom"/>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00" w:type="dxa"/>
            <w:vAlign w:val="bottom"/>
            <w:vMerge w:val="restart"/>
          </w:tcPr>
          <w:p>
            <w:pPr>
              <w:jc w:val="center"/>
              <w:ind w:left="19"/>
              <w:spacing w:after="0" w:line="133" w:lineRule="exact"/>
              <w:rPr>
                <w:sz w:val="20"/>
                <w:szCs w:val="20"/>
                <w:color w:val="auto"/>
              </w:rPr>
            </w:pPr>
            <w:r>
              <w:rPr>
                <w:rFonts w:ascii="Arial" w:cs="Arial" w:eastAsia="Arial" w:hAnsi="Arial"/>
                <w:sz w:val="12"/>
                <w:szCs w:val="12"/>
                <w:color w:val="0000FF"/>
                <w:w w:val="89"/>
              </w:rPr>
              <w:t>01/04/2016</w:t>
            </w:r>
          </w:p>
        </w:tc>
        <w:tc>
          <w:tcPr>
            <w:tcW w:w="10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400"/>
              <w:spacing w:after="0" w:line="133" w:lineRule="exact"/>
              <w:rPr>
                <w:sz w:val="20"/>
                <w:szCs w:val="20"/>
                <w:color w:val="auto"/>
              </w:rPr>
            </w:pPr>
            <w:r>
              <w:rPr>
                <w:rFonts w:ascii="Arial" w:cs="Arial" w:eastAsia="Arial" w:hAnsi="Arial"/>
                <w:sz w:val="12"/>
                <w:szCs w:val="12"/>
                <w:color w:val="0000FF"/>
              </w:rPr>
              <w:t>3,649,027</w:t>
            </w:r>
          </w:p>
        </w:tc>
        <w:tc>
          <w:tcPr>
            <w:tcW w:w="740" w:type="dxa"/>
            <w:vAlign w:val="bottom"/>
            <w:gridSpan w:val="2"/>
            <w:vMerge w:val="restart"/>
          </w:tcPr>
          <w:p>
            <w:pPr>
              <w:jc w:val="center"/>
              <w:ind w:right="6"/>
              <w:spacing w:after="0" w:line="133" w:lineRule="exact"/>
              <w:rPr>
                <w:sz w:val="20"/>
                <w:szCs w:val="20"/>
                <w:color w:val="auto"/>
              </w:rPr>
            </w:pPr>
            <w:r>
              <w:rPr>
                <w:rFonts w:ascii="Arial" w:cs="Arial" w:eastAsia="Arial" w:hAnsi="Arial"/>
                <w:sz w:val="12"/>
                <w:szCs w:val="12"/>
                <w:color w:val="0000FF"/>
                <w:w w:val="93"/>
              </w:rPr>
              <w:t>12/31/2015</w:t>
            </w:r>
          </w:p>
        </w:tc>
        <w:tc>
          <w:tcPr>
            <w:tcW w:w="620" w:type="dxa"/>
            <w:vAlign w:val="bottom"/>
            <w:vMerge w:val="continue"/>
          </w:tcPr>
          <w:p>
            <w:pPr>
              <w:spacing w:after="0"/>
              <w:rPr>
                <w:sz w:val="5"/>
                <w:szCs w:val="5"/>
                <w:color w:val="auto"/>
              </w:rPr>
            </w:pPr>
          </w:p>
        </w:tc>
        <w:tc>
          <w:tcPr>
            <w:tcW w:w="7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9"/>
              </w:rPr>
              <w:t>A Units of</w:t>
            </w: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26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320" w:type="dxa"/>
            <w:vAlign w:val="bottom"/>
          </w:tcPr>
          <w:p>
            <w:pPr>
              <w:spacing w:after="0"/>
              <w:rPr>
                <w:sz w:val="5"/>
                <w:szCs w:val="5"/>
                <w:color w:val="auto"/>
              </w:rPr>
            </w:pPr>
          </w:p>
        </w:tc>
        <w:tc>
          <w:tcPr>
            <w:tcW w:w="480" w:type="dxa"/>
            <w:vAlign w:val="bottom"/>
            <w:vMerge w:val="restart"/>
          </w:tcPr>
          <w:p>
            <w:pPr>
              <w:jc w:val="center"/>
              <w:ind w:right="224"/>
              <w:spacing w:after="0" w:line="133" w:lineRule="exact"/>
              <w:rPr>
                <w:sz w:val="20"/>
                <w:szCs w:val="20"/>
                <w:color w:val="auto"/>
              </w:rPr>
            </w:pPr>
            <w:r>
              <w:rPr>
                <w:rFonts w:ascii="Arial" w:cs="Arial" w:eastAsia="Arial" w:hAnsi="Arial"/>
                <w:sz w:val="12"/>
                <w:szCs w:val="12"/>
                <w:color w:val="0000FF"/>
              </w:rPr>
              <w:t>0</w:t>
            </w:r>
          </w:p>
        </w:tc>
        <w:tc>
          <w:tcPr>
            <w:tcW w:w="500" w:type="dxa"/>
            <w:vAlign w:val="bottom"/>
            <w:vMerge w:val="restart"/>
          </w:tcPr>
          <w:p>
            <w:pPr>
              <w:jc w:val="center"/>
              <w:ind w:left="240"/>
              <w:spacing w:after="0" w:line="133" w:lineRule="exact"/>
              <w:rPr>
                <w:sz w:val="20"/>
                <w:szCs w:val="20"/>
                <w:color w:val="auto"/>
              </w:rPr>
            </w:pPr>
            <w:r>
              <w:rPr>
                <w:rFonts w:ascii="Arial" w:cs="Arial" w:eastAsia="Arial" w:hAnsi="Arial"/>
                <w:sz w:val="12"/>
                <w:szCs w:val="12"/>
                <w:color w:val="0000FF"/>
                <w:w w:val="91"/>
              </w:rPr>
              <w:t>D</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Plains AAP,</w:t>
            </w:r>
          </w:p>
        </w:tc>
        <w:tc>
          <w:tcPr>
            <w:tcW w:w="6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4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1"/>
              </w:rPr>
              <w:t>Plains AAP,</w:t>
            </w: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L.P.</w:t>
            </w: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0000FF"/>
                <w:w w:val="84"/>
              </w:rPr>
              <w:t>L.P.</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Units in</w:t>
            </w:r>
          </w:p>
        </w:tc>
        <w:tc>
          <w:tcPr>
            <w:tcW w:w="64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00" w:type="dxa"/>
            <w:vAlign w:val="bottom"/>
            <w:vMerge w:val="restart"/>
          </w:tcPr>
          <w:p>
            <w:pPr>
              <w:jc w:val="center"/>
              <w:ind w:left="19"/>
              <w:spacing w:after="0"/>
              <w:rPr>
                <w:sz w:val="20"/>
                <w:szCs w:val="20"/>
                <w:color w:val="auto"/>
              </w:rPr>
            </w:pPr>
            <w:r>
              <w:rPr>
                <w:rFonts w:ascii="Arial" w:cs="Arial" w:eastAsia="Arial" w:hAnsi="Arial"/>
                <w:sz w:val="12"/>
                <w:szCs w:val="12"/>
                <w:color w:val="0000FF"/>
                <w:w w:val="89"/>
              </w:rPr>
              <w:t>01/04/2016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51"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(3)</w:t>
            </w: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color w:val="0000FF"/>
              </w:rPr>
              <w:t>3,423,264</w:t>
            </w:r>
          </w:p>
        </w:tc>
        <w:tc>
          <w:tcPr>
            <w:tcW w:w="740" w:type="dxa"/>
            <w:vAlign w:val="bottom"/>
            <w:gridSpan w:val="2"/>
            <w:vMerge w:val="restart"/>
          </w:tcPr>
          <w:p>
            <w:pPr>
              <w:jc w:val="center"/>
              <w:ind w:right="6"/>
              <w:spacing w:after="0"/>
              <w:rPr>
                <w:sz w:val="20"/>
                <w:szCs w:val="20"/>
                <w:color w:val="auto"/>
              </w:rPr>
            </w:pPr>
            <w:r>
              <w:rPr>
                <w:rFonts w:ascii="Arial" w:cs="Arial" w:eastAsia="Arial" w:hAnsi="Arial"/>
                <w:sz w:val="12"/>
                <w:szCs w:val="12"/>
                <w:color w:val="0000FF"/>
                <w:w w:val="93"/>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0000FF"/>
                <w:w w:val="91"/>
              </w:rPr>
              <w:t>Class A</w:t>
            </w:r>
          </w:p>
        </w:tc>
        <w:tc>
          <w:tcPr>
            <w:tcW w:w="760" w:type="dxa"/>
            <w:vAlign w:val="bottom"/>
            <w:gridSpan w:val="2"/>
            <w:vMerge w:val="restart"/>
          </w:tcPr>
          <w:p>
            <w:pPr>
              <w:jc w:val="center"/>
              <w:ind w:left="53"/>
              <w:spacing w:after="0"/>
              <w:rPr>
                <w:sz w:val="20"/>
                <w:szCs w:val="20"/>
                <w:color w:val="auto"/>
              </w:rPr>
            </w:pPr>
            <w:r>
              <w:rPr>
                <w:rFonts w:ascii="Arial" w:cs="Arial" w:eastAsia="Arial" w:hAnsi="Arial"/>
                <w:sz w:val="16"/>
                <w:szCs w:val="16"/>
                <w:color w:val="0000FF"/>
                <w:w w:val="89"/>
              </w:rPr>
              <w:t>3,423,264</w:t>
            </w:r>
          </w:p>
        </w:tc>
        <w:tc>
          <w:tcPr>
            <w:tcW w:w="120" w:type="dxa"/>
            <w:vAlign w:val="bottom"/>
          </w:tcPr>
          <w:p>
            <w:pPr>
              <w:spacing w:after="0"/>
              <w:rPr>
                <w:sz w:val="11"/>
                <w:szCs w:val="11"/>
                <w:color w:val="auto"/>
              </w:rPr>
            </w:pP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9"/>
              </w:rPr>
              <w:t>3,423,264</w:t>
            </w:r>
          </w:p>
        </w:tc>
        <w:tc>
          <w:tcPr>
            <w:tcW w:w="500" w:type="dxa"/>
            <w:vAlign w:val="bottom"/>
            <w:vMerge w:val="restart"/>
          </w:tcPr>
          <w:p>
            <w:pPr>
              <w:jc w:val="center"/>
              <w:ind w:left="240"/>
              <w:spacing w:after="0"/>
              <w:rPr>
                <w:sz w:val="20"/>
                <w:szCs w:val="20"/>
                <w:color w:val="auto"/>
              </w:rPr>
            </w:pPr>
            <w:r>
              <w:rPr>
                <w:rFonts w:ascii="Arial" w:cs="Arial" w:eastAsia="Arial" w:hAnsi="Arial"/>
                <w:sz w:val="12"/>
                <w:szCs w:val="12"/>
                <w:color w:val="0000FF"/>
                <w:w w:val="91"/>
              </w:rPr>
              <w:t>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Plains AAP,</w:t>
            </w:r>
          </w:p>
        </w:tc>
        <w:tc>
          <w:tcPr>
            <w:tcW w:w="6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0000FF"/>
                <w:w w:val="84"/>
              </w:rPr>
              <w:t>Shares</w:t>
            </w: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L.P.</w:t>
            </w: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Shares</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w w:val="98"/>
              </w:rPr>
              <w:t>representing</w:t>
            </w:r>
          </w:p>
        </w:tc>
        <w:tc>
          <w:tcPr>
            <w:tcW w:w="64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00" w:type="dxa"/>
            <w:vAlign w:val="bottom"/>
            <w:vMerge w:val="restart"/>
          </w:tcPr>
          <w:p>
            <w:pPr>
              <w:jc w:val="center"/>
              <w:ind w:left="19"/>
              <w:spacing w:after="0"/>
              <w:rPr>
                <w:sz w:val="20"/>
                <w:szCs w:val="20"/>
                <w:color w:val="auto"/>
              </w:rPr>
            </w:pPr>
            <w:r>
              <w:rPr>
                <w:rFonts w:ascii="Arial" w:cs="Arial" w:eastAsia="Arial" w:hAnsi="Arial"/>
                <w:sz w:val="12"/>
                <w:szCs w:val="12"/>
                <w:color w:val="0000FF"/>
                <w:w w:val="89"/>
              </w:rPr>
              <w:t>01/04/2016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51"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(3)</w:t>
            </w: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color w:val="0000FF"/>
              </w:rPr>
              <w:t>3,423,264</w:t>
            </w:r>
          </w:p>
        </w:tc>
        <w:tc>
          <w:tcPr>
            <w:tcW w:w="740" w:type="dxa"/>
            <w:vAlign w:val="bottom"/>
            <w:gridSpan w:val="2"/>
            <w:vMerge w:val="restart"/>
          </w:tcPr>
          <w:p>
            <w:pPr>
              <w:jc w:val="center"/>
              <w:ind w:right="6"/>
              <w:spacing w:after="0"/>
              <w:rPr>
                <w:sz w:val="20"/>
                <w:szCs w:val="20"/>
                <w:color w:val="auto"/>
              </w:rPr>
            </w:pPr>
            <w:r>
              <w:rPr>
                <w:rFonts w:ascii="Arial" w:cs="Arial" w:eastAsia="Arial" w:hAnsi="Arial"/>
                <w:sz w:val="12"/>
                <w:szCs w:val="12"/>
                <w:color w:val="0000FF"/>
                <w:w w:val="93"/>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0000FF"/>
                <w:w w:val="91"/>
              </w:rPr>
              <w:t>Class A</w:t>
            </w:r>
          </w:p>
        </w:tc>
        <w:tc>
          <w:tcPr>
            <w:tcW w:w="760" w:type="dxa"/>
            <w:vAlign w:val="bottom"/>
            <w:gridSpan w:val="2"/>
            <w:vMerge w:val="restart"/>
          </w:tcPr>
          <w:p>
            <w:pPr>
              <w:jc w:val="center"/>
              <w:ind w:left="53"/>
              <w:spacing w:after="0"/>
              <w:rPr>
                <w:sz w:val="20"/>
                <w:szCs w:val="20"/>
                <w:color w:val="auto"/>
              </w:rPr>
            </w:pPr>
            <w:r>
              <w:rPr>
                <w:rFonts w:ascii="Arial" w:cs="Arial" w:eastAsia="Arial" w:hAnsi="Arial"/>
                <w:sz w:val="16"/>
                <w:szCs w:val="16"/>
                <w:color w:val="0000FF"/>
                <w:w w:val="89"/>
              </w:rPr>
              <w:t>3,423,264</w:t>
            </w:r>
          </w:p>
        </w:tc>
        <w:tc>
          <w:tcPr>
            <w:tcW w:w="120" w:type="dxa"/>
            <w:vAlign w:val="bottom"/>
          </w:tcPr>
          <w:p>
            <w:pPr>
              <w:spacing w:after="0"/>
              <w:rPr>
                <w:sz w:val="11"/>
                <w:szCs w:val="11"/>
                <w:color w:val="auto"/>
              </w:rPr>
            </w:pP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9"/>
              </w:rPr>
              <w:t>3,423,264</w:t>
            </w:r>
          </w:p>
        </w:tc>
        <w:tc>
          <w:tcPr>
            <w:tcW w:w="500" w:type="dxa"/>
            <w:vAlign w:val="bottom"/>
            <w:vMerge w:val="restart"/>
          </w:tcPr>
          <w:p>
            <w:pPr>
              <w:jc w:val="center"/>
              <w:ind w:left="240"/>
              <w:spacing w:after="0"/>
              <w:rPr>
                <w:sz w:val="20"/>
                <w:szCs w:val="20"/>
                <w:color w:val="auto"/>
              </w:rPr>
            </w:pPr>
            <w:r>
              <w:rPr>
                <w:rFonts w:ascii="Arial" w:cs="Arial" w:eastAsia="Arial" w:hAnsi="Arial"/>
                <w:sz w:val="12"/>
                <w:szCs w:val="12"/>
                <w:color w:val="0000FF"/>
                <w:w w:val="91"/>
              </w:rPr>
              <w:t>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limited</w:t>
            </w:r>
          </w:p>
        </w:tc>
        <w:tc>
          <w:tcPr>
            <w:tcW w:w="6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0000FF"/>
                <w:w w:val="84"/>
              </w:rPr>
              <w:t>Shares</w:t>
            </w: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partner</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18"/>
        </w:trPr>
        <w:tc>
          <w:tcPr>
            <w:tcW w:w="740" w:type="dxa"/>
            <w:vAlign w:val="bottom"/>
            <w:gridSpan w:val="2"/>
          </w:tcPr>
          <w:p>
            <w:pPr>
              <w:ind w:left="60"/>
              <w:spacing w:after="0" w:line="118" w:lineRule="exact"/>
              <w:rPr>
                <w:sz w:val="20"/>
                <w:szCs w:val="20"/>
                <w:color w:val="auto"/>
              </w:rPr>
            </w:pPr>
            <w:r>
              <w:rPr>
                <w:rFonts w:ascii="Arial" w:cs="Arial" w:eastAsia="Arial" w:hAnsi="Arial"/>
                <w:sz w:val="12"/>
                <w:szCs w:val="12"/>
                <w:color w:val="0000FF"/>
              </w:rPr>
              <w:t>Units in</w:t>
            </w:r>
          </w:p>
        </w:tc>
        <w:tc>
          <w:tcPr>
            <w:tcW w:w="64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vMerge w:val="restart"/>
          </w:tcPr>
          <w:p>
            <w:pPr>
              <w:jc w:val="center"/>
              <w:ind w:right="6"/>
              <w:spacing w:after="0"/>
              <w:rPr>
                <w:sz w:val="20"/>
                <w:szCs w:val="20"/>
                <w:color w:val="auto"/>
              </w:rPr>
            </w:pPr>
            <w:r>
              <w:rPr>
                <w:rFonts w:ascii="Arial" w:cs="Arial" w:eastAsia="Arial" w:hAnsi="Arial"/>
                <w:sz w:val="10"/>
                <w:szCs w:val="10"/>
                <w:color w:val="008000"/>
                <w:w w:val="97"/>
              </w:rPr>
              <w:t>(1)(2)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(1)(2)</w:t>
            </w:r>
          </w:p>
        </w:tc>
        <w:tc>
          <w:tcPr>
            <w:tcW w:w="760" w:type="dxa"/>
            <w:vAlign w:val="bottom"/>
          </w:tcPr>
          <w:p>
            <w:pPr>
              <w:jc w:val="center"/>
              <w:spacing w:after="0" w:line="118" w:lineRule="exact"/>
              <w:rPr>
                <w:sz w:val="20"/>
                <w:szCs w:val="20"/>
                <w:color w:val="auto"/>
              </w:rPr>
            </w:pPr>
            <w:r>
              <w:rPr>
                <w:rFonts w:ascii="Arial" w:cs="Arial" w:eastAsia="Arial" w:hAnsi="Arial"/>
                <w:sz w:val="12"/>
                <w:szCs w:val="12"/>
                <w:color w:val="0000FF"/>
                <w:w w:val="91"/>
              </w:rPr>
              <w:t>Class A</w:t>
            </w:r>
          </w:p>
        </w:tc>
        <w:tc>
          <w:tcPr>
            <w:tcW w:w="8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1"/>
              </w:rPr>
              <w:t>917,262</w:t>
            </w:r>
            <w:r>
              <w:rPr>
                <w:rFonts w:ascii="Arial" w:cs="Arial" w:eastAsia="Arial" w:hAnsi="Arial"/>
                <w:sz w:val="20"/>
                <w:szCs w:val="20"/>
                <w:color w:val="008000"/>
                <w:w w:val="81"/>
                <w:vertAlign w:val="superscript"/>
              </w:rPr>
              <w:t>(1)(2)</w:t>
            </w:r>
          </w:p>
        </w:tc>
        <w:tc>
          <w:tcPr>
            <w:tcW w:w="66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4"/>
              </w:rPr>
              <w:t>917,262</w:t>
            </w:r>
            <w:r>
              <w:rPr>
                <w:rFonts w:ascii="Arial" w:cs="Arial" w:eastAsia="Arial" w:hAnsi="Arial"/>
                <w:sz w:val="20"/>
                <w:szCs w:val="20"/>
                <w:color w:val="008000"/>
                <w:w w:val="84"/>
                <w:vertAlign w:val="superscript"/>
              </w:rPr>
              <w:t>(1)(2)</w:t>
            </w:r>
          </w:p>
        </w:tc>
        <w:tc>
          <w:tcPr>
            <w:tcW w:w="500" w:type="dxa"/>
            <w:vAlign w:val="bottom"/>
            <w:vMerge w:val="restart"/>
          </w:tcPr>
          <w:p>
            <w:pPr>
              <w:jc w:val="center"/>
              <w:ind w:left="2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Plains AAP,</w:t>
            </w:r>
          </w:p>
        </w:tc>
        <w:tc>
          <w:tcPr>
            <w:tcW w:w="6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0000FF"/>
                <w:w w:val="84"/>
              </w:rPr>
              <w:t>Shares</w:t>
            </w:r>
          </w:p>
        </w:tc>
        <w:tc>
          <w:tcPr>
            <w:tcW w:w="8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spacing w:after="0" w:line="15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8"/>
                <w:szCs w:val="18"/>
                <w:color w:val="008000"/>
                <w:w w:val="99"/>
                <w:vertAlign w:val="superscript"/>
              </w:rPr>
              <w:t>(1)(2)</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L.P.</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140" w:hanging="7"/>
        <w:spacing w:after="0" w:line="269"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is a member of PAA Management LLC, the general partner of PAA Management, L.P. ("PAA Management"). As of the date of this Form 4, the Reporting Person holds an indirect ownership interest in Plains GP Holdings, L.P. (the "Issuer") through his ownership in PAA Management. Therefore he may be deemed to be a beneficial owner of the interests held by PAA Management. The limited partnership agreement of Plains AAP, L.P. ("AAP") provides that each limited partner of AAP, including PAA Management, will have the right, at any time and from time to time, to exchange (the "Exchange Right") its Class A Units in AAP (the "Class A Units"), together with a like number of Class B shares of the Issuer (the "Class B shares") and units of the Issuer's general partner (the "GP Units"), for Class A shares of the Issuer on a one-for-one basis.</w:t>
      </w:r>
    </w:p>
    <w:p>
      <w:pPr>
        <w:spacing w:after="0" w:line="13" w:lineRule="exact"/>
        <w:rPr>
          <w:rFonts w:ascii="Arial" w:cs="Arial" w:eastAsia="Arial" w:hAnsi="Arial"/>
          <w:sz w:val="11"/>
          <w:szCs w:val="11"/>
          <w:color w:val="008000"/>
        </w:rPr>
      </w:pPr>
    </w:p>
    <w:p>
      <w:pPr>
        <w:ind w:left="40" w:right="360" w:hanging="7"/>
        <w:spacing w:after="0" w:line="245"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25" w:lineRule="exact"/>
        <w:rPr>
          <w:rFonts w:ascii="Arial" w:cs="Arial" w:eastAsia="Arial" w:hAnsi="Arial"/>
          <w:sz w:val="12"/>
          <w:szCs w:val="12"/>
          <w:color w:val="008000"/>
        </w:rPr>
      </w:pPr>
    </w:p>
    <w:p>
      <w:pPr>
        <w:ind w:left="40" w:right="320" w:hanging="7"/>
        <w:spacing w:after="0" w:line="245"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after December 31, 2015, a holder of vested Class B Units of AAP (the "Class B Units") may convert, from time to time, such Class B Units into an equal number of Class A Units and Class B shares, at the then applicable conversion ratio. On 1/4/2016 the Reporting Person exercised his right to convert 3,649,027 Class B Units into 3,423,264 Class A Units and 3,423,264 Class B shares, at the current conversion ratio of 0.938.</w:t>
      </w:r>
    </w:p>
    <w:p>
      <w:pPr>
        <w:spacing w:after="0" w:line="25"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the right to convert Class B Units into Class A Units does not expire.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9"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1080" w:type="dxa"/>
            <w:vAlign w:val="bottom"/>
          </w:tcPr>
          <w:p>
            <w:pPr>
              <w:spacing w:after="0"/>
              <w:rPr>
                <w:sz w:val="20"/>
                <w:szCs w:val="20"/>
                <w:color w:val="auto"/>
              </w:rPr>
            </w:pPr>
            <w:r>
              <w:rPr>
                <w:rFonts w:ascii="Arial" w:cs="Arial" w:eastAsia="Arial" w:hAnsi="Arial"/>
                <w:sz w:val="16"/>
                <w:szCs w:val="16"/>
                <w:color w:val="0000FF"/>
                <w:w w:val="88"/>
              </w:rPr>
              <w:t>/s/ John vonBerg</w:t>
            </w:r>
          </w:p>
        </w:tc>
        <w:tc>
          <w:tcPr>
            <w:tcW w:w="960" w:type="dxa"/>
            <w:vAlign w:val="bottom"/>
          </w:tcPr>
          <w:p>
            <w:pPr>
              <w:spacing w:after="0"/>
              <w:rPr>
                <w:sz w:val="16"/>
                <w:szCs w:val="16"/>
                <w:color w:val="auto"/>
              </w:rPr>
            </w:pPr>
          </w:p>
        </w:tc>
        <w:tc>
          <w:tcPr>
            <w:tcW w:w="980" w:type="dxa"/>
            <w:vAlign w:val="bottom"/>
            <w:gridSpan w:val="2"/>
          </w:tcPr>
          <w:p>
            <w:pPr>
              <w:ind w:left="260"/>
              <w:spacing w:after="0"/>
              <w:rPr>
                <w:sz w:val="20"/>
                <w:szCs w:val="20"/>
                <w:color w:val="auto"/>
              </w:rPr>
            </w:pPr>
            <w:r>
              <w:rPr>
                <w:rFonts w:ascii="Arial" w:cs="Arial" w:eastAsia="Arial" w:hAnsi="Arial"/>
                <w:sz w:val="16"/>
                <w:szCs w:val="16"/>
                <w:color w:val="0000FF"/>
                <w:w w:val="87"/>
              </w:rPr>
              <w:t>01/06/2016</w:t>
            </w:r>
          </w:p>
        </w:tc>
      </w:tr>
      <w:tr>
        <w:trPr>
          <w:trHeight w:val="20"/>
        </w:trPr>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4500" w:hanging="7"/>
        <w:spacing w:after="0" w:line="313"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39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2020-01-19T05:37:56Z</dcterms:created>
  <dcterms:modified xsi:type="dcterms:W3CDTF">2020-01-19T05:37:56Z</dcterms:modified>
</cp:coreProperties>
</file>